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 TO RULES 13D-1(b) AND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 FILED THERETO FILED PURSUANT TO RULE 13D-2(b)</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(Amendment No. </w:t>
      </w:r>
      <w:r>
        <w:rPr>
          <w:rFonts w:ascii="Arial" w:cs="Arial" w:eastAsia="Arial" w:hAnsi="Arial"/>
          <w:sz w:val="18"/>
          <w:szCs w:val="18"/>
          <w:b w:val="1"/>
          <w:bCs w:val="1"/>
          <w:u w:val="single" w:color="auto"/>
          <w:color w:val="auto"/>
        </w:rPr>
        <w:t>3</w:t>
      </w:r>
      <w:r>
        <w:rPr>
          <w:rFonts w:ascii="Arial" w:cs="Arial" w:eastAsia="Arial" w:hAnsi="Arial"/>
          <w:sz w:val="18"/>
          <w:szCs w:val="18"/>
          <w:b w:val="1"/>
          <w:bCs w:val="1"/>
          <w:color w:val="auto"/>
        </w:rPr>
        <w:t>)*</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Weatherford International PLC</w:t>
      </w:r>
      <w:r>
        <w:rPr>
          <w:rFonts w:ascii="Arial" w:cs="Arial" w:eastAsia="Arial" w:hAnsi="Arial"/>
          <w:sz w:val="18"/>
          <w:szCs w:val="18"/>
          <w:b w:val="1"/>
          <w:bCs w:val="1"/>
          <w:color w:val="auto"/>
        </w:rPr>
        <w: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Classes of Securities)</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G48833100</w:t>
      </w:r>
      <w:r>
        <w:rPr>
          <w:rFonts w:ascii="Arial" w:cs="Arial" w:eastAsia="Arial" w:hAnsi="Arial"/>
          <w:sz w:val="18"/>
          <w:szCs w:val="18"/>
          <w:b w:val="1"/>
          <w:bCs w:val="1"/>
          <w:color w:val="auto"/>
        </w:rPr>
        <w: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December 31, 2014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400" w:hanging="95"/>
        <w:spacing w:after="0"/>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Rule 13d-1(b)</w:t>
      </w:r>
    </w:p>
    <w:p>
      <w:pPr>
        <w:spacing w:after="0" w:line="23" w:lineRule="exact"/>
        <w:rPr>
          <w:rFonts w:ascii="Arial" w:cs="Arial" w:eastAsia="Arial" w:hAnsi="Arial"/>
          <w:sz w:val="18"/>
          <w:szCs w:val="18"/>
          <w:color w:val="auto"/>
        </w:rPr>
      </w:pPr>
    </w:p>
    <w:p>
      <w:pPr>
        <w:ind w:left="1840" w:hanging="535"/>
        <w:spacing w:after="0"/>
        <w:tabs>
          <w:tab w:leader="none" w:pos="1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9" w:lineRule="exact"/>
        <w:rPr>
          <w:rFonts w:ascii="Arial" w:cs="Arial" w:eastAsia="Arial" w:hAnsi="Arial"/>
          <w:sz w:val="18"/>
          <w:szCs w:val="18"/>
          <w:color w:val="auto"/>
        </w:rPr>
      </w:pPr>
    </w:p>
    <w:p>
      <w:pPr>
        <w:ind w:left="1840" w:hanging="535"/>
        <w:spacing w:after="0"/>
        <w:tabs>
          <w:tab w:leader="none" w:pos="1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color w:val="auto"/>
        </w:rPr>
        <w:t>** Formerly known as Weatherford International Ltd. with CUSIP - H27013103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w:t>
      </w:r>
      <w:r>
        <w:rPr>
          <w:rFonts w:ascii="Arial" w:cs="Arial" w:eastAsia="Arial" w:hAnsi="Arial"/>
          <w:sz w:val="18"/>
          <w:szCs w:val="18"/>
          <w:u w:val="single" w:color="auto"/>
          <w:color w:val="auto"/>
        </w:rPr>
        <w:t>G48833100</w:t>
      </w:r>
    </w:p>
    <w:p>
      <w:pPr>
        <w:spacing w:after="0" w:line="23" w:lineRule="exact"/>
        <w:rPr>
          <w:sz w:val="20"/>
          <w:szCs w:val="20"/>
          <w:color w:val="auto"/>
        </w:rPr>
      </w:pPr>
    </w:p>
    <w:p>
      <w:pPr>
        <w:ind w:left="1260" w:hanging="750"/>
        <w:spacing w:after="0"/>
        <w:tabs>
          <w:tab w:leader="none" w:pos="12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Invesco Ltd.</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IRS # 980557567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60" w:hanging="750"/>
        <w:spacing w:after="0"/>
        <w:tabs>
          <w:tab w:leader="none" w:pos="12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(a)</w:t>
      </w:r>
    </w:p>
    <w:p>
      <w:pPr>
        <w:spacing w:after="0" w:line="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60" w:hanging="750"/>
        <w:spacing w:after="0"/>
        <w:tabs>
          <w:tab w:leader="none" w:pos="12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60" w:right="6480" w:hanging="750"/>
        <w:spacing w:after="0" w:line="514" w:lineRule="auto"/>
        <w:tabs>
          <w:tab w:leader="none" w:pos="12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Invesco Ltd. – 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tbl>
      <w:tblPr>
        <w:tblLayout w:type="fixed"/>
        <w:tblInd w:w="740" w:type="dxa"/>
        <w:tblCellMar>
          <w:top w:w="0" w:type="dxa"/>
          <w:left w:w="0" w:type="dxa"/>
          <w:bottom w:w="0" w:type="dxa"/>
          <w:right w:w="0" w:type="dxa"/>
        </w:tblCellMar>
      </w:tblPr>
      <w:tr>
        <w:trPr>
          <w:trHeight w:val="234"/>
        </w:trPr>
        <w:tc>
          <w:tcPr>
            <w:tcW w:w="2020" w:type="dxa"/>
            <w:vAlign w:val="bottom"/>
            <w:vMerge w:val="restart"/>
          </w:tcPr>
          <w:p>
            <w:pPr>
              <w:jc w:val="center"/>
              <w:ind w:right="650"/>
              <w:spacing w:after="0"/>
              <w:rPr>
                <w:sz w:val="20"/>
                <w:szCs w:val="20"/>
                <w:color w:val="auto"/>
              </w:rPr>
            </w:pPr>
            <w:r>
              <w:rPr>
                <w:rFonts w:ascii="Arial" w:cs="Arial" w:eastAsia="Arial" w:hAnsi="Arial"/>
                <w:sz w:val="18"/>
                <w:szCs w:val="18"/>
                <w:color w:val="auto"/>
                <w:w w:val="96"/>
              </w:rPr>
              <w:t>NUMBER OF</w:t>
            </w: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5</w:t>
            </w:r>
          </w:p>
        </w:tc>
        <w:tc>
          <w:tcPr>
            <w:tcW w:w="7720" w:type="dxa"/>
            <w:vAlign w:val="bottom"/>
          </w:tcPr>
          <w:p>
            <w:pPr>
              <w:ind w:left="340"/>
              <w:spacing w:after="0"/>
              <w:rPr>
                <w:sz w:val="20"/>
                <w:szCs w:val="20"/>
                <w:color w:val="auto"/>
              </w:rPr>
            </w:pPr>
            <w:r>
              <w:rPr>
                <w:rFonts w:ascii="Arial" w:cs="Arial" w:eastAsia="Arial" w:hAnsi="Arial"/>
                <w:sz w:val="18"/>
                <w:szCs w:val="18"/>
                <w:color w:val="auto"/>
              </w:rPr>
              <w:t>SOLE VOTING POWER – 34,827,669</w:t>
            </w:r>
          </w:p>
        </w:tc>
        <w:tc>
          <w:tcPr>
            <w:tcW w:w="0" w:type="dxa"/>
            <w:vAlign w:val="bottom"/>
          </w:tcPr>
          <w:p>
            <w:pPr>
              <w:spacing w:after="0"/>
              <w:rPr>
                <w:sz w:val="1"/>
                <w:szCs w:val="1"/>
                <w:color w:val="auto"/>
              </w:rPr>
            </w:pPr>
          </w:p>
        </w:tc>
      </w:tr>
      <w:tr>
        <w:trPr>
          <w:trHeight w:val="223"/>
        </w:trPr>
        <w:tc>
          <w:tcPr>
            <w:tcW w:w="2020" w:type="dxa"/>
            <w:vAlign w:val="bottom"/>
            <w:vMerge w:val="continue"/>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20" w:type="dxa"/>
            <w:vAlign w:val="bottom"/>
          </w:tcPr>
          <w:p>
            <w:pPr>
              <w:jc w:val="center"/>
              <w:ind w:right="630"/>
              <w:spacing w:after="0" w:line="175" w:lineRule="exact"/>
              <w:rPr>
                <w:sz w:val="20"/>
                <w:szCs w:val="20"/>
                <w:color w:val="auto"/>
              </w:rPr>
            </w:pPr>
            <w:r>
              <w:rPr>
                <w:rFonts w:ascii="Arial" w:cs="Arial" w:eastAsia="Arial" w:hAnsi="Arial"/>
                <w:sz w:val="18"/>
                <w:szCs w:val="18"/>
                <w:color w:val="auto"/>
                <w:w w:val="94"/>
              </w:rPr>
              <w:t>SHARES</w:t>
            </w:r>
          </w:p>
        </w:tc>
        <w:tc>
          <w:tcPr>
            <w:tcW w:w="94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20" w:type="dxa"/>
            <w:vAlign w:val="bottom"/>
          </w:tcPr>
          <w:p>
            <w:pPr>
              <w:jc w:val="center"/>
              <w:ind w:right="650"/>
              <w:spacing w:after="0"/>
              <w:rPr>
                <w:sz w:val="20"/>
                <w:szCs w:val="20"/>
                <w:color w:val="auto"/>
              </w:rPr>
            </w:pPr>
            <w:r>
              <w:rPr>
                <w:rFonts w:ascii="Arial" w:cs="Arial" w:eastAsia="Arial" w:hAnsi="Arial"/>
                <w:sz w:val="18"/>
                <w:szCs w:val="18"/>
                <w:color w:val="auto"/>
              </w:rPr>
              <w:t>BENEFICIALLY</w:t>
            </w: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6</w:t>
            </w:r>
          </w:p>
        </w:tc>
        <w:tc>
          <w:tcPr>
            <w:tcW w:w="7720" w:type="dxa"/>
            <w:vAlign w:val="bottom"/>
          </w:tcPr>
          <w:p>
            <w:pPr>
              <w:ind w:left="340"/>
              <w:spacing w:after="0"/>
              <w:rPr>
                <w:sz w:val="20"/>
                <w:szCs w:val="20"/>
                <w:color w:val="auto"/>
              </w:rPr>
            </w:pPr>
            <w:r>
              <w:rPr>
                <w:rFonts w:ascii="Arial" w:cs="Arial" w:eastAsia="Arial" w:hAnsi="Arial"/>
                <w:sz w:val="18"/>
                <w:szCs w:val="18"/>
                <w:color w:val="auto"/>
              </w:rPr>
              <w:t>SHARED VOTING POWER – 0</w:t>
            </w:r>
          </w:p>
        </w:tc>
        <w:tc>
          <w:tcPr>
            <w:tcW w:w="0" w:type="dxa"/>
            <w:vAlign w:val="bottom"/>
          </w:tcPr>
          <w:p>
            <w:pPr>
              <w:spacing w:after="0"/>
              <w:rPr>
                <w:sz w:val="1"/>
                <w:szCs w:val="1"/>
                <w:color w:val="auto"/>
              </w:rPr>
            </w:pPr>
          </w:p>
        </w:tc>
      </w:tr>
      <w:tr>
        <w:trPr>
          <w:trHeight w:val="216"/>
        </w:trPr>
        <w:tc>
          <w:tcPr>
            <w:tcW w:w="2020" w:type="dxa"/>
            <w:vAlign w:val="bottom"/>
          </w:tcPr>
          <w:p>
            <w:pPr>
              <w:jc w:val="center"/>
              <w:ind w:right="650"/>
              <w:spacing w:after="0"/>
              <w:rPr>
                <w:sz w:val="20"/>
                <w:szCs w:val="20"/>
                <w:color w:val="auto"/>
              </w:rPr>
            </w:pPr>
            <w:r>
              <w:rPr>
                <w:rFonts w:ascii="Arial" w:cs="Arial" w:eastAsia="Arial" w:hAnsi="Arial"/>
                <w:sz w:val="18"/>
                <w:szCs w:val="18"/>
                <w:color w:val="auto"/>
                <w:w w:val="97"/>
              </w:rPr>
              <w:t>OWNED BY</w:t>
            </w:r>
          </w:p>
        </w:tc>
        <w:tc>
          <w:tcPr>
            <w:tcW w:w="94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20" w:type="dxa"/>
            <w:vAlign w:val="bottom"/>
            <w:vMerge w:val="restart"/>
          </w:tcPr>
          <w:p>
            <w:pPr>
              <w:jc w:val="center"/>
              <w:ind w:right="630"/>
              <w:spacing w:after="0"/>
              <w:rPr>
                <w:sz w:val="20"/>
                <w:szCs w:val="20"/>
                <w:color w:val="auto"/>
              </w:rPr>
            </w:pPr>
            <w:r>
              <w:rPr>
                <w:rFonts w:ascii="Arial" w:cs="Arial" w:eastAsia="Arial" w:hAnsi="Arial"/>
                <w:sz w:val="18"/>
                <w:szCs w:val="18"/>
                <w:color w:val="auto"/>
                <w:w w:val="99"/>
              </w:rPr>
              <w:t>EACH</w:t>
            </w:r>
          </w:p>
        </w:tc>
        <w:tc>
          <w:tcPr>
            <w:tcW w:w="940" w:type="dxa"/>
            <w:vAlign w:val="bottom"/>
            <w:tcBorders>
              <w:bottom w:val="single" w:sz="8" w:color="auto"/>
            </w:tcBorders>
          </w:tcPr>
          <w:p>
            <w:pPr>
              <w:spacing w:after="0"/>
              <w:rPr>
                <w:sz w:val="4"/>
                <w:szCs w:val="4"/>
                <w:color w:val="auto"/>
              </w:rPr>
            </w:pPr>
          </w:p>
        </w:tc>
        <w:tc>
          <w:tcPr>
            <w:tcW w:w="7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2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20" w:type="dxa"/>
            <w:vAlign w:val="bottom"/>
          </w:tcPr>
          <w:p>
            <w:pPr>
              <w:jc w:val="center"/>
              <w:ind w:right="650"/>
              <w:spacing w:after="0"/>
              <w:rPr>
                <w:sz w:val="20"/>
                <w:szCs w:val="20"/>
                <w:color w:val="auto"/>
              </w:rPr>
            </w:pPr>
            <w:r>
              <w:rPr>
                <w:rFonts w:ascii="Arial" w:cs="Arial" w:eastAsia="Arial" w:hAnsi="Arial"/>
                <w:sz w:val="18"/>
                <w:szCs w:val="18"/>
                <w:color w:val="auto"/>
                <w:w w:val="93"/>
              </w:rPr>
              <w:t>REPORTING</w:t>
            </w: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7</w:t>
            </w:r>
          </w:p>
        </w:tc>
        <w:tc>
          <w:tcPr>
            <w:tcW w:w="7720" w:type="dxa"/>
            <w:vAlign w:val="bottom"/>
          </w:tcPr>
          <w:p>
            <w:pPr>
              <w:ind w:left="340"/>
              <w:spacing w:after="0"/>
              <w:rPr>
                <w:sz w:val="20"/>
                <w:szCs w:val="20"/>
                <w:color w:val="auto"/>
              </w:rPr>
            </w:pPr>
            <w:r>
              <w:rPr>
                <w:rFonts w:ascii="Arial" w:cs="Arial" w:eastAsia="Arial" w:hAnsi="Arial"/>
                <w:sz w:val="18"/>
                <w:szCs w:val="18"/>
                <w:color w:val="auto"/>
              </w:rPr>
              <w:t>SOLE DISPOSITIVE POWER – 35,735,604</w:t>
            </w:r>
          </w:p>
        </w:tc>
        <w:tc>
          <w:tcPr>
            <w:tcW w:w="0" w:type="dxa"/>
            <w:vAlign w:val="bottom"/>
          </w:tcPr>
          <w:p>
            <w:pPr>
              <w:spacing w:after="0"/>
              <w:rPr>
                <w:sz w:val="1"/>
                <w:szCs w:val="1"/>
                <w:color w:val="auto"/>
              </w:rPr>
            </w:pPr>
          </w:p>
        </w:tc>
      </w:tr>
      <w:tr>
        <w:trPr>
          <w:trHeight w:val="202"/>
        </w:trPr>
        <w:tc>
          <w:tcPr>
            <w:tcW w:w="2020" w:type="dxa"/>
            <w:vAlign w:val="bottom"/>
          </w:tcPr>
          <w:p>
            <w:pPr>
              <w:jc w:val="center"/>
              <w:ind w:right="630"/>
              <w:spacing w:after="0" w:line="201" w:lineRule="exact"/>
              <w:rPr>
                <w:sz w:val="20"/>
                <w:szCs w:val="20"/>
                <w:color w:val="auto"/>
              </w:rPr>
            </w:pPr>
            <w:r>
              <w:rPr>
                <w:rFonts w:ascii="Arial" w:cs="Arial" w:eastAsia="Arial" w:hAnsi="Arial"/>
                <w:sz w:val="18"/>
                <w:szCs w:val="18"/>
                <w:color w:val="auto"/>
                <w:w w:val="92"/>
              </w:rPr>
              <w:t>PERSON</w:t>
            </w:r>
          </w:p>
        </w:tc>
        <w:tc>
          <w:tcPr>
            <w:tcW w:w="94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20" w:type="dxa"/>
            <w:vAlign w:val="bottom"/>
            <w:vMerge w:val="restart"/>
          </w:tcPr>
          <w:p>
            <w:pPr>
              <w:jc w:val="center"/>
              <w:ind w:right="630"/>
              <w:spacing w:after="0"/>
              <w:rPr>
                <w:sz w:val="20"/>
                <w:szCs w:val="20"/>
                <w:color w:val="auto"/>
              </w:rPr>
            </w:pPr>
            <w:r>
              <w:rPr>
                <w:rFonts w:ascii="Arial" w:cs="Arial" w:eastAsia="Arial" w:hAnsi="Arial"/>
                <w:sz w:val="18"/>
                <w:szCs w:val="18"/>
                <w:color w:val="auto"/>
                <w:w w:val="99"/>
              </w:rPr>
              <w:t>WITH</w:t>
            </w:r>
          </w:p>
        </w:tc>
        <w:tc>
          <w:tcPr>
            <w:tcW w:w="940" w:type="dxa"/>
            <w:vAlign w:val="bottom"/>
            <w:tcBorders>
              <w:bottom w:val="single" w:sz="8" w:color="auto"/>
            </w:tcBorders>
          </w:tcPr>
          <w:p>
            <w:pPr>
              <w:spacing w:after="0"/>
              <w:rPr>
                <w:sz w:val="6"/>
                <w:szCs w:val="6"/>
                <w:color w:val="auto"/>
              </w:rPr>
            </w:pPr>
          </w:p>
        </w:tc>
        <w:tc>
          <w:tcPr>
            <w:tcW w:w="7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20" w:type="dxa"/>
            <w:vAlign w:val="bottom"/>
            <w:vMerge w:val="continue"/>
          </w:tcPr>
          <w:p>
            <w:pPr>
              <w:spacing w:after="0"/>
              <w:rPr>
                <w:sz w:val="11"/>
                <w:szCs w:val="11"/>
                <w:color w:val="auto"/>
              </w:rPr>
            </w:pPr>
          </w:p>
        </w:tc>
        <w:tc>
          <w:tcPr>
            <w:tcW w:w="9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8</w:t>
            </w:r>
          </w:p>
        </w:tc>
        <w:tc>
          <w:tcPr>
            <w:tcW w:w="7720" w:type="dxa"/>
            <w:vAlign w:val="bottom"/>
            <w:vMerge w:val="restart"/>
          </w:tcPr>
          <w:p>
            <w:pPr>
              <w:ind w:left="340"/>
              <w:spacing w:after="0"/>
              <w:rPr>
                <w:sz w:val="20"/>
                <w:szCs w:val="20"/>
                <w:color w:val="auto"/>
              </w:rPr>
            </w:pPr>
            <w:r>
              <w:rPr>
                <w:rFonts w:ascii="Arial" w:cs="Arial" w:eastAsia="Arial" w:hAnsi="Arial"/>
                <w:sz w:val="18"/>
                <w:szCs w:val="18"/>
                <w:color w:val="auto"/>
              </w:rPr>
              <w:t>SHARED DISPOSITIVE POWER – 0</w:t>
            </w:r>
          </w:p>
        </w:tc>
        <w:tc>
          <w:tcPr>
            <w:tcW w:w="0" w:type="dxa"/>
            <w:vAlign w:val="bottom"/>
          </w:tcPr>
          <w:p>
            <w:pPr>
              <w:spacing w:after="0"/>
              <w:rPr>
                <w:sz w:val="1"/>
                <w:szCs w:val="1"/>
                <w:color w:val="auto"/>
              </w:rPr>
            </w:pPr>
          </w:p>
        </w:tc>
      </w:tr>
      <w:tr>
        <w:trPr>
          <w:trHeight w:val="297"/>
        </w:trPr>
        <w:tc>
          <w:tcPr>
            <w:tcW w:w="20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7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p>
      <w:pPr>
        <w:ind w:left="1140" w:hanging="691"/>
        <w:spacing w:after="0"/>
        <w:tabs>
          <w:tab w:leader="none" w:pos="11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35,735,604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140" w:right="3120" w:hanging="736"/>
        <w:spacing w:after="0" w:line="389" w:lineRule="auto"/>
        <w:tabs>
          <w:tab w:leader="none" w:pos="11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N/A</w:t>
      </w:r>
    </w:p>
    <w:p>
      <w:pPr>
        <w:spacing w:after="0" w:line="4" w:lineRule="exact"/>
        <w:rPr>
          <w:rFonts w:ascii="Arial" w:cs="Arial" w:eastAsia="Arial" w:hAnsi="Arial"/>
          <w:sz w:val="18"/>
          <w:szCs w:val="18"/>
          <w:b w:val="1"/>
          <w:bCs w:val="1"/>
          <w:color w:val="auto"/>
        </w:rPr>
      </w:pPr>
    </w:p>
    <w:p>
      <w:pPr>
        <w:ind w:left="1160" w:right="5340" w:hanging="751"/>
        <w:spacing w:after="0" w:line="389" w:lineRule="auto"/>
        <w:tabs>
          <w:tab w:leader="none" w:pos="1142"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4.6%</w:t>
      </w:r>
    </w:p>
    <w:p>
      <w:pPr>
        <w:spacing w:after="0" w:line="4" w:lineRule="exact"/>
        <w:rPr>
          <w:rFonts w:ascii="Arial" w:cs="Arial" w:eastAsia="Arial" w:hAnsi="Arial"/>
          <w:sz w:val="18"/>
          <w:szCs w:val="18"/>
          <w:b w:val="1"/>
          <w:bCs w:val="1"/>
          <w:color w:val="auto"/>
        </w:rPr>
      </w:pPr>
    </w:p>
    <w:p>
      <w:pPr>
        <w:ind w:left="1160" w:right="7680" w:hanging="756"/>
        <w:spacing w:after="0" w:line="624" w:lineRule="auto"/>
        <w:tabs>
          <w:tab w:leader="none" w:pos="1142"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TYPE OF REPORTING PERSON* See Item 3 of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-1043940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205740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1(a). Name of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Bahnhofstrasse 1; CH 6340 Baar; Switzerland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Invesco Ltd.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Address of Principal Business Office or, if none, residence of filing person: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1555 Peachtree Street NE; Atlanta, GA 30309;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Citizenship of filing person: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Title of Classes of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CUSIP Number: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G48833100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If this statement is filed pursuant to ss240.13d-1(b) or 240.13d-2(b) or (c), check whether the person filing is 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 [x] An investment adviser in accordance with section 240.13d-1(b)(1)(ii)(E)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 [x] A parent holding company or control person in accordance with section 240.13d-1(b)(1)(ii)(G)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color w:val="auto"/>
        </w:rPr>
        <w:t>Ownership: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Please see responses to Items 5-8 on the cover of this statement, which are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color w:val="auto"/>
        </w:rPr>
        <w:t>Ownership of Five Percent or Less of a Class: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color w:val="auto"/>
        </w:rPr>
        <w:t>Ownership of More than Five Percent on Behalf of Another Person: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07"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color w:val="auto"/>
        </w:rPr>
        <w:t>Identification and Classification of the Subsidiary which Acquired the Security Being Reported on by the Parent Holding Company: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subsidiaries of Invesco Ltd. are investment advisers which hold shares of the security being reported: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Invesco Advisers,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Invesco Canada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Invesco Asset Management Deutschland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Invesco Investment Advisers,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Invesco PowerShares Capital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Invesco Asset Management (Japan) Limited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color w:val="auto"/>
        </w:rPr>
        <w:t>Identification and Classification of Members of the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color w:val="auto"/>
        </w:rPr>
        <w:t>Notice of Dissolution of a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color w:val="auto"/>
        </w:rPr>
        <w:t>Certification: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02/02/2015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Invesco Ltd.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18"/>
                <w:szCs w:val="18"/>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Lisa Brinkley</w:t>
            </w:r>
          </w:p>
        </w:tc>
        <w:tc>
          <w:tcPr>
            <w:tcW w:w="58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2040" w:type="dxa"/>
            <w:vAlign w:val="bottom"/>
            <w:gridSpan w:val="3"/>
          </w:tcPr>
          <w:p>
            <w:pPr>
              <w:ind w:left="200"/>
              <w:spacing w:after="0"/>
              <w:rPr>
                <w:sz w:val="20"/>
                <w:szCs w:val="20"/>
                <w:color w:val="auto"/>
              </w:rPr>
            </w:pPr>
            <w:r>
              <w:rPr>
                <w:rFonts w:ascii="Arial" w:cs="Arial" w:eastAsia="Arial" w:hAnsi="Arial"/>
                <w:sz w:val="18"/>
                <w:szCs w:val="18"/>
                <w:color w:val="auto"/>
              </w:rPr>
              <w:t>Lisa Brinkley</w:t>
            </w:r>
          </w:p>
        </w:tc>
      </w:tr>
      <w:tr>
        <w:trPr>
          <w:trHeight w:val="230"/>
        </w:trPr>
        <w:tc>
          <w:tcPr>
            <w:tcW w:w="460" w:type="dxa"/>
            <w:vAlign w:val="bottom"/>
          </w:tcPr>
          <w:p>
            <w:pPr>
              <w:spacing w:after="0"/>
              <w:rPr>
                <w:sz w:val="20"/>
                <w:szCs w:val="20"/>
                <w:color w:val="auto"/>
              </w:rPr>
            </w:pPr>
          </w:p>
        </w:tc>
        <w:tc>
          <w:tcPr>
            <w:tcW w:w="2040" w:type="dxa"/>
            <w:vAlign w:val="bottom"/>
            <w:gridSpan w:val="3"/>
          </w:tcPr>
          <w:p>
            <w:pPr>
              <w:ind w:left="200"/>
              <w:spacing w:after="0"/>
              <w:rPr>
                <w:sz w:val="20"/>
                <w:szCs w:val="20"/>
                <w:color w:val="auto"/>
              </w:rPr>
            </w:pPr>
            <w:r>
              <w:rPr>
                <w:rFonts w:ascii="Arial" w:cs="Arial" w:eastAsia="Arial" w:hAnsi="Arial"/>
                <w:sz w:val="18"/>
                <w:szCs w:val="18"/>
                <w:color w:val="auto"/>
                <w:w w:val="90"/>
              </w:rPr>
              <w:t>Global Assurance Officer</w:t>
            </w:r>
          </w:p>
        </w:tc>
      </w:tr>
    </w:tbl>
    <w:p>
      <w:pPr>
        <w:spacing w:after="0" w:line="1" w:lineRule="exact"/>
        <w:rPr>
          <w:sz w:val="20"/>
          <w:szCs w:val="20"/>
          <w:color w:val="auto"/>
        </w:rPr>
      </w:pPr>
    </w:p>
    <w:sectPr>
      <w:pgSz w:w="11900" w:h="16838" w:orient="portrait"/>
      <w:cols w:equalWidth="0" w:num="1">
        <w:col w:w="11260"/>
      </w:cols>
      <w:pgMar w:left="240" w:top="60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4"/>
      <w:numFmt w:val="bullet"/>
      <w:start w:val="1"/>
    </w:lvl>
  </w:abstractNum>
  <w:abstractNum w:abstractNumId="5">
    <w:nsid w:val="2EB141F2"/>
    <w:multiLevelType w:val="hybridMultilevel"/>
    <w:lvl w:ilvl="0">
      <w:lvlJc w:val="left"/>
      <w:lvlText w:val="9"/>
      <w:numFmt w:val="bullet"/>
      <w:start w:val="1"/>
    </w:lvl>
  </w:abstractNum>
  <w:abstractNum w:abstractNumId="6">
    <w:nsid w:val="41B71EF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2019-12-09T04:46:54Z</dcterms:created>
  <dcterms:modified xsi:type="dcterms:W3CDTF">2019-12-09T04:46:54Z</dcterms:modified>
</cp:coreProperties>
</file>