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333-194431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55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00" w:type="dxa"/>
            <w:vAlign w:val="bottom"/>
            <w:tcBorders>
              <w:right w:val="single" w:sz="8" w:color="auto"/>
            </w:tcBorders>
            <w:vMerge w:val="restart"/>
          </w:tcPr>
          <w:p>
            <w:pPr>
              <w:jc w:val="center"/>
              <w:ind w:right="1108"/>
              <w:spacing w:after="0"/>
              <w:rPr>
                <w:sz w:val="20"/>
                <w:szCs w:val="20"/>
                <w:color w:val="auto"/>
              </w:rPr>
            </w:pPr>
            <w:r>
              <w:rPr>
                <w:rFonts w:ascii="Arial" w:cs="Arial" w:eastAsia="Arial" w:hAnsi="Arial"/>
                <w:sz w:val="14"/>
                <w:szCs w:val="14"/>
                <w:b w:val="1"/>
                <w:bCs w:val="1"/>
                <w:color w:val="auto"/>
                <w:w w:val="90"/>
              </w:rPr>
              <w:t>Title of each class of</w:t>
            </w:r>
          </w:p>
        </w:tc>
        <w:tc>
          <w:tcPr>
            <w:tcW w:w="160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Amount to be</w:t>
            </w:r>
          </w:p>
        </w:tc>
        <w:tc>
          <w:tcPr>
            <w:tcW w:w="160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5"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500" w:type="dxa"/>
            <w:vAlign w:val="bottom"/>
            <w:tcBorders>
              <w:bottom w:val="single" w:sz="8" w:color="auto"/>
              <w:right w:val="single" w:sz="8" w:color="auto"/>
            </w:tcBorders>
          </w:tcPr>
          <w:p>
            <w:pPr>
              <w:jc w:val="center"/>
              <w:ind w:right="1108"/>
              <w:spacing w:after="0"/>
              <w:rPr>
                <w:sz w:val="20"/>
                <w:szCs w:val="20"/>
                <w:color w:val="auto"/>
              </w:rPr>
            </w:pPr>
            <w:r>
              <w:rPr>
                <w:rFonts w:ascii="Arial" w:cs="Arial" w:eastAsia="Arial" w:hAnsi="Arial"/>
                <w:sz w:val="14"/>
                <w:szCs w:val="14"/>
                <w:b w:val="1"/>
                <w:bCs w:val="1"/>
                <w:color w:val="auto"/>
                <w:w w:val="89"/>
              </w:rPr>
              <w:t>securities to be registered</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3"/>
              </w:rPr>
              <w:t>offering price(1)</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2"/>
              </w:rPr>
              <w:t>registration 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Ordinary shares, par value $0.001 per share, of Weatherford International plc</w:t>
            </w:r>
          </w:p>
        </w:tc>
        <w:tc>
          <w:tcPr>
            <w:tcW w:w="160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8"/>
                <w:szCs w:val="18"/>
                <w:color w:val="auto"/>
              </w:rPr>
              <w:t>115,000,000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$649,750,000</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$65,429.83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Assumes exercise in full of the underwriter’s option to purchase up to an aggregate of 15,000,000 additional ordinary shares from the registrant.</w:t>
      </w:r>
    </w:p>
    <w:p>
      <w:pPr>
        <w:spacing w:after="0" w:line="34" w:lineRule="exact"/>
        <w:rPr>
          <w:rFonts w:ascii="Arial" w:cs="Arial" w:eastAsia="Arial" w:hAnsi="Arial"/>
          <w:sz w:val="17"/>
          <w:szCs w:val="17"/>
          <w:color w:val="auto"/>
        </w:rPr>
      </w:pPr>
    </w:p>
    <w:p>
      <w:pPr>
        <w:ind w:left="460" w:right="5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filing fee is calculated in accordance with Rule 457(r) and relates to the Registration Statement on Form S-3 (File No. 333-194431) filed by Weatherford International Ltd. on March 7, 2014.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June 17, 2014)</w:t>
      </w:r>
    </w:p>
    <w:p>
      <w:pPr>
        <w:spacing w:after="0" w:line="64"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100,000,000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39763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Weatherford International plc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are selling 100,000,000 ordinary shares in this offering.</w:t>
      </w:r>
    </w:p>
    <w:p>
      <w:pPr>
        <w:spacing w:after="0" w:line="131"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We have granted the underwriters an option to purchase, on the same terms and conditions as set forth below, up to 15,000,000 additional ordinary shares within 30 days from the date of this prospectus.</w:t>
      </w:r>
    </w:p>
    <w:p>
      <w:pPr>
        <w:spacing w:after="0" w:line="12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ordinary shares are listed for trading on the New York Stock Exchange (“NYSE”) under the symbol “WFT.” On March 1, 2016, the last reported sale price of our ordinary shares on the NYSE was $6.19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2"/>
          </w:tcPr>
          <w:p>
            <w:pPr>
              <w:ind w:left="3160"/>
              <w:spacing w:after="0"/>
              <w:rPr>
                <w:sz w:val="20"/>
                <w:szCs w:val="20"/>
                <w:color w:val="auto"/>
              </w:rPr>
            </w:pPr>
            <w:r>
              <w:rPr>
                <w:rFonts w:ascii="Arial" w:cs="Arial" w:eastAsia="Arial" w:hAnsi="Arial"/>
                <w:sz w:val="18"/>
                <w:szCs w:val="18"/>
                <w:b w:val="1"/>
                <w:bCs w:val="1"/>
                <w:color w:val="auto"/>
              </w:rPr>
              <w:t>Per share</w:t>
            </w:r>
          </w:p>
        </w:tc>
        <w:tc>
          <w:tcPr>
            <w:tcW w:w="14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115"/>
        </w:trPr>
        <w:tc>
          <w:tcPr>
            <w:tcW w:w="58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340" w:type="dxa"/>
            <w:vAlign w:val="bottom"/>
            <w:shd w:val="clear" w:color="auto" w:fill="CCEEFF"/>
          </w:tcPr>
          <w:p>
            <w:pPr>
              <w:ind w:left="3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565,000,000</w:t>
            </w:r>
          </w:p>
        </w:tc>
      </w:tr>
      <w:tr>
        <w:trPr>
          <w:trHeight w:val="349"/>
        </w:trPr>
        <w:tc>
          <w:tcPr>
            <w:tcW w:w="5800" w:type="dxa"/>
            <w:vAlign w:val="bottom"/>
          </w:tcPr>
          <w:p>
            <w:pPr>
              <w:spacing w:after="0"/>
              <w:rPr>
                <w:sz w:val="20"/>
                <w:szCs w:val="20"/>
                <w:color w:val="auto"/>
              </w:rPr>
            </w:pPr>
            <w:r>
              <w:rPr>
                <w:rFonts w:ascii="Arial" w:cs="Arial" w:eastAsia="Arial" w:hAnsi="Arial"/>
                <w:sz w:val="18"/>
                <w:szCs w:val="18"/>
                <w:color w:val="auto"/>
              </w:rPr>
              <w:t>Underwriting Discount(1)</w:t>
            </w:r>
          </w:p>
        </w:tc>
        <w:tc>
          <w:tcPr>
            <w:tcW w:w="3340" w:type="dxa"/>
            <w:vAlign w:val="bottom"/>
          </w:tcPr>
          <w:p>
            <w:pPr>
              <w:ind w:left="3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0.1695</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16,950,000</w:t>
            </w:r>
          </w:p>
        </w:tc>
      </w:tr>
      <w:tr>
        <w:trPr>
          <w:trHeight w:val="124"/>
        </w:trPr>
        <w:tc>
          <w:tcPr>
            <w:tcW w:w="58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3"/>
        </w:trPr>
        <w:tc>
          <w:tcPr>
            <w:tcW w:w="5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3340" w:type="dxa"/>
            <w:vAlign w:val="bottom"/>
            <w:tcBorders>
              <w:bottom w:val="single" w:sz="8" w:color="auto"/>
            </w:tcBorders>
            <w:shd w:val="clear" w:color="auto" w:fill="CCEEFF"/>
          </w:tcPr>
          <w:p>
            <w:pPr>
              <w:ind w:left="316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5.4805</w:t>
            </w:r>
          </w:p>
        </w:tc>
        <w:tc>
          <w:tcPr>
            <w:tcW w:w="32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548,050,000</w:t>
            </w:r>
          </w:p>
        </w:tc>
      </w:tr>
    </w:tbl>
    <w:p>
      <w:pPr>
        <w:spacing w:after="0" w:line="14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read “Underwriting” for a description of all underwriting compensation payable in connection with this offering.</w:t>
      </w:r>
    </w:p>
    <w:p>
      <w:pPr>
        <w:spacing w:after="0" w:line="104"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37" w:lineRule="exact"/>
        <w:rPr>
          <w:sz w:val="20"/>
          <w:szCs w:val="20"/>
          <w:color w:val="auto"/>
        </w:rPr>
      </w:pPr>
    </w:p>
    <w:p>
      <w:pPr>
        <w:ind w:right="4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risks. Before buying our ordinary shares, you should read the discussion of material risks described in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S-4 of this prospectus supplement for more information.</w:t>
      </w:r>
    </w:p>
    <w:p>
      <w:pPr>
        <w:spacing w:after="0" w:line="85" w:lineRule="exact"/>
        <w:rPr>
          <w:sz w:val="20"/>
          <w:szCs w:val="20"/>
          <w:color w:val="auto"/>
        </w:rPr>
      </w:pPr>
    </w:p>
    <w:p>
      <w:pPr>
        <w:jc w:val="both"/>
        <w:ind w:right="140"/>
        <w:spacing w:after="0" w:line="249" w:lineRule="auto"/>
        <w:rPr>
          <w:sz w:val="20"/>
          <w:szCs w:val="20"/>
          <w:color w:val="auto"/>
        </w:rPr>
      </w:pPr>
      <w:r>
        <w:rPr>
          <w:rFonts w:ascii="Arial" w:cs="Arial" w:eastAsia="Arial" w:hAnsi="Arial"/>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121" w:lineRule="exact"/>
        <w:rPr>
          <w:sz w:val="20"/>
          <w:szCs w:val="20"/>
          <w:color w:val="auto"/>
        </w:rPr>
      </w:pPr>
    </w:p>
    <w:p>
      <w:pPr>
        <w:ind w:left="4540" w:right="580" w:hanging="4524"/>
        <w:spacing w:after="0" w:line="376" w:lineRule="auto"/>
        <w:rPr>
          <w:sz w:val="20"/>
          <w:szCs w:val="20"/>
          <w:color w:val="auto"/>
        </w:rPr>
      </w:pPr>
      <w:r>
        <w:rPr>
          <w:rFonts w:ascii="Arial" w:cs="Arial" w:eastAsia="Arial" w:hAnsi="Arial"/>
          <w:sz w:val="18"/>
          <w:szCs w:val="18"/>
          <w:color w:val="auto"/>
        </w:rPr>
        <w:t xml:space="preserve">The underwriters expect to deliver the shares on or about March 7, 2016 through the book-entry facilities of The Depository Trust Company. </w:t>
      </w:r>
      <w:r>
        <w:rPr>
          <w:rFonts w:ascii="Arial" w:cs="Arial" w:eastAsia="Arial" w:hAnsi="Arial"/>
          <w:sz w:val="18"/>
          <w:szCs w:val="18"/>
          <w:i w:val="1"/>
          <w:iCs w:val="1"/>
          <w:color w:val="auto"/>
        </w:rPr>
        <w:t>Joint Book-Running Managers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444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698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334"/>
        </w:trPr>
        <w:tc>
          <w:tcPr>
            <w:tcW w:w="4440" w:type="dxa"/>
            <w:vAlign w:val="bottom"/>
          </w:tcPr>
          <w:p>
            <w:pPr>
              <w:spacing w:after="0"/>
              <w:rPr>
                <w:sz w:val="24"/>
                <w:szCs w:val="24"/>
                <w:color w:val="auto"/>
              </w:rPr>
            </w:pPr>
          </w:p>
        </w:tc>
        <w:tc>
          <w:tcPr>
            <w:tcW w:w="6980" w:type="dxa"/>
            <w:vAlign w:val="bottom"/>
          </w:tcPr>
          <w:p>
            <w:pPr>
              <w:jc w:val="right"/>
              <w:ind w:right="4754"/>
              <w:spacing w:after="0"/>
              <w:rPr>
                <w:sz w:val="20"/>
                <w:szCs w:val="20"/>
                <w:color w:val="auto"/>
              </w:rPr>
            </w:pPr>
            <w:r>
              <w:rPr>
                <w:rFonts w:ascii="Arial" w:cs="Arial" w:eastAsia="Arial" w:hAnsi="Arial"/>
                <w:sz w:val="18"/>
                <w:szCs w:val="18"/>
                <w:i w:val="1"/>
                <w:iCs w:val="1"/>
                <w:color w:val="auto"/>
              </w:rPr>
              <w:t>Senior Co-Managers</w:t>
            </w:r>
          </w:p>
        </w:tc>
      </w:tr>
      <w:tr>
        <w:trPr>
          <w:trHeight w:val="479"/>
        </w:trPr>
        <w:tc>
          <w:tcPr>
            <w:tcW w:w="44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980" w:type="dxa"/>
            <w:vAlign w:val="bottom"/>
          </w:tcPr>
          <w:p>
            <w:pPr>
              <w:jc w:val="right"/>
              <w:spacing w:after="0"/>
              <w:rPr>
                <w:sz w:val="20"/>
                <w:szCs w:val="20"/>
                <w:color w:val="auto"/>
              </w:rPr>
            </w:pPr>
            <w:r>
              <w:rPr>
                <w:rFonts w:ascii="Arial" w:cs="Arial" w:eastAsia="Arial" w:hAnsi="Arial"/>
                <w:sz w:val="32"/>
                <w:szCs w:val="32"/>
                <w:b w:val="1"/>
                <w:bCs w:val="1"/>
                <w:color w:val="auto"/>
              </w:rPr>
              <w:t>Credit Agricole CIB</w:t>
            </w:r>
          </w:p>
        </w:tc>
      </w:tr>
      <w:tr>
        <w:trPr>
          <w:trHeight w:val="378"/>
        </w:trPr>
        <w:tc>
          <w:tcPr>
            <w:tcW w:w="4440" w:type="dxa"/>
            <w:vAlign w:val="bottom"/>
          </w:tcPr>
          <w:p>
            <w:pPr>
              <w:spacing w:after="0"/>
              <w:rPr>
                <w:sz w:val="20"/>
                <w:szCs w:val="20"/>
                <w:color w:val="auto"/>
              </w:rPr>
            </w:pPr>
            <w:r>
              <w:rPr>
                <w:rFonts w:ascii="Arial" w:cs="Arial" w:eastAsia="Arial" w:hAnsi="Arial"/>
                <w:sz w:val="32"/>
                <w:szCs w:val="32"/>
                <w:b w:val="1"/>
                <w:bCs w:val="1"/>
                <w:color w:val="auto"/>
              </w:rPr>
              <w:t>Deutsche Bank Securities</w:t>
            </w:r>
          </w:p>
        </w:tc>
        <w:tc>
          <w:tcPr>
            <w:tcW w:w="698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429"/>
        </w:trPr>
        <w:tc>
          <w:tcPr>
            <w:tcW w:w="4440" w:type="dxa"/>
            <w:vAlign w:val="bottom"/>
          </w:tcPr>
          <w:p>
            <w:pPr>
              <w:spacing w:after="0"/>
              <w:rPr>
                <w:sz w:val="20"/>
                <w:szCs w:val="20"/>
                <w:color w:val="auto"/>
              </w:rPr>
            </w:pPr>
            <w:r>
              <w:rPr>
                <w:rFonts w:ascii="Arial" w:cs="Arial" w:eastAsia="Arial" w:hAnsi="Arial"/>
                <w:sz w:val="32"/>
                <w:szCs w:val="32"/>
                <w:b w:val="1"/>
                <w:bCs w:val="1"/>
                <w:color w:val="auto"/>
              </w:rPr>
              <w:t>RBC Capital Markets</w:t>
            </w:r>
          </w:p>
        </w:tc>
        <w:tc>
          <w:tcPr>
            <w:tcW w:w="6980" w:type="dxa"/>
            <w:vAlign w:val="bottom"/>
          </w:tcPr>
          <w:p>
            <w:pPr>
              <w:jc w:val="right"/>
              <w:spacing w:after="0"/>
              <w:rPr>
                <w:sz w:val="20"/>
                <w:szCs w:val="20"/>
                <w:color w:val="auto"/>
              </w:rPr>
            </w:pPr>
            <w:r>
              <w:rPr>
                <w:rFonts w:ascii="Arial" w:cs="Arial" w:eastAsia="Arial" w:hAnsi="Arial"/>
                <w:sz w:val="32"/>
                <w:szCs w:val="32"/>
                <w:b w:val="1"/>
                <w:bCs w:val="1"/>
                <w:color w:val="auto"/>
              </w:rPr>
              <w:t>Wells Fargo</w:t>
            </w:r>
          </w:p>
        </w:tc>
      </w:tr>
      <w:tr>
        <w:trPr>
          <w:trHeight w:val="348"/>
        </w:trPr>
        <w:tc>
          <w:tcPr>
            <w:tcW w:w="4440" w:type="dxa"/>
            <w:vAlign w:val="bottom"/>
          </w:tcPr>
          <w:p>
            <w:pPr>
              <w:spacing w:after="0"/>
              <w:rPr>
                <w:sz w:val="24"/>
                <w:szCs w:val="24"/>
                <w:color w:val="auto"/>
              </w:rPr>
            </w:pPr>
          </w:p>
        </w:tc>
        <w:tc>
          <w:tcPr>
            <w:tcW w:w="6980" w:type="dxa"/>
            <w:vAlign w:val="bottom"/>
          </w:tcPr>
          <w:p>
            <w:pPr>
              <w:jc w:val="right"/>
              <w:ind w:right="5034"/>
              <w:spacing w:after="0"/>
              <w:rPr>
                <w:sz w:val="20"/>
                <w:szCs w:val="20"/>
                <w:color w:val="auto"/>
              </w:rPr>
            </w:pPr>
            <w:r>
              <w:rPr>
                <w:rFonts w:ascii="Arial" w:cs="Arial" w:eastAsia="Arial" w:hAnsi="Arial"/>
                <w:sz w:val="18"/>
                <w:szCs w:val="18"/>
                <w:i w:val="1"/>
                <w:iCs w:val="1"/>
                <w:color w:val="auto"/>
              </w:rPr>
              <w:t>Co-Managers</w:t>
            </w:r>
          </w:p>
        </w:tc>
      </w:tr>
      <w:tr>
        <w:trPr>
          <w:trHeight w:val="493"/>
        </w:trPr>
        <w:tc>
          <w:tcPr>
            <w:tcW w:w="444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6980" w:type="dxa"/>
            <w:vAlign w:val="bottom"/>
          </w:tcPr>
          <w:p>
            <w:pPr>
              <w:jc w:val="right"/>
              <w:spacing w:after="0"/>
              <w:rPr>
                <w:sz w:val="20"/>
                <w:szCs w:val="20"/>
                <w:color w:val="auto"/>
              </w:rPr>
            </w:pPr>
            <w:r>
              <w:rPr>
                <w:rFonts w:ascii="Arial" w:cs="Arial" w:eastAsia="Arial" w:hAnsi="Arial"/>
                <w:sz w:val="32"/>
                <w:szCs w:val="32"/>
                <w:b w:val="1"/>
                <w:bCs w:val="1"/>
                <w:color w:val="auto"/>
              </w:rPr>
              <w:t>SEB</w:t>
            </w:r>
          </w:p>
        </w:tc>
      </w:tr>
      <w:tr>
        <w:trPr>
          <w:trHeight w:val="392"/>
        </w:trPr>
        <w:tc>
          <w:tcPr>
            <w:tcW w:w="4440" w:type="dxa"/>
            <w:vAlign w:val="bottom"/>
          </w:tcPr>
          <w:p>
            <w:pPr>
              <w:spacing w:after="0"/>
              <w:rPr>
                <w:sz w:val="20"/>
                <w:szCs w:val="20"/>
                <w:color w:val="auto"/>
              </w:rPr>
            </w:pPr>
            <w:r>
              <w:rPr>
                <w:rFonts w:ascii="Arial" w:cs="Arial" w:eastAsia="Arial" w:hAnsi="Arial"/>
                <w:sz w:val="32"/>
                <w:szCs w:val="32"/>
                <w:b w:val="1"/>
                <w:bCs w:val="1"/>
                <w:color w:val="auto"/>
              </w:rPr>
              <w:t>TD Securities</w:t>
            </w:r>
          </w:p>
        </w:tc>
        <w:tc>
          <w:tcPr>
            <w:tcW w:w="6980" w:type="dxa"/>
            <w:vAlign w:val="bottom"/>
          </w:tcPr>
          <w:p>
            <w:pPr>
              <w:jc w:val="right"/>
              <w:spacing w:after="0"/>
              <w:rPr>
                <w:sz w:val="20"/>
                <w:szCs w:val="20"/>
                <w:color w:val="auto"/>
              </w:rPr>
            </w:pPr>
            <w:r>
              <w:rPr>
                <w:rFonts w:ascii="Arial" w:cs="Arial" w:eastAsia="Arial" w:hAnsi="Arial"/>
                <w:sz w:val="32"/>
                <w:szCs w:val="32"/>
                <w:b w:val="1"/>
                <w:bCs w:val="1"/>
                <w:color w:val="auto"/>
              </w:rPr>
              <w:t>HSBC</w:t>
            </w:r>
          </w:p>
        </w:tc>
      </w:tr>
      <w:tr>
        <w:trPr>
          <w:trHeight w:val="429"/>
        </w:trPr>
        <w:tc>
          <w:tcPr>
            <w:tcW w:w="4440" w:type="dxa"/>
            <w:vAlign w:val="bottom"/>
          </w:tcPr>
          <w:p>
            <w:pPr>
              <w:spacing w:after="0"/>
              <w:rPr>
                <w:sz w:val="20"/>
                <w:szCs w:val="20"/>
                <w:color w:val="auto"/>
              </w:rPr>
            </w:pPr>
            <w:r>
              <w:rPr>
                <w:rFonts w:ascii="Arial" w:cs="Arial" w:eastAsia="Arial" w:hAnsi="Arial"/>
                <w:sz w:val="32"/>
                <w:szCs w:val="32"/>
                <w:b w:val="1"/>
                <w:bCs w:val="1"/>
                <w:color w:val="auto"/>
              </w:rPr>
              <w:t>UniCredit Capital Markets</w:t>
            </w:r>
          </w:p>
        </w:tc>
        <w:tc>
          <w:tcPr>
            <w:tcW w:w="6980" w:type="dxa"/>
            <w:vAlign w:val="bottom"/>
          </w:tcPr>
          <w:p>
            <w:pPr>
              <w:jc w:val="right"/>
              <w:spacing w:after="0"/>
              <w:rPr>
                <w:sz w:val="20"/>
                <w:szCs w:val="20"/>
                <w:color w:val="auto"/>
              </w:rPr>
            </w:pPr>
            <w:r>
              <w:rPr>
                <w:rFonts w:ascii="Arial" w:cs="Arial" w:eastAsia="Arial" w:hAnsi="Arial"/>
                <w:sz w:val="32"/>
                <w:szCs w:val="32"/>
                <w:b w:val="1"/>
                <w:bCs w:val="1"/>
                <w:color w:val="auto"/>
              </w:rPr>
              <w:t>BBVA</w:t>
            </w:r>
          </w:p>
        </w:tc>
      </w:tr>
      <w:tr>
        <w:trPr>
          <w:trHeight w:val="334"/>
        </w:trPr>
        <w:tc>
          <w:tcPr>
            <w:tcW w:w="4440" w:type="dxa"/>
            <w:vAlign w:val="bottom"/>
          </w:tcPr>
          <w:p>
            <w:pPr>
              <w:spacing w:after="0"/>
              <w:rPr>
                <w:sz w:val="20"/>
                <w:szCs w:val="20"/>
                <w:color w:val="auto"/>
              </w:rPr>
            </w:pPr>
            <w:r>
              <w:rPr>
                <w:rFonts w:ascii="Arial" w:cs="Arial" w:eastAsia="Arial" w:hAnsi="Arial"/>
                <w:sz w:val="18"/>
                <w:szCs w:val="18"/>
                <w:b w:val="1"/>
                <w:bCs w:val="1"/>
                <w:color w:val="auto"/>
              </w:rPr>
              <w:t>Prospectus Supplement dated March 1, 2016</w:t>
            </w:r>
          </w:p>
        </w:tc>
        <w:tc>
          <w:tcPr>
            <w:tcW w:w="6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363"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Notice to investors</w:t>
        </w:r>
      </w:hyperlink>
    </w:p>
    <w:p>
      <w:pPr>
        <w:spacing w:after="0" w:line="63" w:lineRule="exact"/>
        <w:rPr>
          <w:sz w:val="20"/>
          <w:szCs w:val="20"/>
          <w:color w:val="auto"/>
        </w:rPr>
      </w:pPr>
    </w:p>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Cautionary statement regarding forward-looking statements</w:t>
        </w:r>
      </w:hyperlink>
    </w:p>
    <w:p>
      <w:pPr>
        <w:spacing w:after="0" w:line="86"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supplement summary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Dilution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Capitalization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Dividend policy</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Market price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our ordinary shares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Material United States federal income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Certain Irish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Certain Swiss tax considerations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Underwriting</w:t>
        </w:r>
      </w:hyperlink>
    </w:p>
    <w:p>
      <w:pPr>
        <w:spacing w:after="0" w:line="63" w:lineRule="exact"/>
        <w:rPr>
          <w:sz w:val="20"/>
          <w:szCs w:val="20"/>
          <w:color w:val="auto"/>
        </w:rPr>
      </w:pPr>
    </w:p>
    <w:p>
      <w:pPr>
        <w:ind w:left="4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Conflicts of interest</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Experts</w:t>
        </w:r>
      </w:hyperlink>
    </w:p>
    <w:p>
      <w:pPr>
        <w:spacing w:after="0" w:line="63" w:lineRule="exact"/>
        <w:rPr>
          <w:sz w:val="20"/>
          <w:szCs w:val="20"/>
          <w:color w:val="auto"/>
        </w:rPr>
      </w:pPr>
    </w:p>
    <w:p>
      <w:pPr>
        <w:ind w:right="1640"/>
        <w:spacing w:after="0" w:line="316" w:lineRule="auto"/>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additional information</w:t>
        </w:r>
      </w:hyperlink>
      <w:r>
        <w:rPr>
          <w:rFonts w:ascii="Arial" w:cs="Arial" w:eastAsia="Arial" w:hAnsi="Arial"/>
          <w:sz w:val="18"/>
          <w:szCs w:val="18"/>
          <w:u w:val="single" w:color="auto"/>
          <w:color w:val="0000EE"/>
        </w:rPr>
        <w:t xml:space="preserve"> </w:t>
      </w:r>
      <w:hyperlink w:anchor="page48">
        <w:r>
          <w:rPr>
            <w:rFonts w:ascii="Arial" w:cs="Arial" w:eastAsia="Arial" w:hAnsi="Arial"/>
            <w:sz w:val="18"/>
            <w:szCs w:val="18"/>
            <w:u w:val="single" w:color="auto"/>
            <w:color w:val="0000EE"/>
          </w:rPr>
          <w:t>Incorporation by reference</w:t>
        </w:r>
      </w:hyperlink>
    </w:p>
    <w:p>
      <w:pPr>
        <w:spacing w:after="0"/>
        <w:rPr>
          <w:sz w:val="20"/>
          <w:szCs w:val="20"/>
          <w:color w:val="auto"/>
        </w:rPr>
      </w:pPr>
      <w:r>
        <w:rPr>
          <w:rFonts w:ascii="Arial" w:cs="Arial" w:eastAsia="Arial" w:hAnsi="Arial"/>
          <w:sz w:val="22"/>
          <w:szCs w:val="22"/>
          <w:b w:val="1"/>
          <w:bCs w:val="1"/>
          <w:color w:val="auto"/>
        </w:rPr>
        <w:t>Prospectus</w:t>
      </w:r>
    </w:p>
    <w:p>
      <w:pPr>
        <w:spacing w:after="0" w:line="36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About this prospectus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About us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Where you can find more information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Forward-looking statements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Risk factors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Ratio of earnings to fixed charges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securities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Selling securityholders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Plan of distribution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Legal matters</w:t>
        </w:r>
      </w:hyperlink>
    </w:p>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Experts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-1171575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S-iii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S-iii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S-iv</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S-29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S-36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S-41</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w:t>
      </w:r>
    </w:p>
    <w:p>
      <w:pPr>
        <w:sectPr>
          <w:pgSz w:w="11900" w:h="16838" w:orient="portrait"/>
          <w:cols w:equalWidth="0" w:num="2">
            <w:col w:w="4880" w:space="720"/>
            <w:col w:w="57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265430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You should rely solely on the information contained in this prospectus supplement, the accompanying prospectus, or in any related free writing prospectus issued by us (which we refer to as an “Issuer free writing prospectus”)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contained or incorporated by reference in this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This document contains two parts. The first part consists of this prospectus supplement, which describes the specific terms of this offering. The second part, the accompanying prospectus, provides more general information, some of which may not apply to this offering. </w:t>
      </w:r>
      <w:r>
        <w:rPr>
          <w:rFonts w:ascii="Arial" w:cs="Arial" w:eastAsia="Arial" w:hAnsi="Arial"/>
          <w:sz w:val="18"/>
          <w:szCs w:val="18"/>
          <w:b w:val="1"/>
          <w:bCs w:val="1"/>
          <w:color w:val="auto"/>
        </w:rPr>
        <w:t>If the description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offering varies between this prospectus supplement and the accompanying prospectus, you should rely on the information in this prospectus supplement.</w:t>
      </w:r>
    </w:p>
    <w:p>
      <w:pPr>
        <w:spacing w:after="0" w:line="1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Notice to investors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is not a prospectus within the meaning of the Irish Companies Act, the Prospectus (Directive 2003/71/EC) Regulations 2005 of Ireland (as amended) or the Prospectus Rules issued by the Central Bank of Ireland. No offer of shares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Capital Instruments) Regulations 2007 of Ireland (as amended) or the Markets in Financial Instruments Directive (2004/39/EC). Weatherford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Cautionary statement regarding forward-looking statements</w:t>
      </w:r>
    </w:p>
    <w:p>
      <w:pPr>
        <w:spacing w:after="0" w:line="15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information in this prospectus supplement and the accompanying prospectus, including in the documents incorporated by reference herein and therein,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93" w:lineRule="exact"/>
        <w:rPr>
          <w:sz w:val="20"/>
          <w:szCs w:val="20"/>
          <w:color w:val="auto"/>
        </w:rPr>
      </w:pPr>
    </w:p>
    <w:p>
      <w:pPr>
        <w:ind w:left="220" w:right="68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prolonged decline in the price of these commodities on our financial condition and results of operations;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level of indebtedness and our ability to service our indebtedness;</w:t>
      </w:r>
    </w:p>
    <w:p>
      <w:pPr>
        <w:spacing w:after="0" w:line="117"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40" w:lineRule="exact"/>
        <w:rPr>
          <w:rFonts w:ascii="Arial" w:cs="Arial" w:eastAsia="Arial" w:hAnsi="Arial"/>
          <w:sz w:val="16"/>
          <w:szCs w:val="16"/>
          <w:color w:val="auto"/>
        </w:rPr>
      </w:pPr>
    </w:p>
    <w:p>
      <w:pPr>
        <w:ind w:left="220" w:right="28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2014, 2015 and 2016 cost reduction plans;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17" w:lineRule="exact"/>
        <w:rPr>
          <w:rFonts w:ascii="Arial" w:cs="Arial" w:eastAsia="Arial" w:hAnsi="Arial"/>
          <w:sz w:val="18"/>
          <w:szCs w:val="18"/>
          <w:color w:val="auto"/>
        </w:rPr>
      </w:pPr>
    </w:p>
    <w:p>
      <w:pPr>
        <w:ind w:left="220" w:right="80" w:hanging="212"/>
        <w:spacing w:after="0" w:line="23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charges arising out of the U.S. Securities and Exchange Commission (“SEC”) and Department of Justice investigation into the circumstances surrounding the prior material weakness in our internal controls over financial reporting for income taxes and the restatements of our historical financial statements in 2011 and 2012;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2014 redomestication from Switzerland to Ireland and to maintain our Swiss tax residency;</w:t>
      </w:r>
    </w:p>
    <w:p>
      <w:pPr>
        <w:spacing w:after="0" w:line="140" w:lineRule="exact"/>
        <w:rPr>
          <w:rFonts w:ascii="Arial" w:cs="Arial" w:eastAsia="Arial" w:hAnsi="Arial"/>
          <w:sz w:val="16"/>
          <w:szCs w:val="16"/>
          <w:color w:val="auto"/>
        </w:rPr>
      </w:pPr>
    </w:p>
    <w:p>
      <w:pPr>
        <w:ind w:left="220" w:right="120" w:hanging="212"/>
        <w:spacing w:after="0" w:line="23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48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64871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Prospectus supplement summary</w:t>
      </w:r>
    </w:p>
    <w:p>
      <w:pPr>
        <w:spacing w:after="0" w:line="14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incorporated by reference in this prospectus supplement and the accompanying prospectus. Please read “Risk Factors” and “Cautionary Statement Regarding Forward-Looking Statements” in this prospectus supplement and “Risk Factors” in our Annual Report on Form 10-K for the year ended December 31, 2015 and similar sections in any subsequent Exchange Act reports that we incorporate by reference in this prospectus supplement and the accompanying prospectus for more information about important risks that you should consider before investing in the ordinary shares.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200" w:right="100"/>
        <w:spacing w:after="0" w:line="275" w:lineRule="auto"/>
        <w:rPr>
          <w:sz w:val="20"/>
          <w:szCs w:val="20"/>
          <w:color w:val="auto"/>
        </w:rPr>
      </w:pPr>
      <w:r>
        <w:rPr>
          <w:rFonts w:ascii="Arial" w:cs="Arial" w:eastAsia="Arial" w:hAnsi="Arial"/>
          <w:sz w:val="16"/>
          <w:szCs w:val="16"/>
          <w:color w:val="auto"/>
        </w:rPr>
        <w:t>Weatherford International plc, an Irish public limited company, together with its subsidiaries as the context requires (“Weatherford,” the “Company,” “we,” “us” and “our”), is a multinational oilfield service company. Weatherford is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75" w:lineRule="exact"/>
        <w:rPr>
          <w:sz w:val="20"/>
          <w:szCs w:val="20"/>
          <w:color w:val="auto"/>
        </w:rPr>
      </w:pPr>
    </w:p>
    <w:p>
      <w:pPr>
        <w:jc w:val="both"/>
        <w:ind w:left="200" w:right="240"/>
        <w:spacing w:after="0" w:line="238"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w:t>
      </w: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plc.</w:t>
      </w:r>
    </w:p>
    <w:p>
      <w:pPr>
        <w:spacing w:after="0" w:line="13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Ordinary shares offered by us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100,000,000 ordinary shares.</w:t>
      </w:r>
    </w:p>
    <w:p>
      <w:pPr>
        <w:spacing w:after="0" w:line="132" w:lineRule="exact"/>
        <w:rPr>
          <w:sz w:val="20"/>
          <w:szCs w:val="20"/>
          <w:color w:val="auto"/>
        </w:rPr>
      </w:pPr>
    </w:p>
    <w:p>
      <w:pPr>
        <w:sectPr>
          <w:pgSz w:w="11900" w:h="16838" w:orient="portrait"/>
          <w:cols w:equalWidth="0" w:num="2">
            <w:col w:w="2700" w:space="480"/>
            <w:col w:w="8060"/>
          </w:cols>
          <w:pgMar w:left="240" w:top="459" w:right="419" w:bottom="1440" w:gutter="0" w:footer="0" w:header="0"/>
          <w:type w:val="continuous"/>
        </w:sectPr>
      </w:pPr>
    </w:p>
    <w:p>
      <w:pPr>
        <w:ind w:left="200"/>
        <w:spacing w:after="0" w:line="264" w:lineRule="auto"/>
        <w:rPr>
          <w:sz w:val="20"/>
          <w:szCs w:val="20"/>
          <w:color w:val="auto"/>
        </w:rPr>
      </w:pPr>
      <w:r>
        <w:rPr>
          <w:rFonts w:ascii="Arial" w:cs="Arial" w:eastAsia="Arial" w:hAnsi="Arial"/>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 30-day option to purchase 15,000,000 ordinary shares.</w:t>
      </w:r>
    </w:p>
    <w:p>
      <w:pPr>
        <w:spacing w:after="0" w:line="334" w:lineRule="exact"/>
        <w:rPr>
          <w:sz w:val="20"/>
          <w:szCs w:val="20"/>
          <w:color w:val="auto"/>
        </w:rPr>
      </w:pPr>
    </w:p>
    <w:p>
      <w:pPr>
        <w:sectPr>
          <w:pgSz w:w="11900" w:h="16838" w:orient="portrait"/>
          <w:cols w:equalWidth="0" w:num="2">
            <w:col w:w="2680" w:space="500"/>
            <w:col w:w="8060"/>
          </w:cols>
          <w:pgMar w:left="240" w:top="459" w:right="419" w:bottom="1440" w:gutter="0" w:footer="0" w:header="0"/>
          <w:type w:val="continuous"/>
        </w:sectPr>
      </w:pPr>
    </w:p>
    <w:p>
      <w:pPr>
        <w:ind w:left="200"/>
        <w:spacing w:after="0" w:line="264" w:lineRule="auto"/>
        <w:rPr>
          <w:sz w:val="20"/>
          <w:szCs w:val="20"/>
          <w:color w:val="auto"/>
        </w:rPr>
      </w:pPr>
      <w:r>
        <w:rPr>
          <w:rFonts w:ascii="Arial" w:cs="Arial" w:eastAsia="Arial" w:hAnsi="Arial"/>
          <w:sz w:val="18"/>
          <w:szCs w:val="18"/>
          <w:b w:val="1"/>
          <w:bCs w:val="1"/>
          <w:color w:val="auto"/>
        </w:rPr>
        <w:t>Ordinary shares outstanding after this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879,537,744 ordinary shares (894,537,744 ordinary shares if the underwriters exercise their option to purchase additional ordinary shares in full).</w:t>
      </w:r>
      <w:r>
        <w:rPr>
          <w:rFonts w:ascii="Arial" w:cs="Arial" w:eastAsia="Arial" w:hAnsi="Arial"/>
          <w:sz w:val="11"/>
          <w:szCs w:val="11"/>
          <w:color w:val="auto"/>
        </w:rPr>
        <w:t>1</w:t>
      </w:r>
    </w:p>
    <w:p>
      <w:pPr>
        <w:spacing w:after="0" w:line="106" w:lineRule="exact"/>
        <w:rPr>
          <w:sz w:val="20"/>
          <w:szCs w:val="20"/>
          <w:color w:val="auto"/>
        </w:rPr>
      </w:pPr>
    </w:p>
    <w:p>
      <w:pPr>
        <w:sectPr>
          <w:pgSz w:w="11900" w:h="16838" w:orient="portrait"/>
          <w:cols w:equalWidth="0" w:num="2">
            <w:col w:w="3020" w:space="16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Use of proceeds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intend to use the net proceeds from this offering for general corporate purposes, including the repayment of existing indebtedness. See “Use of Proceeds.”</w:t>
      </w:r>
    </w:p>
    <w:p>
      <w:pPr>
        <w:spacing w:after="0" w:line="9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do not currently pay, and do not anticipate paying in the future, any cash dividends on our ordinary shares. Please read “Dividend Policy” in this prospectus supplement.</w:t>
      </w:r>
    </w:p>
    <w:p>
      <w:pPr>
        <w:spacing w:after="0" w:line="9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Investing in our ordinary shares involves risks. Before deciding to invest in our ordinary shares, you should carefully read and consider the information set forth in the “Risk Factors” and “Cautionary Statement Regarding Forward-Looking Statements” sections of this prospectus supplement and the “Risk Factors” section of our Annual Report on Form 10-K, and all other information set forth in, or incorporated by reference into, this prospectus supplement.</w:t>
      </w:r>
    </w:p>
    <w:p>
      <w:pPr>
        <w:spacing w:after="0" w:line="95"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Our ordinary shares are listed on the NYSE under the symbol “WFT.”</w:t>
      </w:r>
    </w:p>
    <w:p>
      <w:pPr>
        <w:spacing w:after="0" w:line="132"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Conflicts of interest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Because affiliates of J.P. Morgan Securities LLC and Morgan Stanley &amp; Co. LLC are lenders under our revolving credit facility and will receive more than 5% of the net proceeds of this offering due to the repayment of a portion of the revolving credit facility by us, J.P. Morgan Securities LLC and Morgan Stanley &amp; Co. LLC are deemed to have a “conflict of interest” under Rule 5121 (“Rule 5121”) of the Financial Industry Regulatory Authority, Inc. (“FINRA”) Rules. Accordingly, this offering is being made in compliance with the requirements of Rule 5121. The appointment of a “qualified independent underwriter” is not required in connection with this offering as a “bona fide public market,” as defined in Rule 5121, exists for our ordinary shares. See “Use of Proceeds” and “Underwriting.”</w:t>
      </w:r>
    </w:p>
    <w:p>
      <w:pPr>
        <w:spacing w:after="0" w:line="119" w:lineRule="exact"/>
        <w:rPr>
          <w:sz w:val="20"/>
          <w:szCs w:val="20"/>
          <w:color w:val="auto"/>
        </w:rPr>
      </w:pPr>
    </w:p>
    <w:p>
      <w:pPr>
        <w:sectPr>
          <w:pgSz w:w="11900" w:h="16838" w:orient="portrait"/>
          <w:cols w:equalWidth="0" w:num="2">
            <w:col w:w="2460" w:space="720"/>
            <w:col w:w="8060"/>
          </w:cols>
          <w:pgMar w:left="240" w:top="459" w:right="419" w:bottom="1440" w:gutter="0" w:footer="0" w:header="0"/>
          <w:type w:val="continuous"/>
        </w:sectPr>
      </w:pPr>
    </w:p>
    <w:p>
      <w:pPr>
        <w:ind w:left="620" w:hanging="423"/>
        <w:spacing w:after="0" w:line="23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ordinary shares to be outstanding after this offering is based on 779,537,744 shares outstanding as of February 19, 2016, and excludes:</w:t>
      </w:r>
    </w:p>
    <w:p>
      <w:pPr>
        <w:spacing w:after="0" w:line="92" w:lineRule="exact"/>
        <w:rPr>
          <w:rFonts w:ascii="Arial" w:cs="Arial" w:eastAsia="Arial" w:hAnsi="Arial"/>
          <w:sz w:val="18"/>
          <w:szCs w:val="18"/>
          <w:color w:val="auto"/>
        </w:rPr>
      </w:pPr>
    </w:p>
    <w:p>
      <w:pPr>
        <w:ind w:left="840" w:right="600" w:hanging="211"/>
        <w:spacing w:after="0" w:line="264" w:lineRule="auto"/>
        <w:tabs>
          <w:tab w:leader="none" w:pos="84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2,491,360 ordinary shares issuable upon the exercise of outstanding and vested stock options, at a weighted average exercise price of $14.69 per ordinary share;</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93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693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40" w:right="260" w:hanging="211"/>
        <w:spacing w:after="0" w:line="264"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13,407,223 ordinary shares subject to restricted share units outstanding, at a weighted average grant date fair value of $11.87;</w:t>
      </w:r>
    </w:p>
    <w:p>
      <w:pPr>
        <w:spacing w:after="0" w:line="71" w:lineRule="exact"/>
        <w:rPr>
          <w:rFonts w:ascii="Arial" w:cs="Arial" w:eastAsia="Arial" w:hAnsi="Arial"/>
          <w:sz w:val="18"/>
          <w:szCs w:val="18"/>
          <w:b w:val="1"/>
          <w:bCs w:val="1"/>
          <w:color w:val="auto"/>
        </w:rPr>
      </w:pPr>
    </w:p>
    <w:p>
      <w:pPr>
        <w:ind w:left="840" w:right="60" w:hanging="211"/>
        <w:spacing w:after="0" w:line="264"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1,355,415 ordinary shares subject to 2015 and prior performance units outstanding, at a weighted average grant date fair value of $12.28;</w:t>
      </w:r>
    </w:p>
    <w:p>
      <w:pPr>
        <w:spacing w:after="0" w:line="71" w:lineRule="exact"/>
        <w:rPr>
          <w:rFonts w:ascii="Arial" w:cs="Arial" w:eastAsia="Arial" w:hAnsi="Arial"/>
          <w:sz w:val="18"/>
          <w:szCs w:val="18"/>
          <w:b w:val="1"/>
          <w:bCs w:val="1"/>
          <w:color w:val="auto"/>
        </w:rPr>
      </w:pPr>
    </w:p>
    <w:p>
      <w:pPr>
        <w:ind w:left="840" w:right="20" w:hanging="211"/>
        <w:spacing w:after="0" w:line="264"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2,112,279 ordinary shares subject to 2016 performance units outstanding, at a weighted average grant date close price of $6.19; and</w:t>
      </w:r>
    </w:p>
    <w:p>
      <w:pPr>
        <w:spacing w:after="0" w:line="71" w:lineRule="exact"/>
        <w:rPr>
          <w:rFonts w:ascii="Arial" w:cs="Arial" w:eastAsia="Arial" w:hAnsi="Arial"/>
          <w:sz w:val="18"/>
          <w:szCs w:val="18"/>
          <w:b w:val="1"/>
          <w:bCs w:val="1"/>
          <w:color w:val="auto"/>
        </w:rPr>
      </w:pPr>
    </w:p>
    <w:p>
      <w:pPr>
        <w:ind w:left="840" w:hanging="211"/>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13,730,435 ordinary shares reserved for future issuance under equity incentive plans.</w:t>
      </w:r>
    </w:p>
    <w:p>
      <w:pPr>
        <w:spacing w:after="0" w:line="126" w:lineRule="exact"/>
        <w:rPr>
          <w:sz w:val="20"/>
          <w:szCs w:val="20"/>
          <w:color w:val="auto"/>
        </w:rPr>
      </w:pPr>
    </w:p>
    <w:p>
      <w:pPr>
        <w:ind w:left="640"/>
        <w:spacing w:after="0" w:line="239" w:lineRule="auto"/>
        <w:rPr>
          <w:sz w:val="20"/>
          <w:szCs w:val="20"/>
          <w:color w:val="auto"/>
        </w:rPr>
      </w:pPr>
      <w:r>
        <w:rPr>
          <w:rFonts w:ascii="Arial" w:cs="Arial" w:eastAsia="Arial" w:hAnsi="Arial"/>
          <w:sz w:val="18"/>
          <w:szCs w:val="18"/>
          <w:color w:val="auto"/>
        </w:rPr>
        <w:t>Unless we specifically state otherwise, all information in this prospectus supplement assumes no exercise by the underwriters of their option to purchase up to 15,000,000 additional ordinary shares in this offering.</w:t>
      </w:r>
    </w:p>
    <w:p>
      <w:pPr>
        <w:spacing w:after="0" w:line="31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our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ordinary shares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12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trading price of our ordinary shares has historically fluctuated significantly. For example, in 2014, the high closing price per ordinary share on the NYSE was $24.06; in 2016, the low closing price per share was $5.61; and on March 1, 2016, the last reported sale price of our ordinary shares on the NYSE was $6.19 per share. The price of our ordinary shares could be subject to wide fluctuations in the future in response to many events or factors, including those discussed in this risk factors section, as well as:</w:t>
      </w:r>
    </w:p>
    <w:p>
      <w:pPr>
        <w:spacing w:after="0" w:line="114"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04"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12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of February 19, 2016, we had 779,537,744 ordinary shares issued and outstanding. As of February 19, 2016, 2,491,360 ordinary shares were authorized for issuance upon exercise of stock options (of which 14,800 were exercisable), 13,407,223 ordinary shares were authorized for issuance upon the vesting of restricted stock units and 3,467,694 ordinary shares were authorized for issuance upon the vesting of performance share units. The issuance of the ordinary shares offered hereby and the sale of additional shares that may become eligible for sale in the public market from time to time, could have the effect of depressing the market price for our ordinary shares.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service debt.</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10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ordinary shares.</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01"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Weatherford International plc has never declared or paid cash dividends on its share capital and it does not expect to pay any cash dividends in the near future.</w:t>
      </w:r>
    </w:p>
    <w:p>
      <w:pPr>
        <w:spacing w:after="0" w:line="8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 payments, share repurchases and redemptions be funded from “distributable reserves.” See “Description of Our Ordinary Shares—Dividends.” Any future determination as to the payment of dividends will, subject to Irish 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ordinary shares may be subject to Swiss transfer stamp duty.</w:t>
      </w:r>
    </w:p>
    <w:p>
      <w:pPr>
        <w:spacing w:after="0" w:line="12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certain circumstances, the transfer of shares in an Irish incorporated, but Swiss tax resident company, will be subject to Swiss transfer stamp duty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as defined in the Swiss Federal Stamp Duty Act, then no Swiss stamp tax will be due.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Weatherford International plc may be subject to Swiss dividend withholding tax.</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certain circumstances, as a Swiss tax resident company, Weatherford International plc will be required to deduct Swiss dividend withholding tax (currently at the rate of 35%) from dividends (including deemed dividends) and similar distributions paid to Weatherford International plc’s shareholders. Such Swiss withholding tax is due regardless of the place of residency of the shareholder. Shareholders that are resident in the United States, EU countries and other countries with which Switzerland has signed a tax treaty may be entitled to a partial or full refund of the Swiss withholding tax. Swiss withholding tax could adversely affect the price of ordinary shares.</w:t>
      </w:r>
    </w:p>
    <w:p>
      <w:pPr>
        <w:spacing w:after="0" w:line="8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U.S. persons that own, or are deemed to own, 10% or more of our shares may be subject to U.S. federal income taxation under the CFC rules and may also subject the Company to increased taxation. The potential for shareholders to be taxed under the CFC rules may impact demand for our shares.</w:t>
      </w:r>
    </w:p>
    <w:p>
      <w:pPr>
        <w:spacing w:after="0" w:line="94"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Currently, certain of our subsidiary corporations are not considered controlled foreign corporations (“CFCs”) because they are less than 50% owned by our U.S. group of subsidiaries and other 10% or greater 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shareholders. However, there is a risk that if a U.S. shareholder holds 10% or more of our shares, directly, indirectly, constructively or by attribution, that some of our subsidiaries could be classified as CFCs for U.S. federal income tax purposes. If one or more of our subsidiaries is classified as a CFC, any shareholder that is a U.S. person that owns, directly or indirectly, constructively or by attribution, 10% or more of our outstanding shares, as well as the Company, may be subject to U.S. income taxation at ordinary income tax rates on all or a portion of the CFC’s undistributed earnings and profits attributable to “subpart F income.” The CFC rules are complex and U.S. persons that hold our shares are urged to consult their own tax advisors regarding the possible application of the CFC rules to them in their particular circumstances. The risk of being subject to increased taxation may deter our current shareholders from acquiring additional ordinary shares or new shareholders from establishing a position in our ordinary shares. Either of these scenarios could impact the demand for, and value of, our shares.</w:t>
      </w:r>
    </w:p>
    <w:p>
      <w:pPr>
        <w:spacing w:after="0" w:line="8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Each purchaser in this offering will experience immediate and substantial dilution in the net tangible book value per ordinary share it purchases in this offering.</w:t>
      </w:r>
    </w:p>
    <w:p>
      <w:pPr>
        <w:spacing w:after="0" w:line="8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Since the public offering price per ordinary share being offered is substantially higher than the net tangible book value per ordinary share outstanding prior to this offering, the purchasers in this offering will suffer substantial dilution in the net tangible book value of the ordinary shares they purchase in this offering. Based on the public offering price of $5.65 per ordinary share, the purchasers will suffer immediate and substantial dilution of $3.65 per ordinary share, representing the difference in the as adjusted net tangible book value per ordinary share as of December 31, 2015 after giving effect to this offering. See the section entitled “Dilution” below for a more detailed discussion of the dilution the purchasers will incur if they purchase our securities in this offering.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purchasers in this offering may experience future dilution.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may not be the same as the price per ordinary share in this offering. We have an effective shelf registration statement from which additional ordinary shares and other securities can be offered. We cannot assure you that we will be able to sell ordinary shares or other securities in any other offering at a price per share that is equal to or greater than the price per ordinary share paid by investors in this offering. If the price per ordinary share at which we sell additional ordinary shares or related securities in future transactions is less than the price per ordinary share in this offering, investors who purchase our ordinary shares in this offering will suffer a dilution of their investment. You will incur dilution upon vesting of any outstanding restricted share awards, restricted share units or performance units or upon exercise of any outstanding stock options.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intend to use the net proceeds from this offering for general corporate purposes, including the repayment of existing indebtedness.</w:t>
      </w:r>
    </w:p>
    <w:p>
      <w:pPr>
        <w:spacing w:after="0" w:line="10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of December 31, 2015, we had approximately $967 million of borrowings outstanding under our $2.25 billion revolving credit facility, which is due on July 13, 2017. On February 1, 2016 we amended our revolving credit agreement and reduced the limit of borrowings to $2 billion. Interest on our revolving credit facility currently accrues at the London Interbank Offered Rate plus 1.925%. The weighted average interest rate on the amounts outstanding under our revolving credit facility as of December 31, 2015 was 2.86%. The proceeds from these borrowings were used for working capital and general corporate purposes.</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affiliates of J.P. Morgan Securities LLC and Morgan Stanley &amp; Co. LLC are lenders under our revolving credit facility and will receive more than 5% of the net proceeds of this offering due to the repayment of a portion of the revolving credit facility by us, J.P. Morgan Securities LLC and Morgan Stanley &amp; Co. LLC are deemed to have a “conflict of interest” under Rule 5121 (“Rule 5121”) of the Financial Industry Regulatory Authority, Inc. (“FINRA”) Rules. Accordingly, this offering is being made in compliance with the requirements of Rule 5121. The appointment of a “qualified independent underwriter” is not required in connection with this offering as a “bona fide public market,” as defined in Rule 5121, exists for our ordinary shares. See “Underwriting.”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Purchasers of our ordinary shares in this offering will suffer an immediate and substantial dilution in net tangible book value per ordinary share. Net tangible book value per share represents our total tangible assets (which excludes goodwill and other intangible assets), less our total liabilities, divided by the aggregate number of ordinary shares outstanding. Our net tangible book value as of December 31, 2015 was approximately $1.2 billion, or approximately $1.55 per outstanding ordinary share.</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After giving effect to the sale of the maximum number of ordinary shares offered hereby as set forth on the cover page of this prospectus supplement, and after deducting the underwriter’s fees and the estimated offering expenses payable by us, our as adjusted net tangible book value as of December 31, 2015 would have been approximately $1.75 billion, or $2.00 per ordinary share. This amount represents an immediate increase in net tangible book value of $0.45 per ordinary share as a result of this offering. The following table illustrates this increase in our net tangible book value per ordinary share: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Public offering price per ordinary share</w:t>
            </w:r>
          </w:p>
        </w:tc>
        <w:tc>
          <w:tcPr>
            <w:tcW w:w="2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$ 5.65</w:t>
            </w: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as of December 31, 2015</w:t>
            </w:r>
          </w:p>
        </w:tc>
        <w:tc>
          <w:tcPr>
            <w:tcW w:w="2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w:t>
            </w: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2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0.45</w:t>
            </w:r>
          </w:p>
        </w:tc>
      </w:tr>
      <w:tr>
        <w:trPr>
          <w:trHeight w:val="203"/>
        </w:trPr>
        <w:tc>
          <w:tcPr>
            <w:tcW w:w="9380" w:type="dxa"/>
            <w:vAlign w:val="bottom"/>
          </w:tcPr>
          <w:p>
            <w:pPr>
              <w:spacing w:after="0" w:line="202" w:lineRule="exact"/>
              <w:rPr>
                <w:sz w:val="20"/>
                <w:szCs w:val="20"/>
                <w:color w:val="auto"/>
              </w:rPr>
            </w:pPr>
            <w:r>
              <w:rPr>
                <w:rFonts w:ascii="Arial" w:cs="Arial" w:eastAsia="Arial" w:hAnsi="Arial"/>
                <w:sz w:val="18"/>
                <w:szCs w:val="18"/>
                <w:color w:val="auto"/>
              </w:rPr>
              <w:t>Adjusted net tangible book value per share as of December 31, 2015 after giving effect to this offering</w:t>
            </w:r>
          </w:p>
        </w:tc>
        <w:tc>
          <w:tcPr>
            <w:tcW w:w="2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2.00</w:t>
            </w:r>
          </w:p>
        </w:tc>
      </w:tr>
      <w:tr>
        <w:trPr>
          <w:trHeight w:val="203"/>
        </w:trPr>
        <w:tc>
          <w:tcPr>
            <w:tcW w:w="9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2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3.65</w:t>
            </w:r>
          </w:p>
        </w:tc>
      </w:tr>
      <w:tr>
        <w:trPr>
          <w:trHeight w:val="20"/>
        </w:trPr>
        <w:tc>
          <w:tcPr>
            <w:tcW w:w="9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amounts above are based on 779,158,216 ordinary shares outstanding as of December 31, 2015. The information above excludes, as of that date, the following:</w:t>
      </w:r>
    </w:p>
    <w:p>
      <w:pPr>
        <w:spacing w:after="0" w:line="114" w:lineRule="exact"/>
        <w:rPr>
          <w:sz w:val="20"/>
          <w:szCs w:val="20"/>
          <w:color w:val="auto"/>
        </w:rPr>
      </w:pPr>
    </w:p>
    <w:p>
      <w:pPr>
        <w:ind w:left="220" w:right="160" w:hanging="212"/>
        <w:spacing w:after="0" w:line="23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2,503,000 ordinary shares issuable upon the exercise of outstanding and vested stock options, at a weighted average exercise price of $14.67 per ordinary share;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11,964,000 ordinary shares subject to restricted share units outstanding, at a weighted average grant date fair value of $12.94;</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2,857,000 ordinary shares subject to performance units outstanding, at a weighted average grant date fair value of $11.17;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16,975,000 ordinary shares reserved for future issuance under equity incentive plans.</w:t>
      </w:r>
    </w:p>
    <w:p>
      <w:pPr>
        <w:spacing w:after="0" w:line="1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To the extent that any of these options, restricted share awards, restricted share units or performance units are exercised or become vested, as applicable, these issuances will cause dilution to the investors purchasing ordinary shares in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2015:</w:t>
      </w:r>
    </w:p>
    <w:p>
      <w:pPr>
        <w:spacing w:after="0" w:line="11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adjusted to give effect to the issuance and sale of the ordinary shares after deducting fees payable to the underwriters and to give effect to our use of net proceeds as if such had occurred on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0" w:type="dxa"/>
            <w:vAlign w:val="bottom"/>
          </w:tcPr>
          <w:p>
            <w:pPr>
              <w:spacing w:after="0"/>
              <w:rPr>
                <w:sz w:val="19"/>
                <w:szCs w:val="19"/>
                <w:color w:val="auto"/>
              </w:rPr>
            </w:pPr>
          </w:p>
        </w:tc>
        <w:tc>
          <w:tcPr>
            <w:tcW w:w="22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December 31, 2015</w:t>
            </w:r>
          </w:p>
        </w:tc>
      </w:tr>
      <w:tr>
        <w:trPr>
          <w:trHeight w:val="177"/>
        </w:trPr>
        <w:tc>
          <w:tcPr>
            <w:tcW w:w="92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As</w:t>
            </w:r>
          </w:p>
        </w:tc>
        <w:tc>
          <w:tcPr>
            <w:tcW w:w="100" w:type="dxa"/>
            <w:vAlign w:val="bottom"/>
          </w:tcPr>
          <w:p>
            <w:pPr>
              <w:spacing w:after="0"/>
              <w:rPr>
                <w:sz w:val="15"/>
                <w:szCs w:val="15"/>
                <w:color w:val="auto"/>
              </w:rPr>
            </w:pPr>
          </w:p>
        </w:tc>
      </w:tr>
      <w:tr>
        <w:trPr>
          <w:trHeight w:val="221"/>
        </w:trPr>
        <w:tc>
          <w:tcPr>
            <w:tcW w:w="9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Actual</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7"/>
              </w:rPr>
              <w:t>adjusted</w:t>
            </w:r>
          </w:p>
        </w:tc>
      </w:tr>
      <w:tr>
        <w:trPr>
          <w:trHeight w:val="177"/>
        </w:trPr>
        <w:tc>
          <w:tcPr>
            <w:tcW w:w="9200" w:type="dxa"/>
            <w:vAlign w:val="bottom"/>
          </w:tcPr>
          <w:p>
            <w:pPr>
              <w:spacing w:after="0"/>
              <w:rPr>
                <w:sz w:val="15"/>
                <w:szCs w:val="15"/>
                <w:color w:val="auto"/>
              </w:rPr>
            </w:pPr>
          </w:p>
        </w:tc>
        <w:tc>
          <w:tcPr>
            <w:tcW w:w="2220" w:type="dxa"/>
            <w:vAlign w:val="bottom"/>
            <w:gridSpan w:val="6"/>
          </w:tcPr>
          <w:p>
            <w:pPr>
              <w:jc w:val="right"/>
              <w:ind w:right="100"/>
              <w:spacing w:after="0" w:line="177" w:lineRule="exact"/>
              <w:rPr>
                <w:sz w:val="20"/>
                <w:szCs w:val="20"/>
                <w:color w:val="auto"/>
              </w:rPr>
            </w:pPr>
            <w:r>
              <w:rPr>
                <w:rFonts w:ascii="Arial" w:cs="Arial" w:eastAsia="Arial" w:hAnsi="Arial"/>
                <w:sz w:val="18"/>
                <w:szCs w:val="18"/>
                <w:b w:val="1"/>
                <w:bCs w:val="1"/>
                <w:color w:val="auto"/>
              </w:rPr>
              <w:t>(In millions, except</w:t>
            </w:r>
          </w:p>
        </w:tc>
      </w:tr>
      <w:tr>
        <w:trPr>
          <w:trHeight w:val="221"/>
        </w:trPr>
        <w:tc>
          <w:tcPr>
            <w:tcW w:w="9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par value)</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   467</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7"/>
                <w:szCs w:val="17"/>
                <w:color w:val="auto"/>
              </w:rPr>
            </w:pPr>
          </w:p>
        </w:tc>
      </w:tr>
      <w:tr>
        <w:trPr>
          <w:trHeight w:val="270"/>
        </w:trPr>
        <w:tc>
          <w:tcPr>
            <w:tcW w:w="920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credit facility(1)</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967</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Other short-term bank loans</w:t>
            </w:r>
          </w:p>
        </w:tc>
        <w:tc>
          <w:tcPr>
            <w:tcW w:w="1000" w:type="dxa"/>
            <w:vAlign w:val="bottom"/>
            <w:tcBorders>
              <w:bottom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214</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short-term borrowings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1,181</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ind w:left="440"/>
              <w:spacing w:after="0" w:line="202" w:lineRule="exact"/>
              <w:rPr>
                <w:sz w:val="20"/>
                <w:szCs w:val="20"/>
                <w:color w:val="auto"/>
              </w:rPr>
            </w:pPr>
            <w:r>
              <w:rPr>
                <w:rFonts w:ascii="Arial" w:cs="Arial" w:eastAsia="Arial" w:hAnsi="Arial"/>
                <w:sz w:val="18"/>
                <w:szCs w:val="18"/>
                <w:color w:val="auto"/>
              </w:rPr>
              <w:t>Current portion of long-term debt</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1,582</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Outstanding Senior Notes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5,776</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5,776</w:t>
            </w: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gridSpan w:val="2"/>
          </w:tcPr>
          <w:p>
            <w:pPr>
              <w:jc w:val="right"/>
              <w:ind w:right="340"/>
              <w:spacing w:after="0" w:line="202" w:lineRule="exact"/>
              <w:rPr>
                <w:sz w:val="20"/>
                <w:szCs w:val="20"/>
                <w:color w:val="auto"/>
              </w:rPr>
            </w:pPr>
            <w:r>
              <w:rPr>
                <w:rFonts w:ascii="Arial" w:cs="Arial" w:eastAsia="Arial" w:hAnsi="Arial"/>
                <w:sz w:val="18"/>
                <w:szCs w:val="18"/>
                <w:color w:val="auto"/>
              </w:rPr>
              <w:t>103</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Long-term debt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5,879</w:t>
            </w:r>
          </w:p>
        </w:tc>
        <w:tc>
          <w:tcPr>
            <w:tcW w:w="3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17"/>
                <w:szCs w:val="17"/>
                <w:color w:val="auto"/>
              </w:rPr>
            </w:pPr>
          </w:p>
        </w:tc>
      </w:tr>
      <w:tr>
        <w:trPr>
          <w:trHeight w:val="210"/>
        </w:trPr>
        <w:tc>
          <w:tcPr>
            <w:tcW w:w="9200" w:type="dxa"/>
            <w:vAlign w:val="bottom"/>
          </w:tcPr>
          <w:p>
            <w:pPr>
              <w:spacing w:after="0"/>
              <w:rPr>
                <w:sz w:val="20"/>
                <w:szCs w:val="20"/>
                <w:color w:val="auto"/>
              </w:rPr>
            </w:pPr>
            <w:r>
              <w:rPr>
                <w:rFonts w:ascii="Arial" w:cs="Arial" w:eastAsia="Arial" w:hAnsi="Arial"/>
                <w:sz w:val="18"/>
                <w:szCs w:val="18"/>
                <w:color w:val="auto"/>
              </w:rPr>
              <w:t>Total indebtedness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18"/>
                <w:szCs w:val="18"/>
                <w:color w:val="auto"/>
              </w:rPr>
            </w:pPr>
          </w:p>
        </w:tc>
      </w:tr>
      <w:tr>
        <w:trPr>
          <w:trHeight w:val="75"/>
        </w:trPr>
        <w:tc>
          <w:tcPr>
            <w:tcW w:w="9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9200" w:type="dxa"/>
            <w:vAlign w:val="bottom"/>
          </w:tcPr>
          <w:p>
            <w:pPr>
              <w:ind w:left="220"/>
              <w:spacing w:after="0" w:line="206" w:lineRule="exact"/>
              <w:rPr>
                <w:sz w:val="20"/>
                <w:szCs w:val="20"/>
                <w:color w:val="auto"/>
              </w:rPr>
            </w:pPr>
            <w:r>
              <w:rPr>
                <w:rFonts w:ascii="Arial" w:cs="Arial" w:eastAsia="Arial" w:hAnsi="Arial"/>
                <w:sz w:val="18"/>
                <w:szCs w:val="18"/>
                <w:color w:val="auto"/>
              </w:rPr>
              <w:t>Ordinary Shares—$0.001 par value; Authorized 1,356 shares, Issued and outstanding 779 shares (actual)</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9200" w:type="dxa"/>
            <w:vAlign w:val="bottom"/>
          </w:tcPr>
          <w:p>
            <w:pPr>
              <w:ind w:left="440"/>
              <w:spacing w:after="0" w:line="200" w:lineRule="exact"/>
              <w:rPr>
                <w:sz w:val="20"/>
                <w:szCs w:val="20"/>
                <w:color w:val="auto"/>
              </w:rPr>
            </w:pPr>
            <w:r>
              <w:rPr>
                <w:rFonts w:ascii="Arial" w:cs="Arial" w:eastAsia="Arial" w:hAnsi="Arial"/>
                <w:sz w:val="18"/>
                <w:szCs w:val="18"/>
                <w:color w:val="auto"/>
              </w:rPr>
              <w:t>and 879 shares (as adjusted);</w:t>
            </w:r>
          </w:p>
        </w:tc>
        <w:tc>
          <w:tcPr>
            <w:tcW w:w="100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w:t>
            </w: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Capital in Excess of Par Value</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5,502</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7"/>
                <w:szCs w:val="17"/>
                <w:color w:val="auto"/>
              </w:rPr>
            </w:pPr>
          </w:p>
        </w:tc>
      </w:tr>
      <w:tr>
        <w:trPr>
          <w:trHeight w:val="203"/>
        </w:trPr>
        <w:tc>
          <w:tcPr>
            <w:tcW w:w="920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442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(1,641)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(1,641)</w:t>
            </w:r>
          </w:p>
        </w:tc>
      </w:tr>
      <w:tr>
        <w:trPr>
          <w:trHeight w:val="210"/>
        </w:trPr>
        <w:tc>
          <w:tcPr>
            <w:tcW w:w="9200" w:type="dxa"/>
            <w:vAlign w:val="bottom"/>
          </w:tcPr>
          <w:p>
            <w:pPr>
              <w:ind w:left="220"/>
              <w:spacing w:after="0"/>
              <w:rPr>
                <w:sz w:val="20"/>
                <w:szCs w:val="20"/>
                <w:color w:val="auto"/>
              </w:rPr>
            </w:pPr>
            <w:r>
              <w:rPr>
                <w:rFonts w:ascii="Arial" w:cs="Arial" w:eastAsia="Arial" w:hAnsi="Arial"/>
                <w:sz w:val="18"/>
                <w:szCs w:val="18"/>
                <w:color w:val="auto"/>
              </w:rPr>
              <w:t>Weatherford Shareholders’ Equity</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Noncontrolling Interests</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61</w:t>
            </w:r>
          </w:p>
        </w:tc>
      </w:tr>
      <w:tr>
        <w:trPr>
          <w:trHeight w:val="217"/>
        </w:trPr>
        <w:tc>
          <w:tcPr>
            <w:tcW w:w="9200" w:type="dxa"/>
            <w:vAlign w:val="bottom"/>
          </w:tcPr>
          <w:p>
            <w:pPr>
              <w:ind w:left="440"/>
              <w:spacing w:after="0"/>
              <w:rPr>
                <w:sz w:val="20"/>
                <w:szCs w:val="20"/>
                <w:color w:val="auto"/>
              </w:rPr>
            </w:pPr>
            <w:r>
              <w:rPr>
                <w:rFonts w:ascii="Arial" w:cs="Arial" w:eastAsia="Arial" w:hAnsi="Arial"/>
                <w:sz w:val="18"/>
                <w:szCs w:val="18"/>
                <w:color w:val="auto"/>
              </w:rPr>
              <w:t>Total Shareholders’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3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18"/>
                <w:szCs w:val="18"/>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11,826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11,826</w:t>
            </w: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40" w:hanging="332"/>
        <w:spacing w:after="0" w:line="26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At December 31, 2015, we had a $2.25 billion unsecured, revolving credit agreement that matures on July 13, 2017. The revolving credit agreement can be used for a combination of borrowings, including support for our former commercial paper program and issuances of letters of credit. This agreement required that we maintain a debt-to-total capitalization ratio of less than 60%, and we were in compliance with this covenant at December 31, 2015. On February 1, 2016, we amended our Credit Agreement and reduced the borrowing limit to $2 billion. The amended Credit Agreement requires that we maintain a debt-to-total capitalization ratio of less than 70% for the quarters ending March 31 and June 30, 2016, and 60% thereafter. At December 31, 2015, we had $1.3 billion available under the Credit Agreement, and there were $16 million in outstanding letters of credit under the revolving credit facility.</w:t>
      </w:r>
    </w:p>
    <w:p>
      <w:pPr>
        <w:spacing w:after="0" w:line="8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which are incorporated by reference in this prospectus supplement.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We have never declared or paid cash dividends on our shares. We intend to retain any future earnings and do not expect to pay any cash dividends in the near future.</w:t>
      </w:r>
    </w:p>
    <w:p>
      <w:pPr>
        <w:spacing w:after="0" w:line="10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future dividend policy is within the discretion of our board of directors and will depend upon then existing conditions, including our results of operations, financial condition, capital requirements, investment opportunities, statutory restrictions on our ability to pay dividends and other factors our board of directors may deem relevant.</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price of our ordinary shares</w:t>
      </w:r>
    </w:p>
    <w:p>
      <w:pPr>
        <w:spacing w:after="0" w:line="158"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Our shares are traded under the symbol “WFT” on the NYSE. As of February 19, 2016, there were 1,925 shareholders of record. The following table sets forth, for the periods indicated, the range of high and low sales prices per share for our ordinary shares as reported on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High</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jc w:val="right"/>
              <w:ind w:right="5972"/>
              <w:spacing w:after="0" w:line="202" w:lineRule="exact"/>
              <w:rPr>
                <w:sz w:val="20"/>
                <w:szCs w:val="20"/>
                <w:color w:val="auto"/>
              </w:rPr>
            </w:pPr>
            <w:r>
              <w:rPr>
                <w:rFonts w:ascii="Arial" w:cs="Arial" w:eastAsia="Arial" w:hAnsi="Arial"/>
                <w:sz w:val="18"/>
                <w:szCs w:val="18"/>
                <w:b w:val="1"/>
                <w:bCs w:val="1"/>
                <w:color w:val="auto"/>
                <w:w w:val="89"/>
              </w:rPr>
              <w:t>2016</w:t>
            </w:r>
          </w:p>
        </w:tc>
        <w:tc>
          <w:tcPr>
            <w:tcW w:w="3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First Quarter (through March 1, 2016)</w:t>
            </w:r>
          </w:p>
        </w:tc>
        <w:tc>
          <w:tcPr>
            <w:tcW w:w="3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8.80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jc w:val="right"/>
              <w:ind w:right="5972"/>
              <w:spacing w:after="0" w:line="202" w:lineRule="exact"/>
              <w:rPr>
                <w:sz w:val="20"/>
                <w:szCs w:val="20"/>
                <w:color w:val="auto"/>
              </w:rPr>
            </w:pPr>
            <w:r>
              <w:rPr>
                <w:rFonts w:ascii="Arial" w:cs="Arial" w:eastAsia="Arial" w:hAnsi="Arial"/>
                <w:sz w:val="18"/>
                <w:szCs w:val="18"/>
                <w:b w:val="1"/>
                <w:bCs w:val="1"/>
                <w:color w:val="auto"/>
                <w:w w:val="89"/>
              </w:rPr>
              <w:t>2015</w:t>
            </w:r>
          </w:p>
        </w:tc>
        <w:tc>
          <w:tcPr>
            <w:tcW w:w="3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13.12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14.91</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12.35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Fourth Quarter</w:t>
            </w:r>
          </w:p>
        </w:tc>
        <w:tc>
          <w:tcPr>
            <w:tcW w:w="3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11.49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0"/>
        </w:trPr>
        <w:tc>
          <w:tcPr>
            <w:tcW w:w="6460" w:type="dxa"/>
            <w:vAlign w:val="bottom"/>
            <w:gridSpan w:val="2"/>
          </w:tcPr>
          <w:p>
            <w:pPr>
              <w:jc w:val="right"/>
              <w:ind w:right="5972"/>
              <w:spacing w:after="0"/>
              <w:rPr>
                <w:sz w:val="20"/>
                <w:szCs w:val="20"/>
                <w:color w:val="auto"/>
              </w:rPr>
            </w:pPr>
            <w:r>
              <w:rPr>
                <w:rFonts w:ascii="Arial" w:cs="Arial" w:eastAsia="Arial" w:hAnsi="Arial"/>
                <w:sz w:val="18"/>
                <w:szCs w:val="18"/>
                <w:b w:val="1"/>
                <w:bCs w:val="1"/>
                <w:color w:val="auto"/>
                <w:w w:val="94"/>
              </w:rPr>
              <w:t>2014</w:t>
            </w:r>
          </w:p>
        </w:tc>
        <w:tc>
          <w:tcPr>
            <w:tcW w:w="3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First Quarter</w:t>
            </w:r>
          </w:p>
        </w:tc>
        <w:tc>
          <w:tcPr>
            <w:tcW w:w="3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17.53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Second Quarter</w:t>
            </w:r>
          </w:p>
        </w:tc>
        <w:tc>
          <w:tcPr>
            <w:tcW w:w="3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23.25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Third Quarter</w:t>
            </w:r>
          </w:p>
        </w:tc>
        <w:tc>
          <w:tcPr>
            <w:tcW w:w="3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7"/>
              </w:rPr>
              <w:t>24.88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Fourth Quarter</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7"/>
              </w:rPr>
              <w:t>20.89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March 1, 2016, the closing price of our ordinary shares was $6.19 per share.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our ordinary shares</w:t>
      </w:r>
    </w:p>
    <w:p>
      <w:pPr>
        <w:spacing w:after="0" w:line="15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Structure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February 19, 2016, our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8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03"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7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0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2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As of February 19, 2016, our issued share capital is $779,537, comprised of 779,537,744 ordinary shares with a nominal value of $0.001 per share.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Preemption Rights, Share Warrants and Options</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115"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17" w:lineRule="exact"/>
        <w:rPr>
          <w:rFonts w:ascii="Arial" w:cs="Arial" w:eastAsia="Arial" w:hAnsi="Arial"/>
          <w:sz w:val="18"/>
          <w:szCs w:val="18"/>
          <w:color w:val="auto"/>
        </w:rPr>
      </w:pPr>
    </w:p>
    <w:p>
      <w:pPr>
        <w:ind w:left="220" w:right="660" w:hanging="212"/>
        <w:spacing w:after="0" w:line="239"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10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0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1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determination as to whether or not we have sufficient distributable profits to fund a dividend must be made by reference to our “relevant entity financial statements.” The “relevant entity financial statements” will be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either the last set of unconsolidated annual audited financial statements or “initial” or “interim” financial statements properly prepared in accordance with the Irish Companies Act, which give a “true and fair view” of our unconsolidated financial position and accord with accepted accounting practice. The relevant entity financial statements are filed in the Companies Registration Office (the official public registry for companies in Ireland).</w:t>
      </w:r>
    </w:p>
    <w:p>
      <w:pPr>
        <w:spacing w:after="0" w:line="70"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directors may deduct from any dividend payable to any shareholder any amounts payable by such shareholder to us in relation to the ordinary shares.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Repurchases, Redemptions and Conversions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4"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12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may also issue redeemable shares and redeem them out of distributable profits or the proceeds of a new issue of shares for that purpose. We may only issue redeemable shares if the nominal value of the issued share capital that is not redeemable is not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our subsidiaries may purchase our ordinary shares on-market on a recognized stock exchange such as NYSE or off-market.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For one of our subsidiaries to make on-market purchases of ordinary shares, our shareholders must provide general authorization for such purchase by way of ordinary resolution. However, as long as this general authority 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7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Lien on Shares, Calls on Shares and Forfeiture of Shares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and Division; Subdivision</w:t>
      </w:r>
    </w:p>
    <w:p>
      <w:pPr>
        <w:spacing w:after="0" w:line="134"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Reduction of Share Capital</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Meetings of Shareholders</w:t>
      </w:r>
    </w:p>
    <w:p>
      <w:pPr>
        <w:spacing w:after="0" w:line="13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00"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Our articles of association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 provided under Irish law, notice of an annual or extraordinary general meeting must be given to all our shareholders and to our auditors.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Extraordinary General Meetings of Shareholders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11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10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0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 for General Meetings</w:t>
      </w:r>
    </w:p>
    <w:p>
      <w:pPr>
        <w:spacing w:after="0" w:line="134"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10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11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17"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14"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shareholder or shareholders holding shares in our capital conferring the right to vote at the meeting being shares on which an aggregate sum has been paid-up equal to not less than one tenth of the total sum paid-up on all the shares conferring that right.</w:t>
      </w:r>
    </w:p>
    <w:p>
      <w:pPr>
        <w:spacing w:after="0" w:line="10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68"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17" w:lineRule="exact"/>
        <w:rPr>
          <w:rFonts w:ascii="Arial" w:cs="Arial" w:eastAsia="Arial" w:hAnsi="Arial"/>
          <w:sz w:val="18"/>
          <w:szCs w:val="18"/>
          <w:color w:val="auto"/>
        </w:rPr>
      </w:pPr>
    </w:p>
    <w:p>
      <w:pPr>
        <w:ind w:left="220" w:right="20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Variation of Rights Attaching to a Class or Series of Shares</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shareholders have the right to:</w:t>
      </w:r>
    </w:p>
    <w:p>
      <w:pPr>
        <w:spacing w:after="0" w:line="117"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17"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114"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114" w:lineRule="exact"/>
        <w:rPr>
          <w:rFonts w:ascii="Arial" w:cs="Arial" w:eastAsia="Arial" w:hAnsi="Arial"/>
          <w:sz w:val="18"/>
          <w:szCs w:val="18"/>
          <w:color w:val="auto"/>
        </w:rPr>
      </w:pPr>
    </w:p>
    <w:p>
      <w:pPr>
        <w:ind w:left="220" w:right="44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134" w:lineRule="exact"/>
        <w:rPr>
          <w:sz w:val="20"/>
          <w:szCs w:val="20"/>
          <w:color w:val="auto"/>
        </w:rPr>
      </w:pPr>
    </w:p>
    <w:p>
      <w:pPr>
        <w:jc w:val="both"/>
        <w:ind w:right="40"/>
        <w:spacing w:after="0" w:line="299"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7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7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00"/>
        <w:spacing w:after="0" w:line="299"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Appraisal Rights</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10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0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of Interests in Shares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0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0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including particulars of such person’s own past or present interests in the shares. Any information given in response to the notice is required to be given in writing within such reasonable time as we may specify in the notice.</w:t>
      </w:r>
    </w:p>
    <w:p>
      <w:pPr>
        <w:spacing w:after="0" w:line="10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114" w:lineRule="exact"/>
        <w:rPr>
          <w:sz w:val="20"/>
          <w:szCs w:val="20"/>
          <w:color w:val="auto"/>
        </w:rPr>
      </w:pPr>
    </w:p>
    <w:p>
      <w:pPr>
        <w:ind w:left="220" w:right="10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on those shares, whether in respect of capital or otherwise.</w:t>
      </w:r>
    </w:p>
    <w:p>
      <w:pPr>
        <w:spacing w:after="0" w:line="1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w:t>
      </w:r>
    </w:p>
    <w:p>
      <w:pPr>
        <w:spacing w:after="0" w:line="134"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117" w:lineRule="exact"/>
        <w:rPr>
          <w:sz w:val="20"/>
          <w:szCs w:val="20"/>
          <w:color w:val="auto"/>
        </w:rPr>
      </w:pPr>
    </w:p>
    <w:p>
      <w:pPr>
        <w:ind w:left="220" w:right="10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114" w:lineRule="exact"/>
        <w:rPr>
          <w:rFonts w:ascii="Arial" w:cs="Arial" w:eastAsia="Arial" w:hAnsi="Arial"/>
          <w:sz w:val="18"/>
          <w:szCs w:val="18"/>
          <w:color w:val="auto"/>
        </w:rPr>
      </w:pPr>
    </w:p>
    <w:p>
      <w:pPr>
        <w:ind w:left="220" w:right="620" w:hanging="212"/>
        <w:spacing w:after="0" w:line="281" w:lineRule="auto"/>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83" w:lineRule="exact"/>
        <w:rPr>
          <w:rFonts w:ascii="Arial" w:cs="Arial" w:eastAsia="Arial" w:hAnsi="Arial"/>
          <w:sz w:val="16"/>
          <w:szCs w:val="16"/>
          <w:color w:val="auto"/>
        </w:rPr>
      </w:pPr>
    </w:p>
    <w:p>
      <w:pPr>
        <w:ind w:left="22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of the target company must act in our interests as a whole and must not deny the holders of securities the opportunity to decide on the merits of the offer;</w:t>
      </w:r>
    </w:p>
    <w:p>
      <w:pPr>
        <w:spacing w:after="0" w:line="114" w:lineRule="exact"/>
        <w:rPr>
          <w:rFonts w:ascii="Arial" w:cs="Arial" w:eastAsia="Arial" w:hAnsi="Arial"/>
          <w:sz w:val="18"/>
          <w:szCs w:val="18"/>
          <w:color w:val="auto"/>
        </w:rPr>
      </w:pPr>
    </w:p>
    <w:p>
      <w:pPr>
        <w:ind w:left="220" w:right="18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120" w:hanging="212"/>
        <w:spacing w:after="0" w:line="23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17" w:lineRule="exact"/>
        <w:rPr>
          <w:rFonts w:ascii="Arial" w:cs="Arial" w:eastAsia="Arial" w:hAnsi="Arial"/>
          <w:sz w:val="18"/>
          <w:szCs w:val="18"/>
          <w:color w:val="auto"/>
        </w:rPr>
      </w:pPr>
    </w:p>
    <w:p>
      <w:pPr>
        <w:ind w:left="220" w:right="60" w:hanging="212"/>
        <w:spacing w:after="0" w:line="23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10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Name; Formation; Fiscal Year; Registered Office</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of Directors</w:t>
      </w:r>
    </w:p>
    <w:p>
      <w:pPr>
        <w:spacing w:after="0" w:line="1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117"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17" w:lineRule="exact"/>
        <w:rPr>
          <w:rFonts w:ascii="Arial" w:cs="Arial" w:eastAsia="Arial" w:hAnsi="Arial"/>
          <w:sz w:val="18"/>
          <w:szCs w:val="18"/>
          <w:color w:val="auto"/>
        </w:rPr>
      </w:pPr>
    </w:p>
    <w:p>
      <w:pPr>
        <w:jc w:val="both"/>
        <w:ind w:left="220" w:right="160" w:hanging="212"/>
        <w:spacing w:after="0" w:line="23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election at an annual general meeting, by any shareholder who holds ordinary shares or other shares in our capital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113" w:lineRule="exact"/>
        <w:rPr>
          <w:rFonts w:ascii="Arial" w:cs="Arial" w:eastAsia="Arial" w:hAnsi="Arial"/>
          <w:sz w:val="18"/>
          <w:szCs w:val="18"/>
          <w:color w:val="auto"/>
        </w:rPr>
      </w:pPr>
    </w:p>
    <w:p>
      <w:pPr>
        <w:ind w:left="220" w:right="160" w:hanging="212"/>
        <w:spacing w:after="0" w:line="237"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our capital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shall be appointed as follows:</w:t>
      </w:r>
    </w:p>
    <w:p>
      <w:pPr>
        <w:spacing w:after="0" w:line="147" w:lineRule="exact"/>
        <w:rPr>
          <w:sz w:val="20"/>
          <w:szCs w:val="20"/>
          <w:color w:val="auto"/>
        </w:rPr>
      </w:pPr>
    </w:p>
    <w:p>
      <w:pPr>
        <w:ind w:left="220" w:right="38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our shareholders by ordinary resolution at the annual general meeting in each year or at any extraordinary general meeting called for the purpose;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17" w:lineRule="exact"/>
        <w:rPr>
          <w:rFonts w:ascii="Arial" w:cs="Arial" w:eastAsia="Arial" w:hAnsi="Arial"/>
          <w:sz w:val="18"/>
          <w:szCs w:val="18"/>
          <w:color w:val="auto"/>
        </w:rPr>
      </w:pPr>
    </w:p>
    <w:p>
      <w:pPr>
        <w:jc w:val="both"/>
        <w:ind w:left="220" w:hanging="212"/>
        <w:spacing w:after="0" w:line="237"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Removal of Directors</w:t>
      </w:r>
    </w:p>
    <w:p>
      <w:pPr>
        <w:spacing w:after="0" w:line="134"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Duration; Dissolution; Rights upon Liquidation</w:t>
      </w:r>
    </w:p>
    <w:p>
      <w:pPr>
        <w:spacing w:after="0" w:line="13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Liability for Further Calls or Assessments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and Registration of Shares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 (ii) 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02"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0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0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Material United States federal income tax considerations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discussion describes the material U.S. federal income tax consequences to U.S. Holders (defined below) under present law of an investment in our ordinary shares. The discussion below applies only to U.S. Holders that acquire our ordinary shares in this offering, hold our ordinary shares as capital assets within the meaning of Section 1221 of the U.S. Internal Revenue Code of 1986, as amended (the “Code”) and that have the U.S. dollar as their functional currency. The discussion below is based on the Code, existing and, in some cases, proposed U.S. Treasury regulations, as well as judicial and administrative interpretations thereof, all as of date of this prospectus supplement. All of the foregoing authorities are subject to change or differing interpretation, which change or differing interpretation could apply retroactively and could affect the tax consequences described below. There can be no assurance that the U.S. Internal Revenue Service will not assert a contrary position concerning any of the tax consequences discussed below, nor can there be any assurance that a court will not sustain such a contrary position. This summary does not address any estate or gift tax consequences or any state, local, or non-U.S. tax consequences, nor does it address the Medicare contribution tax on net investment income.</w:t>
      </w:r>
    </w:p>
    <w:p>
      <w:pPr>
        <w:spacing w:after="0" w:line="10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discussion does not describe all of the tax consequences that may be relevant to any particular investor or to persons in special tax situations such as:</w:t>
      </w:r>
    </w:p>
    <w:p>
      <w:pPr>
        <w:spacing w:after="0" w:line="114"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banks;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 dealers;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holding our ordinary shares as part of a straddle, hedging, constructive sale, conversion or integrated transaction;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that actually or constructively own (or are deemed to own) 10% or more of our voting stock;</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who acquired our ordinary shares pursuant to the exercise of any employee share option or otherwise as compensation;</w:t>
      </w:r>
    </w:p>
    <w:p>
      <w:pPr>
        <w:spacing w:after="0" w:line="117" w:lineRule="exact"/>
        <w:rPr>
          <w:rFonts w:ascii="Arial" w:cs="Arial" w:eastAsia="Arial" w:hAnsi="Arial"/>
          <w:sz w:val="18"/>
          <w:szCs w:val="18"/>
          <w:color w:val="auto"/>
        </w:rPr>
      </w:pPr>
    </w:p>
    <w:p>
      <w:pPr>
        <w:ind w:left="220" w:right="340" w:hanging="212"/>
        <w:spacing w:after="0" w:line="239"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shareholders who purchase or sell their shares as part of a wash sale for tax purposes;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persons holding our ordinary shares through partnerships or other pass-through entities.</w:t>
      </w:r>
    </w:p>
    <w:p>
      <w:pPr>
        <w:spacing w:after="0" w:line="10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PROSPECTIVE PURCHASERS ARE URGED TO CONSULT THEIR TAX ADVISORS ABOUT THE APPLICATION OF THE U.S. FEDERAL TAX RULES TO THEIR PARTICULAR CIRCUMSTANCES AS WELL AS THE STATE, LOCAL AND NON-U.S. TAX CONSEQUENCES TO THEM OF THE PURCHASE, OWNERSHIP AND DISPOSITION OF OUR ORDINARY SHARES.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discussion below of the U.S. federal income tax consequences to “U.S. Holders” applies to a holder that is a beneficial owner of our ordinary shares and is, for U.S. federal income tax purposes,</w:t>
      </w:r>
    </w:p>
    <w:p>
      <w:pPr>
        <w:spacing w:after="0" w:line="114"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220" w:right="680" w:hanging="212"/>
        <w:spacing w:after="0" w:line="239"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under the laws of the United States, any State thereof or the District of Columbia;</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or (2) has a valid election in effect under applicable U.S. Treasury regulations to be treated as a U.S. person.</w:t>
      </w:r>
    </w:p>
    <w:p>
      <w:pPr>
        <w:spacing w:after="0" w:line="10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tax treatment of an entity treated as a partnership for U.S. federal income tax purposes that holds our ordinary shares generally will depend on such partner’s status and the activities of the partnership. A U.S. Holder that is a partner in such a partnership should consult its tax advisor.</w:t>
      </w:r>
    </w:p>
    <w:p>
      <w:pPr>
        <w:spacing w:after="0" w:line="55"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This discussion assumes that we are not, and will not become, a passive foreign investment company, as described below under “—Passive Foreign Investment Company Rules.”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 on our ordinary shares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gross amount of distributions made by us with respect to our ordinary shares (including the amount of any non-U.S. taxes withheld therefrom, if any) generally will be includable in a U.S. Holder’s gross income in the year received as dividend income, but only to the extent that such distributions are paid out of our current or accumulated earnings and profits as determined under U.S. federal income tax principles. The dividends will not be eligible for the dividends-received deduction allowed to corporations in respect of dividends received from other U.S. corporations. With respect to certain non-corporate U.S. Holders (including individuals), dividends may be taxed at the lower capital gains rate applicable to “qualified dividend income,” provided that (1) either our ordinary shares are readily tradable on an established securities market in the United States or we qualify for benefits under the income tax treaty between the U.S. and Switzerland, which we expect to be the case; (2) certain holding period requirements are met; and (3) the U.S. Holder is not under an obligation to make related payments with respect to positions in substantially similar or related property. Under U.S. Internal Revenue Service authority, common or ordinary shares generally are considered, for purposes of clause (1) above, to be readily tradable on an established securities market in the United States if they are listed on the NYSE, as are our ordinary shares.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dividends will generally be foreign source and considered “passive category” income. Non-U.S. taxes withheld therefrom, if any, may be used as a credit against or a deduction (in lieu of credit) in computing the U.S. Holder’s U.S. federal income tax liability, subject to applicable limitations. Non-U.S. taxes eligible for credit are calculated separately with respect to specific classes of foreign source income. An election to deduct non-U.S. taxes instead of claiming foreign tax credits applies to all non-U.S. taxes paid or accrued in the taxable year. If we are a “United States-owned foreign corporation,” however, a portion of the dividends allocable to our U.S. source earnings and profits may be re-characterized as U.S. source. A “United States-owned foreign corporation” is any foreign corporation in which U.S. persons own, directly or indirectly, 50% or more (by vote or by value) of the stock. In general, United States-owned foreign corporations with less than 10% of their earnings and profits attributable to sources within the United States are excepted from these rules. The rules governing the treatment of foreign taxes and foreign tax credits are complex, and U.S. Holders should consult their tax advisors about the impact of these rules in their particular situations.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 of our ordinary shares</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Upon a sale or other taxable disposition of our ordinary shares, a U.S. Holder will recognize a capital gain or loss for U.S. federal income tax purposes in an amount equal to the difference between the amount realized (generally, the sum of cash and the fair market value of other property received) and the U.S. Holder’s tax basis in such ordinary shares. Any such gain or loss generally will be U.S. source gain or loss and will be treated as long-term capital gain or loss if the U.S. Holder’s holding period in our ordinary shares exceeds one year at the time of the disposition. Non-corporate U.S. Holders (including individuals) generally will be subject to U.S. federal income tax on long-term capital gain at preferential rates. The deductibility of capital losses is subject to significant limitations.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would be classified as a passive foreign investment company (a “PFIC”), for any taxable year if either: (a) at least 75% of our gross income is “passive income” for purposes of the PFIC rules or (b) at least 50% of the value of our assets (determined on the basis of a quarterly average)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 Under the PFIC rules, if we were considered a PFIC at any time that a U.S. Holder holds our ordinary shares, we would continue to be treated as a PFIC with respect to such holder’s investment unless (i) we cease to be a PFIC and (ii) the U.S. Holder has made a “deemed sale” election under the PFIC rules.</w:t>
      </w:r>
    </w:p>
    <w:p>
      <w:pPr>
        <w:spacing w:after="0" w:line="10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Based on our current and projected methods of operation, we do not expect to be treated as a PFIC for U.S. federal income tax purposes for the current taxable year or in the foreseeable future. This is a factual determination, however, that must be made annually after the close of each taxable year. Therefore, there can be no assurance that we will not be classified as a PFIC for the current taxable year or for any future taxable year.</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are treated as a PFIC with respect to a U.S. Holder for any taxable year, the U.S. Holder generally would suffer adverse tax consequences, that may include having gains realized on the disposition of the ordinary shares treated as ordinary income rather than capital gain and being subject to punitive interest charges on the receipt of certain distributions and on the proceeds of the sale or other disposition of the ordinary shares. In addition, the U.S. Holder would be deemed to own shares in any of our subsidiaries that are also PFICs and generally would be subject to the treatment described above with respect to any distribution on or disposition of such shares. If we are considered a PFIC, a U.S. Holder will also be subject to information reporting requirements on an annual basis. U.S. Holders should consult their tax advisors about the potential application of the PFIC rules to an investment in our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Information reporting and backup withholding</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Distributions with respect to our ordinary shares and proceeds from the sale or other taxable disposition of our ordinary shares may be subject to information reporting to the U.S. Internal Revenue Service and possible U.S. backup withholding. Backup withholding will not apply, however, to a U.S. Holder who furnishes a correct U.S. federal taxpayer identification number and makes any other required certification or who is otherwise exempt from backup withholding. U.S. Holders who are required to establish their exempt status may be required to provide such certification on U.S. Internal Revenue Service Form W-9. U.S. Holders should consult their tax advisors regarding the application of the U.S. information reporting and backup withholding rules.</w:t>
      </w:r>
    </w:p>
    <w:p>
      <w:pPr>
        <w:spacing w:after="0" w:line="10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such U.S. Holder may obtain a refund from the U.S. Internal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Revenue Service of any excess amounts withheld under the backup withholding rules by timely filing an appropriate claim for refund with the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Service and furnishing any required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with respect to foreign financial assets</w:t>
      </w:r>
    </w:p>
    <w:p>
      <w:pPr>
        <w:spacing w:after="0" w:line="1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our ordinary shares, subject to certain exceptions (including an exception for shares held in accounts maintained by certain U.S. financial institutions). Substantial penalties may apply if the U.S. Holder fails to comply with these reporting requirements. U.S. Holders should consult their tax advisors regarding their reporting obligations with respect to their ownership and disposition of our ordinary shares.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80"/>
          </w:cols>
          <w:pgMar w:left="24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Irish tax considerations</w:t>
      </w:r>
    </w:p>
    <w:p>
      <w:pPr>
        <w:spacing w:after="0" w:line="15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following is a summary of certain Irish tax consequences of the purchase, ownership and disposition of Weatherford International plc shares. The summary does not purport to be a comprehensive description of all of the tax considerations that may be relevant to a decision to purchase, own or dispose of the shares. The summary relates only to the position of persons who are the absolute beneficial owners of the shares and may not apply to certain other classes of persons such as dealers in securities or shares.</w:t>
      </w:r>
    </w:p>
    <w:p>
      <w:pPr>
        <w:spacing w:after="0" w:line="10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should consult their own advisors as to the Irish or other tax consequences of the purchase, beneficial ownership and disposition of the shares including, in particular, the effect of any state or local tax laws.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 consequences to 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2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w:t>
      </w:r>
    </w:p>
    <w:p>
      <w:pPr>
        <w:spacing w:after="0" w:line="10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Tax on chargeable gains</w:t>
      </w:r>
      <w:r>
        <w:rPr>
          <w:rFonts w:ascii="Arial" w:cs="Arial" w:eastAsia="Arial" w:hAnsi="Arial"/>
          <w:sz w:val="18"/>
          <w:szCs w:val="18"/>
          <w:color w:val="auto"/>
        </w:rPr>
        <w:t>. Weatherford International plc shareholders that are not resident or ordinarily resident in Ireland for Irish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and do not hold the shares in connection with a trade carried on by such shareholders through an Irish branch or agency will not be liable for Irish tax on chargeable gains realized on a subsequent disposal of the shares. A shareholder of Weatherford International plc who is an individual and who is temporarily not a resident in Ireland may, under Irish anti-avoidance legislation, still be liable to Irish tax on any chargeable gain realized upon subsequent disposal of the shares.</w:t>
      </w:r>
    </w:p>
    <w:p>
      <w:pPr>
        <w:spacing w:after="0" w:line="8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Stamp duty</w:t>
      </w:r>
      <w:r>
        <w:rPr>
          <w:rFonts w:ascii="Arial" w:cs="Arial" w:eastAsia="Arial" w:hAnsi="Arial"/>
          <w:sz w:val="18"/>
          <w:szCs w:val="18"/>
          <w:color w:val="auto"/>
        </w:rPr>
        <w:t>. There is no Irish stamp duty on the issuance of new shares of an Irish incorporated company. The rate of stamp duty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DTC or not.</w:t>
      </w:r>
    </w:p>
    <w:p>
      <w:pPr>
        <w:spacing w:after="0" w:line="80"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Shares held through DTC</w:t>
      </w:r>
      <w:r>
        <w:rPr>
          <w:rFonts w:ascii="Arial" w:cs="Arial" w:eastAsia="Arial" w:hAnsi="Arial"/>
          <w:sz w:val="18"/>
          <w:szCs w:val="18"/>
          <w:color w:val="auto"/>
        </w:rPr>
        <w:t>. A transfer of Weatherford International plc shares effected by means of the transfer of book-entry interests in DTC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subject to Irish stamp duty. On the basis that most shares in Weatherford International plc are expected to be held through DTC, it is anticipated that most transfers of shares will be exempt from Irish stamp duty.</w:t>
      </w:r>
    </w:p>
    <w:p>
      <w:pPr>
        <w:spacing w:after="0" w:line="7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Shares held outside of DTC or transferred into or out of DTC</w:t>
      </w:r>
      <w:r>
        <w:rPr>
          <w:rFonts w:ascii="Arial" w:cs="Arial" w:eastAsia="Arial" w:hAnsi="Arial"/>
          <w:sz w:val="18"/>
          <w:szCs w:val="18"/>
          <w:color w:val="auto"/>
        </w:rPr>
        <w:t>. A transfer of Weatherford International plc shares where any party to the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holds such shares outside of DTC may be subject to Irish stamp duty. Shareholders wishing to transfer their shares into (or out of) DTC may do so without giving rise to Irish stamp duty provided:</w:t>
      </w:r>
    </w:p>
    <w:p>
      <w:pPr>
        <w:spacing w:after="0" w:line="108"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17" w:lineRule="exact"/>
        <w:rPr>
          <w:rFonts w:ascii="Arial" w:cs="Arial" w:eastAsia="Arial" w:hAnsi="Arial"/>
          <w:sz w:val="18"/>
          <w:szCs w:val="18"/>
          <w:color w:val="auto"/>
        </w:rPr>
      </w:pPr>
    </w:p>
    <w:p>
      <w:pPr>
        <w:jc w:val="center"/>
        <w:ind w:left="5520" w:right="460" w:hanging="5512"/>
        <w:spacing w:after="0" w:line="411" w:lineRule="auto"/>
        <w:tabs>
          <w:tab w:leader="none" w:pos="2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subsequent sale of such shares by a beneficial owner to a third party. S-29</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0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85"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i w:val="1"/>
          <w:iCs w:val="1"/>
          <w:color w:val="auto"/>
        </w:rPr>
        <w:t>Capital acquisitions tax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Irish capital acquisitions tax (“CAT”) comprises principally gift tax and inheritance tax. CAT could apply to a gift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inheritance of Weatherford International plc shares irrespective of the place of residence, ordinary residence or domicile of the parties. This is because Weatherford International plc shares are regarded as property situated in Ireland as the share register of Weatherford International plc must be held in Ireland. The person who receives the gift or inheritance has primary liability for CAT.</w:t>
      </w:r>
    </w:p>
    <w:p>
      <w:pPr>
        <w:spacing w:after="0" w:line="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€280,000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Swiss tax considerations</w:t>
      </w:r>
    </w:p>
    <w:p>
      <w:pPr>
        <w:spacing w:after="0" w:line="15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is a summary of certain Swiss tax consequences of the purchase, ownership and disposition of Weatherford International plc shares for non-Swiss holders. The summary does not purport to be a comprehensive description of all of the Swiss tax considerations that may be relevant to a decision to purchase, own or dispose of the shares.</w:t>
      </w:r>
    </w:p>
    <w:p>
      <w:pPr>
        <w:spacing w:after="0" w:line="10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Potential investors in the shares should consult their own advisors as to the Swiss or other tax consequences of the purchase, beneficial ownership and disposition of the shares including, in particular, the effect of any federal or cantonal/communal tax laws.</w:t>
      </w:r>
    </w:p>
    <w:p>
      <w:pPr>
        <w:spacing w:after="0" w:line="7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Weatherford International plc shares are not covered in this summary. It is recommended that any Swiss holders consult their own advisors as to the Swiss or other tax consequences of the purchase, beneficial ownership and disposition of the shares.</w:t>
      </w:r>
    </w:p>
    <w:p>
      <w:pPr>
        <w:spacing w:after="0" w:line="100"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The Swiss tax consequences discussed below are not a complete analysis or listing of all the possible Swiss tax consequences that may be relevant to you. You should consult your own tax advisor in respect of the Swiss tax consequences related to the receipt, ownership, purchase, sale or other disposition of Weatherford International plc shares and the procedures for claiming a refund of Swiss withholding tax.</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income tax on dividends and similar distributions</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wealth tax</w:t>
      </w:r>
    </w:p>
    <w:p>
      <w:pPr>
        <w:spacing w:after="0" w:line="134"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A non-Swiss holder will not be subject to Swiss wealth taxes unless the holder’s Weatherford International plc shares are attributable to a permanent establishment, a fixed place of business maintained in Switzerland or another taxable presence in Switzerland of such non-Swiss holder.</w:t>
      </w:r>
    </w:p>
    <w:p>
      <w:pPr>
        <w:spacing w:after="0" w:line="172" w:lineRule="exact"/>
        <w:rPr>
          <w:sz w:val="20"/>
          <w:szCs w:val="20"/>
          <w:color w:val="auto"/>
        </w:rPr>
      </w:pPr>
    </w:p>
    <w:p>
      <w:pPr>
        <w:ind w:right="220"/>
        <w:spacing w:after="0" w:line="261" w:lineRule="auto"/>
        <w:rPr>
          <w:sz w:val="20"/>
          <w:szCs w:val="20"/>
          <w:color w:val="auto"/>
        </w:rPr>
      </w:pPr>
      <w:r>
        <w:rPr>
          <w:rFonts w:ascii="Arial" w:cs="Arial" w:eastAsia="Arial" w:hAnsi="Arial"/>
          <w:sz w:val="22"/>
          <w:szCs w:val="22"/>
          <w:b w:val="1"/>
          <w:bCs w:val="1"/>
          <w:color w:val="auto"/>
        </w:rPr>
        <w:t>Swiss income tax on capital gains upon disposal, exchange or other disposition of Weatherford International plc shares</w:t>
      </w:r>
    </w:p>
    <w:p>
      <w:pPr>
        <w:spacing w:after="0" w:line="8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withholding tax on distributions to shareholders</w:t>
      </w:r>
    </w:p>
    <w:p>
      <w:pPr>
        <w:spacing w:after="0" w:line="134"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basis any payments made to a holder of Weatherford International plc shares and pay such withheld amounts to the Swiss federal tax authorities. Please see “—Refund of Swiss Withholding Tax on Dividends and Other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Exemption from Swiss withholding tax on distributions to shareholders</w:t>
      </w:r>
    </w:p>
    <w:p>
      <w:pPr>
        <w:spacing w:after="0" w:line="134"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Repurchases of shares</w:t>
      </w:r>
    </w:p>
    <w:p>
      <w:pPr>
        <w:spacing w:after="0" w:line="1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Upon a repurchase of shares, Weatherford International plc would pay to a holder of Weatherford International plc shares the purchase price minus any applicable Swiss withholding tax and pay such withholding tax to the Swiss federal tax authorities.</w:t>
      </w:r>
    </w:p>
    <w:p>
      <w:pPr>
        <w:spacing w:after="0" w:line="10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Refund of Swiss Withholding tax on dividends and other distributions</w:t>
      </w:r>
    </w:p>
    <w:p>
      <w:pPr>
        <w:spacing w:after="0" w:line="11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Non-Swiss holders</w:t>
      </w:r>
      <w:r>
        <w:rPr>
          <w:rFonts w:ascii="Arial" w:cs="Arial" w:eastAsia="Arial" w:hAnsi="Arial"/>
          <w:sz w:val="16"/>
          <w:szCs w:val="16"/>
          <w:color w:val="auto"/>
        </w:rPr>
        <w:t>. If the shareholder that receives a distribution from Weatherford International plc is not a Swiss tax resident, does not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Weatherford International plc shares in connection with a permanent establishment or a fixed place of business maintained in Switzerland, and resides in a country that has entered into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7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8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The Swiss-U.S. tax treaty provides that U.S. residents eligible for benefits under the treaty can seek a refund of the Swiss</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on dividends for the portion exceeding 15% (leading to a refund of 20%) or a 100% refund in the case of qualified pension funds. A 5% treaty rate would apply for a U.S. corporate shareholder holding a qualifying investment of at least 10% in Weatherford International plc.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117"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10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withholding tax was withheld at the source.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Swiss stamp duties</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Stamp duties in relation to the transfer of Weatherford International plc shares</w:t>
      </w:r>
      <w:r>
        <w:rPr>
          <w:rFonts w:ascii="Arial" w:cs="Arial" w:eastAsia="Arial" w:hAnsi="Arial"/>
          <w:sz w:val="18"/>
          <w:szCs w:val="18"/>
          <w:color w:val="auto"/>
        </w:rPr>
        <w:t>. The purchase or sale of Weatherford International plc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secondary market may be subject to Swiss transfer stamp duty irrespective of the place of residency of the purchaser or seller if the transaction takes place through or with a Swiss bank or other Swiss securities dealer, as those terms are defined in the Swiss Federal Stamp Duty Act and no exemption applies in the specific case. If a purchase or sale is not entered into through or with a Swiss bank or other Swiss securities dealer, then no transfer stamp duty will be due. The applicable transfer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0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proceeds paid to Weatherford International plc for the issuance of new shares, to the extent no exemption applies, is subject to issuance stamp duty levied at 1%. This duty will be paid by Weatherford International plc.</w:t>
      </w:r>
    </w:p>
    <w:p>
      <w:pPr>
        <w:spacing w:after="0" w:line="10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Underwriting</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J.P. Morgan Securities LLC and Morgan Stanley &amp; Co.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ordinary shares set forth opposite the underwriter’s name.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Number</w:t>
            </w:r>
          </w:p>
        </w:tc>
      </w:tr>
      <w:tr>
        <w:trPr>
          <w:trHeight w:val="203"/>
        </w:trPr>
        <w:tc>
          <w:tcPr>
            <w:tcW w:w="10020" w:type="dxa"/>
            <w:vAlign w:val="bottom"/>
          </w:tcPr>
          <w:p>
            <w:pPr>
              <w:spacing w:after="0"/>
              <w:rPr>
                <w:sz w:val="17"/>
                <w:szCs w:val="17"/>
                <w:color w:val="auto"/>
              </w:rPr>
            </w:pPr>
          </w:p>
        </w:tc>
        <w:tc>
          <w:tcPr>
            <w:tcW w:w="14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of ordinary</w:t>
            </w:r>
          </w:p>
        </w:tc>
      </w:tr>
      <w:tr>
        <w:trPr>
          <w:trHeight w:val="235"/>
        </w:trPr>
        <w:tc>
          <w:tcPr>
            <w:tcW w:w="10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shares</w:t>
            </w:r>
          </w:p>
        </w:tc>
      </w:tr>
      <w:tr>
        <w:trPr>
          <w:trHeight w:val="88"/>
        </w:trPr>
        <w:tc>
          <w:tcPr>
            <w:tcW w:w="10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17"/>
                <w:szCs w:val="17"/>
                <w:color w:val="auto"/>
              </w:rPr>
            </w:pPr>
          </w:p>
        </w:tc>
      </w:tr>
      <w:tr>
        <w:trPr>
          <w:trHeight w:val="322"/>
        </w:trPr>
        <w:tc>
          <w:tcPr>
            <w:tcW w:w="1002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2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40" w:type="dxa"/>
            <w:vAlign w:val="bottom"/>
          </w:tcPr>
          <w:p>
            <w:pPr>
              <w:spacing w:after="0"/>
              <w:rPr>
                <w:sz w:val="24"/>
                <w:szCs w:val="24"/>
                <w:color w:val="auto"/>
              </w:rPr>
            </w:pPr>
          </w:p>
        </w:tc>
      </w:tr>
      <w:tr>
        <w:trPr>
          <w:trHeight w:val="97"/>
        </w:trPr>
        <w:tc>
          <w:tcPr>
            <w:tcW w:w="10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4,800,000</w:t>
            </w:r>
          </w:p>
        </w:tc>
        <w:tc>
          <w:tcPr>
            <w:tcW w:w="140" w:type="dxa"/>
            <w:vAlign w:val="bottom"/>
            <w:shd w:val="clear" w:color="auto" w:fill="CCEEFF"/>
          </w:tcPr>
          <w:p>
            <w:pPr>
              <w:spacing w:after="0"/>
              <w:rPr>
                <w:sz w:val="17"/>
                <w:szCs w:val="17"/>
                <w:color w:val="auto"/>
              </w:rPr>
            </w:pPr>
          </w:p>
        </w:tc>
      </w:tr>
      <w:tr>
        <w:trPr>
          <w:trHeight w:val="322"/>
        </w:trPr>
        <w:tc>
          <w:tcPr>
            <w:tcW w:w="1002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1260" w:type="dxa"/>
            <w:vAlign w:val="bottom"/>
          </w:tcPr>
          <w:p>
            <w:pPr>
              <w:jc w:val="right"/>
              <w:spacing w:after="0"/>
              <w:rPr>
                <w:sz w:val="20"/>
                <w:szCs w:val="20"/>
                <w:color w:val="auto"/>
              </w:rPr>
            </w:pPr>
            <w:r>
              <w:rPr>
                <w:rFonts w:ascii="Arial" w:cs="Arial" w:eastAsia="Arial" w:hAnsi="Arial"/>
                <w:sz w:val="18"/>
                <w:szCs w:val="18"/>
                <w:color w:val="auto"/>
              </w:rPr>
              <w:t>4,800,000</w:t>
            </w:r>
          </w:p>
        </w:tc>
        <w:tc>
          <w:tcPr>
            <w:tcW w:w="140" w:type="dxa"/>
            <w:vAlign w:val="bottom"/>
          </w:tcPr>
          <w:p>
            <w:pPr>
              <w:spacing w:after="0"/>
              <w:rPr>
                <w:sz w:val="24"/>
                <w:szCs w:val="24"/>
                <w:color w:val="auto"/>
              </w:rPr>
            </w:pPr>
          </w:p>
        </w:tc>
      </w:tr>
      <w:tr>
        <w:trPr>
          <w:trHeight w:val="97"/>
        </w:trPr>
        <w:tc>
          <w:tcPr>
            <w:tcW w:w="10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Deutsche Bank Securities Inc</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4,800,000</w:t>
            </w:r>
          </w:p>
        </w:tc>
        <w:tc>
          <w:tcPr>
            <w:tcW w:w="140" w:type="dxa"/>
            <w:vAlign w:val="bottom"/>
            <w:shd w:val="clear" w:color="auto" w:fill="CCEEFF"/>
          </w:tcPr>
          <w:p>
            <w:pPr>
              <w:spacing w:after="0"/>
              <w:rPr>
                <w:sz w:val="17"/>
                <w:szCs w:val="17"/>
                <w:color w:val="auto"/>
              </w:rPr>
            </w:pPr>
          </w:p>
        </w:tc>
      </w:tr>
      <w:tr>
        <w:trPr>
          <w:trHeight w:val="322"/>
        </w:trPr>
        <w:tc>
          <w:tcPr>
            <w:tcW w:w="10020" w:type="dxa"/>
            <w:vAlign w:val="bottom"/>
          </w:tcPr>
          <w:p>
            <w:pPr>
              <w:spacing w:after="0"/>
              <w:rPr>
                <w:sz w:val="20"/>
                <w:szCs w:val="20"/>
                <w:color w:val="auto"/>
              </w:rPr>
            </w:pPr>
            <w:r>
              <w:rPr>
                <w:rFonts w:ascii="Arial" w:cs="Arial" w:eastAsia="Arial" w:hAnsi="Arial"/>
                <w:sz w:val="18"/>
                <w:szCs w:val="18"/>
                <w:color w:val="auto"/>
              </w:rPr>
              <w:t>Mitsubishi UFJ Securities (USA), Inc</w:t>
            </w:r>
          </w:p>
        </w:tc>
        <w:tc>
          <w:tcPr>
            <w:tcW w:w="1260" w:type="dxa"/>
            <w:vAlign w:val="bottom"/>
          </w:tcPr>
          <w:p>
            <w:pPr>
              <w:jc w:val="right"/>
              <w:spacing w:after="0"/>
              <w:rPr>
                <w:sz w:val="20"/>
                <w:szCs w:val="20"/>
                <w:color w:val="auto"/>
              </w:rPr>
            </w:pPr>
            <w:r>
              <w:rPr>
                <w:rFonts w:ascii="Arial" w:cs="Arial" w:eastAsia="Arial" w:hAnsi="Arial"/>
                <w:sz w:val="18"/>
                <w:szCs w:val="18"/>
                <w:color w:val="auto"/>
              </w:rPr>
              <w:t>4,800,000</w:t>
            </w:r>
          </w:p>
        </w:tc>
        <w:tc>
          <w:tcPr>
            <w:tcW w:w="140" w:type="dxa"/>
            <w:vAlign w:val="bottom"/>
          </w:tcPr>
          <w:p>
            <w:pPr>
              <w:spacing w:after="0"/>
              <w:rPr>
                <w:sz w:val="24"/>
                <w:szCs w:val="24"/>
                <w:color w:val="auto"/>
              </w:rPr>
            </w:pPr>
          </w:p>
        </w:tc>
      </w:tr>
      <w:tr>
        <w:trPr>
          <w:trHeight w:val="97"/>
        </w:trPr>
        <w:tc>
          <w:tcPr>
            <w:tcW w:w="10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4,800,000</w:t>
            </w:r>
          </w:p>
        </w:tc>
        <w:tc>
          <w:tcPr>
            <w:tcW w:w="140" w:type="dxa"/>
            <w:vAlign w:val="bottom"/>
            <w:shd w:val="clear" w:color="auto" w:fill="CCEEFF"/>
          </w:tcPr>
          <w:p>
            <w:pPr>
              <w:spacing w:after="0"/>
              <w:rPr>
                <w:sz w:val="17"/>
                <w:szCs w:val="17"/>
                <w:color w:val="auto"/>
              </w:rPr>
            </w:pPr>
          </w:p>
        </w:tc>
      </w:tr>
      <w:tr>
        <w:trPr>
          <w:trHeight w:val="322"/>
        </w:trPr>
        <w:tc>
          <w:tcPr>
            <w:tcW w:w="1002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260" w:type="dxa"/>
            <w:vAlign w:val="bottom"/>
          </w:tcPr>
          <w:p>
            <w:pPr>
              <w:jc w:val="right"/>
              <w:spacing w:after="0"/>
              <w:rPr>
                <w:sz w:val="20"/>
                <w:szCs w:val="20"/>
                <w:color w:val="auto"/>
              </w:rPr>
            </w:pPr>
            <w:r>
              <w:rPr>
                <w:rFonts w:ascii="Arial" w:cs="Arial" w:eastAsia="Arial" w:hAnsi="Arial"/>
                <w:sz w:val="18"/>
                <w:szCs w:val="18"/>
                <w:color w:val="auto"/>
              </w:rPr>
              <w:t>4,800,000</w:t>
            </w:r>
          </w:p>
        </w:tc>
        <w:tc>
          <w:tcPr>
            <w:tcW w:w="140" w:type="dxa"/>
            <w:vAlign w:val="bottom"/>
          </w:tcPr>
          <w:p>
            <w:pPr>
              <w:spacing w:after="0"/>
              <w:rPr>
                <w:sz w:val="24"/>
                <w:szCs w:val="24"/>
                <w:color w:val="auto"/>
              </w:rPr>
            </w:pPr>
          </w:p>
        </w:tc>
      </w:tr>
      <w:tr>
        <w:trPr>
          <w:trHeight w:val="97"/>
        </w:trPr>
        <w:tc>
          <w:tcPr>
            <w:tcW w:w="10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2,400,000</w:t>
            </w:r>
          </w:p>
        </w:tc>
        <w:tc>
          <w:tcPr>
            <w:tcW w:w="140" w:type="dxa"/>
            <w:vAlign w:val="bottom"/>
            <w:shd w:val="clear" w:color="auto" w:fill="CCEEFF"/>
          </w:tcPr>
          <w:p>
            <w:pPr>
              <w:spacing w:after="0"/>
              <w:rPr>
                <w:sz w:val="17"/>
                <w:szCs w:val="17"/>
                <w:color w:val="auto"/>
              </w:rPr>
            </w:pPr>
          </w:p>
        </w:tc>
      </w:tr>
      <w:tr>
        <w:trPr>
          <w:trHeight w:val="322"/>
        </w:trPr>
        <w:tc>
          <w:tcPr>
            <w:tcW w:w="10020" w:type="dxa"/>
            <w:vAlign w:val="bottom"/>
          </w:tcPr>
          <w:p>
            <w:pPr>
              <w:spacing w:after="0"/>
              <w:rPr>
                <w:sz w:val="20"/>
                <w:szCs w:val="20"/>
                <w:color w:val="auto"/>
              </w:rPr>
            </w:pPr>
            <w:r>
              <w:rPr>
                <w:rFonts w:ascii="Arial" w:cs="Arial" w:eastAsia="Arial" w:hAnsi="Arial"/>
                <w:sz w:val="18"/>
                <w:szCs w:val="18"/>
                <w:color w:val="auto"/>
              </w:rPr>
              <w:t>Skandinaviska Enskilda Banken AB</w:t>
            </w:r>
          </w:p>
        </w:tc>
        <w:tc>
          <w:tcPr>
            <w:tcW w:w="1260" w:type="dxa"/>
            <w:vAlign w:val="bottom"/>
          </w:tcPr>
          <w:p>
            <w:pPr>
              <w:jc w:val="right"/>
              <w:spacing w:after="0"/>
              <w:rPr>
                <w:sz w:val="20"/>
                <w:szCs w:val="20"/>
                <w:color w:val="auto"/>
              </w:rPr>
            </w:pPr>
            <w:r>
              <w:rPr>
                <w:rFonts w:ascii="Arial" w:cs="Arial" w:eastAsia="Arial" w:hAnsi="Arial"/>
                <w:sz w:val="18"/>
                <w:szCs w:val="18"/>
                <w:color w:val="auto"/>
              </w:rPr>
              <w:t>2,400,000</w:t>
            </w:r>
          </w:p>
        </w:tc>
        <w:tc>
          <w:tcPr>
            <w:tcW w:w="140" w:type="dxa"/>
            <w:vAlign w:val="bottom"/>
          </w:tcPr>
          <w:p>
            <w:pPr>
              <w:spacing w:after="0"/>
              <w:rPr>
                <w:sz w:val="24"/>
                <w:szCs w:val="24"/>
                <w:color w:val="auto"/>
              </w:rPr>
            </w:pPr>
          </w:p>
        </w:tc>
      </w:tr>
      <w:tr>
        <w:trPr>
          <w:trHeight w:val="97"/>
        </w:trPr>
        <w:tc>
          <w:tcPr>
            <w:tcW w:w="10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TD Securities (USA) LLC</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2,400,000</w:t>
            </w:r>
          </w:p>
        </w:tc>
        <w:tc>
          <w:tcPr>
            <w:tcW w:w="140" w:type="dxa"/>
            <w:vAlign w:val="bottom"/>
            <w:shd w:val="clear" w:color="auto" w:fill="CCEEFF"/>
          </w:tcPr>
          <w:p>
            <w:pPr>
              <w:spacing w:after="0"/>
              <w:rPr>
                <w:sz w:val="17"/>
                <w:szCs w:val="17"/>
                <w:color w:val="auto"/>
              </w:rPr>
            </w:pPr>
          </w:p>
        </w:tc>
      </w:tr>
      <w:tr>
        <w:trPr>
          <w:trHeight w:val="322"/>
        </w:trPr>
        <w:tc>
          <w:tcPr>
            <w:tcW w:w="10020" w:type="dxa"/>
            <w:vAlign w:val="bottom"/>
          </w:tcPr>
          <w:p>
            <w:pPr>
              <w:spacing w:after="0"/>
              <w:rPr>
                <w:sz w:val="20"/>
                <w:szCs w:val="20"/>
                <w:color w:val="auto"/>
              </w:rPr>
            </w:pPr>
            <w:r>
              <w:rPr>
                <w:rFonts w:ascii="Arial" w:cs="Arial" w:eastAsia="Arial" w:hAnsi="Arial"/>
                <w:sz w:val="18"/>
                <w:szCs w:val="18"/>
                <w:color w:val="auto"/>
              </w:rPr>
              <w:t>HSBC Securities (USA) Inc</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4"/>
                <w:szCs w:val="24"/>
                <w:color w:val="auto"/>
              </w:rPr>
            </w:pPr>
          </w:p>
        </w:tc>
      </w:tr>
      <w:tr>
        <w:trPr>
          <w:trHeight w:val="97"/>
        </w:trPr>
        <w:tc>
          <w:tcPr>
            <w:tcW w:w="10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UniCredit Capital Markets LLC</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1,500,000</w:t>
            </w:r>
          </w:p>
        </w:tc>
        <w:tc>
          <w:tcPr>
            <w:tcW w:w="140" w:type="dxa"/>
            <w:vAlign w:val="bottom"/>
            <w:shd w:val="clear" w:color="auto" w:fill="CCEEFF"/>
          </w:tcPr>
          <w:p>
            <w:pPr>
              <w:spacing w:after="0"/>
              <w:rPr>
                <w:sz w:val="17"/>
                <w:szCs w:val="17"/>
                <w:color w:val="auto"/>
              </w:rPr>
            </w:pPr>
          </w:p>
        </w:tc>
      </w:tr>
      <w:tr>
        <w:trPr>
          <w:trHeight w:val="322"/>
        </w:trPr>
        <w:tc>
          <w:tcPr>
            <w:tcW w:w="10020" w:type="dxa"/>
            <w:vAlign w:val="bottom"/>
          </w:tcPr>
          <w:p>
            <w:pPr>
              <w:spacing w:after="0"/>
              <w:rPr>
                <w:sz w:val="20"/>
                <w:szCs w:val="20"/>
                <w:color w:val="auto"/>
              </w:rPr>
            </w:pPr>
            <w:r>
              <w:rPr>
                <w:rFonts w:ascii="Arial" w:cs="Arial" w:eastAsia="Arial" w:hAnsi="Arial"/>
                <w:sz w:val="18"/>
                <w:szCs w:val="18"/>
                <w:color w:val="auto"/>
              </w:rPr>
              <w:t>BBVA Securities Inc</w:t>
            </w: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24"/>
                <w:szCs w:val="24"/>
                <w:color w:val="auto"/>
              </w:rPr>
            </w:pPr>
          </w:p>
        </w:tc>
      </w:tr>
      <w:tr>
        <w:trPr>
          <w:trHeight w:val="97"/>
        </w:trPr>
        <w:tc>
          <w:tcPr>
            <w:tcW w:w="10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100,000,000</w:t>
            </w:r>
          </w:p>
        </w:tc>
        <w:tc>
          <w:tcPr>
            <w:tcW w:w="140" w:type="dxa"/>
            <w:vAlign w:val="bottom"/>
            <w:shd w:val="clear" w:color="auto" w:fill="CCEEFF"/>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underwriting agreement provides that the obligations of the underwriters to purchase the ordinary shares included in this offering are subject to approval of legal matters by counsel and to other conditions. The underwriters are obligated to purchase all the ordinary shares (other than those covered by the underwriters’ option to purchase additional ordinary shares described below) if they purchase any of the ordinary shares.</w:t>
      </w:r>
    </w:p>
    <w:p>
      <w:pPr>
        <w:spacing w:after="0" w:line="70"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The underwriters initially propose to offer the common shares directly to the public at the public offering price set forth on the cover page of this prospectus supplement and to certain dealers at that price less a concession not in excess of $0.1017 per share. If all the shares are not sold at the initial offering price, the underwriters may change the offering price and the other selling terms.</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the underwriters sell more ordinary shares than the total number set forth in the table above, we have granted to the underwriters an option, exercisable for 30 days from the date of this prospectus supplement, to purchase up to 15,000,000 additional ordinary shares at the public offering price less the underwriting discount. To the extent the option is exercised, each underwriter must purchase a number of additional ordinary shares approximately proportionate to that underwriter’s initial purchase commitment. Any ordinary shares issued or sold under the option will be issued and sold on the same terms and conditions as the other ordinary shares that are the subject of this offering.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our executive officers and directors have agreed that, subject to certain limited exceptions, for a period of 60 days from the date of this prospectus supplement, we and they will not, without the prior written consent of J.P Morgan Securities LLC and Morgan Stanley &amp; Co. LLC, dispose of or hedge any ordinary shares or any securities convertible into or exchangeable for our ordinary shares. J.P. Morgan Securities LLC and Morgan Stanley &amp; Co. LLC in their sole discretion may release any of the securities subject to these lock-up agreements at any time without notice.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are listed on the NYSE under the symbol “WFT.”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w:t>
      </w:r>
    </w:p>
    <w:p>
      <w:pPr>
        <w:spacing w:after="0"/>
        <w:rPr>
          <w:sz w:val="20"/>
          <w:szCs w:val="20"/>
          <w:color w:val="auto"/>
        </w:rPr>
      </w:pPr>
      <w:r>
        <w:rPr>
          <w:rFonts w:ascii="Arial" w:cs="Arial" w:eastAsia="Arial" w:hAnsi="Arial"/>
          <w:sz w:val="18"/>
          <w:szCs w:val="18"/>
          <w:color w:val="auto"/>
        </w:rPr>
        <w:t>These amounts are shown assuming both no exercise and full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Paid by Weatherford</w:t>
            </w:r>
          </w:p>
        </w:tc>
        <w:tc>
          <w:tcPr>
            <w:tcW w:w="120" w:type="dxa"/>
            <w:vAlign w:val="bottom"/>
          </w:tcPr>
          <w:p>
            <w:pPr>
              <w:spacing w:after="0"/>
              <w:rPr>
                <w:sz w:val="19"/>
                <w:szCs w:val="19"/>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No exercise</w:t>
            </w:r>
          </w:p>
        </w:tc>
        <w:tc>
          <w:tcPr>
            <w:tcW w:w="14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Full exercise</w:t>
            </w: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ordinary share</w:t>
            </w:r>
          </w:p>
        </w:tc>
        <w:tc>
          <w:tcPr>
            <w:tcW w:w="3780" w:type="dxa"/>
            <w:vAlign w:val="bottom"/>
            <w:gridSpan w:val="2"/>
            <w:shd w:val="clear" w:color="auto" w:fill="CCEEFF"/>
          </w:tcPr>
          <w:p>
            <w:pPr>
              <w:ind w:left="366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0.1695</w:t>
            </w:r>
          </w:p>
        </w:tc>
        <w:tc>
          <w:tcPr>
            <w:tcW w:w="3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0.1695</w:t>
            </w:r>
          </w:p>
        </w:tc>
        <w:tc>
          <w:tcPr>
            <w:tcW w:w="120" w:type="dxa"/>
            <w:vAlign w:val="bottom"/>
            <w:shd w:val="clear" w:color="auto" w:fill="CCEEFF"/>
          </w:tcPr>
          <w:p>
            <w:pPr>
              <w:spacing w:after="0"/>
              <w:rPr>
                <w:sz w:val="17"/>
                <w:szCs w:val="17"/>
                <w:color w:val="auto"/>
              </w:rPr>
            </w:pPr>
          </w:p>
        </w:tc>
      </w:tr>
      <w:tr>
        <w:trPr>
          <w:trHeight w:val="215"/>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auto"/>
            </w:tcBorders>
            <w:gridSpan w:val="2"/>
          </w:tcPr>
          <w:p>
            <w:pPr>
              <w:ind w:left="366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16,950,000</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19,492,500</w:t>
            </w:r>
          </w:p>
        </w:tc>
        <w:tc>
          <w:tcPr>
            <w:tcW w:w="120" w:type="dxa"/>
            <w:vAlign w:val="bottom"/>
          </w:tcPr>
          <w:p>
            <w:pPr>
              <w:spacing w:after="0"/>
              <w:rPr>
                <w:sz w:val="18"/>
                <w:szCs w:val="18"/>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our portion of the total expenses of this offering, excluding the underwriting discounts and commissions, will be $1.0 million.</w:t>
      </w:r>
    </w:p>
    <w:p>
      <w:pPr>
        <w:spacing w:after="0" w:line="1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connection with the offering, the underwriters may purchase and sell ordinary shares in the open market. Purchases and sales in the open market may include short sales, purchases to cover short positions, which may include purchases pursuant to the underwriters’ option to purchase additional ordinary shares, and stabilizing purchases.</w:t>
      </w:r>
    </w:p>
    <w:p>
      <w:pPr>
        <w:spacing w:after="0" w:line="114" w:lineRule="exact"/>
        <w:rPr>
          <w:sz w:val="20"/>
          <w:szCs w:val="20"/>
          <w:color w:val="auto"/>
        </w:rPr>
      </w:pPr>
    </w:p>
    <w:p>
      <w:pPr>
        <w:ind w:left="220" w:right="20" w:hanging="212"/>
        <w:spacing w:after="0" w:line="239" w:lineRule="auto"/>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ordinary shares than they are required to purchase in the offering.</w:t>
      </w:r>
    </w:p>
    <w:p>
      <w:pPr>
        <w:spacing w:after="0" w:line="114" w:lineRule="exact"/>
        <w:rPr>
          <w:rFonts w:ascii="Arial" w:cs="Arial" w:eastAsia="Arial" w:hAnsi="Arial"/>
          <w:sz w:val="18"/>
          <w:szCs w:val="18"/>
          <w:color w:val="auto"/>
        </w:rPr>
      </w:pPr>
    </w:p>
    <w:p>
      <w:pPr>
        <w:ind w:left="660" w:right="400" w:hanging="206"/>
        <w:spacing w:after="0" w:line="239"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“Covered” short sales are sales of ordinary shares in an amount up to the number of ordinary shares represented by the underwriters’ option to purchase additional ordinary shares.</w:t>
      </w:r>
    </w:p>
    <w:p>
      <w:pPr>
        <w:spacing w:after="0" w:line="114" w:lineRule="exact"/>
        <w:rPr>
          <w:rFonts w:ascii="Arial" w:cs="Arial" w:eastAsia="Arial" w:hAnsi="Arial"/>
          <w:sz w:val="18"/>
          <w:szCs w:val="18"/>
          <w:color w:val="auto"/>
        </w:rPr>
      </w:pPr>
    </w:p>
    <w:p>
      <w:pPr>
        <w:ind w:left="660" w:right="20" w:hanging="206"/>
        <w:spacing w:after="0" w:line="239"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“Naked” short sales are sales of ordinary shares in an amount in excess of the number of ordinary shares represented by the underwriters’ option to purchase additional ordinary shares.</w:t>
      </w:r>
    </w:p>
    <w:p>
      <w:pPr>
        <w:spacing w:after="0" w:line="114"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Covering transactions involve purchases of ordinary shares either pursuant to the underwriters’ option to purchase additional ordinary shares or in the open market in order to cover short positions.</w:t>
      </w:r>
    </w:p>
    <w:p>
      <w:pPr>
        <w:spacing w:after="0" w:line="114" w:lineRule="exact"/>
        <w:rPr>
          <w:rFonts w:ascii="Arial" w:cs="Arial" w:eastAsia="Arial" w:hAnsi="Arial"/>
          <w:sz w:val="18"/>
          <w:szCs w:val="18"/>
          <w:color w:val="auto"/>
        </w:rPr>
      </w:pPr>
    </w:p>
    <w:p>
      <w:pPr>
        <w:ind w:left="660" w:right="80" w:hanging="206"/>
        <w:spacing w:after="0" w:line="23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ordinary shares in the open market or must exercise the option to purchase additional ordinary shares. In determining the source of ordinary shares to close the covered short position, the underwriters will consider, among other things, the price of ordinary shares available for purchase in the open market as compared to the price at which they may purchase ordinary shares through the underwriters’ option to purchase additional ordinary shares.</w:t>
      </w:r>
    </w:p>
    <w:p>
      <w:pPr>
        <w:spacing w:after="0" w:line="114" w:lineRule="exact"/>
        <w:rPr>
          <w:rFonts w:ascii="Arial" w:cs="Arial" w:eastAsia="Arial" w:hAnsi="Arial"/>
          <w:sz w:val="18"/>
          <w:szCs w:val="18"/>
          <w:color w:val="auto"/>
        </w:rPr>
      </w:pPr>
    </w:p>
    <w:p>
      <w:pPr>
        <w:ind w:left="660" w:right="120" w:hanging="206"/>
        <w:spacing w:after="0" w:line="238"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ordinary shares in the open market. A naked short position is more likely to be created if the underwriters are concerned that there may be downward pressure on the price of the ordinary shares in the open market after pricing that could adversely affect investors who purchase in the offering.</w:t>
      </w:r>
    </w:p>
    <w:p>
      <w:pPr>
        <w:spacing w:after="0" w:line="113" w:lineRule="exact"/>
        <w:rPr>
          <w:rFonts w:ascii="Arial" w:cs="Arial" w:eastAsia="Arial" w:hAnsi="Arial"/>
          <w:sz w:val="18"/>
          <w:szCs w:val="18"/>
          <w:color w:val="auto"/>
        </w:rPr>
      </w:pPr>
    </w:p>
    <w:p>
      <w:pPr>
        <w:ind w:left="220" w:hanging="212"/>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ordinary shares so long as the stabilizing bids do not exceed a specified maximum.</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ordinary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shares. They may also cause the price of the ordinary shares to be higher than the price that would otherwise exist in the open market in the absence of these transactions. The underwriters may conduct these transactions on the NYSE, in the over-the-counter market or otherwise. If the underwriters commence any of these transactions, they may discontinue them at any time.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affiliates of J.P. Morgan Securities LLC and Morgan Stanley &amp; Co. LLC are lenders under our revolving credit facility and will receive 5% or more of the net proceeds of this offering due to the repayment of portions of our revolving credit facility by us, J.P. Morgan Securities LLC and Morgan Stanley &amp; Co. LLC are deemed to have a “conflict of interest” under FINRA Rule 5121. Accordingly, this offering is being made in compliance with the requirements of FINRA Rule 5121. The appointment of a “qualified independent underwriter” is not required in connection with this offering as a “bona fide public market,” as defined in Rule 5121, exists for our ordinary shares. In accordance with Rule 5121, J.P. Morgan Securities LLC and Morgan Stanley &amp; Co. LLC will not confirm any sales to any account over which it exercises discretionary authority without the specific written approval of the transaction from the account holder. See “Use of Proceeds.”</w:t>
      </w:r>
    </w:p>
    <w:p>
      <w:pPr>
        <w:spacing w:after="0" w:line="10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some of the underwriters are lenders, and in some cases agents or managers for the lenders, under Weatherford’s revolving credit facility and its other credit facilities. Certain of the underwriters or their affiliates that have a lending relationship with us routinely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relation to each member state of the EEA that has implemented the Prospectus Directive (each, a “Relevant Member State”), with effect from and including the date on which the Prospectus Directive is implemented in that Relevant Member State (the “Relevant Implementation Date”), an offer of ordinary shares described in this prospectus supplement may not be made to the public in that Relevant Member State except that it may, with</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effect from and including the Relevant Implementation Date, make an offer of ordinary shares to the public in that Relevant Member State:</w:t>
      </w:r>
    </w:p>
    <w:p>
      <w:pPr>
        <w:spacing w:after="0" w:line="117"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at any time fewer than 150 natural or legal persons (other than qualified investors as defined in the Prospectus Directive) subject to obtaining the prior consent of the relevant Dealer or Dealers nominated by us for any such offer; or</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provided that no such offer of ordinary shares shall require us or any underwriter to publish a prospectus pursuant to Article 3 of the Prospectus Directive or supplement a prospectus pursuant to Article 16 of the Prospectus Directive.</w:t>
      </w:r>
    </w:p>
    <w:p>
      <w:pPr>
        <w:spacing w:after="0" w:line="10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ordinary shares to be offered so as to enable an investor to decide to purchase or subscribe for the ordinary shares,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10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sellers of the ordinary shares have not authorized and do not authorize the making of any offer of ordinary shares through any financial intermediary on their behalf, other than offers made by the underwriters with a view to the final placement of the ordinary shares as contemplated in this prospectus supplement. Accordingly, no purchaser of the ordinary shares, other than the underwriters, is authorized to make any further offer of the ordinary shares on behalf of the sellers or the underwriters.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 (a) to (d) of the Order (all such persons together being referred to as “relevant persons”).</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France</w:t>
      </w:r>
    </w:p>
    <w:p>
      <w:pPr>
        <w:spacing w:after="0" w:line="1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Neither this prospectus supplement nor any other offering material relating to the ordinary shares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ordinary shares have not been offered or sold and will not be offered or sold, directly or indirectly, to the public in France. Neither this prospectus supplement nor any other offering material relating to the ordinary shares has been or will be:</w:t>
      </w:r>
    </w:p>
    <w:p>
      <w:pPr>
        <w:spacing w:after="0" w:line="117"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17" w:lineRule="exact"/>
        <w:rPr>
          <w:rFonts w:ascii="Arial" w:cs="Arial" w:eastAsia="Arial" w:hAnsi="Arial"/>
          <w:sz w:val="18"/>
          <w:szCs w:val="18"/>
          <w:color w:val="auto"/>
        </w:rPr>
      </w:pPr>
    </w:p>
    <w:p>
      <w:pPr>
        <w:ind w:right="3240" w:firstLine="8"/>
        <w:spacing w:after="0" w:line="357" w:lineRule="auto"/>
        <w:tabs>
          <w:tab w:leader="none" w:pos="2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ordinary shares to the public in France. Such offers, sales and distributions will be made in France only:</w:t>
      </w:r>
    </w:p>
    <w:p>
      <w:pPr>
        <w:ind w:left="220" w:right="40" w:hanging="212"/>
        <w:spacing w:after="0" w:line="247"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9" w:lineRule="exact"/>
        <w:rPr>
          <w:rFonts w:ascii="Arial" w:cs="Arial" w:eastAsia="Arial" w:hAnsi="Arial"/>
          <w:sz w:val="18"/>
          <w:szCs w:val="18"/>
          <w:color w:val="auto"/>
        </w:rPr>
      </w:pPr>
    </w:p>
    <w:p>
      <w:pPr>
        <w:ind w:left="220" w:right="140" w:hanging="212"/>
        <w:spacing w:after="0" w:line="322" w:lineRule="auto"/>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3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The ordinary shares may be resold directly or indirectly, only in compliance with articles L.411-1, L.411-2, L.412-1 and L.621-8 through L.621- 8-3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w:t>
      </w:r>
    </w:p>
    <w:p>
      <w:pPr>
        <w:ind w:firstLine="8"/>
        <w:spacing w:after="0" w:line="236" w:lineRule="auto"/>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ordinary shares offered in this prospectus supplement have not been and will not be registered under the Financial Instruments and Exchange Law of Japan. The ordinary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Act and (ii) in compliance with any other applicable laws, regulations and ministerial guidelines of Japan.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ordinary shares may not be circulated or distributed, nor may the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Where the ordinary shares are subscribed or purchased under Section 275 of the SFA by a relevant person which is:</w:t>
      </w:r>
    </w:p>
    <w:p>
      <w:pPr>
        <w:spacing w:after="0" w:line="104" w:lineRule="exact"/>
        <w:rPr>
          <w:sz w:val="20"/>
          <w:szCs w:val="20"/>
          <w:color w:val="auto"/>
        </w:rPr>
      </w:pPr>
    </w:p>
    <w:p>
      <w:pPr>
        <w:ind w:left="240" w:right="260" w:hanging="4"/>
        <w:spacing w:after="0" w:line="239" w:lineRule="auto"/>
        <w:tabs>
          <w:tab w:leader="none" w:pos="5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8"/>
          <w:szCs w:val="18"/>
          <w:color w:val="auto"/>
        </w:rPr>
      </w:pPr>
    </w:p>
    <w:p>
      <w:pPr>
        <w:ind w:left="240" w:right="340" w:hanging="4"/>
        <w:spacing w:after="0" w:line="239" w:lineRule="auto"/>
        <w:tabs>
          <w:tab w:leader="none" w:pos="5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100" w:lineRule="exact"/>
        <w:rPr>
          <w:sz w:val="20"/>
          <w:szCs w:val="20"/>
          <w:color w:val="auto"/>
        </w:rPr>
      </w:pPr>
    </w:p>
    <w:p>
      <w:pPr>
        <w:ind w:left="240" w:right="220" w:hanging="4"/>
        <w:spacing w:after="0" w:line="239" w:lineRule="auto"/>
        <w:tabs>
          <w:tab w:leader="none" w:pos="5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00" w:lineRule="exact"/>
        <w:rPr>
          <w:rFonts w:ascii="Arial" w:cs="Arial" w:eastAsia="Arial" w:hAnsi="Arial"/>
          <w:sz w:val="18"/>
          <w:szCs w:val="18"/>
          <w:color w:val="auto"/>
        </w:rPr>
      </w:pPr>
    </w:p>
    <w:p>
      <w:pPr>
        <w:ind w:left="500" w:hanging="264"/>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480" w:hanging="244"/>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03" w:lineRule="exact"/>
        <w:rPr>
          <w:rFonts w:ascii="Arial" w:cs="Arial" w:eastAsia="Arial" w:hAnsi="Arial"/>
          <w:sz w:val="18"/>
          <w:szCs w:val="18"/>
          <w:color w:val="auto"/>
        </w:rPr>
      </w:pPr>
    </w:p>
    <w:p>
      <w:pPr>
        <w:ind w:left="500" w:hanging="264"/>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500" w:hanging="264"/>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7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60"/>
          </w:cols>
          <w:pgMar w:left="24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validity of the ordinary shares being offered by this prospectus supplement and the accompanying prospectus with respect to the laws of Ireland will be passed upon for us by Matheson, and certain other legal matters will be passed upon for us by Latham &amp; Watkins LLP. Certain legal matters will be passed upon for the underwriters by Morrison &amp; Foerster LLP, New York, New York. Limited and certain legal matters of Irish law will be passed upon by A&amp;L Goodbody.</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consolidated financial statements and schedule of Weatherford International plc as of December 31, 2015 and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ordinary shares are listed on the NYSE under the symbol “WFT.” Our reports and other information filed with the SEC can also be inspected at the offices of the NYSE, 20 Broad Street, New York, New York 10005.</w:t>
      </w:r>
    </w:p>
    <w:p>
      <w:pPr>
        <w:spacing w:after="0" w:line="8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We also make available free of charge on our Internet website at </w:t>
      </w:r>
      <w:r>
        <w:rPr>
          <w:rFonts w:ascii="Arial" w:cs="Arial" w:eastAsia="Arial" w:hAnsi="Arial"/>
          <w:sz w:val="18"/>
          <w:szCs w:val="18"/>
          <w:i w:val="1"/>
          <w:iCs w:val="1"/>
          <w:color w:val="auto"/>
        </w:rPr>
        <w:t>www.weatherford.com</w:t>
      </w:r>
      <w:r>
        <w:rPr>
          <w:rFonts w:ascii="Arial" w:cs="Arial" w:eastAsia="Arial" w:hAnsi="Arial"/>
          <w:sz w:val="18"/>
          <w:szCs w:val="18"/>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by reference</w:t>
      </w:r>
    </w:p>
    <w:p>
      <w:pPr>
        <w:spacing w:after="0" w:line="15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115" w:lineRule="exact"/>
        <w:rPr>
          <w:sz w:val="20"/>
          <w:szCs w:val="20"/>
          <w:color w:val="auto"/>
        </w:rPr>
      </w:pPr>
    </w:p>
    <w:p>
      <w:pPr>
        <w:ind w:left="5520" w:right="1600" w:hanging="5512"/>
        <w:spacing w:after="0" w:line="411" w:lineRule="auto"/>
        <w:tabs>
          <w:tab w:leader="none" w:pos="2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 as filed with the SEC on February 16, 2016; S-41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March 29, 2015;</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Report on Form 8-K, as filed with the SEC on February 4, 2016;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description of our ordinary shares contained in Item 8.01 of our Current Report on Form 8-K, as filed with the SEC on June 17, 2014.</w:t>
      </w:r>
    </w:p>
    <w:p>
      <w:pPr>
        <w:spacing w:after="0" w:line="1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Weatherford International plc</w:t>
      </w:r>
    </w:p>
    <w:p>
      <w:pPr>
        <w:jc w:val="center"/>
        <w:ind w:right="-379"/>
        <w:spacing w:after="0" w:line="234" w:lineRule="auto"/>
        <w:rPr>
          <w:sz w:val="20"/>
          <w:szCs w:val="20"/>
          <w:color w:val="auto"/>
        </w:rPr>
      </w:pPr>
      <w:r>
        <w:rPr>
          <w:rFonts w:ascii="Arial" w:cs="Arial" w:eastAsia="Arial" w:hAnsi="Arial"/>
          <w:sz w:val="18"/>
          <w:szCs w:val="18"/>
          <w:color w:val="auto"/>
        </w:rPr>
        <w:t>Attention: Investor Relations</w:t>
      </w:r>
    </w:p>
    <w:p>
      <w:pPr>
        <w:jc w:val="center"/>
        <w:ind w:right="-379"/>
        <w:spacing w:after="0" w:line="235" w:lineRule="auto"/>
        <w:rPr>
          <w:sz w:val="20"/>
          <w:szCs w:val="20"/>
          <w:color w:val="auto"/>
        </w:rPr>
      </w:pPr>
      <w:r>
        <w:rPr>
          <w:rFonts w:ascii="Arial" w:cs="Arial" w:eastAsia="Arial" w:hAnsi="Arial"/>
          <w:sz w:val="18"/>
          <w:szCs w:val="18"/>
          <w:color w:val="auto"/>
        </w:rPr>
        <w:t>2000 St. James Place</w:t>
      </w:r>
    </w:p>
    <w:p>
      <w:pPr>
        <w:jc w:val="center"/>
        <w:ind w:right="-379"/>
        <w:spacing w:after="0" w:line="235" w:lineRule="auto"/>
        <w:rPr>
          <w:sz w:val="20"/>
          <w:szCs w:val="20"/>
          <w:color w:val="auto"/>
        </w:rPr>
      </w:pPr>
      <w:r>
        <w:rPr>
          <w:rFonts w:ascii="Arial" w:cs="Arial" w:eastAsia="Arial" w:hAnsi="Arial"/>
          <w:sz w:val="18"/>
          <w:szCs w:val="18"/>
          <w:color w:val="auto"/>
        </w:rPr>
        <w:t>Houston, Texas 77056</w:t>
      </w:r>
    </w:p>
    <w:p>
      <w:pPr>
        <w:spacing w:after="0" w:line="1" w:lineRule="exact"/>
        <w:rPr>
          <w:sz w:val="20"/>
          <w:szCs w:val="20"/>
          <w:color w:val="auto"/>
        </w:rPr>
      </w:pPr>
    </w:p>
    <w:p>
      <w:pPr>
        <w:ind w:left="5520" w:right="4720" w:hanging="406"/>
        <w:spacing w:after="0" w:line="493" w:lineRule="auto"/>
        <w:tabs>
          <w:tab w:leader="none" w:pos="55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836-4000 S-42</w:t>
      </w:r>
    </w:p>
    <w:p>
      <w:pPr>
        <w:sectPr>
          <w:pgSz w:w="11900" w:h="16838" w:orient="portrait"/>
          <w:cols w:equalWidth="0" w:num="1">
            <w:col w:w="11040"/>
          </w:cols>
          <w:pgMar w:left="240" w:top="459" w:right="6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397635" cy="617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Weatherford International plc</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 Irish public limited company)</w:t>
      </w:r>
    </w:p>
    <w:p>
      <w:pPr>
        <w:spacing w:after="0" w:line="68"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Ordinary shares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auto"/>
        </w:rPr>
        <w:t>Guarantees of debt securities</w:t>
      </w:r>
    </w:p>
    <w:p>
      <w:pPr>
        <w:spacing w:after="0" w:line="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Weatherford International Ltd.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Bermuda exempted company )</w:t>
      </w:r>
    </w:p>
    <w:p>
      <w:pPr>
        <w:spacing w:after="0" w:line="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Debt securities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Guarantees of debt securities</w:t>
      </w:r>
    </w:p>
    <w:p>
      <w:pPr>
        <w:spacing w:after="0" w:line="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Weatherford International,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Debt securities</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Guarantees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82" w:lineRule="exact"/>
        <w:rPr>
          <w:sz w:val="20"/>
          <w:szCs w:val="20"/>
          <w:color w:val="auto"/>
        </w:rPr>
      </w:pPr>
    </w:p>
    <w:p>
      <w:pPr>
        <w:spacing w:after="0" w:line="244" w:lineRule="auto"/>
        <w:rPr>
          <w:rFonts w:ascii="Arial" w:cs="Arial" w:eastAsia="Arial" w:hAnsi="Arial"/>
          <w:sz w:val="18"/>
          <w:szCs w:val="18"/>
          <w:b w:val="1"/>
          <w:bCs w:val="1"/>
          <w:color w:val="0000EE"/>
        </w:rPr>
      </w:pPr>
      <w:hyperlink w:anchor="page55">
        <w:r>
          <w:rPr>
            <w:rFonts w:ascii="Arial" w:cs="Arial" w:eastAsia="Arial" w:hAnsi="Arial"/>
            <w:sz w:val="18"/>
            <w:szCs w:val="18"/>
            <w:b w:val="1"/>
            <w:bCs w:val="1"/>
            <w:color w:val="auto"/>
          </w:rPr>
          <w:t>Investing in our securities involves risk. You should carefully review the risks and uncertainties described under the headings “</w:t>
        </w:r>
        <w:r>
          <w:rPr>
            <w:rFonts w:ascii="Arial" w:cs="Arial" w:eastAsia="Arial" w:hAnsi="Arial"/>
            <w:sz w:val="18"/>
            <w:szCs w:val="18"/>
            <w:b w:val="1"/>
            <w:bCs w:val="1"/>
            <w:u w:val="single" w:color="auto"/>
            <w:color w:val="0000EE"/>
          </w:rPr>
          <w:t>Forward-</w:t>
        </w:r>
      </w:hyperlink>
      <w:hyperlink w:anchor="page55">
        <w:r>
          <w:rPr>
            <w:rFonts w:ascii="Arial" w:cs="Arial" w:eastAsia="Arial" w:hAnsi="Arial"/>
            <w:sz w:val="18"/>
            <w:szCs w:val="18"/>
            <w:b w:val="1"/>
            <w:bCs w:val="1"/>
            <w:u w:val="single" w:color="auto"/>
            <w:color w:val="0000EE"/>
          </w:rPr>
          <w:t>Looking Statements</w:t>
        </w:r>
        <w:r>
          <w:rPr>
            <w:rFonts w:ascii="Arial" w:cs="Arial" w:eastAsia="Arial" w:hAnsi="Arial"/>
            <w:sz w:val="18"/>
            <w:szCs w:val="18"/>
            <w:b w:val="1"/>
            <w:bCs w:val="1"/>
            <w:color w:val="000000"/>
          </w:rPr>
          <w:t>” on page 4 and “</w:t>
        </w:r>
      </w:hyperlink>
      <w:hyperlink w:anchor="page56">
        <w:r>
          <w:rPr>
            <w:rFonts w:ascii="Arial" w:cs="Arial" w:eastAsia="Arial" w:hAnsi="Arial"/>
            <w:sz w:val="18"/>
            <w:szCs w:val="18"/>
            <w:b w:val="1"/>
            <w:bCs w:val="1"/>
            <w:u w:val="single" w:color="auto"/>
            <w:color w:val="0000EE"/>
          </w:rPr>
          <w:t>Risk Factors</w:t>
        </w:r>
      </w:hyperlink>
      <w:hyperlink w:anchor="page55">
        <w:r>
          <w:rPr>
            <w:rFonts w:ascii="Arial" w:cs="Arial" w:eastAsia="Arial" w:hAnsi="Arial"/>
            <w:sz w:val="18"/>
            <w:szCs w:val="18"/>
            <w:b w:val="1"/>
            <w:bCs w:val="1"/>
            <w:color w:val="000000"/>
          </w:rPr>
          <w:t>” on page 5 herein and in the applicable prospectus supplement and any related free</w:t>
        </w:r>
      </w:hyperlink>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writing prospectus and under similar headings in the other documents incorporated by reference into this prospectus and the accompanying prospectus supplement.</w:t>
      </w:r>
    </w:p>
    <w:p>
      <w:pPr>
        <w:spacing w:after="0" w:line="20" w:lineRule="exact"/>
        <w:rPr>
          <w:rFonts w:ascii="Arial" w:cs="Arial" w:eastAsia="Arial" w:hAnsi="Arial"/>
          <w:sz w:val="18"/>
          <w:szCs w:val="18"/>
          <w:b w:val="1"/>
          <w:bCs w:val="1"/>
          <w:color w:val="0000EE"/>
        </w:rPr>
      </w:pPr>
      <w:r>
        <w:rPr>
          <w:rFonts w:ascii="Arial" w:cs="Arial" w:eastAsia="Arial" w:hAnsi="Arial"/>
          <w:sz w:val="18"/>
          <w:szCs w:val="18"/>
          <w:b w:val="1"/>
          <w:bCs w:val="1"/>
          <w:color w:val="0000EE"/>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rFonts w:ascii="Arial" w:cs="Arial" w:eastAsia="Arial" w:hAnsi="Arial"/>
          <w:sz w:val="18"/>
          <w:szCs w:val="18"/>
          <w:b w:val="1"/>
          <w:bCs w:val="1"/>
          <w:color w:val="0000EE"/>
        </w:rPr>
      </w:pPr>
    </w:p>
    <w:p>
      <w:pPr>
        <w:ind w:right="560"/>
        <w:spacing w:after="0" w:line="328"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rFonts w:ascii="Arial" w:cs="Arial" w:eastAsia="Arial" w:hAnsi="Arial"/>
          <w:sz w:val="18"/>
          <w:szCs w:val="18"/>
          <w:b w:val="1"/>
          <w:bCs w:val="1"/>
          <w:color w:val="0000EE"/>
        </w:rPr>
      </w:pPr>
      <w:r>
        <w:rPr>
          <w:rFonts w:ascii="Arial" w:cs="Arial" w:eastAsia="Arial" w:hAnsi="Arial"/>
          <w:sz w:val="18"/>
          <w:szCs w:val="18"/>
          <w:b w:val="1"/>
          <w:bCs w:val="1"/>
          <w:color w:val="0000EE"/>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rFonts w:ascii="Arial" w:cs="Arial" w:eastAsia="Arial" w:hAnsi="Arial"/>
          <w:sz w:val="18"/>
          <w:szCs w:val="18"/>
          <w:b w:val="1"/>
          <w:bCs w:val="1"/>
          <w:color w:val="0000EE"/>
        </w:rPr>
      </w:pPr>
    </w:p>
    <w:p>
      <w:pPr>
        <w:spacing w:after="0"/>
        <w:rPr>
          <w:sz w:val="20"/>
          <w:szCs w:val="20"/>
          <w:color w:val="auto"/>
        </w:rPr>
      </w:pPr>
      <w:r>
        <w:rPr>
          <w:rFonts w:ascii="Arial" w:cs="Arial" w:eastAsia="Arial" w:hAnsi="Arial"/>
          <w:sz w:val="18"/>
          <w:szCs w:val="18"/>
          <w:b w:val="1"/>
          <w:bCs w:val="1"/>
          <w:color w:val="auto"/>
        </w:rPr>
        <w:t>The date of this prospectus is June 17, 2014.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232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ABOUT THIS PROSPECTUS</w:t>
              </w:r>
            </w:hyperlink>
          </w:p>
        </w:tc>
        <w:tc>
          <w:tcPr>
            <w:tcW w:w="2440" w:type="dxa"/>
            <w:vAlign w:val="bottom"/>
            <w:gridSpan w:val="6"/>
          </w:tcPr>
          <w:p>
            <w:pPr>
              <w:spacing w:after="0"/>
              <w:rPr>
                <w:sz w:val="20"/>
                <w:szCs w:val="20"/>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ABOUT US</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29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FORWARD LOOKING STATEMENTS</w:t>
              </w:r>
            </w:hyperlink>
          </w:p>
        </w:tc>
        <w:tc>
          <w:tcPr>
            <w:tcW w:w="840" w:type="dxa"/>
            <w:vAlign w:val="bottom"/>
            <w:tcBorders>
              <w:top w:val="single" w:sz="8" w:color="0000EE"/>
            </w:tcBorders>
            <w:gridSpan w:val="2"/>
          </w:tcPr>
          <w:p>
            <w:pPr>
              <w:spacing w:after="0"/>
              <w:rPr>
                <w:sz w:val="21"/>
                <w:szCs w:val="21"/>
                <w:color w:val="auto"/>
              </w:rPr>
            </w:pPr>
          </w:p>
        </w:tc>
        <w:tc>
          <w:tcPr>
            <w:tcW w:w="960" w:type="dxa"/>
            <w:vAlign w:val="bottom"/>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13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RISK FACTORS</w:t>
              </w:r>
            </w:hyperlink>
          </w:p>
        </w:tc>
        <w:tc>
          <w:tcPr>
            <w:tcW w:w="3460" w:type="dxa"/>
            <w:vAlign w:val="bottom"/>
            <w:gridSpan w:val="10"/>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7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USE OF PROCEEDS</w:t>
              </w:r>
            </w:hyperlink>
          </w:p>
        </w:tc>
        <w:tc>
          <w:tcPr>
            <w:tcW w:w="3060" w:type="dxa"/>
            <w:vAlign w:val="bottom"/>
            <w:gridSpan w:val="8"/>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RATIO OF EARNINGS TO FIXED CHARGES</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3560" w:type="dxa"/>
            <w:vAlign w:val="bottom"/>
            <w:tcBorders>
              <w:top w:val="single" w:sz="8" w:color="0000EE"/>
            </w:tcBorders>
            <w:gridSpan w:val="1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DESCRIPTION OF SECURITIES</w:t>
              </w:r>
            </w:hyperlink>
          </w:p>
        </w:tc>
        <w:tc>
          <w:tcPr>
            <w:tcW w:w="1200" w:type="dxa"/>
            <w:vAlign w:val="bottom"/>
            <w:gridSpan w:val="2"/>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25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SELLING SECURITYHOLDERS</w:t>
              </w:r>
            </w:hyperlink>
          </w:p>
        </w:tc>
        <w:tc>
          <w:tcPr>
            <w:tcW w:w="60" w:type="dxa"/>
            <w:vAlign w:val="bottom"/>
            <w:tcBorders>
              <w:top w:val="single" w:sz="8" w:color="0000EE"/>
            </w:tcBorders>
          </w:tcPr>
          <w:p>
            <w:pPr>
              <w:spacing w:after="0"/>
              <w:rPr>
                <w:sz w:val="21"/>
                <w:szCs w:val="21"/>
                <w:color w:val="auto"/>
              </w:rPr>
            </w:pPr>
          </w:p>
        </w:tc>
        <w:tc>
          <w:tcPr>
            <w:tcW w:w="2160" w:type="dxa"/>
            <w:vAlign w:val="bottom"/>
            <w:gridSpan w:val="4"/>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4760" w:type="dxa"/>
            <w:vAlign w:val="bottom"/>
            <w:gridSpan w:val="1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204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2720" w:type="dxa"/>
            <w:vAlign w:val="bottom"/>
            <w:gridSpan w:val="7"/>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1440" w:type="dxa"/>
            <w:vAlign w:val="bottom"/>
            <w:tcBorders>
              <w:top w:val="single" w:sz="8" w:color="0000EE"/>
            </w:tcBorders>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3320" w:type="dxa"/>
            <w:vAlign w:val="bottom"/>
            <w:gridSpan w:val="9"/>
          </w:tcPr>
          <w:p>
            <w:pPr>
              <w:spacing w:after="0"/>
              <w:rPr>
                <w:sz w:val="21"/>
                <w:szCs w:val="21"/>
                <w:color w:val="auto"/>
              </w:rPr>
            </w:pPr>
          </w:p>
        </w:tc>
        <w:tc>
          <w:tcPr>
            <w:tcW w:w="6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0"/>
        </w:trPr>
        <w:tc>
          <w:tcPr>
            <w:tcW w:w="8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560" w:type="dxa"/>
            <w:vAlign w:val="bottom"/>
          </w:tcPr>
          <w:p>
            <w:pPr>
              <w:jc w:val="right"/>
              <w:ind w:right="5494"/>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this prospectus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17"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17" w:lineRule="exact"/>
        <w:rPr>
          <w:rFonts w:ascii="Arial" w:cs="Arial" w:eastAsia="Arial" w:hAnsi="Arial"/>
          <w:sz w:val="18"/>
          <w:szCs w:val="18"/>
          <w:color w:val="auto"/>
        </w:rPr>
      </w:pPr>
    </w:p>
    <w:p>
      <w:pPr>
        <w:ind w:left="220" w:right="62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114"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114" w:lineRule="exact"/>
        <w:rPr>
          <w:rFonts w:ascii="Arial" w:cs="Arial" w:eastAsia="Arial" w:hAnsi="Arial"/>
          <w:sz w:val="18"/>
          <w:szCs w:val="18"/>
          <w:color w:val="auto"/>
        </w:rPr>
      </w:pPr>
    </w:p>
    <w:p>
      <w:pPr>
        <w:ind w:left="220" w:right="800" w:hanging="212"/>
        <w:spacing w:after="0" w:line="239"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7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About us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0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00" w:lineRule="exact"/>
        <w:rPr>
          <w:sz w:val="20"/>
          <w:szCs w:val="20"/>
          <w:color w:val="auto"/>
        </w:rPr>
      </w:pPr>
    </w:p>
    <w:p>
      <w:pPr>
        <w:ind w:right="1160"/>
        <w:spacing w:after="0" w:line="239"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114" w:lineRule="exact"/>
        <w:rPr>
          <w:sz w:val="20"/>
          <w:szCs w:val="20"/>
          <w:color w:val="auto"/>
        </w:rPr>
      </w:pPr>
    </w:p>
    <w:p>
      <w:pPr>
        <w:ind w:left="220" w:right="320" w:hanging="212"/>
        <w:spacing w:after="0" w:line="239"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SEC on February 25, 2014;</w:t>
      </w:r>
    </w:p>
    <w:p>
      <w:pPr>
        <w:spacing w:after="0" w:line="114" w:lineRule="exact"/>
        <w:rPr>
          <w:rFonts w:ascii="Arial" w:cs="Arial" w:eastAsia="Arial" w:hAnsi="Arial"/>
          <w:sz w:val="18"/>
          <w:szCs w:val="18"/>
          <w:color w:val="auto"/>
        </w:rPr>
      </w:pPr>
    </w:p>
    <w:p>
      <w:pPr>
        <w:ind w:left="220" w:right="140" w:hanging="212"/>
        <w:spacing w:after="0" w:line="239"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Weatherford Switzerland’s Quarterly Report on Form 10-Q for the quarter ended March 31, 2014, as filed with the SEC on April 29, 2014;</w:t>
      </w:r>
    </w:p>
    <w:p>
      <w:pPr>
        <w:spacing w:after="0" w:line="117" w:lineRule="exact"/>
        <w:rPr>
          <w:rFonts w:ascii="Arial" w:cs="Arial" w:eastAsia="Arial" w:hAnsi="Arial"/>
          <w:sz w:val="18"/>
          <w:szCs w:val="18"/>
          <w:color w:val="auto"/>
        </w:rPr>
      </w:pPr>
    </w:p>
    <w:p>
      <w:pPr>
        <w:ind w:left="220" w:right="120" w:hanging="212"/>
        <w:spacing w:after="0" w:line="238"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113"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114"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0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70"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jc w:val="center"/>
        <w:ind w:right="-19"/>
        <w:spacing w:after="0" w:line="236" w:lineRule="auto"/>
        <w:rPr>
          <w:sz w:val="20"/>
          <w:szCs w:val="20"/>
          <w:color w:val="auto"/>
        </w:rPr>
      </w:pPr>
      <w:r>
        <w:rPr>
          <w:rFonts w:ascii="Arial" w:cs="Arial" w:eastAsia="Arial" w:hAnsi="Arial"/>
          <w:sz w:val="18"/>
          <w:szCs w:val="18"/>
          <w:color w:val="auto"/>
        </w:rPr>
        <w:t>Weatherford International Ltd.</w:t>
      </w:r>
    </w:p>
    <w:p>
      <w:pPr>
        <w:jc w:val="center"/>
        <w:ind w:right="-19"/>
        <w:spacing w:after="0" w:line="235" w:lineRule="auto"/>
        <w:rPr>
          <w:sz w:val="20"/>
          <w:szCs w:val="20"/>
          <w:color w:val="auto"/>
        </w:rPr>
      </w:pPr>
      <w:r>
        <w:rPr>
          <w:rFonts w:ascii="Arial" w:cs="Arial" w:eastAsia="Arial" w:hAnsi="Arial"/>
          <w:sz w:val="18"/>
          <w:szCs w:val="18"/>
          <w:color w:val="auto"/>
        </w:rPr>
        <w:t>Attention: Investor Relations</w:t>
      </w:r>
    </w:p>
    <w:p>
      <w:pPr>
        <w:jc w:val="center"/>
        <w:ind w:right="-19"/>
        <w:spacing w:after="0" w:line="235" w:lineRule="auto"/>
        <w:rPr>
          <w:sz w:val="20"/>
          <w:szCs w:val="20"/>
          <w:color w:val="auto"/>
        </w:rPr>
      </w:pPr>
      <w:r>
        <w:rPr>
          <w:rFonts w:ascii="Arial" w:cs="Arial" w:eastAsia="Arial" w:hAnsi="Arial"/>
          <w:sz w:val="18"/>
          <w:szCs w:val="18"/>
          <w:color w:val="auto"/>
        </w:rPr>
        <w:t>2000 St. James Place</w:t>
      </w:r>
    </w:p>
    <w:p>
      <w:pPr>
        <w:jc w:val="center"/>
        <w:ind w:right="-19"/>
        <w:spacing w:after="0" w:line="235" w:lineRule="auto"/>
        <w:rPr>
          <w:sz w:val="20"/>
          <w:szCs w:val="20"/>
          <w:color w:val="auto"/>
        </w:rPr>
      </w:pPr>
      <w:r>
        <w:rPr>
          <w:rFonts w:ascii="Arial" w:cs="Arial" w:eastAsia="Arial" w:hAnsi="Arial"/>
          <w:sz w:val="18"/>
          <w:szCs w:val="18"/>
          <w:color w:val="auto"/>
        </w:rPr>
        <w:t>Houston, Texas 77056</w:t>
      </w:r>
    </w:p>
    <w:p>
      <w:pPr>
        <w:ind w:left="5580" w:hanging="466"/>
        <w:spacing w:after="0"/>
        <w:tabs>
          <w:tab w:leader="none" w:pos="5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836-4000</w:t>
      </w:r>
    </w:p>
    <w:p>
      <w:pPr>
        <w:spacing w:after="0" w:line="14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Forward-looking statements</w:t>
      </w:r>
    </w:p>
    <w:p>
      <w:pPr>
        <w:spacing w:after="0" w:line="15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121" w:lineRule="exact"/>
        <w:rPr>
          <w:sz w:val="20"/>
          <w:szCs w:val="20"/>
          <w:color w:val="auto"/>
        </w:rPr>
      </w:pPr>
    </w:p>
    <w:p>
      <w:pPr>
        <w:ind w:left="220" w:right="940" w:hanging="212"/>
        <w:spacing w:after="0" w:line="239"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117"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17" w:lineRule="exact"/>
        <w:rPr>
          <w:rFonts w:ascii="Arial" w:cs="Arial" w:eastAsia="Arial" w:hAnsi="Arial"/>
          <w:sz w:val="18"/>
          <w:szCs w:val="18"/>
          <w:color w:val="auto"/>
        </w:rPr>
      </w:pPr>
    </w:p>
    <w:p>
      <w:pPr>
        <w:ind w:left="220" w:right="220" w:hanging="212"/>
        <w:spacing w:after="0" w:line="239" w:lineRule="auto"/>
        <w:tabs>
          <w:tab w:leader="none" w:pos="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Ratio of earnings to fixed charges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Three Months Ended</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100" w:type="dxa"/>
            <w:vAlign w:val="bottom"/>
          </w:tcPr>
          <w:p>
            <w:pPr>
              <w:spacing w:after="0"/>
              <w:rPr>
                <w:sz w:val="19"/>
                <w:szCs w:val="19"/>
                <w:color w:val="auto"/>
              </w:rPr>
            </w:pPr>
          </w:p>
        </w:tc>
      </w:tr>
      <w:tr>
        <w:trPr>
          <w:trHeight w:val="223"/>
        </w:trPr>
        <w:tc>
          <w:tcPr>
            <w:tcW w:w="5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March 31, 2014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2013</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4"/>
              </w:rPr>
              <w:t>2012</w:t>
            </w: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19"/>
                <w:szCs w:val="19"/>
                <w:color w:val="auto"/>
              </w:rPr>
            </w:pPr>
          </w:p>
        </w:tc>
      </w:tr>
      <w:tr>
        <w:trPr>
          <w:trHeight w:val="199"/>
        </w:trPr>
        <w:tc>
          <w:tcPr>
            <w:tcW w:w="7820" w:type="dxa"/>
            <w:vAlign w:val="bottom"/>
            <w:gridSpan w:val="4"/>
            <w:shd w:val="clear" w:color="auto" w:fill="CCEEFF"/>
          </w:tcPr>
          <w:p>
            <w:pPr>
              <w:spacing w:after="0" w:line="200" w:lineRule="exact"/>
              <w:rPr>
                <w:sz w:val="20"/>
                <w:szCs w:val="20"/>
                <w:color w:val="auto"/>
              </w:rPr>
            </w:pPr>
            <w:r>
              <w:rPr>
                <w:rFonts w:ascii="Arial" w:cs="Arial" w:eastAsia="Arial" w:hAnsi="Arial"/>
                <w:sz w:val="18"/>
                <w:szCs w:val="18"/>
                <w:b w:val="1"/>
                <w:bCs w:val="1"/>
                <w:color w:val="auto"/>
              </w:rPr>
              <w:t>Ratio of earnings to fixed charges</w:t>
            </w:r>
          </w:p>
        </w:tc>
        <w:tc>
          <w:tcPr>
            <w:tcW w:w="70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2.30x</w:t>
            </w:r>
          </w:p>
        </w:tc>
        <w:tc>
          <w:tcPr>
            <w:tcW w:w="80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1.34x</w:t>
            </w:r>
          </w:p>
        </w:tc>
        <w:tc>
          <w:tcPr>
            <w:tcW w:w="6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1.51x</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80" w:hanging="332"/>
        <w:spacing w:after="0" w:line="23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the three months ended March 31, 2014 and for the years ended December 31, 2013 and 2012, earnings before fixed charges were inadequate to cover fixed charges by $7 million, $211 million and $349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computing the ratio of earnings to fixed charges, earnings are divided by fixed charges. “Earnings” represent the aggregate of</w:t>
      </w:r>
    </w:p>
    <w:p>
      <w:pPr>
        <w:ind w:left="280" w:hanging="272"/>
        <w:spacing w:after="0" w:line="234"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earnings (loss) before income taxes, minority interest, discontinued operations and equity in earnings of unconsolidated investees and</w:t>
      </w:r>
    </w:p>
    <w:p>
      <w:pPr>
        <w:ind w:right="440" w:firstLine="8"/>
        <w:spacing w:after="0" w:line="238" w:lineRule="auto"/>
        <w:tabs>
          <w:tab w:leader="none" w:pos="2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securities</w:t>
      </w:r>
    </w:p>
    <w:p>
      <w:pPr>
        <w:spacing w:after="0" w:line="15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Selling securityholders</w:t>
      </w:r>
    </w:p>
    <w:p>
      <w:pPr>
        <w:spacing w:after="0" w:line="15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Plan of distribution</w:t>
      </w:r>
    </w:p>
    <w:p>
      <w:pPr>
        <w:spacing w:after="0" w:line="158"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Interests of named experts and counsel</w:t>
      </w:r>
    </w:p>
    <w:p>
      <w:pPr>
        <w:spacing w:after="0" w:line="1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Weatherford International plc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100,000,000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1341755</wp:posOffset>
            </wp:positionV>
            <wp:extent cx="1397635" cy="6172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7160" w:type="dxa"/>
            <w:vAlign w:val="bottom"/>
          </w:tcPr>
          <w:p>
            <w:pPr>
              <w:jc w:val="center"/>
              <w:ind w:right="4100"/>
              <w:spacing w:after="0"/>
              <w:rPr>
                <w:sz w:val="20"/>
                <w:szCs w:val="20"/>
                <w:color w:val="auto"/>
              </w:rPr>
            </w:pPr>
            <w:r>
              <w:rPr>
                <w:rFonts w:ascii="Arial" w:cs="Arial" w:eastAsia="Arial" w:hAnsi="Arial"/>
                <w:sz w:val="18"/>
                <w:szCs w:val="18"/>
                <w:i w:val="1"/>
                <w:iCs w:val="1"/>
                <w:color w:val="auto"/>
                <w:w w:val="97"/>
              </w:rPr>
              <w:t>Joint Book-Running Managers</w:t>
            </w:r>
          </w:p>
        </w:tc>
      </w:tr>
      <w:tr>
        <w:trPr>
          <w:trHeight w:val="530"/>
        </w:trPr>
        <w:tc>
          <w:tcPr>
            <w:tcW w:w="426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716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334"/>
        </w:trPr>
        <w:tc>
          <w:tcPr>
            <w:tcW w:w="4260" w:type="dxa"/>
            <w:vAlign w:val="bottom"/>
          </w:tcPr>
          <w:p>
            <w:pPr>
              <w:spacing w:after="0"/>
              <w:rPr>
                <w:sz w:val="24"/>
                <w:szCs w:val="24"/>
                <w:color w:val="auto"/>
              </w:rPr>
            </w:pPr>
          </w:p>
        </w:tc>
        <w:tc>
          <w:tcPr>
            <w:tcW w:w="7160" w:type="dxa"/>
            <w:vAlign w:val="bottom"/>
          </w:tcPr>
          <w:p>
            <w:pPr>
              <w:jc w:val="center"/>
              <w:ind w:right="4120"/>
              <w:spacing w:after="0"/>
              <w:rPr>
                <w:sz w:val="20"/>
                <w:szCs w:val="20"/>
                <w:color w:val="auto"/>
              </w:rPr>
            </w:pPr>
            <w:r>
              <w:rPr>
                <w:rFonts w:ascii="Arial" w:cs="Arial" w:eastAsia="Arial" w:hAnsi="Arial"/>
                <w:sz w:val="18"/>
                <w:szCs w:val="18"/>
                <w:i w:val="1"/>
                <w:iCs w:val="1"/>
                <w:color w:val="auto"/>
                <w:w w:val="97"/>
              </w:rPr>
              <w:t>Senior Co-Managers</w:t>
            </w:r>
          </w:p>
        </w:tc>
      </w:tr>
      <w:tr>
        <w:trPr>
          <w:trHeight w:val="479"/>
        </w:trPr>
        <w:tc>
          <w:tcPr>
            <w:tcW w:w="42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7160" w:type="dxa"/>
            <w:vAlign w:val="bottom"/>
          </w:tcPr>
          <w:p>
            <w:pPr>
              <w:jc w:val="right"/>
              <w:spacing w:after="0"/>
              <w:rPr>
                <w:sz w:val="20"/>
                <w:szCs w:val="20"/>
                <w:color w:val="auto"/>
              </w:rPr>
            </w:pPr>
            <w:r>
              <w:rPr>
                <w:rFonts w:ascii="Arial" w:cs="Arial" w:eastAsia="Arial" w:hAnsi="Arial"/>
                <w:sz w:val="32"/>
                <w:szCs w:val="32"/>
                <w:b w:val="1"/>
                <w:bCs w:val="1"/>
                <w:color w:val="auto"/>
              </w:rPr>
              <w:t>Credit Agricole CIB</w:t>
            </w:r>
          </w:p>
        </w:tc>
      </w:tr>
      <w:tr>
        <w:trPr>
          <w:trHeight w:val="378"/>
        </w:trPr>
        <w:tc>
          <w:tcPr>
            <w:tcW w:w="4260" w:type="dxa"/>
            <w:vAlign w:val="bottom"/>
          </w:tcPr>
          <w:p>
            <w:pPr>
              <w:spacing w:after="0"/>
              <w:rPr>
                <w:sz w:val="20"/>
                <w:szCs w:val="20"/>
                <w:color w:val="auto"/>
              </w:rPr>
            </w:pPr>
            <w:r>
              <w:rPr>
                <w:rFonts w:ascii="Arial" w:cs="Arial" w:eastAsia="Arial" w:hAnsi="Arial"/>
                <w:sz w:val="32"/>
                <w:szCs w:val="32"/>
                <w:b w:val="1"/>
                <w:bCs w:val="1"/>
                <w:color w:val="auto"/>
              </w:rPr>
              <w:t>Deutsche Bank Securities</w:t>
            </w:r>
          </w:p>
        </w:tc>
        <w:tc>
          <w:tcPr>
            <w:tcW w:w="7160" w:type="dxa"/>
            <w:vAlign w:val="bottom"/>
          </w:tcPr>
          <w:p>
            <w:pPr>
              <w:jc w:val="right"/>
              <w:spacing w:after="0"/>
              <w:rPr>
                <w:sz w:val="20"/>
                <w:szCs w:val="20"/>
                <w:color w:val="auto"/>
              </w:rPr>
            </w:pPr>
            <w:r>
              <w:rPr>
                <w:rFonts w:ascii="Arial" w:cs="Arial" w:eastAsia="Arial" w:hAnsi="Arial"/>
                <w:sz w:val="32"/>
                <w:szCs w:val="32"/>
                <w:b w:val="1"/>
                <w:bCs w:val="1"/>
                <w:color w:val="auto"/>
              </w:rPr>
              <w:t>MUFG</w:t>
            </w:r>
          </w:p>
        </w:tc>
      </w:tr>
      <w:tr>
        <w:trPr>
          <w:trHeight w:val="429"/>
        </w:trPr>
        <w:tc>
          <w:tcPr>
            <w:tcW w:w="4260" w:type="dxa"/>
            <w:vAlign w:val="bottom"/>
          </w:tcPr>
          <w:p>
            <w:pPr>
              <w:spacing w:after="0"/>
              <w:rPr>
                <w:sz w:val="20"/>
                <w:szCs w:val="20"/>
                <w:color w:val="auto"/>
              </w:rPr>
            </w:pPr>
            <w:r>
              <w:rPr>
                <w:rFonts w:ascii="Arial" w:cs="Arial" w:eastAsia="Arial" w:hAnsi="Arial"/>
                <w:sz w:val="32"/>
                <w:szCs w:val="32"/>
                <w:b w:val="1"/>
                <w:bCs w:val="1"/>
                <w:color w:val="auto"/>
              </w:rPr>
              <w:t>RBC Capital Markets</w:t>
            </w:r>
          </w:p>
        </w:tc>
        <w:tc>
          <w:tcPr>
            <w:tcW w:w="7160" w:type="dxa"/>
            <w:vAlign w:val="bottom"/>
          </w:tcPr>
          <w:p>
            <w:pPr>
              <w:jc w:val="right"/>
              <w:spacing w:after="0"/>
              <w:rPr>
                <w:sz w:val="20"/>
                <w:szCs w:val="20"/>
                <w:color w:val="auto"/>
              </w:rPr>
            </w:pPr>
            <w:r>
              <w:rPr>
                <w:rFonts w:ascii="Arial" w:cs="Arial" w:eastAsia="Arial" w:hAnsi="Arial"/>
                <w:sz w:val="32"/>
                <w:szCs w:val="32"/>
                <w:b w:val="1"/>
                <w:bCs w:val="1"/>
                <w:color w:val="auto"/>
              </w:rPr>
              <w:t>Wells Fargo</w:t>
            </w:r>
          </w:p>
        </w:tc>
      </w:tr>
      <w:tr>
        <w:trPr>
          <w:trHeight w:val="348"/>
        </w:trPr>
        <w:tc>
          <w:tcPr>
            <w:tcW w:w="4260" w:type="dxa"/>
            <w:vAlign w:val="bottom"/>
          </w:tcPr>
          <w:p>
            <w:pPr>
              <w:spacing w:after="0"/>
              <w:rPr>
                <w:sz w:val="24"/>
                <w:szCs w:val="24"/>
                <w:color w:val="auto"/>
              </w:rPr>
            </w:pPr>
          </w:p>
        </w:tc>
        <w:tc>
          <w:tcPr>
            <w:tcW w:w="7160" w:type="dxa"/>
            <w:vAlign w:val="bottom"/>
          </w:tcPr>
          <w:p>
            <w:pPr>
              <w:jc w:val="center"/>
              <w:ind w:right="4120"/>
              <w:spacing w:after="0"/>
              <w:rPr>
                <w:sz w:val="20"/>
                <w:szCs w:val="20"/>
                <w:color w:val="auto"/>
              </w:rPr>
            </w:pPr>
            <w:r>
              <w:rPr>
                <w:rFonts w:ascii="Arial" w:cs="Arial" w:eastAsia="Arial" w:hAnsi="Arial"/>
                <w:sz w:val="18"/>
                <w:szCs w:val="18"/>
                <w:i w:val="1"/>
                <w:iCs w:val="1"/>
                <w:color w:val="auto"/>
                <w:w w:val="97"/>
              </w:rPr>
              <w:t>Co-Managers</w:t>
            </w:r>
          </w:p>
        </w:tc>
      </w:tr>
      <w:tr>
        <w:trPr>
          <w:trHeight w:val="493"/>
        </w:trPr>
        <w:tc>
          <w:tcPr>
            <w:tcW w:w="426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7160" w:type="dxa"/>
            <w:vAlign w:val="bottom"/>
          </w:tcPr>
          <w:p>
            <w:pPr>
              <w:jc w:val="right"/>
              <w:spacing w:after="0"/>
              <w:rPr>
                <w:sz w:val="20"/>
                <w:szCs w:val="20"/>
                <w:color w:val="auto"/>
              </w:rPr>
            </w:pPr>
            <w:r>
              <w:rPr>
                <w:rFonts w:ascii="Arial" w:cs="Arial" w:eastAsia="Arial" w:hAnsi="Arial"/>
                <w:sz w:val="32"/>
                <w:szCs w:val="32"/>
                <w:b w:val="1"/>
                <w:bCs w:val="1"/>
                <w:color w:val="auto"/>
              </w:rPr>
              <w:t>SEB</w:t>
            </w:r>
          </w:p>
        </w:tc>
      </w:tr>
      <w:tr>
        <w:trPr>
          <w:trHeight w:val="392"/>
        </w:trPr>
        <w:tc>
          <w:tcPr>
            <w:tcW w:w="4260" w:type="dxa"/>
            <w:vAlign w:val="bottom"/>
          </w:tcPr>
          <w:p>
            <w:pPr>
              <w:spacing w:after="0"/>
              <w:rPr>
                <w:sz w:val="20"/>
                <w:szCs w:val="20"/>
                <w:color w:val="auto"/>
              </w:rPr>
            </w:pPr>
            <w:r>
              <w:rPr>
                <w:rFonts w:ascii="Arial" w:cs="Arial" w:eastAsia="Arial" w:hAnsi="Arial"/>
                <w:sz w:val="32"/>
                <w:szCs w:val="32"/>
                <w:b w:val="1"/>
                <w:bCs w:val="1"/>
                <w:color w:val="auto"/>
              </w:rPr>
              <w:t>TD Securities</w:t>
            </w:r>
          </w:p>
        </w:tc>
        <w:tc>
          <w:tcPr>
            <w:tcW w:w="7160" w:type="dxa"/>
            <w:vAlign w:val="bottom"/>
          </w:tcPr>
          <w:p>
            <w:pPr>
              <w:jc w:val="right"/>
              <w:spacing w:after="0"/>
              <w:rPr>
                <w:sz w:val="20"/>
                <w:szCs w:val="20"/>
                <w:color w:val="auto"/>
              </w:rPr>
            </w:pPr>
            <w:r>
              <w:rPr>
                <w:rFonts w:ascii="Arial" w:cs="Arial" w:eastAsia="Arial" w:hAnsi="Arial"/>
                <w:sz w:val="32"/>
                <w:szCs w:val="32"/>
                <w:b w:val="1"/>
                <w:bCs w:val="1"/>
                <w:color w:val="auto"/>
              </w:rPr>
              <w:t>HSBC</w:t>
            </w:r>
          </w:p>
        </w:tc>
      </w:tr>
      <w:tr>
        <w:trPr>
          <w:trHeight w:val="429"/>
        </w:trPr>
        <w:tc>
          <w:tcPr>
            <w:tcW w:w="4260" w:type="dxa"/>
            <w:vAlign w:val="bottom"/>
          </w:tcPr>
          <w:p>
            <w:pPr>
              <w:spacing w:after="0"/>
              <w:rPr>
                <w:sz w:val="20"/>
                <w:szCs w:val="20"/>
                <w:color w:val="auto"/>
              </w:rPr>
            </w:pPr>
            <w:r>
              <w:rPr>
                <w:rFonts w:ascii="Arial" w:cs="Arial" w:eastAsia="Arial" w:hAnsi="Arial"/>
                <w:sz w:val="32"/>
                <w:szCs w:val="32"/>
                <w:b w:val="1"/>
                <w:bCs w:val="1"/>
                <w:color w:val="auto"/>
              </w:rPr>
              <w:t>UniCredit Capital Markets</w:t>
            </w:r>
          </w:p>
        </w:tc>
        <w:tc>
          <w:tcPr>
            <w:tcW w:w="7160" w:type="dxa"/>
            <w:vAlign w:val="bottom"/>
          </w:tcPr>
          <w:p>
            <w:pPr>
              <w:jc w:val="right"/>
              <w:spacing w:after="0"/>
              <w:rPr>
                <w:sz w:val="20"/>
                <w:szCs w:val="20"/>
                <w:color w:val="auto"/>
              </w:rPr>
            </w:pPr>
            <w:r>
              <w:rPr>
                <w:rFonts w:ascii="Arial" w:cs="Arial" w:eastAsia="Arial" w:hAnsi="Arial"/>
                <w:sz w:val="32"/>
                <w:szCs w:val="32"/>
                <w:b w:val="1"/>
                <w:bCs w:val="1"/>
                <w:color w:val="auto"/>
              </w:rPr>
              <w:t>BBVA</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1, 2016</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bullet"/>
      <w:start w:val="1"/>
    </w:lvl>
    <w:lvl w:ilvl="1">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lvl w:ilvl="1">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71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713"/>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2019-12-09T01:14:03Z</dcterms:created>
  <dcterms:modified xsi:type="dcterms:W3CDTF">2019-12-09T01:14:03Z</dcterms:modified>
</cp:coreProperties>
</file>