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January 18, 2022</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49"/>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231"/>
              <w:spacing w:after="0"/>
              <w:rPr>
                <w:sz w:val="20"/>
                <w:szCs w:val="20"/>
                <w:color w:val="auto"/>
              </w:rPr>
            </w:pPr>
            <w:r>
              <w:rPr>
                <w:rFonts w:ascii="Arial" w:cs="Arial" w:eastAsia="Arial" w:hAnsi="Arial"/>
                <w:sz w:val="18"/>
                <w:szCs w:val="18"/>
                <w:color w:val="auto"/>
                <w:w w:val="91"/>
              </w:rPr>
              <w:t>Trading Symbol</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23"/>
        </w:trPr>
        <w:tc>
          <w:tcPr>
            <w:tcW w:w="80" w:type="dxa"/>
            <w:vAlign w:val="bottom"/>
          </w:tcPr>
          <w:p>
            <w:pPr>
              <w:spacing w:after="0"/>
              <w:rPr>
                <w:sz w:val="19"/>
                <w:szCs w:val="19"/>
                <w:color w:val="auto"/>
              </w:rPr>
            </w:pPr>
          </w:p>
        </w:tc>
        <w:tc>
          <w:tcPr>
            <w:tcW w:w="4400" w:type="dxa"/>
            <w:vAlign w:val="bottom"/>
          </w:tcPr>
          <w:p>
            <w:pPr>
              <w:jc w:val="center"/>
              <w:ind w:right="191"/>
              <w:spacing w:after="0"/>
              <w:rPr>
                <w:sz w:val="20"/>
                <w:szCs w:val="20"/>
                <w:color w:val="auto"/>
              </w:rPr>
            </w:pPr>
            <w:r>
              <w:rPr>
                <w:rFonts w:ascii="Arial" w:cs="Arial" w:eastAsia="Arial" w:hAnsi="Arial"/>
                <w:sz w:val="18"/>
                <w:szCs w:val="18"/>
                <w:color w:val="auto"/>
                <w:w w:val="88"/>
              </w:rPr>
              <w:t>Ordinary shares, $0.001 par value per share</w:t>
            </w:r>
          </w:p>
        </w:tc>
        <w:tc>
          <w:tcPr>
            <w:tcW w:w="2160" w:type="dxa"/>
            <w:vAlign w:val="bottom"/>
          </w:tcPr>
          <w:p>
            <w:pPr>
              <w:jc w:val="center"/>
              <w:ind w:right="231"/>
              <w:spacing w:after="0"/>
              <w:rPr>
                <w:sz w:val="20"/>
                <w:szCs w:val="20"/>
                <w:color w:val="auto"/>
              </w:rPr>
            </w:pPr>
            <w:r>
              <w:rPr>
                <w:rFonts w:ascii="Arial" w:cs="Arial" w:eastAsia="Arial" w:hAnsi="Arial"/>
                <w:sz w:val="18"/>
                <w:szCs w:val="18"/>
                <w:color w:val="auto"/>
                <w:w w:val="96"/>
              </w:rPr>
              <w:t>WFRD</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78"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Item 5.02</w:t>
            </w:r>
          </w:p>
        </w:tc>
        <w:tc>
          <w:tcPr>
            <w:tcW w:w="9200" w:type="dxa"/>
            <w:vAlign w:val="bottom"/>
          </w:tcPr>
          <w:p>
            <w:pPr>
              <w:ind w:left="440"/>
              <w:spacing w:after="0"/>
              <w:rPr>
                <w:sz w:val="20"/>
                <w:szCs w:val="20"/>
                <w:color w:val="auto"/>
              </w:rPr>
            </w:pPr>
            <w:r>
              <w:rPr>
                <w:rFonts w:ascii="Arial" w:cs="Arial" w:eastAsia="Arial" w:hAnsi="Arial"/>
                <w:sz w:val="18"/>
                <w:szCs w:val="18"/>
                <w:b w:val="1"/>
                <w:bCs w:val="1"/>
                <w:color w:val="auto"/>
                <w:w w:val="90"/>
              </w:rPr>
              <w:t>Departure of Directors or Certain Officers; Election of Directors; Appointment of Certain Officers; Compensatory</w:t>
            </w:r>
          </w:p>
        </w:tc>
        <w:tc>
          <w:tcPr>
            <w:tcW w:w="0" w:type="dxa"/>
            <w:vAlign w:val="bottom"/>
          </w:tcPr>
          <w:p>
            <w:pPr>
              <w:spacing w:after="0"/>
              <w:rPr>
                <w:sz w:val="1"/>
                <w:szCs w:val="1"/>
                <w:color w:val="auto"/>
              </w:rPr>
            </w:pPr>
          </w:p>
        </w:tc>
      </w:tr>
      <w:tr>
        <w:trPr>
          <w:trHeight w:val="135"/>
        </w:trPr>
        <w:tc>
          <w:tcPr>
            <w:tcW w:w="1180" w:type="dxa"/>
            <w:vAlign w:val="bottom"/>
            <w:vMerge w:val="continue"/>
          </w:tcPr>
          <w:p>
            <w:pPr>
              <w:spacing w:after="0"/>
              <w:rPr>
                <w:sz w:val="11"/>
                <w:szCs w:val="11"/>
                <w:color w:val="auto"/>
              </w:rPr>
            </w:pPr>
          </w:p>
        </w:tc>
        <w:tc>
          <w:tcPr>
            <w:tcW w:w="92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Arrangements of Certain Officers.</w:t>
            </w:r>
          </w:p>
        </w:tc>
        <w:tc>
          <w:tcPr>
            <w:tcW w:w="0" w:type="dxa"/>
            <w:vAlign w:val="bottom"/>
          </w:tcPr>
          <w:p>
            <w:pPr>
              <w:spacing w:after="0"/>
              <w:rPr>
                <w:sz w:val="1"/>
                <w:szCs w:val="1"/>
                <w:color w:val="auto"/>
              </w:rPr>
            </w:pPr>
          </w:p>
        </w:tc>
      </w:tr>
      <w:tr>
        <w:trPr>
          <w:trHeight w:val="99"/>
        </w:trPr>
        <w:tc>
          <w:tcPr>
            <w:tcW w:w="1180" w:type="dxa"/>
            <w:vAlign w:val="bottom"/>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Forms of Award Agreement and Equity Awards - Named Executive Officer</w:t>
      </w:r>
    </w:p>
    <w:p>
      <w:pPr>
        <w:spacing w:after="0" w:line="25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On January 18, 2022, the Board of Directors (the “Board”) of Weatherford International plc (the “Company”) approved forms of restricted share unit (“RSU”) award agreement and performance share unit (“PSU”) award agreement (collectively, the “Award Agreements”) under the Company’s Second Amended and Restated 2019 Equity Incentive Plan for 2022 (the “2019 EIP”).</w:t>
      </w:r>
    </w:p>
    <w:p>
      <w:pPr>
        <w:spacing w:after="0" w:line="2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Awards made under the form RSU award agreement for our named executive officers generally vest in three equal annual installments over the three-year period from the date of grant. Awards made under the form PSU award agreement may be earned between 0% and 200% of the target award based on achievement of performance goals determined by the Committee (as defined in the 2019 EIP) and will vest following the completion of a three-year performance period. The underlying metrics are competitively sensitive information; therefore, they will be disclosed only in our future disclosures as performance periods are completed.</w:t>
      </w:r>
    </w:p>
    <w:p>
      <w:pPr>
        <w:spacing w:after="0" w:line="2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RSU award agreement applicable to our named executive officers, upon a termination of employment by the Company without “Cause” or by the participant for “Good Reason” (each as defined in the Award Agreements), as applicable, the participant will be entitled to accelerated vesting of a pro-rated portion of the next eligible tranche of any outstanding RSUs based on days elapsed in each tranche. Upon a Qualifying Termination (as defined in the Company’s Change in Control Severance Plan), all outstanding RSUs granted under the Award Agreements will accelerate and vest upon such termination of employment. All unvested RSUs are immediately forfeited if a participant’s service to the Company is terminated for any other reason.</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PSU award agreement applicable to our named executive officers, upon a termination of employment by the Company without “Cause” or by the participant for “Good Reason” (each as defined in the Award Agreements), as applicable, the participant will be eligible for accelerated vesting of outstanding PSUs, which will settle at the end of the applicable performance period based on actual performance through the end of the performance period, pro-rated for days elapsed prior to the date of termination. If a Change in Control (as defined in the Company’s Change in Control Severance Plan) occurs within 12 months following the grant date, and the participant experiences a Qualifying Termination (as defined in the Company’s Change in Control Severance Plan), the PSUs will vest at target performance. If the Change in Control occurs on or after 12 months following the grant date and the Participant experiences a Qualifying Termination, the PSUs will vest at the greater of target achievement or the actual performance through the date of such Change in Control. Upon a participant’s termination of service for any other reason, all unvested PSUs will be immediately forfeited.</w:t>
      </w:r>
    </w:p>
    <w:p>
      <w:pPr>
        <w:spacing w:after="0" w:line="193"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color w:val="auto"/>
        </w:rPr>
        <w:t>Each of the Award Agreements will be used to grant equity-based awards to Messrs. Saligram, Jennings and Weatherholt, with respect to the following numbers of ordinary shares of the Company per award:</w:t>
      </w:r>
    </w:p>
    <w:p>
      <w:pPr>
        <w:spacing w:after="0" w:line="220" w:lineRule="exact"/>
        <w:rPr>
          <w:sz w:val="20"/>
          <w:szCs w:val="20"/>
          <w:color w:val="auto"/>
        </w:rPr>
      </w:pPr>
    </w:p>
    <w:tbl>
      <w:tblPr>
        <w:tblLayout w:type="fixed"/>
        <w:tblInd w:w="2290" w:type="dxa"/>
        <w:tblCellMar>
          <w:top w:w="0" w:type="dxa"/>
          <w:left w:w="0" w:type="dxa"/>
          <w:bottom w:w="0" w:type="dxa"/>
          <w:right w:w="0" w:type="dxa"/>
        </w:tblCellMar>
      </w:tblPr>
      <w:tr>
        <w:trPr>
          <w:trHeight w:val="242"/>
        </w:trPr>
        <w:tc>
          <w:tcPr>
            <w:tcW w:w="22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RSUs</w:t>
            </w:r>
          </w:p>
        </w:tc>
        <w:tc>
          <w:tcPr>
            <w:tcW w:w="740" w:type="dxa"/>
            <w:vAlign w:val="bottom"/>
            <w:tcBorders>
              <w:top w:val="single" w:sz="8" w:color="auto"/>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jc w:val="right"/>
              <w:ind w:right="851"/>
              <w:spacing w:after="0"/>
              <w:rPr>
                <w:sz w:val="20"/>
                <w:szCs w:val="20"/>
                <w:color w:val="auto"/>
              </w:rPr>
            </w:pPr>
            <w:r>
              <w:rPr>
                <w:rFonts w:ascii="Arial" w:cs="Arial" w:eastAsia="Arial" w:hAnsi="Arial"/>
                <w:sz w:val="18"/>
                <w:szCs w:val="18"/>
                <w:color w:val="auto"/>
              </w:rPr>
              <w:t>PSUs</w:t>
            </w:r>
          </w:p>
        </w:tc>
      </w:tr>
      <w:tr>
        <w:trPr>
          <w:trHeight w:val="222"/>
        </w:trPr>
        <w:tc>
          <w:tcPr>
            <w:tcW w:w="22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Girish K. Saligram</w:t>
            </w:r>
          </w:p>
        </w:tc>
        <w:tc>
          <w:tcPr>
            <w:tcW w:w="1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84,518</w:t>
            </w:r>
          </w:p>
        </w:tc>
        <w:tc>
          <w:tcPr>
            <w:tcW w:w="224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126,777</w:t>
            </w:r>
          </w:p>
        </w:tc>
      </w:tr>
      <w:tr>
        <w:trPr>
          <w:trHeight w:val="222"/>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 Keith Jennings</w:t>
            </w:r>
          </w:p>
        </w:tc>
        <w:tc>
          <w:tcPr>
            <w:tcW w:w="14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34,025</w:t>
            </w:r>
          </w:p>
        </w:tc>
        <w:tc>
          <w:tcPr>
            <w:tcW w:w="22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34,025</w:t>
            </w:r>
          </w:p>
        </w:tc>
      </w:tr>
      <w:tr>
        <w:trPr>
          <w:trHeight w:val="222"/>
        </w:trPr>
        <w:tc>
          <w:tcPr>
            <w:tcW w:w="22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Scott C. Weatherholt</w:t>
            </w:r>
          </w:p>
        </w:tc>
        <w:tc>
          <w:tcPr>
            <w:tcW w:w="1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21,691</w:t>
            </w:r>
          </w:p>
        </w:tc>
        <w:tc>
          <w:tcPr>
            <w:tcW w:w="224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21,691</w:t>
            </w:r>
          </w:p>
        </w:tc>
      </w:tr>
    </w:tbl>
    <w:p>
      <w:pPr>
        <w:spacing w:after="0" w:line="308"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The foregoing summary is qualified in its entirety by the forms of Award Agreements, which are filed as Exhibits 10.01 and 10.2, respectively, to this Form 8-K and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Forms of Award Agreement - Directors</w:t>
      </w:r>
    </w:p>
    <w:p>
      <w:pPr>
        <w:spacing w:after="0" w:line="2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January 18, 2022, the Board also approved a form of RSU award agreement for the Company’s non-executive directors under the 2019 EIP. Awards made under the form RSU award agreement for our directors fully vest on the first anniversary of the date of grant. The RSUs will accelerate and vest if a non-executive director is terminated by the Company without cause or due to the non-executive director’s death or disability. If a non-executive director is terminated for any other reason, all unvested RSUs are immediately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686435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2" w:name="page3"/>
    <w:bookmarkEnd w:id="2"/>
    <w:p>
      <w:pPr>
        <w:spacing w:after="0" w:line="274" w:lineRule="auto"/>
        <w:rPr>
          <w:sz w:val="20"/>
          <w:szCs w:val="20"/>
          <w:color w:val="auto"/>
        </w:rPr>
      </w:pPr>
      <w:r>
        <w:rPr>
          <w:rFonts w:ascii="Arial" w:cs="Arial" w:eastAsia="Arial" w:hAnsi="Arial"/>
          <w:sz w:val="18"/>
          <w:szCs w:val="18"/>
          <w:color w:val="auto"/>
        </w:rPr>
        <w:t>The foregoing summary is qualified in its entirety by the form of Director Award Agreement, which is filed as Exhibit 10.3 to this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523240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60"/>
          </w:cols>
          <w:pgMar w:left="320" w:top="890" w:right="1219" w:bottom="1440" w:gutter="0" w:footer="0" w:header="0"/>
        </w:sectPr>
      </w:pPr>
    </w:p>
    <w:bookmarkStart w:id="3" w:name="page4"/>
    <w:bookmarkEnd w:id="3"/>
    <w:p>
      <w:pPr>
        <w:ind w:left="2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4" w:lineRule="exact"/>
        <w:rPr>
          <w:sz w:val="20"/>
          <w:szCs w:val="20"/>
          <w:color w:val="auto"/>
        </w:rPr>
      </w:pPr>
    </w:p>
    <w:p>
      <w:pPr>
        <w:ind w:left="1640" w:hanging="979"/>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 Number</w:t>
            </w:r>
          </w:p>
        </w:tc>
        <w:tc>
          <w:tcPr>
            <w:tcW w:w="9600" w:type="dxa"/>
            <w:vAlign w:val="bottom"/>
            <w:gridSpan w:val="4"/>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1"/>
        </w:trPr>
        <w:tc>
          <w:tcPr>
            <w:tcW w:w="15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15"/>
                <w:szCs w:val="15"/>
                <w:color w:val="auto"/>
              </w:rPr>
            </w:pPr>
          </w:p>
        </w:tc>
        <w:tc>
          <w:tcPr>
            <w:tcW w:w="9600" w:type="dxa"/>
            <w:vAlign w:val="bottom"/>
            <w:tcBorders>
              <w:top w:val="single" w:sz="8" w:color="auto"/>
            </w:tcBorders>
            <w:gridSpan w:val="4"/>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Form of Executive Officer Restricted Share Unit Award Agreement</w:t>
              </w:r>
            </w:hyperlink>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08"/>
        </w:trPr>
        <w:tc>
          <w:tcPr>
            <w:tcW w:w="152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18"/>
                <w:szCs w:val="18"/>
                <w:color w:val="auto"/>
              </w:rPr>
            </w:pPr>
          </w:p>
        </w:tc>
        <w:tc>
          <w:tcPr>
            <w:tcW w:w="50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7">
              <w:r>
                <w:rPr>
                  <w:rFonts w:ascii="Arial" w:cs="Arial" w:eastAsia="Arial" w:hAnsi="Arial"/>
                  <w:sz w:val="18"/>
                  <w:szCs w:val="18"/>
                  <w:color w:val="0000FF"/>
                  <w:w w:val="91"/>
                </w:rPr>
                <w:t>Form of Executive Officer Performance Share Unit Award Agreement</w:t>
              </w:r>
            </w:hyperlink>
          </w:p>
        </w:tc>
        <w:tc>
          <w:tcPr>
            <w:tcW w:w="4560" w:type="dxa"/>
            <w:vAlign w:val="bottom"/>
            <w:gridSpan w:val="2"/>
          </w:tcPr>
          <w:p>
            <w:pPr>
              <w:spacing w:after="0"/>
              <w:rPr>
                <w:sz w:val="18"/>
                <w:szCs w:val="18"/>
                <w:color w:val="auto"/>
              </w:rPr>
            </w:pPr>
          </w:p>
        </w:tc>
      </w:tr>
      <w:tr>
        <w:trPr>
          <w:trHeight w:val="208"/>
        </w:trPr>
        <w:tc>
          <w:tcPr>
            <w:tcW w:w="152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18"/>
                <w:szCs w:val="18"/>
                <w:color w:val="auto"/>
              </w:rPr>
            </w:pPr>
          </w:p>
        </w:tc>
        <w:tc>
          <w:tcPr>
            <w:tcW w:w="530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Form of Non-Executive Director Restricted Share Unit Award Agreement</w:t>
              </w:r>
            </w:hyperlink>
          </w:p>
        </w:tc>
        <w:tc>
          <w:tcPr>
            <w:tcW w:w="4300" w:type="dxa"/>
            <w:vAlign w:val="bottom"/>
          </w:tcPr>
          <w:p>
            <w:pPr>
              <w:spacing w:after="0"/>
              <w:rPr>
                <w:sz w:val="18"/>
                <w:szCs w:val="18"/>
                <w:color w:val="auto"/>
              </w:rPr>
            </w:pPr>
          </w:p>
        </w:tc>
      </w:tr>
    </w:tbl>
    <w:p>
      <w:pPr>
        <w:spacing w:after="0" w:line="26" w:lineRule="exact"/>
        <w:rPr>
          <w:sz w:val="20"/>
          <w:szCs w:val="20"/>
          <w:color w:val="auto"/>
        </w:rPr>
      </w:pPr>
    </w:p>
    <w:p>
      <w:pPr>
        <w:ind w:left="420" w:right="1620" w:firstLine="211"/>
        <w:spacing w:after="0" w:line="368" w:lineRule="auto"/>
        <w:tabs>
          <w:tab w:leader="none" w:pos="1659"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471170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January 20, 2022</w:t>
      </w:r>
    </w:p>
    <w:p>
      <w:pPr>
        <w:spacing w:after="0" w:line="2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Scott C. Weatherholt</w:t>
      </w:r>
    </w:p>
    <w:p>
      <w:pPr>
        <w:spacing w:after="0" w:line="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General Counsel,</w:t>
      </w:r>
    </w:p>
    <w:p>
      <w:pPr>
        <w:ind w:left="7300"/>
        <w:spacing w:after="0"/>
        <w:rPr>
          <w:sz w:val="20"/>
          <w:szCs w:val="20"/>
          <w:color w:val="auto"/>
        </w:rPr>
      </w:pPr>
      <w:r>
        <w:rPr>
          <w:rFonts w:ascii="Arial" w:cs="Arial" w:eastAsia="Arial" w:hAnsi="Arial"/>
          <w:sz w:val="18"/>
          <w:szCs w:val="18"/>
          <w:color w:val="auto"/>
        </w:rPr>
        <w:t>and Chief Compliance Officer</w:t>
      </w:r>
    </w:p>
    <w:p>
      <w:pPr>
        <w:sectPr>
          <w:pgSz w:w="11900" w:h="16838" w:orient="portrait"/>
          <w:cols w:equalWidth="0" w:num="1">
            <w:col w:w="11140"/>
          </w:cols>
          <w:pgMar w:left="320" w:top="886"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b w:val="1"/>
          <w:bCs w:val="1"/>
          <w:color w:val="auto"/>
        </w:rPr>
        <w:t>WEATHERFORD INTERNATIONAL PLC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SHARE UNIT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 2019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(TIME VESTING)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-7620</wp:posOffset>
            </wp:positionV>
            <wp:extent cx="681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 * * * *</w:t>
      </w:r>
    </w:p>
    <w:p>
      <w:pPr>
        <w:spacing w:after="0" w:line="215" w:lineRule="exact"/>
        <w:rPr>
          <w:sz w:val="20"/>
          <w:szCs w:val="20"/>
          <w:color w:val="auto"/>
        </w:rPr>
      </w:pPr>
    </w:p>
    <w:p>
      <w:pPr>
        <w:jc w:val="both"/>
        <w:ind w:firstLine="309"/>
        <w:spacing w:after="0" w:line="235" w:lineRule="auto"/>
        <w:rPr>
          <w:sz w:val="20"/>
          <w:szCs w:val="20"/>
          <w:color w:val="auto"/>
        </w:rPr>
      </w:pPr>
      <w:r>
        <w:rPr>
          <w:rFonts w:ascii="Arial" w:cs="Arial" w:eastAsia="Arial" w:hAnsi="Arial"/>
          <w:sz w:val="20"/>
          <w:szCs w:val="20"/>
          <w:b w:val="1"/>
          <w:bCs w:val="1"/>
          <w:color w:val="auto"/>
        </w:rPr>
        <w:t xml:space="preserve">THIS RESTRICTED SHARE UNIT AWARD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the Grant Date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above, is entered into by and between WEATHERFORD INTERNATIONAL PLC, a public limited company organized under the laws of Ireland (the “</w:t>
      </w:r>
      <w:r>
        <w:rPr>
          <w:rFonts w:ascii="Arial" w:cs="Arial" w:eastAsia="Arial" w:hAnsi="Arial"/>
          <w:sz w:val="20"/>
          <w:szCs w:val="20"/>
          <w:u w:val="single" w:color="auto"/>
          <w:color w:val="auto"/>
        </w:rPr>
        <w:t>Company</w:t>
      </w:r>
      <w:r>
        <w:rPr>
          <w:rFonts w:ascii="Arial" w:cs="Arial" w:eastAsia="Arial" w:hAnsi="Arial"/>
          <w:sz w:val="20"/>
          <w:szCs w:val="20"/>
          <w:color w:val="auto"/>
        </w:rPr>
        <w:t>”), and you as the Participant specified below, pursuant to that certain award letter regarding the awards granted hereunder dated January 18, 2022 (the “</w:t>
      </w:r>
      <w:r>
        <w:rPr>
          <w:rFonts w:ascii="Arial" w:cs="Arial" w:eastAsia="Arial" w:hAnsi="Arial"/>
          <w:sz w:val="20"/>
          <w:szCs w:val="20"/>
          <w:u w:val="single" w:color="auto"/>
          <w:color w:val="auto"/>
        </w:rPr>
        <w:t>Award Letter</w:t>
      </w:r>
      <w:r>
        <w:rPr>
          <w:rFonts w:ascii="Arial" w:cs="Arial" w:eastAsia="Arial" w:hAnsi="Arial"/>
          <w:sz w:val="20"/>
          <w:szCs w:val="20"/>
          <w:color w:val="auto"/>
        </w:rPr>
        <w:t>”) between the parties and further made subject to the Weatherford International plc Second Amended and Restated 2019 Equity Incentive Plan, as in effect and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which is administered by the Committee (as defined in the Plan); and</w:t>
      </w:r>
    </w:p>
    <w:p>
      <w:pPr>
        <w:spacing w:after="0" w:line="17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it has been determined under the Plan that it would be in the best interests of the Company to grant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w:t>
      </w:r>
      <w:r>
        <w:rPr>
          <w:rFonts w:ascii="Arial" w:cs="Arial" w:eastAsia="Arial" w:hAnsi="Arial"/>
          <w:sz w:val="21"/>
          <w:szCs w:val="21"/>
          <w:u w:val="single" w:color="auto"/>
          <w:color w:val="auto"/>
        </w:rPr>
        <w:t>RSUs</w:t>
      </w:r>
      <w:r>
        <w:rPr>
          <w:rFonts w:ascii="Arial" w:cs="Arial" w:eastAsia="Arial" w:hAnsi="Arial"/>
          <w:sz w:val="21"/>
          <w:szCs w:val="21"/>
          <w:color w:val="auto"/>
        </w:rPr>
        <w:t>”) provided herein to the Participant.</w:t>
      </w:r>
    </w:p>
    <w:p>
      <w:pPr>
        <w:spacing w:after="0" w:line="166"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mutual covenants and promises hereinafter set forth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is hereby acknowledged, the parties hereto hereby mutually covenant and agree as follows:</w:t>
      </w:r>
    </w:p>
    <w:p>
      <w:pPr>
        <w:spacing w:after="0" w:line="153" w:lineRule="exact"/>
        <w:rPr>
          <w:sz w:val="20"/>
          <w:szCs w:val="20"/>
          <w:color w:val="auto"/>
        </w:rPr>
      </w:pPr>
    </w:p>
    <w:p>
      <w:pPr>
        <w:jc w:val="both"/>
        <w:ind w:firstLine="1296"/>
        <w:spacing w:after="0" w:line="221" w:lineRule="auto"/>
        <w:tabs>
          <w:tab w:leader="none" w:pos="1933" w:val="left"/>
        </w:tabs>
        <w:numPr>
          <w:ilvl w:val="0"/>
          <w:numId w:val="4"/>
        </w:numPr>
        <w:rPr>
          <w:rFonts w:ascii="Arial" w:cs="Arial" w:eastAsia="Arial" w:hAnsi="Arial"/>
          <w:sz w:val="21"/>
          <w:szCs w:val="21"/>
          <w:color w:val="auto"/>
        </w:rPr>
      </w:pPr>
      <w:r>
        <w:rPr>
          <w:rFonts w:ascii="Arial" w:cs="Arial" w:eastAsia="Arial" w:hAnsi="Arial"/>
          <w:sz w:val="21"/>
          <w:szCs w:val="21"/>
          <w:b w:val="1"/>
          <w:bCs w:val="1"/>
          <w:u w:val="single" w:color="auto"/>
          <w:color w:val="auto"/>
        </w:rPr>
        <w:t>Incorporation By Reference; Plan Document Receipt</w:t>
      </w:r>
      <w:r>
        <w:rPr>
          <w:rFonts w:ascii="Arial" w:cs="Arial" w:eastAsia="Arial" w:hAnsi="Arial"/>
          <w:sz w:val="21"/>
          <w:szCs w:val="21"/>
          <w:color w:val="auto"/>
        </w:rPr>
        <w:t>. This Agreement is subject in all respects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53"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4"/>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Restricted Share Unit Award</w:t>
      </w:r>
      <w:r>
        <w:rPr>
          <w:rFonts w:ascii="Arial" w:cs="Arial" w:eastAsia="Arial" w:hAnsi="Arial"/>
          <w:sz w:val="21"/>
          <w:szCs w:val="21"/>
          <w:color w:val="auto"/>
        </w:rPr>
        <w:t>. The Company hereby grants the number of RSUs specified above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Participant, 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tabs>
          <w:tab w:leader="none" w:pos="8780" w:val="left"/>
        </w:tabs>
        <w:rPr>
          <w:sz w:val="20"/>
          <w:szCs w:val="20"/>
          <w:color w:val="auto"/>
        </w:rPr>
      </w:pPr>
      <w:r>
        <w:rPr>
          <w:rFonts w:ascii="Arial" w:cs="Arial" w:eastAsia="Arial" w:hAnsi="Arial"/>
          <w:sz w:val="14"/>
          <w:szCs w:val="14"/>
          <w:color w:val="auto"/>
        </w:rPr>
        <w:t>102951</w:t>
      </w:r>
      <w:r>
        <w:rPr>
          <w:sz w:val="20"/>
          <w:szCs w:val="20"/>
          <w:color w:val="auto"/>
        </w:rPr>
        <w:tab/>
      </w:r>
      <w:r>
        <w:rPr>
          <w:rFonts w:ascii="Arial" w:cs="Arial" w:eastAsia="Arial" w:hAnsi="Arial"/>
          <w:sz w:val="14"/>
          <w:szCs w:val="14"/>
          <w:color w:val="auto"/>
        </w:rPr>
        <w:t>RSU Agreement Executive – 3 Yr Vest</w:t>
      </w:r>
    </w:p>
    <w:p>
      <w:pPr>
        <w:sectPr>
          <w:pgSz w:w="11900" w:h="16838" w:orient="portrait"/>
          <w:cols w:equalWidth="0" w:num="1">
            <w:col w:w="11240"/>
          </w:cols>
          <w:pgMar w:left="320" w:top="1387"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respect of the Shares underlying the RSUs, except as otherwise specifically provided for in the Plan or this Agreement.</w:t>
      </w:r>
    </w:p>
    <w:p>
      <w:pPr>
        <w:spacing w:after="0" w:line="182" w:lineRule="exact"/>
        <w:rPr>
          <w:sz w:val="20"/>
          <w:szCs w:val="20"/>
          <w:color w:val="auto"/>
        </w:rPr>
      </w:pPr>
    </w:p>
    <w:p>
      <w:pPr>
        <w:ind w:left="1940" w:hanging="644"/>
        <w:spacing w:after="0"/>
        <w:tabs>
          <w:tab w:leader="none" w:pos="1940" w:val="left"/>
        </w:tabs>
        <w:numPr>
          <w:ilvl w:val="0"/>
          <w:numId w:val="5"/>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color w:val="auto"/>
        </w:rPr>
        <w:t>.</w:t>
      </w:r>
    </w:p>
    <w:p>
      <w:pPr>
        <w:spacing w:after="0" w:line="194" w:lineRule="exact"/>
        <w:rPr>
          <w:sz w:val="20"/>
          <w:szCs w:val="20"/>
          <w:color w:val="auto"/>
        </w:rPr>
      </w:pPr>
    </w:p>
    <w:p>
      <w:pPr>
        <w:ind w:firstLine="1296"/>
        <w:spacing w:after="0" w:line="296" w:lineRule="auto"/>
        <w:tabs>
          <w:tab w:leader="none" w:pos="1929"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 </w:t>
      </w:r>
      <w:r>
        <w:rPr>
          <w:rFonts w:ascii="Arial" w:cs="Arial" w:eastAsia="Arial" w:hAnsi="Arial"/>
          <w:sz w:val="19"/>
          <w:szCs w:val="19"/>
          <w:u w:val="single" w:color="auto"/>
          <w:color w:val="auto"/>
        </w:rPr>
        <w:t>3(e)</w:t>
      </w:r>
      <w:r>
        <w:rPr>
          <w:rFonts w:ascii="Arial" w:cs="Arial" w:eastAsia="Arial" w:hAnsi="Arial"/>
          <w:sz w:val="19"/>
          <w:szCs w:val="19"/>
          <w:color w:val="auto"/>
        </w:rPr>
        <w:t xml:space="preserve"> hereof, the RSUs subject to this Award shall become vested as follows, provided that the Participant has not incurred a Termination prior to each such vesting date (each, a “</w:t>
      </w:r>
      <w:r>
        <w:rPr>
          <w:rFonts w:ascii="Arial" w:cs="Arial" w:eastAsia="Arial" w:hAnsi="Arial"/>
          <w:sz w:val="19"/>
          <w:szCs w:val="19"/>
          <w:u w:val="single" w:color="auto"/>
          <w:color w:val="auto"/>
        </w:rPr>
        <w:t>Vesting Date</w:t>
      </w:r>
      <w:r>
        <w:rPr>
          <w:rFonts w:ascii="Arial" w:cs="Arial" w:eastAsia="Arial" w:hAnsi="Arial"/>
          <w:sz w:val="19"/>
          <w:szCs w:val="19"/>
          <w:color w:val="auto"/>
        </w:rPr>
        <w:t>”):</w:t>
      </w:r>
    </w:p>
    <w:p>
      <w:pPr>
        <w:spacing w:after="0" w:line="140" w:lineRule="exact"/>
        <w:rPr>
          <w:sz w:val="20"/>
          <w:szCs w:val="20"/>
          <w:color w:val="auto"/>
        </w:rPr>
      </w:pPr>
    </w:p>
    <w:tbl>
      <w:tblPr>
        <w:tblLayout w:type="fixed"/>
        <w:tblInd w:w="2060" w:type="dxa"/>
        <w:tblCellMar>
          <w:top w:w="0" w:type="dxa"/>
          <w:left w:w="0" w:type="dxa"/>
          <w:bottom w:w="0" w:type="dxa"/>
          <w:right w:w="0" w:type="dxa"/>
        </w:tblCellMar>
      </w:tblPr>
      <w:tr>
        <w:trPr>
          <w:trHeight w:val="241"/>
        </w:trPr>
        <w:tc>
          <w:tcPr>
            <w:tcW w:w="118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Vesting Date</w:t>
            </w:r>
          </w:p>
        </w:tc>
        <w:tc>
          <w:tcPr>
            <w:tcW w:w="310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9"/>
              </w:rPr>
              <w:t>Percentage of RSUs</w:t>
            </w:r>
          </w:p>
        </w:tc>
      </w:tr>
      <w:tr>
        <w:trPr>
          <w:trHeight w:val="299"/>
        </w:trPr>
        <w:tc>
          <w:tcPr>
            <w:tcW w:w="5440" w:type="dxa"/>
            <w:vAlign w:val="bottom"/>
            <w:gridSpan w:val="3"/>
          </w:tcPr>
          <w:p>
            <w:pPr>
              <w:jc w:val="center"/>
              <w:ind w:right="1940"/>
              <w:spacing w:after="0"/>
              <w:rPr>
                <w:sz w:val="20"/>
                <w:szCs w:val="20"/>
                <w:color w:val="auto"/>
              </w:rPr>
            </w:pPr>
            <w:r>
              <w:rPr>
                <w:rFonts w:ascii="Arial" w:cs="Arial" w:eastAsia="Arial" w:hAnsi="Arial"/>
                <w:sz w:val="21"/>
                <w:szCs w:val="21"/>
                <w:b w:val="1"/>
                <w:bCs w:val="1"/>
                <w:color w:val="auto"/>
                <w:w w:val="94"/>
              </w:rPr>
              <w:t>First Anniversary of the Grant Date</w:t>
            </w:r>
          </w:p>
        </w:tc>
        <w:tc>
          <w:tcPr>
            <w:tcW w:w="1800" w:type="dxa"/>
            <w:vAlign w:val="bottom"/>
          </w:tcPr>
          <w:p>
            <w:pPr>
              <w:jc w:val="center"/>
              <w:spacing w:after="0"/>
              <w:rPr>
                <w:sz w:val="20"/>
                <w:szCs w:val="20"/>
                <w:color w:val="auto"/>
              </w:rPr>
            </w:pPr>
            <w:r>
              <w:rPr>
                <w:rFonts w:ascii="Arial" w:cs="Arial" w:eastAsia="Arial" w:hAnsi="Arial"/>
                <w:sz w:val="21"/>
                <w:szCs w:val="21"/>
                <w:b w:val="1"/>
                <w:bCs w:val="1"/>
                <w:color w:val="auto"/>
                <w:w w:val="98"/>
              </w:rPr>
              <w:t>33.33%</w:t>
            </w:r>
          </w:p>
        </w:tc>
      </w:tr>
      <w:tr>
        <w:trPr>
          <w:trHeight w:val="429"/>
        </w:trPr>
        <w:tc>
          <w:tcPr>
            <w:tcW w:w="5440" w:type="dxa"/>
            <w:vAlign w:val="bottom"/>
            <w:gridSpan w:val="3"/>
          </w:tcPr>
          <w:p>
            <w:pPr>
              <w:jc w:val="center"/>
              <w:ind w:right="1920"/>
              <w:spacing w:after="0"/>
              <w:rPr>
                <w:sz w:val="20"/>
                <w:szCs w:val="20"/>
                <w:color w:val="auto"/>
              </w:rPr>
            </w:pPr>
            <w:r>
              <w:rPr>
                <w:rFonts w:ascii="Arial" w:cs="Arial" w:eastAsia="Arial" w:hAnsi="Arial"/>
                <w:sz w:val="21"/>
                <w:szCs w:val="21"/>
                <w:b w:val="1"/>
                <w:bCs w:val="1"/>
                <w:color w:val="auto"/>
                <w:w w:val="92"/>
              </w:rPr>
              <w:t>Second Anniversary of the Grant Date</w:t>
            </w:r>
          </w:p>
        </w:tc>
        <w:tc>
          <w:tcPr>
            <w:tcW w:w="1800" w:type="dxa"/>
            <w:vAlign w:val="bottom"/>
          </w:tcPr>
          <w:p>
            <w:pPr>
              <w:jc w:val="center"/>
              <w:spacing w:after="0"/>
              <w:rPr>
                <w:sz w:val="20"/>
                <w:szCs w:val="20"/>
                <w:color w:val="auto"/>
              </w:rPr>
            </w:pPr>
            <w:r>
              <w:rPr>
                <w:rFonts w:ascii="Arial" w:cs="Arial" w:eastAsia="Arial" w:hAnsi="Arial"/>
                <w:sz w:val="21"/>
                <w:szCs w:val="21"/>
                <w:b w:val="1"/>
                <w:bCs w:val="1"/>
                <w:color w:val="auto"/>
                <w:w w:val="98"/>
              </w:rPr>
              <w:t>33.33%</w:t>
            </w:r>
          </w:p>
        </w:tc>
      </w:tr>
      <w:tr>
        <w:trPr>
          <w:trHeight w:val="429"/>
        </w:trPr>
        <w:tc>
          <w:tcPr>
            <w:tcW w:w="5440" w:type="dxa"/>
            <w:vAlign w:val="bottom"/>
            <w:gridSpan w:val="3"/>
          </w:tcPr>
          <w:p>
            <w:pPr>
              <w:jc w:val="center"/>
              <w:ind w:right="1920"/>
              <w:spacing w:after="0"/>
              <w:rPr>
                <w:sz w:val="20"/>
                <w:szCs w:val="20"/>
                <w:color w:val="auto"/>
              </w:rPr>
            </w:pPr>
            <w:r>
              <w:rPr>
                <w:rFonts w:ascii="Arial" w:cs="Arial" w:eastAsia="Arial" w:hAnsi="Arial"/>
                <w:sz w:val="21"/>
                <w:szCs w:val="21"/>
                <w:b w:val="1"/>
                <w:bCs w:val="1"/>
                <w:color w:val="auto"/>
                <w:w w:val="95"/>
              </w:rPr>
              <w:t>Third Anniversary of the Grant Date</w:t>
            </w:r>
          </w:p>
        </w:tc>
        <w:tc>
          <w:tcPr>
            <w:tcW w:w="1800" w:type="dxa"/>
            <w:vAlign w:val="bottom"/>
          </w:tcPr>
          <w:p>
            <w:pPr>
              <w:jc w:val="center"/>
              <w:spacing w:after="0"/>
              <w:rPr>
                <w:sz w:val="20"/>
                <w:szCs w:val="20"/>
                <w:color w:val="auto"/>
              </w:rPr>
            </w:pPr>
            <w:r>
              <w:rPr>
                <w:rFonts w:ascii="Arial" w:cs="Arial" w:eastAsia="Arial" w:hAnsi="Arial"/>
                <w:sz w:val="21"/>
                <w:szCs w:val="21"/>
                <w:b w:val="1"/>
                <w:bCs w:val="1"/>
                <w:color w:val="auto"/>
                <w:w w:val="98"/>
              </w:rPr>
              <w:t>33.34%</w:t>
            </w:r>
          </w:p>
        </w:tc>
      </w:tr>
    </w:tbl>
    <w:p>
      <w:pPr>
        <w:spacing w:after="0" w:line="277"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spacing w:after="0" w:line="185" w:lineRule="exact"/>
        <w:rPr>
          <w:sz w:val="20"/>
          <w:szCs w:val="20"/>
          <w:color w:val="auto"/>
        </w:rPr>
      </w:pPr>
    </w:p>
    <w:p>
      <w:pPr>
        <w:jc w:val="both"/>
        <w:ind w:firstLine="1296"/>
        <w:spacing w:after="0" w:line="230" w:lineRule="auto"/>
        <w:tabs>
          <w:tab w:leader="none" w:pos="1928"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 Resignation for Good Reason; Due to Death or Disability</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4(c)</w:t>
      </w:r>
      <w:r>
        <w:rPr>
          <w:rFonts w:ascii="Arial" w:cs="Arial" w:eastAsia="Arial" w:hAnsi="Arial"/>
          <w:sz w:val="20"/>
          <w:szCs w:val="20"/>
          <w:color w:val="auto"/>
        </w:rPr>
        <w:t xml:space="preserve">, in the event the Participant’s Service is terminated by the Company without Cause or by the Participant for Good Reason (each, as defined in the Company’s Change in Control Severance Plan[, notwithstanding the definitions contained the Participant’s Offer Letter from the Company]), the Participant shall be entitled to vest a pro-rated portion of the next tranche of time-vested RSUs that would otherwise vest but for Participant’s termination, with such pro-rated portion, if any, determined by multiplying the next unvested tranche by a fraction, the numerator of which is the number of days elapsed from the immediately preceding Vesting Date (or the Grant Date if no Vesting Date has occurred) through the Participant’s date of termination, and the denominator of which is the number of days from the immediately preceding Vesting Date (or the Grant Date if no Vesting Date has occurred) through the next scheduled Vesting Date. Subject to </w:t>
      </w:r>
      <w:r>
        <w:rPr>
          <w:rFonts w:ascii="Arial" w:cs="Arial" w:eastAsia="Arial" w:hAnsi="Arial"/>
          <w:sz w:val="20"/>
          <w:szCs w:val="20"/>
          <w:u w:val="single" w:color="auto"/>
          <w:color w:val="auto"/>
        </w:rPr>
        <w:t>Section 4(c)</w:t>
      </w:r>
      <w:r>
        <w:rPr>
          <w:rFonts w:ascii="Arial" w:cs="Arial" w:eastAsia="Arial" w:hAnsi="Arial"/>
          <w:sz w:val="20"/>
          <w:szCs w:val="20"/>
          <w:color w:val="auto"/>
        </w:rPr>
        <w:t>, in the event the Participant’s Service is terminated due to the Participant’s death or Disability, all unvested time-vested RSUs will accelerate and vest.</w:t>
      </w:r>
    </w:p>
    <w:p>
      <w:pPr>
        <w:spacing w:after="0" w:line="158" w:lineRule="exact"/>
        <w:rPr>
          <w:rFonts w:ascii="Arial" w:cs="Arial" w:eastAsia="Arial" w:hAnsi="Arial"/>
          <w:sz w:val="20"/>
          <w:szCs w:val="20"/>
          <w:color w:val="auto"/>
        </w:rPr>
      </w:pPr>
    </w:p>
    <w:p>
      <w:pPr>
        <w:jc w:val="both"/>
        <w:ind w:firstLine="1296"/>
        <w:spacing w:after="0" w:line="244" w:lineRule="auto"/>
        <w:tabs>
          <w:tab w:leader="none" w:pos="192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4(c)</w:t>
      </w:r>
      <w:r>
        <w:rPr>
          <w:rFonts w:ascii="Arial" w:cs="Arial" w:eastAsia="Arial" w:hAnsi="Arial"/>
          <w:sz w:val="19"/>
          <w:szCs w:val="19"/>
          <w:color w:val="auto"/>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spacing w:after="0" w:line="155" w:lineRule="exact"/>
        <w:rPr>
          <w:rFonts w:ascii="Arial" w:cs="Arial" w:eastAsia="Arial" w:hAnsi="Arial"/>
          <w:sz w:val="19"/>
          <w:szCs w:val="19"/>
          <w:color w:val="auto"/>
        </w:rPr>
      </w:pPr>
    </w:p>
    <w:p>
      <w:pPr>
        <w:ind w:firstLine="1296"/>
        <w:spacing w:after="0" w:line="245" w:lineRule="auto"/>
        <w:tabs>
          <w:tab w:leader="none" w:pos="1928"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Committee Discretion to Accelerate Vesting</w:t>
      </w:r>
      <w:r>
        <w:rPr>
          <w:rFonts w:ascii="Arial" w:cs="Arial" w:eastAsia="Arial" w:hAnsi="Arial"/>
          <w:sz w:val="21"/>
          <w:szCs w:val="21"/>
          <w:color w:val="auto"/>
        </w:rPr>
        <w:t>. In addition to the foregoing, the Committee may, in its sole discretion, accelerate vesting of the RSUs at any time and for any reason.</w:t>
      </w:r>
    </w:p>
    <w:p>
      <w:pPr>
        <w:spacing w:after="0" w:line="200" w:lineRule="exact"/>
        <w:rPr>
          <w:sz w:val="20"/>
          <w:szCs w:val="20"/>
          <w:color w:val="auto"/>
        </w:rPr>
      </w:pPr>
    </w:p>
    <w:p>
      <w:pPr>
        <w:spacing w:after="0" w:line="322" w:lineRule="exact"/>
        <w:rPr>
          <w:sz w:val="20"/>
          <w:szCs w:val="20"/>
          <w:color w:val="auto"/>
        </w:rPr>
      </w:pPr>
    </w:p>
    <w:p>
      <w:pPr>
        <w:ind w:left="80"/>
        <w:spacing w:after="0"/>
        <w:tabs>
          <w:tab w:leader="none" w:pos="5540" w:val="left"/>
          <w:tab w:leader="none" w:pos="878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2</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240"/>
          </w:cols>
          <w:pgMar w:left="320" w:top="1393" w:right="339" w:bottom="1440" w:gutter="0" w:footer="0" w:header="0"/>
        </w:sectPr>
      </w:pPr>
    </w:p>
    <w:bookmarkStart w:id="7" w:name="page8"/>
    <w:bookmarkEnd w:id="7"/>
    <w:p>
      <w:pPr>
        <w:jc w:val="both"/>
        <w:ind w:left="-80" w:right="20" w:firstLine="1296"/>
        <w:spacing w:after="0" w:line="232" w:lineRule="auto"/>
        <w:tabs>
          <w:tab w:leader="none" w:pos="1849"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xml:space="preserve">. Subject to the terms of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all unvested RSUs (taking into account any vesting that may occur upon the Participant’s Termination in accordance with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hereof) shall be immediately forfeited upon the Participant’s Termination for any reason.</w:t>
      </w:r>
    </w:p>
    <w:p>
      <w:pPr>
        <w:spacing w:after="0" w:line="153" w:lineRule="exact"/>
        <w:rPr>
          <w:sz w:val="20"/>
          <w:szCs w:val="20"/>
          <w:color w:val="auto"/>
        </w:rPr>
      </w:pPr>
    </w:p>
    <w:p>
      <w:pPr>
        <w:ind w:left="1860" w:hanging="644"/>
        <w:spacing w:after="0"/>
        <w:tabs>
          <w:tab w:leader="none" w:pos="1860" w:val="left"/>
        </w:tabs>
        <w:numPr>
          <w:ilvl w:val="0"/>
          <w:numId w:val="9"/>
        </w:numPr>
        <w:rPr>
          <w:rFonts w:ascii="Arial" w:cs="Arial" w:eastAsia="Arial" w:hAnsi="Arial"/>
          <w:sz w:val="21"/>
          <w:szCs w:val="21"/>
          <w:color w:val="auto"/>
        </w:rPr>
      </w:pPr>
      <w:r>
        <w:rPr>
          <w:rFonts w:ascii="Arial" w:cs="Arial" w:eastAsia="Arial" w:hAnsi="Arial"/>
          <w:sz w:val="21"/>
          <w:szCs w:val="21"/>
          <w:b w:val="1"/>
          <w:bCs w:val="1"/>
          <w:u w:val="single" w:color="auto"/>
          <w:color w:val="auto"/>
        </w:rPr>
        <w:t>Delivery of Shares</w:t>
      </w:r>
      <w:r>
        <w:rPr>
          <w:rFonts w:ascii="Arial" w:cs="Arial" w:eastAsia="Arial" w:hAnsi="Arial"/>
          <w:sz w:val="21"/>
          <w:szCs w:val="21"/>
          <w:color w:val="auto"/>
        </w:rPr>
        <w:t>.</w:t>
      </w:r>
    </w:p>
    <w:p>
      <w:pPr>
        <w:spacing w:after="0" w:line="194" w:lineRule="exact"/>
        <w:rPr>
          <w:sz w:val="20"/>
          <w:szCs w:val="20"/>
          <w:color w:val="auto"/>
        </w:rPr>
      </w:pPr>
    </w:p>
    <w:p>
      <w:pPr>
        <w:jc w:val="both"/>
        <w:ind w:left="-80" w:firstLine="1296"/>
        <w:spacing w:after="0" w:line="246" w:lineRule="auto"/>
        <w:tabs>
          <w:tab w:leader="none" w:pos="1849"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xml:space="preserve">. Subject to the provisions of </w:t>
      </w:r>
      <w:r>
        <w:rPr>
          <w:rFonts w:ascii="Arial" w:cs="Arial" w:eastAsia="Arial" w:hAnsi="Arial"/>
          <w:sz w:val="20"/>
          <w:szCs w:val="20"/>
          <w:u w:val="single" w:color="auto"/>
          <w:color w:val="auto"/>
        </w:rPr>
        <w:t>Section 4(b)</w:t>
      </w:r>
      <w:r>
        <w:rPr>
          <w:rFonts w:ascii="Arial" w:cs="Arial" w:eastAsia="Arial" w:hAnsi="Arial"/>
          <w:sz w:val="20"/>
          <w:szCs w:val="20"/>
          <w:color w:val="auto"/>
        </w:rPr>
        <w:t xml:space="preserve"> hereof, within ten (10) days following the applicable Vesting Date of the RSUs the Participant shall receive the number of Shares that correspond to the number of RSUs that have become vested on the applicable Vesting Date, less any shares withheld by the Company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hereof.</w:t>
      </w:r>
    </w:p>
    <w:p>
      <w:pPr>
        <w:spacing w:after="0" w:line="151" w:lineRule="exact"/>
        <w:rPr>
          <w:rFonts w:ascii="Arial" w:cs="Arial" w:eastAsia="Arial" w:hAnsi="Arial"/>
          <w:sz w:val="20"/>
          <w:szCs w:val="20"/>
          <w:color w:val="auto"/>
        </w:rPr>
      </w:pPr>
    </w:p>
    <w:p>
      <w:pPr>
        <w:jc w:val="both"/>
        <w:ind w:left="-80" w:firstLine="1296"/>
        <w:spacing w:after="0" w:line="231" w:lineRule="auto"/>
        <w:tabs>
          <w:tab w:leader="none" w:pos="1848"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If the RSUs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61" w:lineRule="exact"/>
        <w:rPr>
          <w:rFonts w:ascii="Arial" w:cs="Arial" w:eastAsia="Arial" w:hAnsi="Arial"/>
          <w:sz w:val="20"/>
          <w:szCs w:val="20"/>
          <w:color w:val="auto"/>
        </w:rPr>
      </w:pPr>
    </w:p>
    <w:p>
      <w:pPr>
        <w:jc w:val="both"/>
        <w:ind w:left="-80" w:firstLine="1296"/>
        <w:spacing w:after="0" w:line="232" w:lineRule="auto"/>
        <w:tabs>
          <w:tab w:leader="none" w:pos="1849"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The receipt of Shares subject to the RSUs that are eligible to vest pursuant to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shall be subject to the execution and nonrevocation of a general release of claims in favor of the Company, in a form reasonably satisfactory to the Company.</w:t>
      </w:r>
    </w:p>
    <w:p>
      <w:pPr>
        <w:spacing w:after="0" w:line="153" w:lineRule="exact"/>
        <w:rPr>
          <w:sz w:val="20"/>
          <w:szCs w:val="20"/>
          <w:color w:val="auto"/>
        </w:rPr>
      </w:pPr>
    </w:p>
    <w:p>
      <w:pPr>
        <w:jc w:val="both"/>
        <w:ind w:left="-80" w:firstLine="1296"/>
        <w:spacing w:after="0" w:line="231" w:lineRule="auto"/>
        <w:tabs>
          <w:tab w:leader="none" w:pos="1853" w:val="left"/>
        </w:tabs>
        <w:numPr>
          <w:ilvl w:val="0"/>
          <w:numId w:val="11"/>
        </w:numPr>
        <w:rPr>
          <w:rFonts w:ascii="Arial" w:cs="Arial" w:eastAsia="Arial" w:hAnsi="Arial"/>
          <w:sz w:val="20"/>
          <w:szCs w:val="20"/>
          <w:color w:val="auto"/>
        </w:rPr>
      </w:pPr>
      <w:r>
        <w:rPr>
          <w:rFonts w:ascii="Arial" w:cs="Arial" w:eastAsia="Arial" w:hAnsi="Arial"/>
          <w:sz w:val="20"/>
          <w:szCs w:val="20"/>
          <w:b w:val="1"/>
          <w:bCs w:val="1"/>
          <w:u w:val="single" w:color="auto"/>
          <w:color w:val="auto"/>
        </w:rPr>
        <w:t>Dividends; Rights as Shareholder</w:t>
      </w:r>
      <w:r>
        <w:rPr>
          <w:rFonts w:ascii="Arial" w:cs="Arial" w:eastAsia="Arial" w:hAnsi="Arial"/>
          <w:sz w:val="20"/>
          <w:szCs w:val="20"/>
          <w:color w:val="auto"/>
        </w:rPr>
        <w:t>. Cash dividends on the number of Shares issuable hereunder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credited to a dividend book entry account on behalf of the Participant with respect to each RSU granted to the Participant;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cash dividends shall not be deemed to be reinvested in Shares and shall be held uninvested and without interest and paid in cash at the same time that the Shares underlying the RSUs are delivered to the Participant in accordance with the provisions hereof. Stock dividends on Shares shall be credited to a dividend book entry account on behalf of the Participant with respect to each RSU granted to the Participant;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stock dividends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Participant has become the holder of record of such Shares.</w:t>
      </w:r>
    </w:p>
    <w:p>
      <w:pPr>
        <w:spacing w:after="0" w:line="155" w:lineRule="exact"/>
        <w:rPr>
          <w:rFonts w:ascii="Arial" w:cs="Arial" w:eastAsia="Arial" w:hAnsi="Arial"/>
          <w:sz w:val="20"/>
          <w:szCs w:val="20"/>
          <w:color w:val="auto"/>
        </w:rPr>
      </w:pPr>
    </w:p>
    <w:p>
      <w:pPr>
        <w:jc w:val="both"/>
        <w:ind w:left="-80" w:firstLine="1296"/>
        <w:spacing w:after="0" w:line="241" w:lineRule="auto"/>
        <w:tabs>
          <w:tab w:leader="none" w:pos="1853" w:val="left"/>
        </w:tabs>
        <w:numPr>
          <w:ilvl w:val="0"/>
          <w:numId w:val="11"/>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RSUs, and any rights and interests with respect thereto, issued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Plan shall not be sold, exchanged, transferred, assigned, pledged, encumbered or otherwise disposed of or hypothecated in any way by the Participant (or any beneficiary of the Participant who holds the RSUs as a result of a Transfer by will or by the laws of descent and distribution), other than in accordance with the provisions of Section 10(c) of the Plan.</w:t>
      </w:r>
    </w:p>
    <w:p>
      <w:pPr>
        <w:spacing w:after="0" w:line="149" w:lineRule="exact"/>
        <w:rPr>
          <w:rFonts w:ascii="Arial" w:cs="Arial" w:eastAsia="Arial" w:hAnsi="Arial"/>
          <w:sz w:val="20"/>
          <w:szCs w:val="20"/>
          <w:color w:val="auto"/>
        </w:rPr>
      </w:pPr>
    </w:p>
    <w:p>
      <w:pPr>
        <w:ind w:left="1860" w:hanging="644"/>
        <w:spacing w:after="0"/>
        <w:tabs>
          <w:tab w:leader="none" w:pos="1860" w:val="left"/>
        </w:tabs>
        <w:numPr>
          <w:ilvl w:val="0"/>
          <w:numId w:val="11"/>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 and Venue</w:t>
      </w:r>
      <w:r>
        <w:rPr>
          <w:rFonts w:ascii="Arial" w:cs="Arial" w:eastAsia="Arial" w:hAnsi="Arial"/>
          <w:sz w:val="21"/>
          <w:szCs w:val="21"/>
          <w:color w:val="auto"/>
        </w:rPr>
        <w:t>.</w:t>
      </w:r>
    </w:p>
    <w:p>
      <w:pPr>
        <w:spacing w:after="0" w:line="194" w:lineRule="exact"/>
        <w:rPr>
          <w:sz w:val="20"/>
          <w:szCs w:val="20"/>
          <w:color w:val="auto"/>
        </w:rPr>
      </w:pPr>
    </w:p>
    <w:p>
      <w:pPr>
        <w:jc w:val="both"/>
        <w:ind w:left="-80" w:firstLine="1296"/>
        <w:spacing w:after="0" w:line="265" w:lineRule="auto"/>
        <w:tabs>
          <w:tab w:leader="none" w:pos="1849"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w:t>
      </w:r>
    </w:p>
    <w:p>
      <w:pPr>
        <w:spacing w:after="0" w:line="200" w:lineRule="exact"/>
        <w:rPr>
          <w:sz w:val="20"/>
          <w:szCs w:val="20"/>
          <w:color w:val="auto"/>
        </w:rPr>
      </w:pPr>
    </w:p>
    <w:p>
      <w:pPr>
        <w:spacing w:after="0" w:line="306" w:lineRule="exact"/>
        <w:rPr>
          <w:sz w:val="20"/>
          <w:szCs w:val="20"/>
          <w:color w:val="auto"/>
        </w:rPr>
      </w:pPr>
    </w:p>
    <w:p>
      <w:pPr>
        <w:spacing w:after="0"/>
        <w:tabs>
          <w:tab w:leader="none" w:pos="5460" w:val="left"/>
          <w:tab w:leader="none" w:pos="870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3</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160"/>
          </w:cols>
          <w:pgMar w:left="400" w:top="1393"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19"/>
          <w:szCs w:val="19"/>
          <w:color w:val="auto"/>
        </w:rPr>
        <w:t>to the approval of any governmental authority required in connection with the authorization, issuance, sale, or delivery of such Shares. The Participant and the Company (each, a “</w:t>
      </w:r>
      <w:r>
        <w:rPr>
          <w:rFonts w:ascii="Arial" w:cs="Arial" w:eastAsia="Arial" w:hAnsi="Arial"/>
          <w:sz w:val="19"/>
          <w:szCs w:val="19"/>
          <w:u w:val="single" w:color="auto"/>
          <w:color w:val="auto"/>
        </w:rPr>
        <w:t>Party</w:t>
      </w:r>
      <w:r>
        <w:rPr>
          <w:rFonts w:ascii="Arial" w:cs="Arial" w:eastAsia="Arial" w:hAnsi="Arial"/>
          <w:sz w:val="19"/>
          <w:szCs w:val="19"/>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313" w:lineRule="exact"/>
        <w:rPr>
          <w:sz w:val="20"/>
          <w:szCs w:val="20"/>
          <w:color w:val="auto"/>
        </w:rPr>
      </w:pPr>
    </w:p>
    <w:p>
      <w:pPr>
        <w:jc w:val="both"/>
        <w:ind w:firstLine="1296"/>
        <w:spacing w:after="0" w:line="232" w:lineRule="auto"/>
        <w:tabs>
          <w:tab w:leader="none" w:pos="1928"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w:t>
      </w:r>
    </w:p>
    <w:p>
      <w:pPr>
        <w:spacing w:after="0" w:line="200" w:lineRule="exact"/>
        <w:rPr>
          <w:sz w:val="20"/>
          <w:szCs w:val="20"/>
          <w:color w:val="auto"/>
        </w:rPr>
      </w:pPr>
    </w:p>
    <w:p>
      <w:pPr>
        <w:spacing w:after="0" w:line="332" w:lineRule="exact"/>
        <w:rPr>
          <w:sz w:val="20"/>
          <w:szCs w:val="20"/>
          <w:color w:val="auto"/>
        </w:rPr>
      </w:pPr>
    </w:p>
    <w:p>
      <w:pPr>
        <w:ind w:left="80"/>
        <w:spacing w:after="0"/>
        <w:tabs>
          <w:tab w:leader="none" w:pos="5540" w:val="left"/>
          <w:tab w:leader="none" w:pos="878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4</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240"/>
          </w:cols>
          <w:pgMar w:left="320" w:top="1393" w:right="339" w:bottom="1440" w:gutter="0" w:footer="0" w:header="0"/>
        </w:sectPr>
      </w:pPr>
    </w:p>
    <w:bookmarkStart w:id="9" w:name="page10"/>
    <w:bookmarkEnd w:id="9"/>
    <w:p>
      <w:pPr>
        <w:spacing w:after="0"/>
        <w:rPr>
          <w:sz w:val="20"/>
          <w:szCs w:val="20"/>
          <w:color w:val="auto"/>
        </w:rPr>
      </w:pPr>
      <w:r>
        <w:rPr>
          <w:rFonts w:ascii="Arial" w:cs="Arial" w:eastAsia="Arial" w:hAnsi="Arial"/>
          <w:sz w:val="21"/>
          <w:szCs w:val="21"/>
          <w:color w:val="auto"/>
        </w:rPr>
        <w:t>entry of an appropriate protective order encompassing the confidentiality terms of this Agreement.</w:t>
      </w:r>
    </w:p>
    <w:p>
      <w:pPr>
        <w:spacing w:after="0" w:line="188" w:lineRule="exact"/>
        <w:rPr>
          <w:sz w:val="20"/>
          <w:szCs w:val="20"/>
          <w:color w:val="auto"/>
        </w:rPr>
      </w:pPr>
    </w:p>
    <w:p>
      <w:pPr>
        <w:jc w:val="both"/>
        <w:ind w:firstLine="1296"/>
        <w:spacing w:after="0" w:line="225" w:lineRule="auto"/>
        <w:tabs>
          <w:tab w:leader="none" w:pos="1929"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50" w:lineRule="exact"/>
        <w:rPr>
          <w:sz w:val="20"/>
          <w:szCs w:val="20"/>
          <w:color w:val="auto"/>
        </w:rPr>
      </w:pPr>
    </w:p>
    <w:p>
      <w:pPr>
        <w:ind w:left="1940" w:hanging="644"/>
        <w:spacing w:after="0"/>
        <w:tabs>
          <w:tab w:leader="none" w:pos="1940" w:val="left"/>
        </w:tabs>
        <w:numPr>
          <w:ilvl w:val="0"/>
          <w:numId w:val="15"/>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 of Tax</w:t>
      </w:r>
      <w:r>
        <w:rPr>
          <w:rFonts w:ascii="Arial" w:cs="Arial" w:eastAsia="Arial" w:hAnsi="Arial"/>
          <w:sz w:val="21"/>
          <w:szCs w:val="21"/>
          <w:color w:val="auto"/>
        </w:rPr>
        <w:t>.</w:t>
      </w:r>
    </w:p>
    <w:p>
      <w:pPr>
        <w:spacing w:after="0" w:line="194" w:lineRule="exact"/>
        <w:rPr>
          <w:sz w:val="20"/>
          <w:szCs w:val="20"/>
          <w:color w:val="auto"/>
        </w:rPr>
      </w:pPr>
    </w:p>
    <w:p>
      <w:pPr>
        <w:jc w:val="both"/>
        <w:ind w:firstLine="1296"/>
        <w:spacing w:after="0" w:line="239" w:lineRule="auto"/>
        <w:tabs>
          <w:tab w:leader="none" w:pos="1929"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Participant acknowledges that, regardless of any action taken by the Company or, if different,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and</w:t>
      </w:r>
    </w:p>
    <w:p>
      <w:pPr>
        <w:jc w:val="both"/>
        <w:ind w:firstLine="7"/>
        <w:spacing w:after="0" w:line="234" w:lineRule="auto"/>
        <w:tabs>
          <w:tab w:leader="none" w:pos="346" w:val="left"/>
        </w:tabs>
        <w:numPr>
          <w:ilvl w:val="0"/>
          <w:numId w:val="17"/>
        </w:numPr>
        <w:rPr>
          <w:rFonts w:ascii="Arial" w:cs="Arial" w:eastAsia="Arial" w:hAnsi="Arial"/>
          <w:sz w:val="20"/>
          <w:szCs w:val="20"/>
          <w:color w:val="auto"/>
        </w:rPr>
      </w:pPr>
      <w:r>
        <w:rPr>
          <w:rFonts w:ascii="Arial" w:cs="Arial" w:eastAsia="Arial" w:hAnsi="Arial"/>
          <w:sz w:val="20"/>
          <w:szCs w:val="20"/>
          <w:color w:val="auto"/>
        </w:rPr>
        <w:t>do not commit to and are under no obligation to structure the terms of the grant or any aspect of the RSUs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8" w:lineRule="exact"/>
        <w:rPr>
          <w:rFonts w:ascii="Arial" w:cs="Arial" w:eastAsia="Arial" w:hAnsi="Arial"/>
          <w:sz w:val="20"/>
          <w:szCs w:val="20"/>
          <w:color w:val="auto"/>
        </w:rPr>
      </w:pPr>
    </w:p>
    <w:p>
      <w:pPr>
        <w:jc w:val="both"/>
        <w:ind w:firstLine="1296"/>
        <w:spacing w:after="0"/>
        <w:tabs>
          <w:tab w:leader="none" w:pos="1928" w:val="left"/>
        </w:tabs>
        <w:numPr>
          <w:ilvl w:val="1"/>
          <w:numId w:val="17"/>
        </w:numPr>
        <w:rPr>
          <w:rFonts w:ascii="Arial" w:cs="Arial" w:eastAsia="Arial" w:hAnsi="Arial"/>
          <w:sz w:val="19"/>
          <w:szCs w:val="19"/>
          <w:color w:val="auto"/>
        </w:rPr>
      </w:pPr>
      <w:r>
        <w:rPr>
          <w:rFonts w:ascii="Arial" w:cs="Arial" w:eastAsia="Arial" w:hAnsi="Arial"/>
          <w:sz w:val="19"/>
          <w:szCs w:val="19"/>
          <w:color w:val="auto"/>
        </w:rPr>
        <w:t>To satisfy any withholding obligations of the Company and/or the Employer with respect to Tax-Related Items, the Company will withhold Shares otherwise issuable upon vesting of the RSUs.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w:t>
      </w:r>
    </w:p>
    <w:p>
      <w:pPr>
        <w:spacing w:after="0" w:line="2" w:lineRule="exact"/>
        <w:rPr>
          <w:rFonts w:ascii="Arial" w:cs="Arial" w:eastAsia="Arial" w:hAnsi="Arial"/>
          <w:sz w:val="19"/>
          <w:szCs w:val="19"/>
          <w:color w:val="auto"/>
        </w:rPr>
      </w:pPr>
    </w:p>
    <w:p>
      <w:pPr>
        <w:ind w:left="260" w:hanging="253"/>
        <w:spacing w:after="0" w:line="235" w:lineRule="auto"/>
        <w:tabs>
          <w:tab w:leader="none" w:pos="2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withholding from the Participant’s wages or other cash compensation paid to the Participant by the Company or the Employer,</w:t>
      </w:r>
    </w:p>
    <w:p>
      <w:pPr>
        <w:jc w:val="both"/>
        <w:ind w:firstLine="7"/>
        <w:spacing w:after="0" w:line="219" w:lineRule="auto"/>
        <w:tabs>
          <w:tab w:leader="none" w:pos="321" w:val="left"/>
        </w:tabs>
        <w:numPr>
          <w:ilvl w:val="0"/>
          <w:numId w:val="19"/>
        </w:numPr>
        <w:rPr>
          <w:rFonts w:ascii="Arial" w:cs="Arial" w:eastAsia="Arial" w:hAnsi="Arial"/>
          <w:sz w:val="21"/>
          <w:szCs w:val="21"/>
          <w:color w:val="auto"/>
        </w:rPr>
      </w:pPr>
      <w:r>
        <w:rPr>
          <w:rFonts w:ascii="Arial" w:cs="Arial" w:eastAsia="Arial" w:hAnsi="Arial"/>
          <w:sz w:val="21"/>
          <w:szCs w:val="21"/>
          <w:color w:val="auto"/>
        </w:rPr>
        <w:t xml:space="preserve">withholding from proceeds of the sale of Shares acquired upon vesting of the RSUs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21"/>
          <w:szCs w:val="21"/>
          <w:u w:val="single" w:color="auto"/>
          <w:color w:val="auto"/>
        </w:rPr>
        <w:t>Section 8(b)(i)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57" w:lineRule="exact"/>
        <w:rPr>
          <w:rFonts w:ascii="Arial" w:cs="Arial" w:eastAsia="Arial" w:hAnsi="Arial"/>
          <w:sz w:val="21"/>
          <w:szCs w:val="21"/>
          <w:color w:val="auto"/>
        </w:rPr>
      </w:pPr>
    </w:p>
    <w:p>
      <w:pPr>
        <w:jc w:val="both"/>
        <w:ind w:firstLine="1296"/>
        <w:spacing w:after="0" w:line="225" w:lineRule="auto"/>
        <w:tabs>
          <w:tab w:leader="none" w:pos="1929"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50" w:lineRule="exact"/>
        <w:rPr>
          <w:sz w:val="20"/>
          <w:szCs w:val="20"/>
          <w:color w:val="auto"/>
        </w:rPr>
      </w:pPr>
    </w:p>
    <w:p>
      <w:pPr>
        <w:ind w:firstLine="1296"/>
        <w:spacing w:after="0" w:line="251" w:lineRule="auto"/>
        <w:tabs>
          <w:tab w:leader="none" w:pos="1933" w:val="left"/>
        </w:tabs>
        <w:numPr>
          <w:ilvl w:val="0"/>
          <w:numId w:val="20"/>
        </w:numPr>
        <w:rPr>
          <w:rFonts w:ascii="Arial" w:cs="Arial" w:eastAsia="Arial" w:hAnsi="Arial"/>
          <w:sz w:val="21"/>
          <w:szCs w:val="21"/>
          <w:color w:val="auto"/>
        </w:rPr>
      </w:pPr>
      <w:r>
        <w:rPr>
          <w:rFonts w:ascii="Arial" w:cs="Arial" w:eastAsia="Arial" w:hAnsi="Arial"/>
          <w:sz w:val="21"/>
          <w:szCs w:val="21"/>
          <w:b w:val="1"/>
          <w:bCs w:val="1"/>
          <w:u w:val="single" w:color="auto"/>
          <w:color w:val="auto"/>
        </w:rPr>
        <w:t>Legend</w:t>
      </w:r>
      <w:r>
        <w:rPr>
          <w:rFonts w:ascii="Arial" w:cs="Arial" w:eastAsia="Arial" w:hAnsi="Arial"/>
          <w:sz w:val="21"/>
          <w:szCs w:val="21"/>
          <w:color w:val="auto"/>
        </w:rPr>
        <w:t>. The Company may at any time place legends referencing any applicable federal, state or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law restrictions on all certificates, if any,</w:t>
      </w:r>
    </w:p>
    <w:p>
      <w:pPr>
        <w:spacing w:after="0" w:line="200" w:lineRule="exact"/>
        <w:rPr>
          <w:sz w:val="20"/>
          <w:szCs w:val="20"/>
          <w:color w:val="auto"/>
        </w:rPr>
      </w:pPr>
    </w:p>
    <w:p>
      <w:pPr>
        <w:spacing w:after="0" w:line="316" w:lineRule="exact"/>
        <w:rPr>
          <w:sz w:val="20"/>
          <w:szCs w:val="20"/>
          <w:color w:val="auto"/>
        </w:rPr>
      </w:pPr>
    </w:p>
    <w:p>
      <w:pPr>
        <w:ind w:left="80"/>
        <w:spacing w:after="0"/>
        <w:tabs>
          <w:tab w:leader="none" w:pos="5540" w:val="left"/>
          <w:tab w:leader="none" w:pos="878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5</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240"/>
          </w:cols>
          <w:pgMar w:left="320" w:top="1393" w:right="339" w:bottom="1440" w:gutter="0" w:footer="0" w:header="0"/>
        </w:sectPr>
      </w:pPr>
    </w:p>
    <w:bookmarkStart w:id="10" w:name="page11"/>
    <w:bookmarkEnd w:id="10"/>
    <w:p>
      <w:pPr>
        <w:jc w:val="both"/>
        <w:spacing w:after="0" w:line="232" w:lineRule="auto"/>
        <w:rPr>
          <w:sz w:val="20"/>
          <w:szCs w:val="20"/>
          <w:color w:val="auto"/>
        </w:rPr>
      </w:pPr>
      <w:r>
        <w:rPr>
          <w:rFonts w:ascii="Arial" w:cs="Arial" w:eastAsia="Arial" w:hAnsi="Arial"/>
          <w:sz w:val="21"/>
          <w:szCs w:val="21"/>
          <w:color w:val="auto"/>
        </w:rPr>
        <w:t xml:space="preserve">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21"/>
          <w:szCs w:val="21"/>
          <w:u w:val="single" w:color="auto"/>
          <w:color w:val="auto"/>
        </w:rPr>
        <w:t>Section 9</w:t>
      </w:r>
      <w:r>
        <w:rPr>
          <w:rFonts w:ascii="Arial" w:cs="Arial" w:eastAsia="Arial" w:hAnsi="Arial"/>
          <w:sz w:val="21"/>
          <w:szCs w:val="21"/>
          <w:color w:val="auto"/>
        </w:rPr>
        <w:t>.</w:t>
      </w:r>
    </w:p>
    <w:p>
      <w:pPr>
        <w:spacing w:after="0" w:line="153" w:lineRule="exact"/>
        <w:rPr>
          <w:sz w:val="20"/>
          <w:szCs w:val="20"/>
          <w:color w:val="auto"/>
        </w:rPr>
      </w:pPr>
    </w:p>
    <w:p>
      <w:pPr>
        <w:jc w:val="both"/>
        <w:ind w:firstLine="1296"/>
        <w:spacing w:after="0" w:line="234" w:lineRule="auto"/>
        <w:tabs>
          <w:tab w:leader="none" w:pos="1933" w:val="left"/>
        </w:tabs>
        <w:numPr>
          <w:ilvl w:val="0"/>
          <w:numId w:val="21"/>
        </w:numPr>
        <w:rPr>
          <w:rFonts w:ascii="Arial" w:cs="Arial" w:eastAsia="Arial" w:hAnsi="Arial"/>
          <w:sz w:val="21"/>
          <w:szCs w:val="21"/>
          <w:color w:val="auto"/>
        </w:rPr>
      </w:pPr>
      <w:r>
        <w:rPr>
          <w:rFonts w:ascii="Arial" w:cs="Arial" w:eastAsia="Arial" w:hAnsi="Arial"/>
          <w:sz w:val="21"/>
          <w:szCs w:val="21"/>
          <w:b w:val="1"/>
          <w:bCs w:val="1"/>
          <w:u w:val="single" w:color="auto"/>
          <w:color w:val="auto"/>
        </w:rPr>
        <w:t>Securities Representations</w:t>
      </w:r>
      <w:r>
        <w:rPr>
          <w:rFonts w:ascii="Arial" w:cs="Arial" w:eastAsia="Arial" w:hAnsi="Arial"/>
          <w:sz w:val="21"/>
          <w:szCs w:val="21"/>
          <w:color w:val="auto"/>
        </w:rPr>
        <w:t>. This Agreement is being entered into by the Company in reliance upon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express representations and warranties of the Participant. The Participant hereby acknowledges, represents and warrants that:</w:t>
      </w:r>
    </w:p>
    <w:p>
      <w:pPr>
        <w:spacing w:after="0" w:line="159" w:lineRule="exact"/>
        <w:rPr>
          <w:sz w:val="20"/>
          <w:szCs w:val="20"/>
          <w:color w:val="auto"/>
        </w:rPr>
      </w:pPr>
    </w:p>
    <w:p>
      <w:pPr>
        <w:jc w:val="both"/>
        <w:ind w:firstLine="1296"/>
        <w:spacing w:after="0" w:line="232" w:lineRule="auto"/>
        <w:tabs>
          <w:tab w:leader="none" w:pos="1929"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Participant has been advised that the Participant may be an “affiliate” within the meaning of Rule 144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xml:space="preserve">”) and in this connection the Company is relying in part on the Participant’s representations set forth in this </w:t>
      </w:r>
      <w:r>
        <w:rPr>
          <w:rFonts w:ascii="Arial" w:cs="Arial" w:eastAsia="Arial" w:hAnsi="Arial"/>
          <w:sz w:val="21"/>
          <w:szCs w:val="21"/>
          <w:u w:val="single" w:color="auto"/>
          <w:color w:val="auto"/>
        </w:rPr>
        <w:t>Section 10</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1296"/>
        <w:spacing w:after="0" w:line="227" w:lineRule="auto"/>
        <w:tabs>
          <w:tab w:leader="none" w:pos="1928" w:val="left"/>
        </w:tabs>
        <w:numPr>
          <w:ilvl w:val="0"/>
          <w:numId w:val="22"/>
        </w:numPr>
        <w:rPr>
          <w:rFonts w:ascii="Arial" w:cs="Arial" w:eastAsia="Arial" w:hAnsi="Arial"/>
          <w:sz w:val="21"/>
          <w:szCs w:val="21"/>
          <w:color w:val="auto"/>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60" w:lineRule="exact"/>
        <w:rPr>
          <w:rFonts w:ascii="Arial" w:cs="Arial" w:eastAsia="Arial" w:hAnsi="Arial"/>
          <w:sz w:val="21"/>
          <w:szCs w:val="21"/>
          <w:color w:val="auto"/>
        </w:rPr>
      </w:pPr>
    </w:p>
    <w:p>
      <w:pPr>
        <w:jc w:val="both"/>
        <w:ind w:firstLine="1296"/>
        <w:spacing w:after="0" w:line="223" w:lineRule="auto"/>
        <w:tabs>
          <w:tab w:leader="none" w:pos="1929" w:val="left"/>
        </w:tabs>
        <w:numPr>
          <w:ilvl w:val="0"/>
          <w:numId w:val="22"/>
        </w:numPr>
        <w:rPr>
          <w:rFonts w:ascii="Arial" w:cs="Arial" w:eastAsia="Arial" w:hAnsi="Arial"/>
          <w:sz w:val="21"/>
          <w:szCs w:val="21"/>
          <w:color w:val="auto"/>
        </w:rPr>
      </w:pPr>
      <w:r>
        <w:rPr>
          <w:rFonts w:ascii="Arial" w:cs="Arial" w:eastAsia="Arial" w:hAnsi="Arial"/>
          <w:sz w:val="21"/>
          <w:szCs w:val="21"/>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51" w:lineRule="exact"/>
        <w:rPr>
          <w:sz w:val="20"/>
          <w:szCs w:val="20"/>
          <w:color w:val="auto"/>
        </w:rPr>
      </w:pPr>
    </w:p>
    <w:p>
      <w:pPr>
        <w:jc w:val="both"/>
        <w:ind w:firstLine="1296"/>
        <w:spacing w:after="0" w:line="235" w:lineRule="auto"/>
        <w:tabs>
          <w:tab w:leader="none" w:pos="1925"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Clawback</w:t>
      </w:r>
      <w:r>
        <w:rPr>
          <w:rFonts w:ascii="Arial" w:cs="Arial" w:eastAsia="Arial" w:hAnsi="Arial"/>
          <w:sz w:val="20"/>
          <w:szCs w:val="20"/>
          <w:color w:val="auto"/>
        </w:rPr>
        <w:t>. The Participant shall be subject to the Company’s clawback, forfeiture or other similar policies</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52" w:lineRule="exact"/>
        <w:rPr>
          <w:rFonts w:ascii="Arial" w:cs="Arial" w:eastAsia="Arial" w:hAnsi="Arial"/>
          <w:sz w:val="20"/>
          <w:szCs w:val="20"/>
          <w:color w:val="auto"/>
        </w:rPr>
      </w:pPr>
    </w:p>
    <w:p>
      <w:pPr>
        <w:jc w:val="both"/>
        <w:ind w:firstLine="1296"/>
        <w:spacing w:after="0" w:line="233" w:lineRule="auto"/>
        <w:tabs>
          <w:tab w:leader="none" w:pos="1933"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 Amendment</w:t>
      </w:r>
      <w:r>
        <w:rPr>
          <w:rFonts w:ascii="Arial" w:cs="Arial" w:eastAsia="Arial" w:hAnsi="Arial"/>
          <w:sz w:val="20"/>
          <w:szCs w:val="20"/>
          <w:color w:val="auto"/>
        </w:rPr>
        <w:t>. This Agreement, together with the Plan, contains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54" w:lineRule="exact"/>
        <w:rPr>
          <w:rFonts w:ascii="Arial" w:cs="Arial" w:eastAsia="Arial" w:hAnsi="Arial"/>
          <w:sz w:val="20"/>
          <w:szCs w:val="20"/>
          <w:color w:val="auto"/>
        </w:rPr>
      </w:pPr>
    </w:p>
    <w:p>
      <w:pPr>
        <w:jc w:val="both"/>
        <w:ind w:firstLine="1296"/>
        <w:spacing w:after="0" w:line="226" w:lineRule="auto"/>
        <w:tabs>
          <w:tab w:leader="none" w:pos="1933" w:val="left"/>
        </w:tabs>
        <w:numPr>
          <w:ilvl w:val="0"/>
          <w:numId w:val="23"/>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 delivered</w:t>
      </w:r>
      <w:r>
        <w:rPr>
          <w:rFonts w:ascii="Arial" w:cs="Arial" w:eastAsia="Arial" w:hAnsi="Arial"/>
          <w:sz w:val="21"/>
          <w:szCs w:val="21"/>
          <w:b w:val="1"/>
          <w:bCs w:val="1"/>
          <w:color w:val="auto"/>
        </w:rPr>
        <w:t xml:space="preserve"> </w:t>
      </w:r>
      <w:r>
        <w:rPr>
          <w:rFonts w:ascii="Arial" w:cs="Arial" w:eastAsia="Arial" w:hAnsi="Arial"/>
          <w:sz w:val="21"/>
          <w:szCs w:val="21"/>
          <w:color w:val="auto"/>
        </w:rPr>
        <w:t>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200" w:lineRule="exact"/>
        <w:rPr>
          <w:sz w:val="20"/>
          <w:szCs w:val="20"/>
          <w:color w:val="auto"/>
        </w:rPr>
      </w:pPr>
    </w:p>
    <w:p>
      <w:pPr>
        <w:spacing w:after="0" w:line="328" w:lineRule="exact"/>
        <w:rPr>
          <w:sz w:val="20"/>
          <w:szCs w:val="20"/>
          <w:color w:val="auto"/>
        </w:rPr>
      </w:pPr>
    </w:p>
    <w:p>
      <w:pPr>
        <w:ind w:left="80"/>
        <w:spacing w:after="0"/>
        <w:tabs>
          <w:tab w:leader="none" w:pos="5540" w:val="left"/>
          <w:tab w:leader="none" w:pos="878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6</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240"/>
          </w:cols>
          <w:pgMar w:left="320" w:top="1393" w:right="339" w:bottom="1440" w:gutter="0" w:footer="0" w:header="0"/>
        </w:sectPr>
      </w:pPr>
    </w:p>
    <w:bookmarkStart w:id="11" w:name="page12"/>
    <w:bookmarkEnd w:id="11"/>
    <w:p>
      <w:pPr>
        <w:jc w:val="both"/>
        <w:ind w:left="-7" w:firstLine="1296"/>
        <w:spacing w:after="0" w:line="226" w:lineRule="auto"/>
        <w:tabs>
          <w:tab w:leader="none" w:pos="1925" w:val="left"/>
        </w:tabs>
        <w:numPr>
          <w:ilvl w:val="1"/>
          <w:numId w:val="24"/>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Participation</w:t>
      </w:r>
      <w:r>
        <w:rPr>
          <w:rFonts w:ascii="Arial" w:cs="Arial" w:eastAsia="Arial" w:hAnsi="Arial"/>
          <w:sz w:val="21"/>
          <w:szCs w:val="21"/>
          <w:color w:val="auto"/>
        </w:rPr>
        <w:t>. The Company may, in its sole discretion, decide to deliver 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related to participation in the Plan by electronic means or to request the Participant’s consent to participate in the Plan by electronic means. By receipt of this RSU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393" w:lineRule="exact"/>
        <w:rPr>
          <w:rFonts w:ascii="Arial" w:cs="Arial" w:eastAsia="Arial" w:hAnsi="Arial"/>
          <w:sz w:val="21"/>
          <w:szCs w:val="21"/>
          <w:color w:val="auto"/>
        </w:rPr>
      </w:pPr>
    </w:p>
    <w:p>
      <w:pPr>
        <w:jc w:val="both"/>
        <w:ind w:left="-7" w:firstLine="1296"/>
        <w:spacing w:after="0" w:line="252" w:lineRule="auto"/>
        <w:tabs>
          <w:tab w:leader="none" w:pos="1925" w:val="left"/>
        </w:tabs>
        <w:numPr>
          <w:ilvl w:val="1"/>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Employment</w:t>
      </w:r>
      <w:r>
        <w:rPr>
          <w:rFonts w:ascii="Arial" w:cs="Arial" w:eastAsia="Arial" w:hAnsi="Arial"/>
          <w:sz w:val="19"/>
          <w:szCs w:val="19"/>
          <w:color w:val="auto"/>
        </w:rPr>
        <w:t>. Any questions as to whether and when there has been a termination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cause of 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41" w:lineRule="exact"/>
        <w:rPr>
          <w:rFonts w:ascii="Arial" w:cs="Arial" w:eastAsia="Arial" w:hAnsi="Arial"/>
          <w:sz w:val="19"/>
          <w:szCs w:val="19"/>
          <w:color w:val="auto"/>
        </w:rPr>
      </w:pPr>
    </w:p>
    <w:p>
      <w:pPr>
        <w:jc w:val="both"/>
        <w:ind w:left="-7" w:firstLine="1296"/>
        <w:spacing w:after="0" w:line="229" w:lineRule="auto"/>
        <w:tabs>
          <w:tab w:leader="none" w:pos="1925" w:val="left"/>
        </w:tabs>
        <w:numPr>
          <w:ilvl w:val="1"/>
          <w:numId w:val="24"/>
        </w:numPr>
        <w:rPr>
          <w:rFonts w:ascii="Arial" w:cs="Arial" w:eastAsia="Arial" w:hAnsi="Arial"/>
          <w:sz w:val="21"/>
          <w:szCs w:val="21"/>
          <w:color w:val="auto"/>
        </w:rPr>
      </w:pPr>
      <w:r>
        <w:rPr>
          <w:rFonts w:ascii="Arial" w:cs="Arial" w:eastAsia="Arial" w:hAnsi="Arial"/>
          <w:sz w:val="21"/>
          <w:szCs w:val="21"/>
          <w:b w:val="1"/>
          <w:bCs w:val="1"/>
          <w:u w:val="single" w:color="auto"/>
          <w:color w:val="auto"/>
        </w:rPr>
        <w:t>Transfer of Personal Data</w:t>
      </w:r>
      <w:r>
        <w:rPr>
          <w:rFonts w:ascii="Arial" w:cs="Arial" w:eastAsia="Arial" w:hAnsi="Arial"/>
          <w:sz w:val="21"/>
          <w:szCs w:val="21"/>
          <w:color w:val="auto"/>
        </w:rPr>
        <w:t>. The Participant authorizes, agrees and unambiguously consents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transmission by the 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spacing w:after="0" w:line="152" w:lineRule="exact"/>
        <w:rPr>
          <w:rFonts w:ascii="Arial" w:cs="Arial" w:eastAsia="Arial" w:hAnsi="Arial"/>
          <w:sz w:val="21"/>
          <w:szCs w:val="21"/>
          <w:color w:val="auto"/>
        </w:rPr>
      </w:pPr>
    </w:p>
    <w:p>
      <w:pPr>
        <w:jc w:val="both"/>
        <w:ind w:left="-7" w:firstLine="1296"/>
        <w:spacing w:after="0" w:line="239" w:lineRule="auto"/>
        <w:tabs>
          <w:tab w:leader="none" w:pos="1925" w:val="left"/>
        </w:tabs>
        <w:numPr>
          <w:ilvl w:val="1"/>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(and the Shares upon settlement of the RSUs)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w:t>
      </w:r>
    </w:p>
    <w:p>
      <w:pPr>
        <w:spacing w:after="0" w:line="4" w:lineRule="exact"/>
        <w:rPr>
          <w:rFonts w:ascii="Arial" w:cs="Arial" w:eastAsia="Arial" w:hAnsi="Arial"/>
          <w:sz w:val="19"/>
          <w:szCs w:val="19"/>
          <w:color w:val="auto"/>
        </w:rPr>
      </w:pPr>
    </w:p>
    <w:p>
      <w:pPr>
        <w:jc w:val="both"/>
        <w:ind w:left="-7" w:firstLine="7"/>
        <w:spacing w:after="0" w:line="217" w:lineRule="auto"/>
        <w:tabs>
          <w:tab w:leader="none" w:pos="302"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54" w:lineRule="exact"/>
        <w:rPr>
          <w:rFonts w:ascii="Arial" w:cs="Arial" w:eastAsia="Arial" w:hAnsi="Arial"/>
          <w:sz w:val="21"/>
          <w:szCs w:val="21"/>
          <w:color w:val="auto"/>
        </w:rPr>
      </w:pPr>
    </w:p>
    <w:p>
      <w:pPr>
        <w:jc w:val="both"/>
        <w:ind w:left="-7" w:firstLine="1296"/>
        <w:spacing w:after="0" w:line="235" w:lineRule="auto"/>
        <w:tabs>
          <w:tab w:leader="none" w:pos="1925" w:val="left"/>
        </w:tabs>
        <w:numPr>
          <w:ilvl w:val="1"/>
          <w:numId w:val="25"/>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This Agreement and the Plan are intended to be exempt from or comply with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of 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w:t>
      </w:r>
    </w:p>
    <w:p>
      <w:pPr>
        <w:spacing w:after="0" w:line="200" w:lineRule="exact"/>
        <w:rPr>
          <w:sz w:val="20"/>
          <w:szCs w:val="20"/>
          <w:color w:val="auto"/>
        </w:rPr>
      </w:pPr>
    </w:p>
    <w:p>
      <w:pPr>
        <w:spacing w:after="0" w:line="329" w:lineRule="exact"/>
        <w:rPr>
          <w:sz w:val="20"/>
          <w:szCs w:val="20"/>
          <w:color w:val="auto"/>
        </w:rPr>
      </w:pPr>
    </w:p>
    <w:p>
      <w:pPr>
        <w:ind w:left="73"/>
        <w:spacing w:after="0"/>
        <w:tabs>
          <w:tab w:leader="none" w:pos="5532" w:val="left"/>
          <w:tab w:leader="none" w:pos="8772"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7</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233"/>
          </w:cols>
          <w:pgMar w:left="327" w:top="1387" w:right="339" w:bottom="1440" w:gutter="0" w:footer="0" w:header="0"/>
        </w:sectPr>
      </w:pPr>
    </w:p>
    <w:bookmarkStart w:id="12" w:name="page13"/>
    <w:bookmarkEnd w:id="12"/>
    <w:p>
      <w:pPr>
        <w:jc w:val="both"/>
        <w:spacing w:after="0" w:line="232" w:lineRule="auto"/>
        <w:rPr>
          <w:sz w:val="20"/>
          <w:szCs w:val="20"/>
          <w:color w:val="auto"/>
        </w:rPr>
      </w:pPr>
      <w:r>
        <w:rPr>
          <w:rFonts w:ascii="Arial" w:cs="Arial" w:eastAsia="Arial" w:hAnsi="Arial"/>
          <w:sz w:val="21"/>
          <w:szCs w:val="21"/>
          <w:color w:val="auto"/>
        </w:rPr>
        <w:t>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53" w:lineRule="exact"/>
        <w:rPr>
          <w:sz w:val="20"/>
          <w:szCs w:val="20"/>
          <w:color w:val="auto"/>
        </w:rPr>
      </w:pPr>
    </w:p>
    <w:p>
      <w:pPr>
        <w:jc w:val="both"/>
        <w:ind w:firstLine="1296"/>
        <w:spacing w:after="0" w:line="229" w:lineRule="auto"/>
        <w:tabs>
          <w:tab w:leader="none" w:pos="1933"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52"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RSUs and the Shares subject to the RSUs shall be subject to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51" w:lineRule="exact"/>
        <w:rPr>
          <w:rFonts w:ascii="Arial" w:cs="Arial" w:eastAsia="Arial" w:hAnsi="Arial"/>
          <w:sz w:val="21"/>
          <w:szCs w:val="21"/>
          <w:color w:val="auto"/>
        </w:rPr>
      </w:pPr>
    </w:p>
    <w:p>
      <w:pPr>
        <w:jc w:val="both"/>
        <w:ind w:firstLine="1296"/>
        <w:spacing w:after="0" w:line="221" w:lineRule="auto"/>
        <w:tabs>
          <w:tab w:leader="none" w:pos="1933"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This grant is subject to, and limited by, all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and such 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3" w:lineRule="exact"/>
        <w:rPr>
          <w:rFonts w:ascii="Arial" w:cs="Arial" w:eastAsia="Arial" w:hAnsi="Arial"/>
          <w:sz w:val="21"/>
          <w:szCs w:val="21"/>
          <w:color w:val="auto"/>
        </w:rPr>
      </w:pPr>
    </w:p>
    <w:p>
      <w:pPr>
        <w:jc w:val="both"/>
        <w:ind w:firstLine="1296"/>
        <w:spacing w:after="0" w:line="221" w:lineRule="auto"/>
        <w:tabs>
          <w:tab w:leader="none" w:pos="1933" w:val="left"/>
        </w:tabs>
        <w:numPr>
          <w:ilvl w:val="0"/>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The Participant acknowledges that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(e.g., RSUs)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53" w:lineRule="exact"/>
        <w:rPr>
          <w:rFonts w:ascii="Arial" w:cs="Arial" w:eastAsia="Arial" w:hAnsi="Arial"/>
          <w:sz w:val="21"/>
          <w:szCs w:val="21"/>
          <w:color w:val="auto"/>
        </w:rPr>
      </w:pPr>
    </w:p>
    <w:p>
      <w:pPr>
        <w:jc w:val="both"/>
        <w:ind w:firstLine="1296"/>
        <w:spacing w:after="0" w:line="231" w:lineRule="auto"/>
        <w:tabs>
          <w:tab w:leader="none" w:pos="1933"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Foreign Asset/Account Reporting; Exchange Controls</w:t>
      </w:r>
      <w:r>
        <w:rPr>
          <w:rFonts w:ascii="Arial" w:cs="Arial" w:eastAsia="Arial" w:hAnsi="Arial"/>
          <w:sz w:val="20"/>
          <w:szCs w:val="20"/>
          <w:color w:val="auto"/>
        </w:rPr>
        <w:t>. The Participant acknowledges that, depending on</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country of residence, the Participant may be subject to foreign asset and/or account reporting requirements and/or exchange controls as a result of the vesting and settlement of the RSUs,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200" w:lineRule="exact"/>
        <w:rPr>
          <w:sz w:val="20"/>
          <w:szCs w:val="20"/>
          <w:color w:val="auto"/>
        </w:rPr>
      </w:pPr>
    </w:p>
    <w:p>
      <w:pPr>
        <w:spacing w:after="0" w:line="332" w:lineRule="exact"/>
        <w:rPr>
          <w:sz w:val="20"/>
          <w:szCs w:val="20"/>
          <w:color w:val="auto"/>
        </w:rPr>
      </w:pPr>
    </w:p>
    <w:p>
      <w:pPr>
        <w:ind w:left="80"/>
        <w:spacing w:after="0"/>
        <w:tabs>
          <w:tab w:leader="none" w:pos="5540" w:val="left"/>
          <w:tab w:leader="none" w:pos="878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8</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240"/>
          </w:cols>
          <w:pgMar w:left="320" w:top="1393" w:right="339" w:bottom="1440" w:gutter="0" w:footer="0" w:header="0"/>
        </w:sectPr>
      </w:pPr>
    </w:p>
    <w:bookmarkStart w:id="13" w:name="page14"/>
    <w:bookmarkEnd w:id="13"/>
    <w:p>
      <w:pPr>
        <w:jc w:val="both"/>
        <w:ind w:left="-80" w:firstLine="1296"/>
        <w:spacing w:after="0" w:line="233" w:lineRule="auto"/>
        <w:tabs>
          <w:tab w:leader="none" w:pos="1853"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No Secured Rights</w:t>
      </w:r>
      <w:r>
        <w:rPr>
          <w:rFonts w:ascii="Arial" w:cs="Arial" w:eastAsia="Arial" w:hAnsi="Arial"/>
          <w:sz w:val="20"/>
          <w:szCs w:val="20"/>
          <w:color w:val="auto"/>
        </w:rPr>
        <w:t>. The Participant’s right to payments under this Agreement shall not constitute nor be</w:t>
      </w:r>
      <w:r>
        <w:rPr>
          <w:rFonts w:ascii="Arial" w:cs="Arial" w:eastAsia="Arial" w:hAnsi="Arial"/>
          <w:sz w:val="20"/>
          <w:szCs w:val="20"/>
          <w:b w:val="1"/>
          <w:bCs w:val="1"/>
          <w:color w:val="auto"/>
        </w:rPr>
        <w:t xml:space="preserve"> </w:t>
      </w:r>
      <w:r>
        <w:rPr>
          <w:rFonts w:ascii="Arial" w:cs="Arial" w:eastAsia="Arial" w:hAnsi="Arial"/>
          <w:sz w:val="20"/>
          <w:szCs w:val="20"/>
          <w:color w:val="auto"/>
        </w:rPr>
        <w:t>treated as property or as a trust fund of any kind. The Participant’s rights are limited exclusively to the right to receive Shares as provided in the Agreement. The Participant shall not have any rights as an owner of the Company with respect to any RSUs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54" w:lineRule="exact"/>
        <w:rPr>
          <w:rFonts w:ascii="Arial" w:cs="Arial" w:eastAsia="Arial" w:hAnsi="Arial"/>
          <w:sz w:val="20"/>
          <w:szCs w:val="20"/>
          <w:color w:val="auto"/>
        </w:rPr>
      </w:pPr>
    </w:p>
    <w:p>
      <w:pPr>
        <w:jc w:val="both"/>
        <w:ind w:left="-80" w:firstLine="1296"/>
        <w:spacing w:after="0" w:line="235" w:lineRule="auto"/>
        <w:tabs>
          <w:tab w:leader="none" w:pos="1853"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Agreement; Assignment; Amendment</w:t>
      </w:r>
      <w:r>
        <w:rPr>
          <w:rFonts w:ascii="Arial" w:cs="Arial" w:eastAsia="Arial" w:hAnsi="Arial"/>
          <w:sz w:val="20"/>
          <w:szCs w:val="20"/>
          <w:color w:val="auto"/>
        </w:rPr>
        <w:t>. This Agreement shall inure to the benefit of, be binding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upon, and be 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RSUs,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20"/>
          <w:szCs w:val="20"/>
          <w:u w:val="single" w:color="auto"/>
          <w:color w:val="auto"/>
        </w:rPr>
        <w:t>Sections 18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w:t>
      </w:r>
      <w:r>
        <w:rPr>
          <w:rFonts w:ascii="Arial" w:cs="Arial" w:eastAsia="Arial" w:hAnsi="Arial"/>
          <w:sz w:val="20"/>
          <w:szCs w:val="20"/>
          <w:color w:val="auto"/>
        </w:rPr>
        <w:t xml:space="preserve"> hereof and Section 14 of the Plan.</w:t>
      </w:r>
    </w:p>
    <w:p>
      <w:pPr>
        <w:spacing w:after="0" w:line="152" w:lineRule="exact"/>
        <w:rPr>
          <w:rFonts w:ascii="Arial" w:cs="Arial" w:eastAsia="Arial" w:hAnsi="Arial"/>
          <w:sz w:val="20"/>
          <w:szCs w:val="20"/>
          <w:color w:val="auto"/>
        </w:rPr>
      </w:pPr>
    </w:p>
    <w:p>
      <w:pPr>
        <w:ind w:left="-80" w:firstLine="1296"/>
        <w:spacing w:after="0" w:line="251" w:lineRule="auto"/>
        <w:tabs>
          <w:tab w:leader="none" w:pos="1853" w:val="left"/>
        </w:tabs>
        <w:numPr>
          <w:ilvl w:val="0"/>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color w:val="auto"/>
        </w:rPr>
        <w:t>. The titles and headings of the various sections of this Agreement have been inserted for</w:t>
      </w:r>
      <w:r>
        <w:rPr>
          <w:rFonts w:ascii="Arial" w:cs="Arial" w:eastAsia="Arial" w:hAnsi="Arial"/>
          <w:sz w:val="21"/>
          <w:szCs w:val="21"/>
          <w:b w:val="1"/>
          <w:bCs w:val="1"/>
          <w:color w:val="auto"/>
        </w:rPr>
        <w:t xml:space="preserve"> </w:t>
      </w:r>
      <w:r>
        <w:rPr>
          <w:rFonts w:ascii="Arial" w:cs="Arial" w:eastAsia="Arial" w:hAnsi="Arial"/>
          <w:sz w:val="21"/>
          <w:szCs w:val="21"/>
          <w:color w:val="auto"/>
        </w:rPr>
        <w:t>convenience of reference only and shall not be deemed to be a part of this Agreement.</w:t>
      </w:r>
    </w:p>
    <w:p>
      <w:pPr>
        <w:spacing w:after="0" w:line="139" w:lineRule="exact"/>
        <w:rPr>
          <w:rFonts w:ascii="Arial" w:cs="Arial" w:eastAsia="Arial" w:hAnsi="Arial"/>
          <w:sz w:val="21"/>
          <w:szCs w:val="21"/>
          <w:color w:val="auto"/>
        </w:rPr>
      </w:pPr>
    </w:p>
    <w:p>
      <w:pPr>
        <w:jc w:val="both"/>
        <w:ind w:left="-80" w:firstLine="1296"/>
        <w:spacing w:after="0" w:line="226" w:lineRule="auto"/>
        <w:tabs>
          <w:tab w:leader="none" w:pos="1853" w:val="left"/>
        </w:tabs>
        <w:numPr>
          <w:ilvl w:val="0"/>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one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1" w:lineRule="exact"/>
        <w:rPr>
          <w:rFonts w:ascii="Arial" w:cs="Arial" w:eastAsia="Arial" w:hAnsi="Arial"/>
          <w:sz w:val="21"/>
          <w:szCs w:val="21"/>
          <w:color w:val="auto"/>
        </w:rPr>
      </w:pPr>
    </w:p>
    <w:p>
      <w:pPr>
        <w:jc w:val="both"/>
        <w:ind w:left="-80" w:firstLine="1296"/>
        <w:spacing w:after="0" w:line="229" w:lineRule="auto"/>
        <w:tabs>
          <w:tab w:leader="none" w:pos="1853" w:val="left"/>
        </w:tabs>
        <w:numPr>
          <w:ilvl w:val="0"/>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Further Assurances</w:t>
      </w:r>
      <w:r>
        <w:rPr>
          <w:rFonts w:ascii="Arial" w:cs="Arial" w:eastAsia="Arial" w:hAnsi="Arial"/>
          <w:sz w:val="21"/>
          <w:szCs w:val="21"/>
          <w:color w:val="auto"/>
        </w:rPr>
        <w:t>. Each party hereto shall do and perform (or shall cause to be done and performed) all</w:t>
      </w:r>
      <w:r>
        <w:rPr>
          <w:rFonts w:ascii="Arial" w:cs="Arial" w:eastAsia="Arial" w:hAnsi="Arial"/>
          <w:sz w:val="21"/>
          <w:szCs w:val="21"/>
          <w:b w:val="1"/>
          <w:bCs w:val="1"/>
          <w:color w:val="auto"/>
        </w:rPr>
        <w:t xml:space="preserve"> </w:t>
      </w:r>
      <w:r>
        <w:rPr>
          <w:rFonts w:ascii="Arial" w:cs="Arial" w:eastAsia="Arial" w:hAnsi="Arial"/>
          <w:sz w:val="21"/>
          <w:szCs w:val="21"/>
          <w:color w:val="auto"/>
        </w:rPr>
        <w:t>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52" w:lineRule="exact"/>
        <w:rPr>
          <w:rFonts w:ascii="Arial" w:cs="Arial" w:eastAsia="Arial" w:hAnsi="Arial"/>
          <w:sz w:val="21"/>
          <w:szCs w:val="21"/>
          <w:color w:val="auto"/>
        </w:rPr>
      </w:pPr>
    </w:p>
    <w:p>
      <w:pPr>
        <w:jc w:val="both"/>
        <w:ind w:left="-80" w:firstLine="1296"/>
        <w:spacing w:after="0" w:line="234" w:lineRule="auto"/>
        <w:tabs>
          <w:tab w:leader="none" w:pos="1853" w:val="left"/>
        </w:tabs>
        <w:numPr>
          <w:ilvl w:val="0"/>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52" w:lineRule="exact"/>
        <w:rPr>
          <w:rFonts w:ascii="Arial" w:cs="Arial" w:eastAsia="Arial" w:hAnsi="Arial"/>
          <w:sz w:val="21"/>
          <w:szCs w:val="21"/>
          <w:color w:val="auto"/>
        </w:rPr>
      </w:pPr>
    </w:p>
    <w:p>
      <w:pPr>
        <w:jc w:val="both"/>
        <w:ind w:left="-80" w:firstLine="1296"/>
        <w:spacing w:after="0" w:line="224" w:lineRule="auto"/>
        <w:tabs>
          <w:tab w:leader="none" w:pos="1853" w:val="left"/>
        </w:tabs>
        <w:numPr>
          <w:ilvl w:val="0"/>
          <w:numId w:val="27"/>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RSUs or any terms of this Agreement; provided, however, that the Participant may disclose the fact that the Participant has been granted the RSUs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200" w:lineRule="exact"/>
        <w:rPr>
          <w:sz w:val="20"/>
          <w:szCs w:val="20"/>
          <w:color w:val="auto"/>
        </w:rPr>
      </w:pPr>
    </w:p>
    <w:p>
      <w:pPr>
        <w:spacing w:after="0" w:line="327" w:lineRule="exact"/>
        <w:rPr>
          <w:sz w:val="20"/>
          <w:szCs w:val="20"/>
          <w:color w:val="auto"/>
        </w:rPr>
      </w:pPr>
    </w:p>
    <w:p>
      <w:pPr>
        <w:spacing w:after="0"/>
        <w:tabs>
          <w:tab w:leader="none" w:pos="5460" w:val="left"/>
          <w:tab w:leader="none" w:pos="870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9</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160"/>
          </w:cols>
          <w:pgMar w:left="400" w:top="1387" w:right="339" w:bottom="1440" w:gutter="0" w:footer="0" w:header="0"/>
        </w:sectPr>
      </w:pPr>
    </w:p>
    <w:bookmarkStart w:id="14" w:name="page15"/>
    <w:bookmarkEnd w:id="14"/>
    <w:p>
      <w:pPr>
        <w:jc w:val="both"/>
        <w:ind w:left="-80" w:firstLine="1296"/>
        <w:spacing w:after="0" w:line="229" w:lineRule="auto"/>
        <w:tabs>
          <w:tab w:leader="none" w:pos="1853" w:val="left"/>
        </w:tabs>
        <w:numPr>
          <w:ilvl w:val="0"/>
          <w:numId w:val="28"/>
        </w:numPr>
        <w:rPr>
          <w:rFonts w:ascii="Arial" w:cs="Arial" w:eastAsia="Arial" w:hAnsi="Arial"/>
          <w:sz w:val="21"/>
          <w:szCs w:val="21"/>
          <w:color w:val="auto"/>
        </w:rPr>
      </w:pPr>
      <w:r>
        <w:rPr>
          <w:rFonts w:ascii="Arial" w:cs="Arial" w:eastAsia="Arial" w:hAnsi="Arial"/>
          <w:sz w:val="21"/>
          <w:szCs w:val="21"/>
          <w:b w:val="1"/>
          <w:bCs w:val="1"/>
          <w:u w:val="single" w:color="auto"/>
          <w:color w:val="auto"/>
        </w:rPr>
        <w:t>Acknowledgement &amp; Acceptance within 30 Days</w:t>
      </w:r>
      <w:r>
        <w:rPr>
          <w:rFonts w:ascii="Arial" w:cs="Arial" w:eastAsia="Arial" w:hAnsi="Arial"/>
          <w:sz w:val="21"/>
          <w:szCs w:val="21"/>
          <w:color w:val="auto"/>
        </w:rPr>
        <w:t>. This grant is subject to acceptance, within 30 days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Grant Date, by electronic acceptance through the website of Merrill Lynch, the Company’s share plan administrator, or by signed documents delivered to the Company. </w:t>
      </w:r>
      <w:r>
        <w:rPr>
          <w:rFonts w:ascii="Arial" w:cs="Arial" w:eastAsia="Arial" w:hAnsi="Arial"/>
          <w:sz w:val="21"/>
          <w:szCs w:val="21"/>
          <w:b w:val="1"/>
          <w:bCs w:val="1"/>
          <w:color w:val="auto"/>
        </w:rPr>
        <w:t>Failure to accept the RSUs within 30 days of the Grant Date may result in</w:t>
      </w:r>
      <w:r>
        <w:rPr>
          <w:rFonts w:ascii="Arial" w:cs="Arial" w:eastAsia="Arial" w:hAnsi="Arial"/>
          <w:sz w:val="21"/>
          <w:szCs w:val="21"/>
          <w:color w:val="auto"/>
        </w:rPr>
        <w:t xml:space="preserve"> </w:t>
      </w:r>
      <w:r>
        <w:rPr>
          <w:rFonts w:ascii="Arial" w:cs="Arial" w:eastAsia="Arial" w:hAnsi="Arial"/>
          <w:sz w:val="21"/>
          <w:szCs w:val="21"/>
          <w:b w:val="1"/>
          <w:bCs w:val="1"/>
          <w:color w:val="auto"/>
        </w:rPr>
        <w:t>cancellation of the RSUs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420" w:val="left"/>
          <w:tab w:leader="none" w:pos="870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10</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160"/>
          </w:cols>
          <w:pgMar w:left="400" w:top="1387" w:right="339" w:bottom="1440" w:gutter="0" w:footer="0" w:header="0"/>
        </w:sectPr>
      </w:pPr>
    </w:p>
    <w:bookmarkStart w:id="15" w:name="page16"/>
    <w:bookmarkEnd w:id="15"/>
    <w:p>
      <w:pPr>
        <w:ind w:firstLine="268"/>
        <w:spacing w:after="0" w:line="245" w:lineRule="auto"/>
        <w:rPr>
          <w:sz w:val="20"/>
          <w:szCs w:val="20"/>
          <w:color w:val="auto"/>
        </w:rPr>
      </w:pPr>
      <w:r>
        <w:rPr>
          <w:rFonts w:ascii="Arial" w:cs="Arial" w:eastAsia="Arial" w:hAnsi="Arial"/>
          <w:sz w:val="21"/>
          <w:szCs w:val="21"/>
          <w:color w:val="auto"/>
        </w:rPr>
        <w:t>By signing below, the Participant hereby acknowledges receipt of the RSUs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WEATHERFORD INTERNATIONAL PLC</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-5715</wp:posOffset>
            </wp:positionV>
            <wp:extent cx="136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13" w:lineRule="auto"/>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-5715</wp:posOffset>
            </wp:positionV>
            <wp:extent cx="136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-22860</wp:posOffset>
            </wp:positionV>
            <wp:extent cx="136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136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-11430</wp:posOffset>
            </wp:positionV>
            <wp:extent cx="136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80"/>
        <w:spacing w:after="0"/>
        <w:tabs>
          <w:tab w:leader="none" w:pos="5500" w:val="left"/>
          <w:tab w:leader="none" w:pos="8780" w:val="left"/>
        </w:tabs>
        <w:rPr>
          <w:sz w:val="20"/>
          <w:szCs w:val="20"/>
          <w:color w:val="auto"/>
        </w:rPr>
      </w:pPr>
      <w:r>
        <w:rPr>
          <w:rFonts w:ascii="Arial" w:cs="Arial" w:eastAsia="Arial" w:hAnsi="Arial"/>
          <w:sz w:val="15"/>
          <w:szCs w:val="15"/>
          <w:color w:val="auto"/>
        </w:rPr>
        <w:t>105919</w:t>
      </w:r>
      <w:r>
        <w:rPr>
          <w:sz w:val="20"/>
          <w:szCs w:val="20"/>
          <w:color w:val="auto"/>
        </w:rPr>
        <w:tab/>
      </w:r>
      <w:r>
        <w:rPr>
          <w:rFonts w:ascii="Arial" w:cs="Arial" w:eastAsia="Arial" w:hAnsi="Arial"/>
          <w:sz w:val="42"/>
          <w:szCs w:val="42"/>
          <w:color w:val="auto"/>
          <w:vertAlign w:val="subscript"/>
        </w:rPr>
        <w:t>11</w:t>
      </w:r>
      <w:r>
        <w:rPr>
          <w:sz w:val="20"/>
          <w:szCs w:val="20"/>
          <w:color w:val="auto"/>
        </w:rPr>
        <w:tab/>
      </w:r>
      <w:r>
        <w:rPr>
          <w:rFonts w:ascii="Arial" w:cs="Arial" w:eastAsia="Arial" w:hAnsi="Arial"/>
          <w:sz w:val="13"/>
          <w:szCs w:val="13"/>
          <w:color w:val="auto"/>
        </w:rPr>
        <w:t>RSU Agreement Executive – 3 Yr Vest</w:t>
      </w:r>
    </w:p>
    <w:p>
      <w:pPr>
        <w:sectPr>
          <w:pgSz w:w="11900" w:h="16838" w:orient="portrait"/>
          <w:cols w:equalWidth="0" w:num="1">
            <w:col w:w="11240"/>
          </w:cols>
          <w:pgMar w:left="320" w:top="139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1"/>
          <w:szCs w:val="21"/>
          <w:b w:val="1"/>
          <w:bCs w:val="1"/>
          <w:color w:val="auto"/>
        </w:rPr>
        <w:t>WEATHERFORD INTERNATIONAL PLC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RESTRICTED SHARE UNIT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 2019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VESTING)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 * *</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Grant Date: January 18, 2022</w:t>
      </w:r>
    </w:p>
    <w:p>
      <w:pPr>
        <w:spacing w:after="0" w:line="215"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 * * * *</w:t>
      </w:r>
    </w:p>
    <w:p>
      <w:pPr>
        <w:spacing w:after="0" w:line="215" w:lineRule="exact"/>
        <w:rPr>
          <w:sz w:val="20"/>
          <w:szCs w:val="20"/>
          <w:color w:val="auto"/>
        </w:rPr>
      </w:pPr>
    </w:p>
    <w:p>
      <w:pPr>
        <w:jc w:val="both"/>
        <w:ind w:firstLine="215"/>
        <w:spacing w:after="0" w:line="235" w:lineRule="auto"/>
        <w:rPr>
          <w:sz w:val="20"/>
          <w:szCs w:val="20"/>
          <w:color w:val="auto"/>
        </w:rPr>
      </w:pPr>
      <w:r>
        <w:rPr>
          <w:rFonts w:ascii="Arial" w:cs="Arial" w:eastAsia="Arial" w:hAnsi="Arial"/>
          <w:sz w:val="20"/>
          <w:szCs w:val="20"/>
          <w:b w:val="1"/>
          <w:bCs w:val="1"/>
          <w:color w:val="auto"/>
        </w:rPr>
        <w:t xml:space="preserve">THIS PERFORMANCE RESTRICTED SHARE UNIT AWARD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the Grant</w:t>
      </w:r>
      <w:r>
        <w:rPr>
          <w:rFonts w:ascii="Arial" w:cs="Arial" w:eastAsia="Arial" w:hAnsi="Arial"/>
          <w:sz w:val="20"/>
          <w:szCs w:val="20"/>
          <w:b w:val="1"/>
          <w:bCs w:val="1"/>
          <w:color w:val="auto"/>
        </w:rPr>
        <w:t xml:space="preserve"> </w:t>
      </w:r>
      <w:r>
        <w:rPr>
          <w:rFonts w:ascii="Arial" w:cs="Arial" w:eastAsia="Arial" w:hAnsi="Arial"/>
          <w:sz w:val="20"/>
          <w:szCs w:val="20"/>
          <w:color w:val="auto"/>
        </w:rPr>
        <w:t>Date specified above, is entered into by and between WEATHERFORD INTERNATIONAL PLC, a public limited company organized under the laws of Ireland (the “</w:t>
      </w:r>
      <w:r>
        <w:rPr>
          <w:rFonts w:ascii="Arial" w:cs="Arial" w:eastAsia="Arial" w:hAnsi="Arial"/>
          <w:sz w:val="20"/>
          <w:szCs w:val="20"/>
          <w:u w:val="single" w:color="auto"/>
          <w:color w:val="auto"/>
        </w:rPr>
        <w:t>Company</w:t>
      </w:r>
      <w:r>
        <w:rPr>
          <w:rFonts w:ascii="Arial" w:cs="Arial" w:eastAsia="Arial" w:hAnsi="Arial"/>
          <w:sz w:val="20"/>
          <w:szCs w:val="20"/>
          <w:color w:val="auto"/>
        </w:rPr>
        <w:t>”), and you as the Participant specified below, and is made pursuant to that certain award letter regarding the awards granted hereunder dated January 18, 2022 (the “</w:t>
      </w:r>
      <w:r>
        <w:rPr>
          <w:rFonts w:ascii="Arial" w:cs="Arial" w:eastAsia="Arial" w:hAnsi="Arial"/>
          <w:sz w:val="20"/>
          <w:szCs w:val="20"/>
          <w:u w:val="single" w:color="auto"/>
          <w:color w:val="auto"/>
        </w:rPr>
        <w:t>Award Letter</w:t>
      </w:r>
      <w:r>
        <w:rPr>
          <w:rFonts w:ascii="Arial" w:cs="Arial" w:eastAsia="Arial" w:hAnsi="Arial"/>
          <w:sz w:val="20"/>
          <w:szCs w:val="20"/>
          <w:color w:val="auto"/>
        </w:rPr>
        <w:t>”) between the parties and further made subject to the Weatherford International plc Second Amended and Restated 2019 Equity Incentive Plan, as in effect and as amended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which is administered by the Committee (as defined in the Plan); and</w:t>
      </w:r>
    </w:p>
    <w:p>
      <w:pPr>
        <w:spacing w:after="0" w:line="17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it has been determined under the Plan that it would be in the best interests of the Company to grant the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Restricted Share Units (“</w:t>
      </w:r>
      <w:r>
        <w:rPr>
          <w:rFonts w:ascii="Arial" w:cs="Arial" w:eastAsia="Arial" w:hAnsi="Arial"/>
          <w:sz w:val="21"/>
          <w:szCs w:val="21"/>
          <w:u w:val="single" w:color="auto"/>
          <w:color w:val="auto"/>
        </w:rPr>
        <w:t>PSUs</w:t>
      </w:r>
      <w:r>
        <w:rPr>
          <w:rFonts w:ascii="Arial" w:cs="Arial" w:eastAsia="Arial" w:hAnsi="Arial"/>
          <w:sz w:val="21"/>
          <w:szCs w:val="21"/>
          <w:color w:val="auto"/>
        </w:rPr>
        <w:t>”) provided herein to the Participant.</w:t>
      </w:r>
    </w:p>
    <w:p>
      <w:pPr>
        <w:spacing w:after="0" w:line="166"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mutual covenants and promises hereinafter set forth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is hereby acknowledged, the parties hereto hereby mutually covenant and agree as follows:</w:t>
      </w:r>
    </w:p>
    <w:p>
      <w:pPr>
        <w:spacing w:after="0" w:line="153" w:lineRule="exact"/>
        <w:rPr>
          <w:sz w:val="20"/>
          <w:szCs w:val="20"/>
          <w:color w:val="auto"/>
        </w:rPr>
      </w:pPr>
    </w:p>
    <w:p>
      <w:pPr>
        <w:jc w:val="both"/>
        <w:ind w:firstLine="652"/>
        <w:spacing w:after="0" w:line="231" w:lineRule="auto"/>
        <w:tabs>
          <w:tab w:leader="none" w:pos="1288"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Incorporation By Reference; Plan Document Receipt</w:t>
      </w:r>
      <w:r>
        <w:rPr>
          <w:rFonts w:ascii="Arial" w:cs="Arial" w:eastAsia="Arial" w:hAnsi="Arial"/>
          <w:sz w:val="20"/>
          <w:szCs w:val="20"/>
          <w:color w:val="auto"/>
        </w:rPr>
        <w:t>. This Agreement is subject in all respects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and the “Performance Period” shall mean the three fiscal-year period commencing on the first day of the fiscal year of the Company in which the Grant Date occurs.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55" w:lineRule="exact"/>
        <w:rPr>
          <w:rFonts w:ascii="Arial" w:cs="Arial" w:eastAsia="Arial" w:hAnsi="Arial"/>
          <w:sz w:val="20"/>
          <w:szCs w:val="20"/>
          <w:color w:val="auto"/>
        </w:rPr>
      </w:pPr>
    </w:p>
    <w:p>
      <w:pPr>
        <w:jc w:val="both"/>
        <w:ind w:firstLine="652"/>
        <w:spacing w:after="0" w:line="226" w:lineRule="auto"/>
        <w:tabs>
          <w:tab w:leader="none" w:pos="1288" w:val="left"/>
        </w:tabs>
        <w:numPr>
          <w:ilvl w:val="0"/>
          <w:numId w:val="29"/>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Performance Restricted Share Unit Award</w:t>
      </w:r>
      <w:r>
        <w:rPr>
          <w:rFonts w:ascii="Arial" w:cs="Arial" w:eastAsia="Arial" w:hAnsi="Arial"/>
          <w:sz w:val="21"/>
          <w:szCs w:val="21"/>
          <w:color w:val="auto"/>
        </w:rPr>
        <w:t>. The Company hereby grants the target number of PSUs</w:t>
      </w:r>
      <w:r>
        <w:rPr>
          <w:rFonts w:ascii="Arial" w:cs="Arial" w:eastAsia="Arial" w:hAnsi="Arial"/>
          <w:sz w:val="21"/>
          <w:szCs w:val="21"/>
          <w:b w:val="1"/>
          <w:bCs w:val="1"/>
          <w:color w:val="auto"/>
        </w:rPr>
        <w:t xml:space="preserve"> </w:t>
      </w:r>
      <w:r>
        <w:rPr>
          <w:rFonts w:ascii="Arial" w:cs="Arial" w:eastAsia="Arial" w:hAnsi="Arial"/>
          <w:sz w:val="21"/>
          <w:szCs w:val="21"/>
          <w:color w:val="auto"/>
        </w:rPr>
        <w:t>specified in the Award Letter to the Participant, as of the Grant Date stated above (the “</w:t>
      </w:r>
      <w:r>
        <w:rPr>
          <w:rFonts w:ascii="Arial" w:cs="Arial" w:eastAsia="Arial" w:hAnsi="Arial"/>
          <w:sz w:val="21"/>
          <w:szCs w:val="21"/>
          <w:u w:val="single" w:color="auto"/>
          <w:color w:val="auto"/>
        </w:rPr>
        <w:t>Target Award</w:t>
      </w:r>
      <w:r>
        <w:rPr>
          <w:rFonts w:ascii="Arial" w:cs="Arial" w:eastAsia="Arial" w:hAnsi="Arial"/>
          <w:sz w:val="21"/>
          <w:szCs w:val="21"/>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PSU Award – CIC – 3 Yr Vest</w:t>
      </w:r>
    </w:p>
    <w:p>
      <w:pPr>
        <w:sectPr>
          <w:pgSz w:w="11900" w:h="16838" w:orient="portrait"/>
          <w:cols w:equalWidth="0" w:num="1">
            <w:col w:w="11240"/>
          </w:cols>
          <w:pgMar w:left="320" w:top="1387" w:right="339" w:bottom="1440" w:gutter="0" w:footer="0" w:header="0"/>
        </w:sectPr>
      </w:pPr>
    </w:p>
    <w:bookmarkStart w:id="17" w:name="page18"/>
    <w:bookmarkEnd w:id="17"/>
    <w:p>
      <w:pPr>
        <w:ind w:right="20"/>
        <w:spacing w:after="0" w:line="245" w:lineRule="auto"/>
        <w:rPr>
          <w:sz w:val="20"/>
          <w:szCs w:val="20"/>
          <w:color w:val="auto"/>
        </w:rPr>
      </w:pPr>
      <w:r>
        <w:rPr>
          <w:rFonts w:ascii="Arial" w:cs="Arial" w:eastAsia="Arial" w:hAnsi="Arial"/>
          <w:sz w:val="21"/>
          <w:szCs w:val="21"/>
          <w:color w:val="auto"/>
        </w:rPr>
        <w:t>dividends in cash or other property, distributions or other rights in respect of the Shares underlying the PSUs, except as otherwise specifically provided for in the Plan or this Agreement.</w:t>
      </w:r>
    </w:p>
    <w:p>
      <w:pPr>
        <w:spacing w:after="0" w:line="145" w:lineRule="exact"/>
        <w:rPr>
          <w:sz w:val="20"/>
          <w:szCs w:val="20"/>
          <w:color w:val="auto"/>
        </w:rPr>
      </w:pPr>
    </w:p>
    <w:p>
      <w:pPr>
        <w:ind w:left="1300" w:hanging="648"/>
        <w:spacing w:after="0"/>
        <w:tabs>
          <w:tab w:leader="none" w:pos="1300"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Vesting</w:t>
      </w:r>
      <w:r>
        <w:rPr>
          <w:rFonts w:ascii="Arial" w:cs="Arial" w:eastAsia="Arial" w:hAnsi="Arial"/>
          <w:sz w:val="21"/>
          <w:szCs w:val="21"/>
          <w:color w:val="auto"/>
        </w:rPr>
        <w:t>.</w:t>
      </w:r>
    </w:p>
    <w:p>
      <w:pPr>
        <w:spacing w:after="0" w:line="193" w:lineRule="exact"/>
        <w:rPr>
          <w:rFonts w:ascii="Arial" w:cs="Arial" w:eastAsia="Arial" w:hAnsi="Arial"/>
          <w:sz w:val="21"/>
          <w:szCs w:val="21"/>
          <w:color w:val="auto"/>
        </w:rPr>
      </w:pPr>
    </w:p>
    <w:p>
      <w:pPr>
        <w:jc w:val="both"/>
        <w:ind w:left="660" w:firstLine="636"/>
        <w:spacing w:after="0" w:line="232" w:lineRule="auto"/>
        <w:tabs>
          <w:tab w:leader="none" w:pos="1945" w:val="left"/>
        </w:tabs>
        <w:numPr>
          <w:ilvl w:val="1"/>
          <w:numId w:val="30"/>
        </w:numPr>
        <w:rPr>
          <w:rFonts w:ascii="Arial" w:cs="Arial" w:eastAsia="Arial" w:hAnsi="Arial"/>
          <w:sz w:val="21"/>
          <w:szCs w:val="21"/>
          <w:color w:val="010000"/>
        </w:rPr>
      </w:pPr>
      <w:r>
        <w:rPr>
          <w:rFonts w:ascii="Arial" w:cs="Arial" w:eastAsia="Arial" w:hAnsi="Arial"/>
          <w:sz w:val="21"/>
          <w:szCs w:val="21"/>
          <w:color w:val="auto"/>
        </w:rPr>
        <w:t xml:space="preserve">Subject to the provisions of this </w:t>
      </w:r>
      <w:r>
        <w:rPr>
          <w:rFonts w:ascii="Arial" w:cs="Arial" w:eastAsia="Arial" w:hAnsi="Arial"/>
          <w:sz w:val="21"/>
          <w:szCs w:val="21"/>
          <w:u w:val="single" w:color="auto"/>
          <w:color w:val="auto"/>
        </w:rPr>
        <w:t>Section 3</w:t>
      </w:r>
      <w:r>
        <w:rPr>
          <w:rFonts w:ascii="Arial" w:cs="Arial" w:eastAsia="Arial" w:hAnsi="Arial"/>
          <w:sz w:val="21"/>
          <w:szCs w:val="21"/>
          <w:color w:val="auto"/>
        </w:rPr>
        <w:t>, the PSUs subject to this Agreement shall be eligible to vest on the last day of the Performance Period, subject to the Participant’s continued Service with the Company on such date or as otherwise provided in this Agreement.</w:t>
      </w:r>
    </w:p>
    <w:p>
      <w:pPr>
        <w:spacing w:after="0" w:line="158" w:lineRule="exact"/>
        <w:rPr>
          <w:rFonts w:ascii="Arial" w:cs="Arial" w:eastAsia="Arial" w:hAnsi="Arial"/>
          <w:sz w:val="21"/>
          <w:szCs w:val="21"/>
          <w:color w:val="010000"/>
        </w:rPr>
      </w:pPr>
    </w:p>
    <w:p>
      <w:pPr>
        <w:jc w:val="both"/>
        <w:ind w:left="1300" w:firstLine="640"/>
        <w:spacing w:after="0" w:line="227" w:lineRule="auto"/>
        <w:tabs>
          <w:tab w:leader="none" w:pos="2576" w:val="left"/>
        </w:tabs>
        <w:numPr>
          <w:ilvl w:val="2"/>
          <w:numId w:val="30"/>
        </w:numPr>
        <w:rPr>
          <w:rFonts w:ascii="Arial" w:cs="Arial" w:eastAsia="Arial" w:hAnsi="Arial"/>
          <w:sz w:val="21"/>
          <w:szCs w:val="21"/>
          <w:color w:val="010000"/>
        </w:rPr>
      </w:pPr>
      <w:r>
        <w:rPr>
          <w:rFonts w:ascii="Arial" w:cs="Arial" w:eastAsia="Arial" w:hAnsi="Arial"/>
          <w:sz w:val="21"/>
          <w:szCs w:val="21"/>
          <w:color w:val="auto"/>
        </w:rPr>
        <w:t>The actual number of PSUs that are earned, if any, pursuant to the terms and conditions of this Agreement is subject to increase or decrease based on the Company’s actual performance against the Performance Goals set forth on Exhibit A and may range from 0% to 200% of the Target Award, rounded to the nearest whole Share.</w:t>
      </w:r>
    </w:p>
    <w:p>
      <w:pPr>
        <w:spacing w:after="0" w:line="160" w:lineRule="exact"/>
        <w:rPr>
          <w:rFonts w:ascii="Arial" w:cs="Arial" w:eastAsia="Arial" w:hAnsi="Arial"/>
          <w:sz w:val="21"/>
          <w:szCs w:val="21"/>
          <w:color w:val="010000"/>
        </w:rPr>
      </w:pPr>
    </w:p>
    <w:p>
      <w:pPr>
        <w:jc w:val="both"/>
        <w:ind w:left="1300" w:firstLine="640"/>
        <w:spacing w:after="0" w:line="232" w:lineRule="auto"/>
        <w:tabs>
          <w:tab w:leader="none" w:pos="2582" w:val="left"/>
        </w:tabs>
        <w:numPr>
          <w:ilvl w:val="2"/>
          <w:numId w:val="30"/>
        </w:numPr>
        <w:rPr>
          <w:rFonts w:ascii="Arial" w:cs="Arial" w:eastAsia="Arial" w:hAnsi="Arial"/>
          <w:sz w:val="21"/>
          <w:szCs w:val="21"/>
          <w:color w:val="010000"/>
        </w:rPr>
      </w:pPr>
      <w:r>
        <w:rPr>
          <w:rFonts w:ascii="Arial" w:cs="Arial" w:eastAsia="Arial" w:hAnsi="Arial"/>
          <w:sz w:val="21"/>
          <w:szCs w:val="21"/>
          <w:color w:val="auto"/>
        </w:rPr>
        <w:t>Following the end of the Performance Period and no later than 60 days thereafter, the Committee will determine the number of PSUs that have been earned (the “</w:t>
      </w:r>
      <w:r>
        <w:rPr>
          <w:rFonts w:ascii="Arial" w:cs="Arial" w:eastAsia="Arial" w:hAnsi="Arial"/>
          <w:sz w:val="21"/>
          <w:szCs w:val="21"/>
          <w:u w:val="single" w:color="auto"/>
          <w:color w:val="auto"/>
        </w:rPr>
        <w:t>Earned PSUs</w:t>
      </w:r>
      <w:r>
        <w:rPr>
          <w:rFonts w:ascii="Arial" w:cs="Arial" w:eastAsia="Arial" w:hAnsi="Arial"/>
          <w:sz w:val="21"/>
          <w:szCs w:val="21"/>
          <w:color w:val="auto"/>
        </w:rPr>
        <w:t>”) in accordance with Exhibit A (such date, the “</w:t>
      </w:r>
      <w:r>
        <w:rPr>
          <w:rFonts w:ascii="Arial" w:cs="Arial" w:eastAsia="Arial" w:hAnsi="Arial"/>
          <w:sz w:val="21"/>
          <w:szCs w:val="21"/>
          <w:u w:val="single" w:color="auto"/>
          <w:color w:val="auto"/>
        </w:rPr>
        <w:t>Determination Date</w:t>
      </w:r>
      <w:r>
        <w:rPr>
          <w:rFonts w:ascii="Arial" w:cs="Arial" w:eastAsia="Arial" w:hAnsi="Arial"/>
          <w:sz w:val="21"/>
          <w:szCs w:val="21"/>
          <w:color w:val="auto"/>
        </w:rPr>
        <w:t>”).</w:t>
      </w:r>
    </w:p>
    <w:p>
      <w:pPr>
        <w:spacing w:after="0" w:line="158" w:lineRule="exact"/>
        <w:rPr>
          <w:rFonts w:ascii="Arial" w:cs="Arial" w:eastAsia="Arial" w:hAnsi="Arial"/>
          <w:sz w:val="21"/>
          <w:szCs w:val="21"/>
          <w:color w:val="010000"/>
        </w:rPr>
      </w:pPr>
    </w:p>
    <w:p>
      <w:pPr>
        <w:jc w:val="both"/>
        <w:ind w:firstLine="1296"/>
        <w:spacing w:after="0" w:line="218" w:lineRule="auto"/>
        <w:tabs>
          <w:tab w:leader="none" w:pos="1928" w:val="left"/>
        </w:tabs>
        <w:numPr>
          <w:ilvl w:val="1"/>
          <w:numId w:val="30"/>
        </w:numPr>
        <w:rPr>
          <w:rFonts w:ascii="Arial" w:cs="Arial" w:eastAsia="Arial" w:hAnsi="Arial"/>
          <w:sz w:val="21"/>
          <w:szCs w:val="21"/>
          <w:color w:val="010000"/>
        </w:rPr>
      </w:pPr>
      <w:r>
        <w:rPr>
          <w:rFonts w:ascii="Arial" w:cs="Arial" w:eastAsia="Arial" w:hAnsi="Arial"/>
          <w:sz w:val="21"/>
          <w:szCs w:val="21"/>
          <w:u w:val="single" w:color="auto"/>
          <w:color w:val="auto"/>
        </w:rPr>
        <w:t>Termination without Cause; for Good Reason; or Due to Death or Disability</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4(c)</w:t>
      </w:r>
      <w:r>
        <w:rPr>
          <w:rFonts w:ascii="Arial" w:cs="Arial" w:eastAsia="Arial" w:hAnsi="Arial"/>
          <w:sz w:val="21"/>
          <w:szCs w:val="21"/>
          <w:color w:val="auto"/>
        </w:rPr>
        <w:t xml:space="preserve">, in the event the Participant’s Service is terminated by the Company without Cause or by the Participant for Good Reason (each, as defined in the Company’s Change in Control Severance Plan) in each case, during the third year of the Performance Period,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Subject to </w:t>
      </w:r>
      <w:r>
        <w:rPr>
          <w:rFonts w:ascii="Arial" w:cs="Arial" w:eastAsia="Arial" w:hAnsi="Arial"/>
          <w:sz w:val="21"/>
          <w:szCs w:val="21"/>
          <w:u w:val="single" w:color="auto"/>
          <w:color w:val="auto"/>
        </w:rPr>
        <w:t>Section 4(c)</w:t>
      </w:r>
      <w:r>
        <w:rPr>
          <w:rFonts w:ascii="Arial" w:cs="Arial" w:eastAsia="Arial" w:hAnsi="Arial"/>
          <w:sz w:val="21"/>
          <w:szCs w:val="21"/>
          <w:color w:val="auto"/>
        </w:rPr>
        <w:t>, in the event the Participant’s Service is terminated due to the Participant’s death or Disability, the Shares subject to the PSUs that have not yet vested shall vest at the end of the Performance Period based on actual performance. For the avoidance of doubt, in the event Participant’s Service is terminated by the Company without Cause or by the Participant for Good Reason prior to the third year of the Performance Period, the PSUs shall be immediately forfeited.</w:t>
      </w:r>
    </w:p>
    <w:p>
      <w:pPr>
        <w:spacing w:after="0" w:line="164" w:lineRule="exact"/>
        <w:rPr>
          <w:rFonts w:ascii="Arial" w:cs="Arial" w:eastAsia="Arial" w:hAnsi="Arial"/>
          <w:sz w:val="21"/>
          <w:szCs w:val="21"/>
          <w:color w:val="010000"/>
        </w:rPr>
      </w:pPr>
    </w:p>
    <w:p>
      <w:pPr>
        <w:jc w:val="both"/>
        <w:ind w:firstLine="1296"/>
        <w:spacing w:after="0" w:line="219" w:lineRule="auto"/>
        <w:tabs>
          <w:tab w:leader="none" w:pos="1929" w:val="left"/>
        </w:tabs>
        <w:numPr>
          <w:ilvl w:val="1"/>
          <w:numId w:val="30"/>
        </w:numPr>
        <w:rPr>
          <w:rFonts w:ascii="Arial" w:cs="Arial" w:eastAsia="Arial" w:hAnsi="Arial"/>
          <w:sz w:val="21"/>
          <w:szCs w:val="21"/>
          <w:color w:val="010000"/>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4(c), and not withstanding Section 3(b)</w:t>
      </w:r>
      <w:r>
        <w:rPr>
          <w:rFonts w:ascii="Arial" w:cs="Arial" w:eastAsia="Arial" w:hAnsi="Arial"/>
          <w:sz w:val="21"/>
          <w:szCs w:val="21"/>
          <w:color w:val="auto"/>
        </w:rPr>
        <w:t xml:space="preserve">, if a Change in Control occurs, the successor or purchaser in the Change in Control has assumed the Company’s obligations with respect to the PSUs or provided a substitute award and the Participant (i) has a Qualifying Termination (as defined in the Company’s Change in Control Severance Plan) or (ii) remains employed with the Company through the end of the Performance Period, then the PSUs shall become earned and vested (y) if the Change in Control occurs within 12 months following the Grant Date hereunder, then at Target achievement of the Performance Goals, or (z) if such Change in Control occurs on or after 12 months following the Grant Date hereunder, then at the greater of Target achievement or the actual achievement of the Performance Goals through the date of such Change in Control;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Qualifying Termination occurs prior to a Change in Control, then the PSUs shall become earned and vested at the greater of Target achievement or the actual achievement of the Performance Goals through the date of such Change in Control.</w:t>
      </w:r>
    </w:p>
    <w:p>
      <w:pPr>
        <w:spacing w:after="0" w:line="158" w:lineRule="exact"/>
        <w:rPr>
          <w:rFonts w:ascii="Arial" w:cs="Arial" w:eastAsia="Arial" w:hAnsi="Arial"/>
          <w:sz w:val="21"/>
          <w:szCs w:val="21"/>
          <w:color w:val="010000"/>
        </w:rPr>
      </w:pPr>
    </w:p>
    <w:p>
      <w:pPr>
        <w:ind w:firstLine="1296"/>
        <w:spacing w:after="0" w:line="245" w:lineRule="auto"/>
        <w:tabs>
          <w:tab w:leader="none" w:pos="1928" w:val="left"/>
        </w:tabs>
        <w:numPr>
          <w:ilvl w:val="1"/>
          <w:numId w:val="30"/>
        </w:numPr>
        <w:rPr>
          <w:rFonts w:ascii="Arial" w:cs="Arial" w:eastAsia="Arial" w:hAnsi="Arial"/>
          <w:sz w:val="21"/>
          <w:szCs w:val="21"/>
          <w:color w:val="010000"/>
        </w:rPr>
      </w:pPr>
      <w:r>
        <w:rPr>
          <w:rFonts w:ascii="Arial" w:cs="Arial" w:eastAsia="Arial" w:hAnsi="Arial"/>
          <w:sz w:val="21"/>
          <w:szCs w:val="21"/>
          <w:u w:val="single" w:color="auto"/>
          <w:color w:val="auto"/>
        </w:rPr>
        <w:t>Committee Discretion to Accelerate Vesting</w:t>
      </w:r>
      <w:r>
        <w:rPr>
          <w:rFonts w:ascii="Arial" w:cs="Arial" w:eastAsia="Arial" w:hAnsi="Arial"/>
          <w:sz w:val="21"/>
          <w:szCs w:val="21"/>
          <w:color w:val="auto"/>
        </w:rPr>
        <w:t>. In addition to the foregoing, the Committee may, in its sole discretion, accelerate vesting of the PSUs at any time and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2</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93" w:right="339" w:bottom="1440" w:gutter="0" w:footer="0" w:header="0"/>
        </w:sectPr>
      </w:pPr>
    </w:p>
    <w:bookmarkStart w:id="18" w:name="page19"/>
    <w:bookmarkEnd w:id="18"/>
    <w:p>
      <w:pPr>
        <w:jc w:val="both"/>
        <w:ind w:firstLine="1296"/>
        <w:spacing w:after="0" w:line="232" w:lineRule="auto"/>
        <w:tabs>
          <w:tab w:leader="none" w:pos="1929" w:val="left"/>
        </w:tabs>
        <w:numPr>
          <w:ilvl w:val="0"/>
          <w:numId w:val="31"/>
        </w:numPr>
        <w:rPr>
          <w:rFonts w:ascii="Arial" w:cs="Arial" w:eastAsia="Arial" w:hAnsi="Arial"/>
          <w:sz w:val="21"/>
          <w:szCs w:val="21"/>
          <w:color w:val="010000"/>
        </w:rPr>
      </w:pPr>
      <w:r>
        <w:rPr>
          <w:rFonts w:ascii="Arial" w:cs="Arial" w:eastAsia="Arial" w:hAnsi="Arial"/>
          <w:sz w:val="21"/>
          <w:szCs w:val="21"/>
          <w:u w:val="single" w:color="auto"/>
          <w:color w:val="auto"/>
        </w:rPr>
        <w:t>Forfeiture</w:t>
      </w:r>
      <w:r>
        <w:rPr>
          <w:rFonts w:ascii="Arial" w:cs="Arial" w:eastAsia="Arial" w:hAnsi="Arial"/>
          <w:sz w:val="21"/>
          <w:szCs w:val="21"/>
          <w:color w:val="auto"/>
        </w:rPr>
        <w:t xml:space="preserve">. Subject to the terms of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all unvested PSUs (taking into account any vesting that may occur upon the Participant’s termination of Service in accordance with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hereof) shall be immediately forfeited upon the Participant’s termination of Service for any reason.</w:t>
      </w:r>
    </w:p>
    <w:p>
      <w:pPr>
        <w:spacing w:after="0" w:line="153" w:lineRule="exact"/>
        <w:rPr>
          <w:sz w:val="20"/>
          <w:szCs w:val="20"/>
          <w:color w:val="auto"/>
        </w:rPr>
      </w:pPr>
    </w:p>
    <w:p>
      <w:pPr>
        <w:ind w:left="1940" w:hanging="644"/>
        <w:spacing w:after="0"/>
        <w:tabs>
          <w:tab w:leader="none" w:pos="1940"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Delivery of Shares</w:t>
      </w:r>
      <w:r>
        <w:rPr>
          <w:rFonts w:ascii="Arial" w:cs="Arial" w:eastAsia="Arial" w:hAnsi="Arial"/>
          <w:sz w:val="21"/>
          <w:szCs w:val="21"/>
          <w:color w:val="auto"/>
        </w:rPr>
        <w:t>.</w:t>
      </w:r>
    </w:p>
    <w:p>
      <w:pPr>
        <w:spacing w:after="0" w:line="194" w:lineRule="exact"/>
        <w:rPr>
          <w:sz w:val="20"/>
          <w:szCs w:val="20"/>
          <w:color w:val="auto"/>
        </w:rPr>
      </w:pPr>
    </w:p>
    <w:p>
      <w:pPr>
        <w:jc w:val="both"/>
        <w:ind w:firstLine="1296"/>
        <w:spacing w:after="0" w:line="225" w:lineRule="auto"/>
        <w:tabs>
          <w:tab w:leader="none" w:pos="1929" w:val="left"/>
        </w:tabs>
        <w:numPr>
          <w:ilvl w:val="0"/>
          <w:numId w:val="33"/>
        </w:numPr>
        <w:rPr>
          <w:rFonts w:ascii="Arial" w:cs="Arial" w:eastAsia="Arial" w:hAnsi="Arial"/>
          <w:sz w:val="20"/>
          <w:szCs w:val="20"/>
          <w:color w:val="010000"/>
        </w:rPr>
      </w:pPr>
      <w:r>
        <w:rPr>
          <w:rFonts w:ascii="Arial" w:cs="Arial" w:eastAsia="Arial" w:hAnsi="Arial"/>
          <w:sz w:val="20"/>
          <w:szCs w:val="20"/>
          <w:u w:val="single" w:color="auto"/>
          <w:color w:val="auto"/>
        </w:rPr>
        <w:t>General</w:t>
      </w:r>
      <w:r>
        <w:rPr>
          <w:rFonts w:ascii="Arial" w:cs="Arial" w:eastAsia="Arial" w:hAnsi="Arial"/>
          <w:sz w:val="20"/>
          <w:szCs w:val="20"/>
          <w:color w:val="auto"/>
        </w:rPr>
        <w:t xml:space="preserve">. Subject to the provisions of </w:t>
      </w:r>
      <w:r>
        <w:rPr>
          <w:rFonts w:ascii="Arial" w:cs="Arial" w:eastAsia="Arial" w:hAnsi="Arial"/>
          <w:sz w:val="20"/>
          <w:szCs w:val="20"/>
          <w:u w:val="single" w:color="auto"/>
          <w:color w:val="auto"/>
        </w:rPr>
        <w:t>Section 4(b)</w:t>
      </w:r>
      <w:r>
        <w:rPr>
          <w:rFonts w:ascii="Arial" w:cs="Arial" w:eastAsia="Arial" w:hAnsi="Arial"/>
          <w:sz w:val="20"/>
          <w:szCs w:val="20"/>
          <w:color w:val="auto"/>
        </w:rPr>
        <w:t xml:space="preserve"> hereof, on the Determination Date (and no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end of the Performance Period), the Participant shall receive the number of Shares that correspond to the number of Earned PSUs, less any shares withheld by the Company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hereof.</w:t>
      </w:r>
    </w:p>
    <w:p>
      <w:pPr>
        <w:spacing w:after="0" w:line="158" w:lineRule="exact"/>
        <w:rPr>
          <w:rFonts w:ascii="Arial" w:cs="Arial" w:eastAsia="Arial" w:hAnsi="Arial"/>
          <w:sz w:val="20"/>
          <w:szCs w:val="20"/>
          <w:color w:val="010000"/>
        </w:rPr>
      </w:pPr>
    </w:p>
    <w:p>
      <w:pPr>
        <w:jc w:val="both"/>
        <w:ind w:firstLine="1296"/>
        <w:spacing w:after="0" w:line="231" w:lineRule="auto"/>
        <w:tabs>
          <w:tab w:leader="none" w:pos="1928" w:val="left"/>
        </w:tabs>
        <w:numPr>
          <w:ilvl w:val="0"/>
          <w:numId w:val="33"/>
        </w:numPr>
        <w:rPr>
          <w:rFonts w:ascii="Arial" w:cs="Arial" w:eastAsia="Arial" w:hAnsi="Arial"/>
          <w:sz w:val="20"/>
          <w:szCs w:val="20"/>
          <w:color w:val="010000"/>
        </w:rPr>
      </w:pPr>
      <w:r>
        <w:rPr>
          <w:rFonts w:ascii="Arial" w:cs="Arial" w:eastAsia="Arial" w:hAnsi="Arial"/>
          <w:sz w:val="20"/>
          <w:szCs w:val="20"/>
          <w:u w:val="single" w:color="auto"/>
          <w:color w:val="auto"/>
        </w:rPr>
        <w:t>Section 409A</w:t>
      </w:r>
      <w:r>
        <w:rPr>
          <w:rFonts w:ascii="Arial" w:cs="Arial" w:eastAsia="Arial" w:hAnsi="Arial"/>
          <w:sz w:val="20"/>
          <w:szCs w:val="20"/>
          <w:color w:val="auto"/>
        </w:rPr>
        <w:t>. If the PSUs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61" w:lineRule="exact"/>
        <w:rPr>
          <w:rFonts w:ascii="Arial" w:cs="Arial" w:eastAsia="Arial" w:hAnsi="Arial"/>
          <w:sz w:val="20"/>
          <w:szCs w:val="20"/>
          <w:color w:val="010000"/>
        </w:rPr>
      </w:pPr>
    </w:p>
    <w:p>
      <w:pPr>
        <w:jc w:val="both"/>
        <w:ind w:firstLine="1296"/>
        <w:spacing w:after="0" w:line="232" w:lineRule="auto"/>
        <w:tabs>
          <w:tab w:leader="none" w:pos="1929"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The receipt of Shares subject to the Earned PSUs that are eligible to vest pursuant to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shall be subject to the execution and nonrevocation of a general release of claims in favor of the Company, in a form reasonably satisfactory to the Company.</w:t>
      </w:r>
    </w:p>
    <w:p>
      <w:pPr>
        <w:spacing w:after="0" w:line="153" w:lineRule="exact"/>
        <w:rPr>
          <w:sz w:val="20"/>
          <w:szCs w:val="20"/>
          <w:color w:val="auto"/>
        </w:rPr>
      </w:pPr>
    </w:p>
    <w:p>
      <w:pPr>
        <w:jc w:val="both"/>
        <w:ind w:firstLine="1296"/>
        <w:spacing w:after="0" w:line="231" w:lineRule="auto"/>
        <w:tabs>
          <w:tab w:leader="none" w:pos="1933"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Dividends; Rights as Shareholder</w:t>
      </w:r>
      <w:r>
        <w:rPr>
          <w:rFonts w:ascii="Arial" w:cs="Arial" w:eastAsia="Arial" w:hAnsi="Arial"/>
          <w:sz w:val="20"/>
          <w:szCs w:val="20"/>
          <w:color w:val="auto"/>
        </w:rPr>
        <w:t>. Cash dividends on the number of Shares issuable hereunder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credited to a dividend book entry account on behalf of the Participant with respect to each PSU granted to the Participant;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cash dividends shall not be deemed to be reinvested in Shares and shall be held uninvested and without interest and paid in cash at the same time that the Shares underlying the PSUs are delivered to the Participant in accordance with the provisions hereof. Stock dividends on Shares shall be credited to a dividend book entry account on behalf of the Participant with respect to each PSU granted to the Participant;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stock dividends shall be paid in Shares at the same time that the Shares underlying the PSUs are delivered to the Participant in accordance with the provisions hereof. Except as otherwise provided herein, the Participant shall have no rights as a shareholder with respect to any Shares covered by any PSU unless and until the Participant has become the holder of record of such Shares.</w:t>
      </w:r>
    </w:p>
    <w:p>
      <w:pPr>
        <w:spacing w:after="0" w:line="155" w:lineRule="exact"/>
        <w:rPr>
          <w:rFonts w:ascii="Arial" w:cs="Arial" w:eastAsia="Arial" w:hAnsi="Arial"/>
          <w:sz w:val="20"/>
          <w:szCs w:val="20"/>
          <w:color w:val="auto"/>
        </w:rPr>
      </w:pPr>
    </w:p>
    <w:p>
      <w:pPr>
        <w:jc w:val="both"/>
        <w:ind w:firstLine="1296"/>
        <w:spacing w:after="0" w:line="241" w:lineRule="auto"/>
        <w:tabs>
          <w:tab w:leader="none" w:pos="1933"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PSUs, and any rights and interests with respect thereto, issued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Plan shall not be sold, exchanged, transferred, assigned, pledged, encumbered or otherwise disposed of or hypothecated in any way by the Participant (or any beneficiary of the Participant who holds the PSUs as a result of a Transfer by will or by the laws of descent and distribution), other than in accordance with the provisions of Section 10(c) of the Plan.</w:t>
      </w:r>
    </w:p>
    <w:p>
      <w:pPr>
        <w:spacing w:after="0" w:line="149" w:lineRule="exact"/>
        <w:rPr>
          <w:rFonts w:ascii="Arial" w:cs="Arial" w:eastAsia="Arial" w:hAnsi="Arial"/>
          <w:sz w:val="20"/>
          <w:szCs w:val="20"/>
          <w:color w:val="auto"/>
        </w:rPr>
      </w:pPr>
    </w:p>
    <w:p>
      <w:pPr>
        <w:ind w:left="1940" w:hanging="644"/>
        <w:spacing w:after="0"/>
        <w:tabs>
          <w:tab w:leader="none" w:pos="1940" w:val="left"/>
        </w:tabs>
        <w:numPr>
          <w:ilvl w:val="0"/>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 and Venue</w:t>
      </w:r>
      <w:r>
        <w:rPr>
          <w:rFonts w:ascii="Arial" w:cs="Arial" w:eastAsia="Arial" w:hAnsi="Arial"/>
          <w:sz w:val="21"/>
          <w:szCs w:val="21"/>
          <w:color w:val="auto"/>
        </w:rPr>
        <w:t>.</w:t>
      </w:r>
    </w:p>
    <w:p>
      <w:pPr>
        <w:spacing w:after="0" w:line="194" w:lineRule="exact"/>
        <w:rPr>
          <w:sz w:val="20"/>
          <w:szCs w:val="20"/>
          <w:color w:val="auto"/>
        </w:rPr>
      </w:pPr>
    </w:p>
    <w:p>
      <w:pPr>
        <w:jc w:val="both"/>
        <w:ind w:firstLine="1296"/>
        <w:spacing w:after="0" w:line="232" w:lineRule="auto"/>
        <w:tabs>
          <w:tab w:leader="none" w:pos="1929"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3</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93" w:right="339" w:bottom="1440" w:gutter="0" w:footer="0" w:header="0"/>
        </w:sectPr>
      </w:pPr>
    </w:p>
    <w:bookmarkStart w:id="19" w:name="page20"/>
    <w:bookmarkEnd w:id="19"/>
    <w:p>
      <w:pPr>
        <w:jc w:val="both"/>
        <w:spacing w:after="0"/>
        <w:rPr>
          <w:sz w:val="20"/>
          <w:szCs w:val="20"/>
          <w:color w:val="auto"/>
        </w:rPr>
      </w:pPr>
      <w:r>
        <w:rPr>
          <w:rFonts w:ascii="Arial" w:cs="Arial" w:eastAsia="Arial" w:hAnsi="Arial"/>
          <w:sz w:val="19"/>
          <w:szCs w:val="19"/>
          <w:color w:val="auto"/>
        </w:rPr>
        <w:t>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9"/>
          <w:szCs w:val="19"/>
          <w:u w:val="single" w:color="auto"/>
          <w:color w:val="auto"/>
        </w:rPr>
        <w:t>Party</w:t>
      </w:r>
      <w:r>
        <w:rPr>
          <w:rFonts w:ascii="Arial" w:cs="Arial" w:eastAsia="Arial" w:hAnsi="Arial"/>
          <w:sz w:val="19"/>
          <w:szCs w:val="19"/>
          <w:color w:val="auto"/>
        </w:rPr>
        <w:t>”) irrevocably and unconditionally agree that any past, present, or future dispute, controversy, or claim arising under or relating to this Agreement; any employment or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employment or the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void or voidable. The arbitrators shall issue their written decision (including a statement of finding of facts and the 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309" w:lineRule="exact"/>
        <w:rPr>
          <w:sz w:val="20"/>
          <w:szCs w:val="20"/>
          <w:color w:val="auto"/>
        </w:rPr>
      </w:pPr>
    </w:p>
    <w:p>
      <w:pPr>
        <w:jc w:val="both"/>
        <w:ind w:firstLine="1296"/>
        <w:spacing w:after="0" w:line="232" w:lineRule="auto"/>
        <w:tabs>
          <w:tab w:leader="none" w:pos="1928"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4</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93" w:right="339" w:bottom="1440" w:gutter="0" w:footer="0" w:header="0"/>
        </w:sectPr>
      </w:pPr>
    </w:p>
    <w:bookmarkStart w:id="20" w:name="page21"/>
    <w:bookmarkEnd w:id="20"/>
    <w:p>
      <w:pPr>
        <w:spacing w:after="0"/>
        <w:rPr>
          <w:sz w:val="20"/>
          <w:szCs w:val="20"/>
          <w:color w:val="auto"/>
        </w:rPr>
      </w:pPr>
      <w:r>
        <w:rPr>
          <w:rFonts w:ascii="Arial" w:cs="Arial" w:eastAsia="Arial" w:hAnsi="Arial"/>
          <w:sz w:val="21"/>
          <w:szCs w:val="21"/>
          <w:color w:val="auto"/>
        </w:rPr>
        <w:t>entry of an appropriate protective order encompassing the confidentiality terms of this Agreement.</w:t>
      </w:r>
    </w:p>
    <w:p>
      <w:pPr>
        <w:spacing w:after="0" w:line="188" w:lineRule="exact"/>
        <w:rPr>
          <w:sz w:val="20"/>
          <w:szCs w:val="20"/>
          <w:color w:val="auto"/>
        </w:rPr>
      </w:pPr>
    </w:p>
    <w:p>
      <w:pPr>
        <w:jc w:val="both"/>
        <w:ind w:firstLine="1296"/>
        <w:spacing w:after="0" w:line="225" w:lineRule="auto"/>
        <w:tabs>
          <w:tab w:leader="none" w:pos="1929" w:val="left"/>
        </w:tabs>
        <w:numPr>
          <w:ilvl w:val="0"/>
          <w:numId w:val="37"/>
        </w:numPr>
        <w:rPr>
          <w:rFonts w:ascii="Arial" w:cs="Arial" w:eastAsia="Arial" w:hAnsi="Arial"/>
          <w:sz w:val="21"/>
          <w:szCs w:val="21"/>
          <w:color w:val="010000"/>
        </w:rPr>
      </w:pPr>
      <w:r>
        <w:rPr>
          <w:rFonts w:ascii="Arial" w:cs="Arial" w:eastAsia="Arial" w:hAnsi="Arial"/>
          <w:sz w:val="21"/>
          <w:szCs w:val="21"/>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50" w:lineRule="exact"/>
        <w:rPr>
          <w:sz w:val="20"/>
          <w:szCs w:val="20"/>
          <w:color w:val="auto"/>
        </w:rPr>
      </w:pPr>
    </w:p>
    <w:p>
      <w:pPr>
        <w:ind w:left="1940" w:hanging="644"/>
        <w:spacing w:after="0"/>
        <w:tabs>
          <w:tab w:leader="none" w:pos="1940"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 of Tax</w:t>
      </w:r>
      <w:r>
        <w:rPr>
          <w:rFonts w:ascii="Arial" w:cs="Arial" w:eastAsia="Arial" w:hAnsi="Arial"/>
          <w:sz w:val="21"/>
          <w:szCs w:val="21"/>
          <w:color w:val="auto"/>
        </w:rPr>
        <w:t>.</w:t>
      </w:r>
    </w:p>
    <w:p>
      <w:pPr>
        <w:spacing w:after="0" w:line="194" w:lineRule="exact"/>
        <w:rPr>
          <w:sz w:val="20"/>
          <w:szCs w:val="20"/>
          <w:color w:val="auto"/>
        </w:rPr>
      </w:pPr>
    </w:p>
    <w:p>
      <w:pPr>
        <w:jc w:val="both"/>
        <w:ind w:firstLine="1296"/>
        <w:spacing w:after="0" w:line="239" w:lineRule="auto"/>
        <w:tabs>
          <w:tab w:leader="none" w:pos="1929"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The Participant acknowledges that, regardless of any action taken by the Company or, if different,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insurance, payroll tax, fringe benefits tax, payment on account or other tax-related items related to the Participant’s participation in the Plan and legally applicable to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PSUs; and</w:t>
      </w:r>
    </w:p>
    <w:p>
      <w:pPr>
        <w:jc w:val="both"/>
        <w:ind w:firstLine="7"/>
        <w:spacing w:after="0" w:line="234" w:lineRule="auto"/>
        <w:tabs>
          <w:tab w:leader="none" w:pos="347" w:val="left"/>
        </w:tabs>
        <w:numPr>
          <w:ilvl w:val="0"/>
          <w:numId w:val="40"/>
        </w:numPr>
        <w:rPr>
          <w:rFonts w:ascii="Arial" w:cs="Arial" w:eastAsia="Arial" w:hAnsi="Arial"/>
          <w:sz w:val="20"/>
          <w:szCs w:val="20"/>
          <w:color w:val="auto"/>
        </w:rPr>
      </w:pPr>
      <w:r>
        <w:rPr>
          <w:rFonts w:ascii="Arial" w:cs="Arial" w:eastAsia="Arial" w:hAnsi="Arial"/>
          <w:sz w:val="20"/>
          <w:szCs w:val="20"/>
          <w:color w:val="auto"/>
        </w:rPr>
        <w:t>do not commit to and are under no obligation to structure the terms of the grant or any aspect of the PSUs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8" w:lineRule="exact"/>
        <w:rPr>
          <w:rFonts w:ascii="Arial" w:cs="Arial" w:eastAsia="Arial" w:hAnsi="Arial"/>
          <w:sz w:val="20"/>
          <w:szCs w:val="20"/>
          <w:color w:val="auto"/>
        </w:rPr>
      </w:pPr>
    </w:p>
    <w:p>
      <w:pPr>
        <w:jc w:val="both"/>
        <w:ind w:firstLine="1296"/>
        <w:spacing w:after="0"/>
        <w:tabs>
          <w:tab w:leader="none" w:pos="1928" w:val="left"/>
        </w:tabs>
        <w:numPr>
          <w:ilvl w:val="1"/>
          <w:numId w:val="40"/>
        </w:numPr>
        <w:rPr>
          <w:rFonts w:ascii="Arial" w:cs="Arial" w:eastAsia="Arial" w:hAnsi="Arial"/>
          <w:sz w:val="19"/>
          <w:szCs w:val="19"/>
          <w:color w:val="010000"/>
        </w:rPr>
      </w:pPr>
      <w:r>
        <w:rPr>
          <w:rFonts w:ascii="Arial" w:cs="Arial" w:eastAsia="Arial" w:hAnsi="Arial"/>
          <w:sz w:val="19"/>
          <w:szCs w:val="19"/>
          <w:color w:val="auto"/>
        </w:rPr>
        <w:t>To satisfy any withholding obligations of the Company and/or the Employer with respect to Tax-Related Items, the Company will withhold Shares otherwise issuable upon vesting of the PSUs. Alternatively, or in addition, in connection with any applicable withholding event, the Participant authorizes the Company and/or the Employer, or their respective agents, at their discretion, to satisfy their obligations, if any, with regard to all Tax-Related Items by one or a combination of the following:</w:t>
      </w:r>
    </w:p>
    <w:p>
      <w:pPr>
        <w:spacing w:after="0" w:line="2" w:lineRule="exact"/>
        <w:rPr>
          <w:rFonts w:ascii="Arial" w:cs="Arial" w:eastAsia="Arial" w:hAnsi="Arial"/>
          <w:sz w:val="19"/>
          <w:szCs w:val="19"/>
          <w:color w:val="010000"/>
        </w:rPr>
      </w:pPr>
    </w:p>
    <w:p>
      <w:pPr>
        <w:ind w:left="260" w:hanging="253"/>
        <w:spacing w:after="0" w:line="235" w:lineRule="auto"/>
        <w:tabs>
          <w:tab w:leader="none" w:pos="2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withholding from the Participant’s wages or other cash compensation paid to the Participant by the Company or the Employer,</w:t>
      </w:r>
    </w:p>
    <w:p>
      <w:pPr>
        <w:jc w:val="both"/>
        <w:ind w:firstLine="7"/>
        <w:spacing w:after="0" w:line="219" w:lineRule="auto"/>
        <w:tabs>
          <w:tab w:leader="none" w:pos="322"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withholding from proceeds of the sale of Shares acquired upon vesting of the PSUs either through a voluntary sale or through a mandatory sale arranged by the Company (on the Participant’s behalf pursuant to this authorization without further consent) and/or (iii) requiring the Participant to tender a cash payment to the Company or an Affiliate in the amount of the Tax-Related Items; provided, however, that if the Participant is a Section 16 officer of the Company under the Exchange Act, the withholding methods described in this </w:t>
      </w:r>
      <w:r>
        <w:rPr>
          <w:rFonts w:ascii="Arial" w:cs="Arial" w:eastAsia="Arial" w:hAnsi="Arial"/>
          <w:sz w:val="21"/>
          <w:szCs w:val="21"/>
          <w:u w:val="single" w:color="auto"/>
          <w:color w:val="auto"/>
        </w:rPr>
        <w:t>Section 8(b)(i)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57" w:lineRule="exact"/>
        <w:rPr>
          <w:rFonts w:ascii="Arial" w:cs="Arial" w:eastAsia="Arial" w:hAnsi="Arial"/>
          <w:sz w:val="21"/>
          <w:szCs w:val="21"/>
          <w:color w:val="auto"/>
        </w:rPr>
      </w:pPr>
    </w:p>
    <w:p>
      <w:pPr>
        <w:jc w:val="both"/>
        <w:ind w:firstLine="1296"/>
        <w:spacing w:after="0" w:line="225" w:lineRule="auto"/>
        <w:tabs>
          <w:tab w:leader="none" w:pos="1929" w:val="left"/>
        </w:tabs>
        <w:numPr>
          <w:ilvl w:val="1"/>
          <w:numId w:val="42"/>
        </w:numPr>
        <w:rPr>
          <w:rFonts w:ascii="Arial" w:cs="Arial" w:eastAsia="Arial" w:hAnsi="Arial"/>
          <w:sz w:val="21"/>
          <w:szCs w:val="21"/>
          <w:color w:val="010000"/>
        </w:rPr>
      </w:pPr>
      <w:r>
        <w:rPr>
          <w:rFonts w:ascii="Arial" w:cs="Arial" w:eastAsia="Arial" w:hAnsi="Arial"/>
          <w:sz w:val="21"/>
          <w:szCs w:val="21"/>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50" w:lineRule="exact"/>
        <w:rPr>
          <w:sz w:val="20"/>
          <w:szCs w:val="20"/>
          <w:color w:val="auto"/>
        </w:rPr>
      </w:pPr>
    </w:p>
    <w:p>
      <w:pPr>
        <w:ind w:firstLine="1296"/>
        <w:spacing w:after="0" w:line="251" w:lineRule="auto"/>
        <w:tabs>
          <w:tab w:leader="none" w:pos="1933" w:val="left"/>
        </w:tabs>
        <w:numPr>
          <w:ilvl w:val="0"/>
          <w:numId w:val="43"/>
        </w:numPr>
        <w:rPr>
          <w:rFonts w:ascii="Arial" w:cs="Arial" w:eastAsia="Arial" w:hAnsi="Arial"/>
          <w:sz w:val="21"/>
          <w:szCs w:val="21"/>
          <w:color w:val="auto"/>
        </w:rPr>
      </w:pPr>
      <w:r>
        <w:rPr>
          <w:rFonts w:ascii="Arial" w:cs="Arial" w:eastAsia="Arial" w:hAnsi="Arial"/>
          <w:sz w:val="21"/>
          <w:szCs w:val="21"/>
          <w:b w:val="1"/>
          <w:bCs w:val="1"/>
          <w:u w:val="single" w:color="auto"/>
          <w:color w:val="auto"/>
        </w:rPr>
        <w:t>Legend</w:t>
      </w:r>
      <w:r>
        <w:rPr>
          <w:rFonts w:ascii="Arial" w:cs="Arial" w:eastAsia="Arial" w:hAnsi="Arial"/>
          <w:sz w:val="21"/>
          <w:szCs w:val="21"/>
          <w:color w:val="auto"/>
        </w:rPr>
        <w:t>. The Company may at any time place legends referencing any applicable federal, state or foreign</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law restrictions on all certificates,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5</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93" w:right="339" w:bottom="1440" w:gutter="0" w:footer="0" w:header="0"/>
        </w:sectPr>
      </w:pPr>
    </w:p>
    <w:bookmarkStart w:id="21" w:name="page22"/>
    <w:bookmarkEnd w:id="21"/>
    <w:p>
      <w:pPr>
        <w:jc w:val="both"/>
        <w:spacing w:after="0" w:line="232" w:lineRule="auto"/>
        <w:rPr>
          <w:sz w:val="20"/>
          <w:szCs w:val="20"/>
          <w:color w:val="auto"/>
        </w:rPr>
      </w:pPr>
      <w:r>
        <w:rPr>
          <w:rFonts w:ascii="Arial" w:cs="Arial" w:eastAsia="Arial" w:hAnsi="Arial"/>
          <w:sz w:val="21"/>
          <w:szCs w:val="21"/>
          <w:color w:val="auto"/>
        </w:rPr>
        <w:t xml:space="preserve">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21"/>
          <w:szCs w:val="21"/>
          <w:u w:val="single" w:color="auto"/>
          <w:color w:val="auto"/>
        </w:rPr>
        <w:t>Section 9</w:t>
      </w:r>
      <w:r>
        <w:rPr>
          <w:rFonts w:ascii="Arial" w:cs="Arial" w:eastAsia="Arial" w:hAnsi="Arial"/>
          <w:sz w:val="21"/>
          <w:szCs w:val="21"/>
          <w:color w:val="auto"/>
        </w:rPr>
        <w:t>.</w:t>
      </w:r>
    </w:p>
    <w:p>
      <w:pPr>
        <w:spacing w:after="0" w:line="153" w:lineRule="exact"/>
        <w:rPr>
          <w:sz w:val="20"/>
          <w:szCs w:val="20"/>
          <w:color w:val="auto"/>
        </w:rPr>
      </w:pPr>
    </w:p>
    <w:p>
      <w:pPr>
        <w:jc w:val="both"/>
        <w:ind w:firstLine="1296"/>
        <w:spacing w:after="0" w:line="234" w:lineRule="auto"/>
        <w:tabs>
          <w:tab w:leader="none" w:pos="1933" w:val="left"/>
        </w:tabs>
        <w:numPr>
          <w:ilvl w:val="0"/>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Securities Representations</w:t>
      </w:r>
      <w:r>
        <w:rPr>
          <w:rFonts w:ascii="Arial" w:cs="Arial" w:eastAsia="Arial" w:hAnsi="Arial"/>
          <w:sz w:val="21"/>
          <w:szCs w:val="21"/>
          <w:color w:val="auto"/>
        </w:rPr>
        <w:t>. This Agreement is being entered into by the Company in reliance upon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express representations and warranties of the Participant. The Participant hereby acknowledges, represents and warrants that:</w:t>
      </w:r>
    </w:p>
    <w:p>
      <w:pPr>
        <w:spacing w:after="0" w:line="159" w:lineRule="exact"/>
        <w:rPr>
          <w:sz w:val="20"/>
          <w:szCs w:val="20"/>
          <w:color w:val="auto"/>
        </w:rPr>
      </w:pPr>
    </w:p>
    <w:p>
      <w:pPr>
        <w:jc w:val="both"/>
        <w:ind w:firstLine="1296"/>
        <w:spacing w:after="0" w:line="232" w:lineRule="auto"/>
        <w:tabs>
          <w:tab w:leader="none" w:pos="1929"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The Participant has been advised that the Participant may be an “affiliate” within the meaning of Rule 144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xml:space="preserve">”) and in this connection the Company is relying in part on the Participant’s representations set forth in this </w:t>
      </w:r>
      <w:r>
        <w:rPr>
          <w:rFonts w:ascii="Arial" w:cs="Arial" w:eastAsia="Arial" w:hAnsi="Arial"/>
          <w:sz w:val="21"/>
          <w:szCs w:val="21"/>
          <w:u w:val="single" w:color="auto"/>
          <w:color w:val="auto"/>
        </w:rPr>
        <w:t>Section 10</w:t>
      </w:r>
      <w:r>
        <w:rPr>
          <w:rFonts w:ascii="Arial" w:cs="Arial" w:eastAsia="Arial" w:hAnsi="Arial"/>
          <w:sz w:val="21"/>
          <w:szCs w:val="21"/>
          <w:color w:val="auto"/>
        </w:rPr>
        <w:t>.</w:t>
      </w:r>
    </w:p>
    <w:p>
      <w:pPr>
        <w:spacing w:after="0" w:line="158" w:lineRule="exact"/>
        <w:rPr>
          <w:rFonts w:ascii="Arial" w:cs="Arial" w:eastAsia="Arial" w:hAnsi="Arial"/>
          <w:sz w:val="21"/>
          <w:szCs w:val="21"/>
          <w:color w:val="010000"/>
        </w:rPr>
      </w:pPr>
    </w:p>
    <w:p>
      <w:pPr>
        <w:jc w:val="both"/>
        <w:ind w:firstLine="1296"/>
        <w:spacing w:after="0" w:line="227" w:lineRule="auto"/>
        <w:tabs>
          <w:tab w:leader="none" w:pos="1928"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60" w:lineRule="exact"/>
        <w:rPr>
          <w:rFonts w:ascii="Arial" w:cs="Arial" w:eastAsia="Arial" w:hAnsi="Arial"/>
          <w:sz w:val="21"/>
          <w:szCs w:val="21"/>
          <w:color w:val="010000"/>
        </w:rPr>
      </w:pPr>
    </w:p>
    <w:p>
      <w:pPr>
        <w:jc w:val="both"/>
        <w:ind w:firstLine="1296"/>
        <w:spacing w:after="0" w:line="223" w:lineRule="auto"/>
        <w:tabs>
          <w:tab w:leader="none" w:pos="1929"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51" w:lineRule="exact"/>
        <w:rPr>
          <w:sz w:val="20"/>
          <w:szCs w:val="20"/>
          <w:color w:val="auto"/>
        </w:rPr>
      </w:pPr>
    </w:p>
    <w:p>
      <w:pPr>
        <w:jc w:val="both"/>
        <w:ind w:firstLine="1296"/>
        <w:spacing w:after="0" w:line="235" w:lineRule="auto"/>
        <w:tabs>
          <w:tab w:leader="none" w:pos="1925"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Clawback</w:t>
      </w:r>
      <w:r>
        <w:rPr>
          <w:rFonts w:ascii="Arial" w:cs="Arial" w:eastAsia="Arial" w:hAnsi="Arial"/>
          <w:sz w:val="20"/>
          <w:szCs w:val="20"/>
          <w:color w:val="auto"/>
        </w:rPr>
        <w:t>. The Participant shall be subject to the Company’s clawback, forfeiture or other similar policies</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52" w:lineRule="exact"/>
        <w:rPr>
          <w:rFonts w:ascii="Arial" w:cs="Arial" w:eastAsia="Arial" w:hAnsi="Arial"/>
          <w:sz w:val="20"/>
          <w:szCs w:val="20"/>
          <w:color w:val="auto"/>
        </w:rPr>
      </w:pPr>
    </w:p>
    <w:p>
      <w:pPr>
        <w:jc w:val="both"/>
        <w:ind w:firstLine="1296"/>
        <w:spacing w:after="0" w:line="233" w:lineRule="auto"/>
        <w:tabs>
          <w:tab w:leader="none" w:pos="1933" w:val="left"/>
        </w:tabs>
        <w:numPr>
          <w:ilvl w:val="0"/>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 Amendment</w:t>
      </w:r>
      <w:r>
        <w:rPr>
          <w:rFonts w:ascii="Arial" w:cs="Arial" w:eastAsia="Arial" w:hAnsi="Arial"/>
          <w:sz w:val="20"/>
          <w:szCs w:val="20"/>
          <w:color w:val="auto"/>
        </w:rPr>
        <w:t>. This Agreement, together with the Plan, contains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54" w:lineRule="exact"/>
        <w:rPr>
          <w:rFonts w:ascii="Arial" w:cs="Arial" w:eastAsia="Arial" w:hAnsi="Arial"/>
          <w:sz w:val="20"/>
          <w:szCs w:val="20"/>
          <w:color w:val="auto"/>
        </w:rPr>
      </w:pPr>
    </w:p>
    <w:p>
      <w:pPr>
        <w:jc w:val="both"/>
        <w:ind w:firstLine="1296"/>
        <w:spacing w:after="0" w:line="226" w:lineRule="auto"/>
        <w:tabs>
          <w:tab w:leader="none" w:pos="1933" w:val="left"/>
        </w:tabs>
        <w:numPr>
          <w:ilvl w:val="0"/>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 delivered</w:t>
      </w:r>
      <w:r>
        <w:rPr>
          <w:rFonts w:ascii="Arial" w:cs="Arial" w:eastAsia="Arial" w:hAnsi="Arial"/>
          <w:sz w:val="21"/>
          <w:szCs w:val="21"/>
          <w:b w:val="1"/>
          <w:bCs w:val="1"/>
          <w:color w:val="auto"/>
        </w:rPr>
        <w:t xml:space="preserve"> </w:t>
      </w:r>
      <w:r>
        <w:rPr>
          <w:rFonts w:ascii="Arial" w:cs="Arial" w:eastAsia="Arial" w:hAnsi="Arial"/>
          <w:sz w:val="21"/>
          <w:szCs w:val="21"/>
          <w:color w:val="auto"/>
        </w:rPr>
        <w:t>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6</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93" w:right="339" w:bottom="1440" w:gutter="0" w:footer="0" w:header="0"/>
        </w:sectPr>
      </w:pPr>
    </w:p>
    <w:bookmarkStart w:id="22" w:name="page23"/>
    <w:bookmarkEnd w:id="22"/>
    <w:p>
      <w:pPr>
        <w:jc w:val="both"/>
        <w:ind w:firstLine="1296"/>
        <w:spacing w:after="0" w:line="226" w:lineRule="auto"/>
        <w:tabs>
          <w:tab w:leader="none" w:pos="1933" w:val="left"/>
        </w:tabs>
        <w:numPr>
          <w:ilvl w:val="1"/>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Participation</w:t>
      </w:r>
      <w:r>
        <w:rPr>
          <w:rFonts w:ascii="Arial" w:cs="Arial" w:eastAsia="Arial" w:hAnsi="Arial"/>
          <w:sz w:val="21"/>
          <w:szCs w:val="21"/>
          <w:color w:val="auto"/>
        </w:rPr>
        <w:t>. The Company may, in its sole discretion, decide to deliver 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related to participation in the Plan by electronic means or to request the Participant’s consent to participate in the Plan by electronic means. By receipt of this PSU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1" w:lineRule="exact"/>
        <w:rPr>
          <w:rFonts w:ascii="Arial" w:cs="Arial" w:eastAsia="Arial" w:hAnsi="Arial"/>
          <w:sz w:val="21"/>
          <w:szCs w:val="21"/>
          <w:color w:val="auto"/>
        </w:rPr>
      </w:pPr>
    </w:p>
    <w:p>
      <w:pPr>
        <w:jc w:val="both"/>
        <w:ind w:firstLine="1296"/>
        <w:spacing w:after="0" w:line="252" w:lineRule="auto"/>
        <w:tabs>
          <w:tab w:leader="none" w:pos="1933" w:val="left"/>
        </w:tabs>
        <w:numPr>
          <w:ilvl w:val="1"/>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Employment</w:t>
      </w:r>
      <w:r>
        <w:rPr>
          <w:rFonts w:ascii="Arial" w:cs="Arial" w:eastAsia="Arial" w:hAnsi="Arial"/>
          <w:sz w:val="19"/>
          <w:szCs w:val="19"/>
          <w:color w:val="auto"/>
        </w:rPr>
        <w:t>. Any questions as to whether and when there has been a termination of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cause of such termination shall be determined in the sole discretion of the Committee. Nothing in this Agreement confers upon you the right to continue in the employ of or performing services for the Company or any Subsidiary, or interfere in any way with the rights of the Company or any Subsidiary to terminate your employment or service relationship at any time, subject to any employment agreement or other service agreement in effect between the Company and the Participant.</w:t>
      </w:r>
    </w:p>
    <w:p>
      <w:pPr>
        <w:spacing w:after="0" w:line="141" w:lineRule="exact"/>
        <w:rPr>
          <w:rFonts w:ascii="Arial" w:cs="Arial" w:eastAsia="Arial" w:hAnsi="Arial"/>
          <w:sz w:val="19"/>
          <w:szCs w:val="19"/>
          <w:color w:val="auto"/>
        </w:rPr>
      </w:pPr>
    </w:p>
    <w:p>
      <w:pPr>
        <w:jc w:val="both"/>
        <w:ind w:firstLine="1296"/>
        <w:spacing w:after="0" w:line="229" w:lineRule="auto"/>
        <w:tabs>
          <w:tab w:leader="none" w:pos="1933" w:val="left"/>
        </w:tabs>
        <w:numPr>
          <w:ilvl w:val="1"/>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Transfer of Personal Data</w:t>
      </w:r>
      <w:r>
        <w:rPr>
          <w:rFonts w:ascii="Arial" w:cs="Arial" w:eastAsia="Arial" w:hAnsi="Arial"/>
          <w:sz w:val="21"/>
          <w:szCs w:val="21"/>
          <w:color w:val="auto"/>
        </w:rPr>
        <w:t>. The Participant authorizes, agrees and unambiguously consents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transmission by the Company (or any Subsidiary) of any personal data information related to the PSUs awarded under this Agreement for legitimate business purposes (including, without limitation, the administration of the Plan). This authorization and consent is freely given by the Participant.</w:t>
      </w:r>
    </w:p>
    <w:p>
      <w:pPr>
        <w:spacing w:after="0" w:line="152" w:lineRule="exact"/>
        <w:rPr>
          <w:rFonts w:ascii="Arial" w:cs="Arial" w:eastAsia="Arial" w:hAnsi="Arial"/>
          <w:sz w:val="21"/>
          <w:szCs w:val="21"/>
          <w:color w:val="auto"/>
        </w:rPr>
      </w:pPr>
    </w:p>
    <w:p>
      <w:pPr>
        <w:jc w:val="both"/>
        <w:ind w:firstLine="1296"/>
        <w:spacing w:after="0" w:line="239" w:lineRule="auto"/>
        <w:tabs>
          <w:tab w:leader="none" w:pos="1933" w:val="left"/>
        </w:tabs>
        <w:numPr>
          <w:ilvl w:val="1"/>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(and the Shares upon settlement of the PSUs)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w:t>
      </w:r>
    </w:p>
    <w:p>
      <w:pPr>
        <w:spacing w:after="0" w:line="4" w:lineRule="exact"/>
        <w:rPr>
          <w:rFonts w:ascii="Arial" w:cs="Arial" w:eastAsia="Arial" w:hAnsi="Arial"/>
          <w:sz w:val="19"/>
          <w:szCs w:val="19"/>
          <w:color w:val="auto"/>
        </w:rPr>
      </w:pPr>
    </w:p>
    <w:p>
      <w:pPr>
        <w:jc w:val="both"/>
        <w:ind w:firstLine="7"/>
        <w:spacing w:after="0" w:line="217" w:lineRule="auto"/>
        <w:tabs>
          <w:tab w:leader="none" w:pos="310" w:val="left"/>
        </w:tabs>
        <w:numPr>
          <w:ilvl w:val="0"/>
          <w:numId w:val="48"/>
        </w:numPr>
        <w:rPr>
          <w:rFonts w:ascii="Arial" w:cs="Arial" w:eastAsia="Arial" w:hAnsi="Arial"/>
          <w:sz w:val="21"/>
          <w:szCs w:val="21"/>
          <w:color w:val="auto"/>
        </w:rPr>
      </w:pPr>
      <w:r>
        <w:rPr>
          <w:rFonts w:ascii="Arial" w:cs="Arial" w:eastAsia="Arial" w:hAnsi="Arial"/>
          <w:sz w:val="21"/>
          <w:szCs w:val="21"/>
          <w:color w:val="auto"/>
        </w:rPr>
        <w:t>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54" w:lineRule="exact"/>
        <w:rPr>
          <w:rFonts w:ascii="Arial" w:cs="Arial" w:eastAsia="Arial" w:hAnsi="Arial"/>
          <w:sz w:val="21"/>
          <w:szCs w:val="21"/>
          <w:color w:val="auto"/>
        </w:rPr>
      </w:pPr>
    </w:p>
    <w:p>
      <w:pPr>
        <w:jc w:val="both"/>
        <w:ind w:firstLine="1296"/>
        <w:spacing w:after="0" w:line="233" w:lineRule="auto"/>
        <w:tabs>
          <w:tab w:leader="none" w:pos="1933" w:val="left"/>
        </w:tabs>
        <w:numPr>
          <w:ilvl w:val="1"/>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This Agreement and the Plan are intended to be exempt from or comply with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of 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7</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87" w:right="339" w:bottom="1440" w:gutter="0" w:footer="0" w:header="0"/>
        </w:sectPr>
      </w:pPr>
    </w:p>
    <w:bookmarkStart w:id="23" w:name="page24"/>
    <w:bookmarkEnd w:id="23"/>
    <w:p>
      <w:pPr>
        <w:ind w:right="20"/>
        <w:spacing w:after="0" w:line="245" w:lineRule="auto"/>
        <w:rPr>
          <w:sz w:val="20"/>
          <w:szCs w:val="20"/>
          <w:color w:val="auto"/>
        </w:rPr>
      </w:pPr>
      <w:r>
        <w:rPr>
          <w:rFonts w:ascii="Arial" w:cs="Arial" w:eastAsia="Arial" w:hAnsi="Arial"/>
          <w:sz w:val="21"/>
          <w:szCs w:val="21"/>
          <w:color w:val="auto"/>
        </w:rPr>
        <w:t>amount or benefit under this Agreement or the Plan becomes subject to penalties under Section 409A of the Code, responsibility for payment of such penalties shall rest solely with the Participant and not with the Company.</w:t>
      </w:r>
    </w:p>
    <w:p>
      <w:pPr>
        <w:spacing w:after="0" w:line="145" w:lineRule="exact"/>
        <w:rPr>
          <w:sz w:val="20"/>
          <w:szCs w:val="20"/>
          <w:color w:val="auto"/>
        </w:rPr>
      </w:pPr>
    </w:p>
    <w:p>
      <w:pPr>
        <w:jc w:val="both"/>
        <w:ind w:firstLine="1296"/>
        <w:spacing w:after="0" w:line="229" w:lineRule="auto"/>
        <w:tabs>
          <w:tab w:leader="none" w:pos="1933"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52"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PSUs and the Shares subject to the PSUs shall be subject to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51" w:lineRule="exact"/>
        <w:rPr>
          <w:rFonts w:ascii="Arial" w:cs="Arial" w:eastAsia="Arial" w:hAnsi="Arial"/>
          <w:sz w:val="21"/>
          <w:szCs w:val="21"/>
          <w:color w:val="auto"/>
        </w:rPr>
      </w:pPr>
    </w:p>
    <w:p>
      <w:pPr>
        <w:jc w:val="both"/>
        <w:ind w:firstLine="1296"/>
        <w:spacing w:after="0" w:line="221" w:lineRule="auto"/>
        <w:tabs>
          <w:tab w:leader="none" w:pos="1933"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This grant is subject to, and limited by, all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and such 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PSUs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3" w:lineRule="exact"/>
        <w:rPr>
          <w:rFonts w:ascii="Arial" w:cs="Arial" w:eastAsia="Arial" w:hAnsi="Arial"/>
          <w:sz w:val="21"/>
          <w:szCs w:val="21"/>
          <w:color w:val="auto"/>
        </w:rPr>
      </w:pPr>
    </w:p>
    <w:p>
      <w:pPr>
        <w:jc w:val="both"/>
        <w:ind w:firstLine="1296"/>
        <w:spacing w:after="0" w:line="221" w:lineRule="auto"/>
        <w:tabs>
          <w:tab w:leader="none" w:pos="1933"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The Participant acknowledges that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(e.g., PSUs)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53" w:lineRule="exact"/>
        <w:rPr>
          <w:rFonts w:ascii="Arial" w:cs="Arial" w:eastAsia="Arial" w:hAnsi="Arial"/>
          <w:sz w:val="21"/>
          <w:szCs w:val="21"/>
          <w:color w:val="auto"/>
        </w:rPr>
      </w:pPr>
    </w:p>
    <w:p>
      <w:pPr>
        <w:jc w:val="both"/>
        <w:ind w:firstLine="1296"/>
        <w:spacing w:after="0" w:line="231" w:lineRule="auto"/>
        <w:tabs>
          <w:tab w:leader="none" w:pos="1933"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Foreign Asset/Account Reporting; Exchange Controls</w:t>
      </w:r>
      <w:r>
        <w:rPr>
          <w:rFonts w:ascii="Arial" w:cs="Arial" w:eastAsia="Arial" w:hAnsi="Arial"/>
          <w:sz w:val="20"/>
          <w:szCs w:val="20"/>
          <w:color w:val="auto"/>
        </w:rPr>
        <w:t>. The Participant acknowledges that, depending on</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country of residence, the Participant may be subject to foreign asset and/or account reporting requirements and/or exchange controls as a result of the vesting and settlement of the PSUs,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8</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93" w:right="339" w:bottom="1440" w:gutter="0" w:footer="0" w:header="0"/>
        </w:sectPr>
      </w:pPr>
    </w:p>
    <w:bookmarkStart w:id="24" w:name="page25"/>
    <w:bookmarkEnd w:id="24"/>
    <w:p>
      <w:pPr>
        <w:jc w:val="both"/>
        <w:ind w:firstLine="1296"/>
        <w:spacing w:after="0" w:line="233" w:lineRule="auto"/>
        <w:tabs>
          <w:tab w:leader="none" w:pos="1933"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No Secured Rights</w:t>
      </w:r>
      <w:r>
        <w:rPr>
          <w:rFonts w:ascii="Arial" w:cs="Arial" w:eastAsia="Arial" w:hAnsi="Arial"/>
          <w:sz w:val="20"/>
          <w:szCs w:val="20"/>
          <w:color w:val="auto"/>
        </w:rPr>
        <w:t>. The Participant’s right to payments under this Agreement shall not constitute nor be</w:t>
      </w:r>
      <w:r>
        <w:rPr>
          <w:rFonts w:ascii="Arial" w:cs="Arial" w:eastAsia="Arial" w:hAnsi="Arial"/>
          <w:sz w:val="20"/>
          <w:szCs w:val="20"/>
          <w:b w:val="1"/>
          <w:bCs w:val="1"/>
          <w:color w:val="auto"/>
        </w:rPr>
        <w:t xml:space="preserve"> </w:t>
      </w:r>
      <w:r>
        <w:rPr>
          <w:rFonts w:ascii="Arial" w:cs="Arial" w:eastAsia="Arial" w:hAnsi="Arial"/>
          <w:sz w:val="20"/>
          <w:szCs w:val="20"/>
          <w:color w:val="auto"/>
        </w:rPr>
        <w:t>treated as property or as a trust fund of any kind. The Participant’s rights are limited exclusively to the right to receive Shares as provided in the Agreement. The Participant shall not have any rights as an owner of the Company with respect to any PSUs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 enumerated in the Agreement, and such rights shall be for all purposes, unsecured contractual creditors’ rights against the Company only.</w:t>
      </w:r>
    </w:p>
    <w:p>
      <w:pPr>
        <w:spacing w:after="0" w:line="154" w:lineRule="exact"/>
        <w:rPr>
          <w:rFonts w:ascii="Arial" w:cs="Arial" w:eastAsia="Arial" w:hAnsi="Arial"/>
          <w:sz w:val="20"/>
          <w:szCs w:val="20"/>
          <w:color w:val="auto"/>
        </w:rPr>
      </w:pPr>
    </w:p>
    <w:p>
      <w:pPr>
        <w:jc w:val="both"/>
        <w:ind w:firstLine="1296"/>
        <w:spacing w:after="0" w:line="235" w:lineRule="auto"/>
        <w:tabs>
          <w:tab w:leader="none" w:pos="1933"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Agreement; Assignment; Amendment</w:t>
      </w:r>
      <w:r>
        <w:rPr>
          <w:rFonts w:ascii="Arial" w:cs="Arial" w:eastAsia="Arial" w:hAnsi="Arial"/>
          <w:sz w:val="20"/>
          <w:szCs w:val="20"/>
          <w:color w:val="auto"/>
        </w:rPr>
        <w:t>. This Agreement shall inure to the benefit of, be binding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upon, and be 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PSUs,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20"/>
          <w:szCs w:val="20"/>
          <w:u w:val="single" w:color="auto"/>
          <w:color w:val="auto"/>
        </w:rPr>
        <w:t>Sections 18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w:t>
      </w:r>
      <w:r>
        <w:rPr>
          <w:rFonts w:ascii="Arial" w:cs="Arial" w:eastAsia="Arial" w:hAnsi="Arial"/>
          <w:sz w:val="20"/>
          <w:szCs w:val="20"/>
          <w:color w:val="auto"/>
        </w:rPr>
        <w:t xml:space="preserve"> hereof and Section 14 of the Plan.</w:t>
      </w:r>
    </w:p>
    <w:p>
      <w:pPr>
        <w:spacing w:after="0" w:line="152" w:lineRule="exact"/>
        <w:rPr>
          <w:rFonts w:ascii="Arial" w:cs="Arial" w:eastAsia="Arial" w:hAnsi="Arial"/>
          <w:sz w:val="20"/>
          <w:szCs w:val="20"/>
          <w:color w:val="auto"/>
        </w:rPr>
      </w:pPr>
    </w:p>
    <w:p>
      <w:pPr>
        <w:ind w:firstLine="1296"/>
        <w:spacing w:after="0" w:line="251" w:lineRule="auto"/>
        <w:tabs>
          <w:tab w:leader="none" w:pos="1933"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color w:val="auto"/>
        </w:rPr>
        <w:t>. The titles and headings of the various sections of this Agreement have been inserted for</w:t>
      </w:r>
      <w:r>
        <w:rPr>
          <w:rFonts w:ascii="Arial" w:cs="Arial" w:eastAsia="Arial" w:hAnsi="Arial"/>
          <w:sz w:val="21"/>
          <w:szCs w:val="21"/>
          <w:b w:val="1"/>
          <w:bCs w:val="1"/>
          <w:color w:val="auto"/>
        </w:rPr>
        <w:t xml:space="preserve"> </w:t>
      </w:r>
      <w:r>
        <w:rPr>
          <w:rFonts w:ascii="Arial" w:cs="Arial" w:eastAsia="Arial" w:hAnsi="Arial"/>
          <w:sz w:val="21"/>
          <w:szCs w:val="21"/>
          <w:color w:val="auto"/>
        </w:rPr>
        <w:t>convenience of reference only and shall not be deemed to be a part of this Agreement.</w:t>
      </w:r>
    </w:p>
    <w:p>
      <w:pPr>
        <w:spacing w:after="0" w:line="139"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one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1" w:lineRule="exact"/>
        <w:rPr>
          <w:rFonts w:ascii="Arial" w:cs="Arial" w:eastAsia="Arial" w:hAnsi="Arial"/>
          <w:sz w:val="21"/>
          <w:szCs w:val="21"/>
          <w:color w:val="auto"/>
        </w:rPr>
      </w:pPr>
    </w:p>
    <w:p>
      <w:pPr>
        <w:jc w:val="both"/>
        <w:ind w:firstLine="1296"/>
        <w:spacing w:after="0" w:line="229" w:lineRule="auto"/>
        <w:tabs>
          <w:tab w:leader="none" w:pos="1933"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Further Assurances</w:t>
      </w:r>
      <w:r>
        <w:rPr>
          <w:rFonts w:ascii="Arial" w:cs="Arial" w:eastAsia="Arial" w:hAnsi="Arial"/>
          <w:sz w:val="21"/>
          <w:szCs w:val="21"/>
          <w:color w:val="auto"/>
        </w:rPr>
        <w:t>. Each party hereto shall do and perform (or shall cause to be done and performed) all</w:t>
      </w:r>
      <w:r>
        <w:rPr>
          <w:rFonts w:ascii="Arial" w:cs="Arial" w:eastAsia="Arial" w:hAnsi="Arial"/>
          <w:sz w:val="21"/>
          <w:szCs w:val="21"/>
          <w:b w:val="1"/>
          <w:bCs w:val="1"/>
          <w:color w:val="auto"/>
        </w:rPr>
        <w:t xml:space="preserve"> </w:t>
      </w:r>
      <w:r>
        <w:rPr>
          <w:rFonts w:ascii="Arial" w:cs="Arial" w:eastAsia="Arial" w:hAnsi="Arial"/>
          <w:sz w:val="21"/>
          <w:szCs w:val="21"/>
          <w:color w:val="auto"/>
        </w:rPr>
        <w:t>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52" w:lineRule="exact"/>
        <w:rPr>
          <w:rFonts w:ascii="Arial" w:cs="Arial" w:eastAsia="Arial" w:hAnsi="Arial"/>
          <w:sz w:val="21"/>
          <w:szCs w:val="21"/>
          <w:color w:val="auto"/>
        </w:rPr>
      </w:pPr>
    </w:p>
    <w:p>
      <w:pPr>
        <w:jc w:val="both"/>
        <w:ind w:firstLine="1296"/>
        <w:spacing w:after="0" w:line="234" w:lineRule="auto"/>
        <w:tabs>
          <w:tab w:leader="none" w:pos="1933"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52" w:lineRule="exact"/>
        <w:rPr>
          <w:rFonts w:ascii="Arial" w:cs="Arial" w:eastAsia="Arial" w:hAnsi="Arial"/>
          <w:sz w:val="21"/>
          <w:szCs w:val="21"/>
          <w:color w:val="auto"/>
        </w:rPr>
      </w:pPr>
    </w:p>
    <w:p>
      <w:pPr>
        <w:jc w:val="both"/>
        <w:ind w:firstLine="1296"/>
        <w:spacing w:after="0" w:line="224" w:lineRule="auto"/>
        <w:tabs>
          <w:tab w:leader="none" w:pos="1933"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PSUs or any terms of this Agreement; provided, however, that the Participant may disclose the fact that the Participant has been granted the PSUs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00" w:val="left"/>
          <w:tab w:leader="none" w:pos="13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9</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87" w:right="339" w:bottom="1440" w:gutter="0" w:footer="0" w:header="0"/>
        </w:sectPr>
      </w:pPr>
    </w:p>
    <w:bookmarkStart w:id="25" w:name="page26"/>
    <w:bookmarkEnd w:id="25"/>
    <w:p>
      <w:pPr>
        <w:jc w:val="both"/>
        <w:ind w:firstLine="1296"/>
        <w:spacing w:after="0" w:line="229" w:lineRule="auto"/>
        <w:tabs>
          <w:tab w:leader="none" w:pos="1933" w:val="left"/>
        </w:tabs>
        <w:numPr>
          <w:ilvl w:val="0"/>
          <w:numId w:val="51"/>
        </w:numPr>
        <w:rPr>
          <w:rFonts w:ascii="Arial" w:cs="Arial" w:eastAsia="Arial" w:hAnsi="Arial"/>
          <w:sz w:val="21"/>
          <w:szCs w:val="21"/>
          <w:color w:val="auto"/>
        </w:rPr>
      </w:pPr>
      <w:r>
        <w:rPr>
          <w:rFonts w:ascii="Arial" w:cs="Arial" w:eastAsia="Arial" w:hAnsi="Arial"/>
          <w:sz w:val="21"/>
          <w:szCs w:val="21"/>
          <w:b w:val="1"/>
          <w:bCs w:val="1"/>
          <w:u w:val="single" w:color="auto"/>
          <w:color w:val="auto"/>
        </w:rPr>
        <w:t>Acknowledgement &amp; Acceptance within 30 Days</w:t>
      </w:r>
      <w:r>
        <w:rPr>
          <w:rFonts w:ascii="Arial" w:cs="Arial" w:eastAsia="Arial" w:hAnsi="Arial"/>
          <w:sz w:val="21"/>
          <w:szCs w:val="21"/>
          <w:color w:val="auto"/>
        </w:rPr>
        <w:t>. This grant is subject to acceptance, within 30 days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delivery of the Agreement, by electronic acceptance through the website of Merrill Lynch, the Company’s share plan administrator, or by signed documents delivered to the Company. </w:t>
      </w:r>
      <w:r>
        <w:rPr>
          <w:rFonts w:ascii="Arial" w:cs="Arial" w:eastAsia="Arial" w:hAnsi="Arial"/>
          <w:sz w:val="21"/>
          <w:szCs w:val="21"/>
          <w:b w:val="1"/>
          <w:bCs w:val="1"/>
          <w:color w:val="auto"/>
        </w:rPr>
        <w:t>Failure to accept the PSUs within 30 days of delivery of the</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 may result in cancellation of the PSUs</w:t>
      </w:r>
      <w:r>
        <w:rPr>
          <w:rFonts w:ascii="Arial" w:cs="Arial" w:eastAsia="Arial" w:hAnsi="Arial"/>
          <w:sz w:val="21"/>
          <w:szCs w:val="21"/>
          <w:color w:val="auto"/>
        </w:rPr>
        <w:t>.</w:t>
      </w:r>
    </w:p>
    <w:p>
      <w:pPr>
        <w:spacing w:after="0" w:line="400" w:lineRule="exact"/>
        <w:rPr>
          <w:sz w:val="20"/>
          <w:szCs w:val="20"/>
          <w:color w:val="auto"/>
        </w:rPr>
      </w:pPr>
    </w:p>
    <w:p>
      <w:pPr>
        <w:ind w:left="3980"/>
        <w:spacing w:after="0"/>
        <w:rPr>
          <w:sz w:val="20"/>
          <w:szCs w:val="20"/>
          <w:color w:val="auto"/>
        </w:rPr>
      </w:pPr>
      <w:r>
        <w:rPr>
          <w:rFonts w:ascii="Arial" w:cs="Arial" w:eastAsia="Arial" w:hAnsi="Arial"/>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800" w:val="left"/>
          <w:tab w:leader="none" w:pos="140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10</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40"/>
          </w:cols>
          <w:pgMar w:left="320" w:top="1387" w:right="339" w:bottom="1440" w:gutter="0" w:footer="0" w:header="0"/>
        </w:sectPr>
      </w:pPr>
    </w:p>
    <w:bookmarkStart w:id="26" w:name="page27"/>
    <w:bookmarkEnd w:id="26"/>
    <w:p>
      <w:pPr>
        <w:spacing w:after="0" w:line="245" w:lineRule="auto"/>
        <w:rPr>
          <w:sz w:val="20"/>
          <w:szCs w:val="20"/>
          <w:color w:val="auto"/>
        </w:rPr>
      </w:pPr>
      <w:r>
        <w:rPr>
          <w:rFonts w:ascii="Arial" w:cs="Arial" w:eastAsia="Arial" w:hAnsi="Arial"/>
          <w:sz w:val="21"/>
          <w:szCs w:val="21"/>
          <w:color w:val="auto"/>
        </w:rPr>
        <w:t>By signing below, the Participant hereby acknowledges receipt of the PSUs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WEATHERFORD INTERNATIONAL PLC</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-11430</wp:posOffset>
            </wp:positionV>
            <wp:extent cx="136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-14605</wp:posOffset>
            </wp:positionV>
            <wp:extent cx="136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136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136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 of the Participant]</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-11430</wp:posOffset>
            </wp:positionV>
            <wp:extent cx="136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 w:leader="none" w:pos="1380" w:val="left"/>
        </w:tabs>
        <w:rPr>
          <w:sz w:val="20"/>
          <w:szCs w:val="20"/>
          <w:color w:val="auto"/>
        </w:rPr>
      </w:pPr>
      <w:r>
        <w:rPr>
          <w:rFonts w:ascii="Arial" w:cs="Arial" w:eastAsia="Arial" w:hAnsi="Arial"/>
          <w:sz w:val="18"/>
          <w:szCs w:val="18"/>
          <w:color w:val="auto"/>
        </w:rPr>
        <w:t>105917</w:t>
      </w:r>
      <w:r>
        <w:rPr>
          <w:sz w:val="20"/>
          <w:szCs w:val="20"/>
          <w:color w:val="auto"/>
        </w:rPr>
        <w:tab/>
      </w:r>
      <w:r>
        <w:rPr>
          <w:rFonts w:ascii="Arial" w:cs="Arial" w:eastAsia="Arial" w:hAnsi="Arial"/>
          <w:sz w:val="20"/>
          <w:szCs w:val="20"/>
          <w:color w:val="auto"/>
        </w:rPr>
        <w:t>11</w:t>
      </w:r>
      <w:r>
        <w:rPr>
          <w:sz w:val="20"/>
          <w:szCs w:val="20"/>
          <w:color w:val="auto"/>
        </w:rPr>
        <w:tab/>
      </w:r>
      <w:r>
        <w:rPr>
          <w:rFonts w:ascii="Arial" w:cs="Arial" w:eastAsia="Arial" w:hAnsi="Arial"/>
          <w:sz w:val="14"/>
          <w:szCs w:val="14"/>
          <w:color w:val="auto"/>
        </w:rPr>
        <w:t>PSU Award – CIC – 3 Yr Vest</w:t>
      </w:r>
    </w:p>
    <w:p>
      <w:pPr>
        <w:sectPr>
          <w:pgSz w:w="11900" w:h="16838" w:orient="portrait"/>
          <w:cols w:equalWidth="0" w:num="1">
            <w:col w:w="11220"/>
          </w:cols>
          <w:pgMar w:left="320" w:top="1393"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21"/>
          <w:szCs w:val="21"/>
          <w:b w:val="1"/>
          <w:bCs w:val="1"/>
          <w:color w:val="auto"/>
        </w:rPr>
        <w:t>WEATHERFORD INTERNATIONAL PLC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DIRECTOR RESTRICTED SHARE UNIT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 2019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(TIME VESTING)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-7620</wp:posOffset>
            </wp:positionV>
            <wp:extent cx="681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-7620</wp:posOffset>
            </wp:positionV>
            <wp:extent cx="681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Restricted Share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-7620</wp:posOffset>
            </wp:positionV>
            <wp:extent cx="408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195"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 * * * *</w:t>
      </w:r>
    </w:p>
    <w:p>
      <w:pPr>
        <w:spacing w:after="0" w:line="215" w:lineRule="exact"/>
        <w:rPr>
          <w:sz w:val="20"/>
          <w:szCs w:val="20"/>
          <w:color w:val="auto"/>
        </w:rPr>
      </w:pPr>
    </w:p>
    <w:p>
      <w:pPr>
        <w:jc w:val="both"/>
        <w:ind w:firstLine="309"/>
        <w:spacing w:after="0" w:line="226" w:lineRule="auto"/>
        <w:rPr>
          <w:sz w:val="20"/>
          <w:szCs w:val="20"/>
          <w:color w:val="auto"/>
        </w:rPr>
      </w:pPr>
      <w:r>
        <w:rPr>
          <w:rFonts w:ascii="Arial" w:cs="Arial" w:eastAsia="Arial" w:hAnsi="Arial"/>
          <w:sz w:val="21"/>
          <w:szCs w:val="21"/>
          <w:b w:val="1"/>
          <w:bCs w:val="1"/>
          <w:color w:val="auto"/>
        </w:rPr>
        <w:t xml:space="preserve">THIS RESTRICTED SHARE UNIT AWARD AGREEMENT </w:t>
      </w:r>
      <w:r>
        <w:rPr>
          <w:rFonts w:ascii="Arial" w:cs="Arial" w:eastAsia="Arial" w:hAnsi="Arial"/>
          <w:sz w:val="21"/>
          <w:szCs w:val="21"/>
          <w:color w:val="auto"/>
        </w:rPr>
        <w:t>(this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the Grant Date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above, is entered into by and between WEATHERFORD INTERNATIONAL PLC, a public limited company organized under the laws of Ireland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specified above, pursuant to the Weatherford International plc Second Amended and Restated 2019 Equity Incentive Plan, as in effect and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which is administered by the Committee (as defined in the Plan); and</w:t>
      </w:r>
    </w:p>
    <w:p>
      <w:pPr>
        <w:spacing w:after="0" w:line="178"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it has been determined under the Plan that it would be in the best interests of the Company to grant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Share Units (“</w:t>
      </w:r>
      <w:r>
        <w:rPr>
          <w:rFonts w:ascii="Arial" w:cs="Arial" w:eastAsia="Arial" w:hAnsi="Arial"/>
          <w:sz w:val="21"/>
          <w:szCs w:val="21"/>
          <w:u w:val="single" w:color="auto"/>
          <w:color w:val="auto"/>
        </w:rPr>
        <w:t>RSUs</w:t>
      </w:r>
      <w:r>
        <w:rPr>
          <w:rFonts w:ascii="Arial" w:cs="Arial" w:eastAsia="Arial" w:hAnsi="Arial"/>
          <w:sz w:val="21"/>
          <w:szCs w:val="21"/>
          <w:color w:val="auto"/>
        </w:rPr>
        <w:t>”) provided herein to the Participant for serving as a non-employee director on the Company’s Board of Directors.</w:t>
      </w:r>
    </w:p>
    <w:p>
      <w:pPr>
        <w:spacing w:after="0" w:line="179"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mutual covenants and promises hereinafter set forth and for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is hereby acknowledged, the parties hereto hereby mutually covenant and agree as follows:</w:t>
      </w:r>
    </w:p>
    <w:p>
      <w:pPr>
        <w:spacing w:after="0" w:line="153" w:lineRule="exact"/>
        <w:rPr>
          <w:sz w:val="20"/>
          <w:szCs w:val="20"/>
          <w:color w:val="auto"/>
        </w:rPr>
      </w:pPr>
    </w:p>
    <w:p>
      <w:pPr>
        <w:jc w:val="both"/>
        <w:ind w:firstLine="1296"/>
        <w:spacing w:after="0" w:line="221" w:lineRule="auto"/>
        <w:tabs>
          <w:tab w:leader="none" w:pos="1933"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Incorporation By Reference; Plan Document Receipt</w:t>
      </w:r>
      <w:r>
        <w:rPr>
          <w:rFonts w:ascii="Arial" w:cs="Arial" w:eastAsia="Arial" w:hAnsi="Arial"/>
          <w:sz w:val="21"/>
          <w:szCs w:val="21"/>
          <w:color w:val="auto"/>
        </w:rPr>
        <w:t>. This Agreement is subject in all respects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53"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Restricted Share Unit Award</w:t>
      </w:r>
      <w:r>
        <w:rPr>
          <w:rFonts w:ascii="Arial" w:cs="Arial" w:eastAsia="Arial" w:hAnsi="Arial"/>
          <w:sz w:val="21"/>
          <w:szCs w:val="21"/>
          <w:color w:val="auto"/>
        </w:rPr>
        <w:t>. The Company hereby grants the number of RSUs specified above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Participant, 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102956v1</w:t>
      </w:r>
    </w:p>
    <w:p>
      <w:pPr>
        <w:sectPr>
          <w:pgSz w:w="11900" w:h="16838" w:orient="portrait"/>
          <w:cols w:equalWidth="0" w:num="1">
            <w:col w:w="11240"/>
          </w:cols>
          <w:pgMar w:left="320" w:top="1387" w:right="339" w:bottom="1440" w:gutter="0" w:footer="0" w:header="0"/>
        </w:sectPr>
      </w:pPr>
    </w:p>
    <w:bookmarkStart w:id="28" w:name="page29"/>
    <w:bookmarkEnd w:id="28"/>
    <w:p>
      <w:pPr>
        <w:spacing w:after="0"/>
        <w:rPr>
          <w:sz w:val="20"/>
          <w:szCs w:val="20"/>
          <w:color w:val="auto"/>
        </w:rPr>
      </w:pPr>
      <w:r>
        <w:rPr>
          <w:rFonts w:ascii="Arial" w:cs="Arial" w:eastAsia="Arial" w:hAnsi="Arial"/>
          <w:sz w:val="21"/>
          <w:szCs w:val="21"/>
          <w:color w:val="auto"/>
        </w:rPr>
        <w:t>respect of the Shares underlying the RSUs, except as otherwise specifically provided for in the Plan or this Agreement.</w:t>
      </w:r>
    </w:p>
    <w:p>
      <w:pPr>
        <w:spacing w:after="0" w:line="182" w:lineRule="exact"/>
        <w:rPr>
          <w:sz w:val="20"/>
          <w:szCs w:val="20"/>
          <w:color w:val="auto"/>
        </w:rPr>
      </w:pPr>
    </w:p>
    <w:p>
      <w:pPr>
        <w:ind w:left="1940" w:hanging="644"/>
        <w:spacing w:after="0"/>
        <w:tabs>
          <w:tab w:leader="none" w:pos="1940" w:val="left"/>
        </w:tabs>
        <w:numPr>
          <w:ilvl w:val="0"/>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w:t>
      </w:r>
      <w:r>
        <w:rPr>
          <w:rFonts w:ascii="Arial" w:cs="Arial" w:eastAsia="Arial" w:hAnsi="Arial"/>
          <w:sz w:val="21"/>
          <w:szCs w:val="21"/>
          <w:color w:val="auto"/>
        </w:rPr>
        <w:t>.</w:t>
      </w:r>
    </w:p>
    <w:p>
      <w:pPr>
        <w:spacing w:after="0" w:line="194" w:lineRule="exact"/>
        <w:rPr>
          <w:sz w:val="20"/>
          <w:szCs w:val="20"/>
          <w:color w:val="auto"/>
        </w:rPr>
      </w:pPr>
    </w:p>
    <w:p>
      <w:pPr>
        <w:ind w:firstLine="1296"/>
        <w:spacing w:after="0" w:line="296" w:lineRule="auto"/>
        <w:tabs>
          <w:tab w:leader="none" w:pos="1929"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 </w:t>
      </w:r>
      <w:r>
        <w:rPr>
          <w:rFonts w:ascii="Arial" w:cs="Arial" w:eastAsia="Arial" w:hAnsi="Arial"/>
          <w:sz w:val="19"/>
          <w:szCs w:val="19"/>
          <w:u w:val="single" w:color="auto"/>
          <w:color w:val="auto"/>
        </w:rPr>
        <w:t>3(e)</w:t>
      </w:r>
      <w:r>
        <w:rPr>
          <w:rFonts w:ascii="Arial" w:cs="Arial" w:eastAsia="Arial" w:hAnsi="Arial"/>
          <w:sz w:val="19"/>
          <w:szCs w:val="19"/>
          <w:color w:val="auto"/>
        </w:rPr>
        <w:t xml:space="preserve"> hereof, the RSUs subject to this Award shall become vested as follows, subject to the Participant’s continued service with the Company or any of its Subsidiaries on the vesting date:</w:t>
      </w:r>
    </w:p>
    <w:p>
      <w:pPr>
        <w:spacing w:after="0" w:line="140" w:lineRule="exact"/>
        <w:rPr>
          <w:sz w:val="20"/>
          <w:szCs w:val="20"/>
          <w:color w:val="auto"/>
        </w:rPr>
      </w:pPr>
    </w:p>
    <w:tbl>
      <w:tblPr>
        <w:tblLayout w:type="fixed"/>
        <w:tblInd w:w="2160" w:type="dxa"/>
        <w:tblCellMar>
          <w:top w:w="0" w:type="dxa"/>
          <w:left w:w="0" w:type="dxa"/>
          <w:bottom w:w="0" w:type="dxa"/>
          <w:right w:w="0" w:type="dxa"/>
        </w:tblCellMar>
      </w:tblPr>
      <w:tr>
        <w:trPr>
          <w:trHeight w:val="241"/>
        </w:trPr>
        <w:tc>
          <w:tcPr>
            <w:tcW w:w="108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Vesting Date</w:t>
            </w:r>
          </w:p>
        </w:tc>
        <w:tc>
          <w:tcPr>
            <w:tcW w:w="310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21"/>
                <w:szCs w:val="21"/>
                <w:b w:val="1"/>
                <w:bCs w:val="1"/>
                <w:color w:val="auto"/>
                <w:w w:val="89"/>
              </w:rPr>
              <w:t>Percentage of RSUs</w:t>
            </w:r>
          </w:p>
        </w:tc>
      </w:tr>
      <w:tr>
        <w:trPr>
          <w:trHeight w:val="299"/>
        </w:trPr>
        <w:tc>
          <w:tcPr>
            <w:tcW w:w="5340" w:type="dxa"/>
            <w:vAlign w:val="bottom"/>
            <w:gridSpan w:val="3"/>
          </w:tcPr>
          <w:p>
            <w:pPr>
              <w:jc w:val="center"/>
              <w:ind w:right="2040"/>
              <w:spacing w:after="0"/>
              <w:rPr>
                <w:sz w:val="20"/>
                <w:szCs w:val="20"/>
                <w:color w:val="auto"/>
              </w:rPr>
            </w:pPr>
            <w:r>
              <w:rPr>
                <w:rFonts w:ascii="Arial" w:cs="Arial" w:eastAsia="Arial" w:hAnsi="Arial"/>
                <w:sz w:val="21"/>
                <w:szCs w:val="21"/>
                <w:b w:val="1"/>
                <w:bCs w:val="1"/>
                <w:color w:val="auto"/>
                <w:w w:val="94"/>
              </w:rPr>
              <w:t>First Anniversary of the Grant Date</w:t>
            </w:r>
          </w:p>
        </w:tc>
        <w:tc>
          <w:tcPr>
            <w:tcW w:w="1800" w:type="dxa"/>
            <w:vAlign w:val="bottom"/>
          </w:tcPr>
          <w:p>
            <w:pPr>
              <w:jc w:val="right"/>
              <w:ind w:right="513"/>
              <w:spacing w:after="0"/>
              <w:rPr>
                <w:sz w:val="20"/>
                <w:szCs w:val="20"/>
                <w:color w:val="auto"/>
              </w:rPr>
            </w:pPr>
            <w:r>
              <w:rPr>
                <w:rFonts w:ascii="Arial" w:cs="Arial" w:eastAsia="Arial" w:hAnsi="Arial"/>
                <w:sz w:val="21"/>
                <w:szCs w:val="21"/>
                <w:b w:val="1"/>
                <w:bCs w:val="1"/>
                <w:color w:val="auto"/>
              </w:rPr>
              <w:t>100%</w:t>
            </w:r>
          </w:p>
        </w:tc>
      </w:tr>
    </w:tbl>
    <w:p>
      <w:pPr>
        <w:spacing w:after="0" w:line="304" w:lineRule="exact"/>
        <w:rPr>
          <w:sz w:val="20"/>
          <w:szCs w:val="20"/>
          <w:color w:val="auto"/>
        </w:rPr>
      </w:pPr>
    </w:p>
    <w:p>
      <w:pPr>
        <w:jc w:val="both"/>
        <w:ind w:firstLine="1296"/>
        <w:spacing w:after="0" w:line="232" w:lineRule="auto"/>
        <w:tabs>
          <w:tab w:leader="none" w:pos="192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Due to Death or Disability</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4(c)</w:t>
      </w:r>
      <w:r>
        <w:rPr>
          <w:rFonts w:ascii="Arial" w:cs="Arial" w:eastAsia="Arial" w:hAnsi="Arial"/>
          <w:sz w:val="21"/>
          <w:szCs w:val="21"/>
          <w:color w:val="auto"/>
        </w:rPr>
        <w:t>, in the event the Participant’s Service is terminated by the Company other than for cause or due to the Participant’s death or Disability all unvested RSUs will accelerate and vest.</w:t>
      </w:r>
    </w:p>
    <w:p>
      <w:pPr>
        <w:spacing w:after="0" w:line="158" w:lineRule="exact"/>
        <w:rPr>
          <w:rFonts w:ascii="Arial" w:cs="Arial" w:eastAsia="Arial" w:hAnsi="Arial"/>
          <w:sz w:val="21"/>
          <w:szCs w:val="21"/>
          <w:color w:val="auto"/>
        </w:rPr>
      </w:pPr>
    </w:p>
    <w:p>
      <w:pPr>
        <w:ind w:left="1940" w:hanging="644"/>
        <w:spacing w:after="0"/>
        <w:tabs>
          <w:tab w:leader="none" w:pos="194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All unvested RSUs shall become fully vested upon a Change in Control.</w:t>
      </w:r>
    </w:p>
    <w:p>
      <w:pPr>
        <w:spacing w:after="0" w:line="187" w:lineRule="exact"/>
        <w:rPr>
          <w:rFonts w:ascii="Arial" w:cs="Arial" w:eastAsia="Arial" w:hAnsi="Arial"/>
          <w:sz w:val="21"/>
          <w:szCs w:val="21"/>
          <w:color w:val="auto"/>
        </w:rPr>
      </w:pPr>
    </w:p>
    <w:p>
      <w:pPr>
        <w:ind w:firstLine="1296"/>
        <w:spacing w:after="0" w:line="245" w:lineRule="auto"/>
        <w:tabs>
          <w:tab w:leader="none" w:pos="1928"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Committee Discretion to Accelerate Vesting</w:t>
      </w:r>
      <w:r>
        <w:rPr>
          <w:rFonts w:ascii="Arial" w:cs="Arial" w:eastAsia="Arial" w:hAnsi="Arial"/>
          <w:sz w:val="21"/>
          <w:szCs w:val="21"/>
          <w:color w:val="auto"/>
        </w:rPr>
        <w:t>. In addition to the foregoing, the Committee may, in its sole discretion, accelerate vesting of the RSUs at any time and for any reason.</w:t>
      </w:r>
    </w:p>
    <w:p>
      <w:pPr>
        <w:spacing w:after="0" w:line="151" w:lineRule="exact"/>
        <w:rPr>
          <w:rFonts w:ascii="Arial" w:cs="Arial" w:eastAsia="Arial" w:hAnsi="Arial"/>
          <w:sz w:val="21"/>
          <w:szCs w:val="21"/>
          <w:color w:val="auto"/>
        </w:rPr>
      </w:pPr>
    </w:p>
    <w:p>
      <w:pPr>
        <w:jc w:val="both"/>
        <w:ind w:right="20" w:firstLine="1296"/>
        <w:spacing w:after="0" w:line="232" w:lineRule="auto"/>
        <w:tabs>
          <w:tab w:leader="none" w:pos="1929"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xml:space="preserve">. Subject to the terms of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all unvested RSUs (taking into account any vesting that may occur upon the Participant’s Termination in accordance with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hereof) shall be immediately forfeited upon the Participant’s Termination for any reason.</w:t>
      </w:r>
    </w:p>
    <w:p>
      <w:pPr>
        <w:spacing w:after="0" w:line="153" w:lineRule="exact"/>
        <w:rPr>
          <w:sz w:val="20"/>
          <w:szCs w:val="20"/>
          <w:color w:val="auto"/>
        </w:rPr>
      </w:pPr>
    </w:p>
    <w:p>
      <w:pPr>
        <w:ind w:left="1940" w:hanging="644"/>
        <w:spacing w:after="0"/>
        <w:tabs>
          <w:tab w:leader="none" w:pos="1940"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Delivery of Shares</w:t>
      </w:r>
      <w:r>
        <w:rPr>
          <w:rFonts w:ascii="Arial" w:cs="Arial" w:eastAsia="Arial" w:hAnsi="Arial"/>
          <w:sz w:val="21"/>
          <w:szCs w:val="21"/>
          <w:color w:val="auto"/>
        </w:rPr>
        <w:t>.</w:t>
      </w:r>
    </w:p>
    <w:p>
      <w:pPr>
        <w:spacing w:after="0" w:line="194" w:lineRule="exact"/>
        <w:rPr>
          <w:sz w:val="20"/>
          <w:szCs w:val="20"/>
          <w:color w:val="auto"/>
        </w:rPr>
      </w:pPr>
    </w:p>
    <w:p>
      <w:pPr>
        <w:jc w:val="both"/>
        <w:ind w:firstLine="1296"/>
        <w:spacing w:after="0" w:line="232" w:lineRule="auto"/>
        <w:tabs>
          <w:tab w:leader="none" w:pos="1929"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provision of </w:t>
      </w:r>
      <w:r>
        <w:rPr>
          <w:rFonts w:ascii="Arial" w:cs="Arial" w:eastAsia="Arial" w:hAnsi="Arial"/>
          <w:sz w:val="21"/>
          <w:szCs w:val="21"/>
          <w:u w:val="single" w:color="auto"/>
          <w:color w:val="auto"/>
        </w:rPr>
        <w:t>Section 4(b)</w:t>
      </w:r>
      <w:r>
        <w:rPr>
          <w:rFonts w:ascii="Arial" w:cs="Arial" w:eastAsia="Arial" w:hAnsi="Arial"/>
          <w:sz w:val="21"/>
          <w:szCs w:val="21"/>
          <w:color w:val="auto"/>
        </w:rPr>
        <w:t xml:space="preserve"> hereof, within ten (10) days following the applicable Vesting Date of the RSUs the Participant shall receive the number of Shares that correspond to the number of RSUs that have become vested on the applicable Vesting Date.</w:t>
      </w:r>
    </w:p>
    <w:p>
      <w:pPr>
        <w:spacing w:after="0" w:line="158" w:lineRule="exact"/>
        <w:rPr>
          <w:rFonts w:ascii="Arial" w:cs="Arial" w:eastAsia="Arial" w:hAnsi="Arial"/>
          <w:sz w:val="21"/>
          <w:szCs w:val="21"/>
          <w:color w:val="auto"/>
        </w:rPr>
      </w:pPr>
    </w:p>
    <w:p>
      <w:pPr>
        <w:jc w:val="both"/>
        <w:ind w:firstLine="1296"/>
        <w:spacing w:after="0" w:line="231" w:lineRule="auto"/>
        <w:tabs>
          <w:tab w:leader="none" w:pos="192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If the RSUs are considered an item of deferred compensation subject to Section 409A of the Code and the Shares are distributable at a time or times by reference to the Participant’s separation from service (within the meaning of Section 409A(a)(2)(A)(i) of the Code) and the Participant on the date of the Participant’s separation from service is both subject to U.S. federal income taxation and a “specified employee” (within the meaning of Section 409A(a)(2)(B)(i) of the Code), any Shares that would otherwise be issuable during the 6-month period commencing on the Participant’s separation from service will be issued on the first day which immediately follows the last day of the 6-month period that commences on the Participant’s separation from service (or, if the Participant dies during such period, within 30 days after the Participant’s death). Such Shares shall be validly issued, fully paid and non-assessable.</w:t>
      </w:r>
    </w:p>
    <w:p>
      <w:pPr>
        <w:spacing w:after="0" w:line="161" w:lineRule="exact"/>
        <w:rPr>
          <w:rFonts w:ascii="Arial" w:cs="Arial" w:eastAsia="Arial" w:hAnsi="Arial"/>
          <w:sz w:val="20"/>
          <w:szCs w:val="20"/>
          <w:color w:val="auto"/>
        </w:rPr>
      </w:pPr>
    </w:p>
    <w:p>
      <w:pPr>
        <w:jc w:val="both"/>
        <w:ind w:firstLine="1296"/>
        <w:spacing w:after="0" w:line="232" w:lineRule="auto"/>
        <w:tabs>
          <w:tab w:leader="none" w:pos="1929"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The receipt of Shares subject to the RSUs that are eligible to vest pursuant to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shall be subject to the execution and nonrevocation of a general release of claims in favor of the Company, in a form reasonably satisfactory to the Company.</w:t>
      </w:r>
    </w:p>
    <w:p>
      <w:pPr>
        <w:spacing w:after="0" w:line="200" w:lineRule="exact"/>
        <w:rPr>
          <w:sz w:val="20"/>
          <w:szCs w:val="20"/>
          <w:color w:val="auto"/>
        </w:rPr>
      </w:pPr>
    </w:p>
    <w:p>
      <w:pPr>
        <w:spacing w:after="0" w:line="329" w:lineRule="exact"/>
        <w:rPr>
          <w:sz w:val="20"/>
          <w:szCs w:val="20"/>
          <w:color w:val="auto"/>
        </w:rPr>
      </w:pPr>
    </w:p>
    <w:p>
      <w:pPr>
        <w:ind w:left="80"/>
        <w:spacing w:after="0"/>
        <w:tabs>
          <w:tab w:leader="none" w:pos="5540"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2</w:t>
      </w:r>
    </w:p>
    <w:p>
      <w:pPr>
        <w:sectPr>
          <w:pgSz w:w="11900" w:h="16838" w:orient="portrait"/>
          <w:cols w:equalWidth="0" w:num="1">
            <w:col w:w="11240"/>
          </w:cols>
          <w:pgMar w:left="320" w:top="1393" w:right="339" w:bottom="1440" w:gutter="0" w:footer="0" w:header="0"/>
        </w:sectPr>
      </w:pPr>
    </w:p>
    <w:bookmarkStart w:id="29" w:name="page30"/>
    <w:bookmarkEnd w:id="29"/>
    <w:p>
      <w:pPr>
        <w:jc w:val="both"/>
        <w:ind w:left="-80" w:firstLine="1296"/>
        <w:spacing w:after="0" w:line="231" w:lineRule="auto"/>
        <w:tabs>
          <w:tab w:leader="none" w:pos="1853" w:val="left"/>
        </w:tabs>
        <w:numPr>
          <w:ilvl w:val="0"/>
          <w:numId w:val="58"/>
        </w:numPr>
        <w:rPr>
          <w:rFonts w:ascii="Arial" w:cs="Arial" w:eastAsia="Arial" w:hAnsi="Arial"/>
          <w:sz w:val="20"/>
          <w:szCs w:val="20"/>
          <w:color w:val="auto"/>
        </w:rPr>
      </w:pPr>
      <w:r>
        <w:rPr>
          <w:rFonts w:ascii="Arial" w:cs="Arial" w:eastAsia="Arial" w:hAnsi="Arial"/>
          <w:sz w:val="20"/>
          <w:szCs w:val="20"/>
          <w:b w:val="1"/>
          <w:bCs w:val="1"/>
          <w:u w:val="single" w:color="auto"/>
          <w:color w:val="auto"/>
        </w:rPr>
        <w:t>Dividends; Rights as Shareholder</w:t>
      </w:r>
      <w:r>
        <w:rPr>
          <w:rFonts w:ascii="Arial" w:cs="Arial" w:eastAsia="Arial" w:hAnsi="Arial"/>
          <w:sz w:val="20"/>
          <w:szCs w:val="20"/>
          <w:color w:val="auto"/>
        </w:rPr>
        <w:t>. Cash dividends on the number of Shares issuable hereunder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credited to a dividend book entry account on behalf of the Participant with respect to each RSU granted to the Participant;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cash dividends shall not be deemed to be reinvested in Shares and shall be held uninvested and without interest and paid in cash at the same time that the Shares underlying the RSUs are delivered to the Participant in accordance with the provisions hereof. Stock dividends on Shares shall be credited to a dividend book entry account on behalf of the Participant with respect to each RSU granted to the Participant;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stock dividends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Participant has become the holder of record of such Shares.</w:t>
      </w:r>
    </w:p>
    <w:p>
      <w:pPr>
        <w:spacing w:after="0" w:line="155" w:lineRule="exact"/>
        <w:rPr>
          <w:rFonts w:ascii="Arial" w:cs="Arial" w:eastAsia="Arial" w:hAnsi="Arial"/>
          <w:sz w:val="20"/>
          <w:szCs w:val="20"/>
          <w:color w:val="auto"/>
        </w:rPr>
      </w:pPr>
    </w:p>
    <w:p>
      <w:pPr>
        <w:jc w:val="both"/>
        <w:ind w:left="-80" w:firstLine="1296"/>
        <w:spacing w:after="0" w:line="241" w:lineRule="auto"/>
        <w:tabs>
          <w:tab w:leader="none" w:pos="1853" w:val="left"/>
        </w:tabs>
        <w:numPr>
          <w:ilvl w:val="0"/>
          <w:numId w:val="58"/>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RSUs, and any rights and interests with respect thereto, issued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Plan shall not be sold, exchanged, transferred, assigned, pledged, encumbered or otherwise disposed of or hypothecated in any way by the Participant (or any beneficiary of the Participant who holds the RSUs as a result of a Transfer by will or by the laws of descent and distribution), other than in accordance with the provisions of Section 10(c) of the Plan.</w:t>
      </w:r>
    </w:p>
    <w:p>
      <w:pPr>
        <w:spacing w:after="0" w:line="149" w:lineRule="exact"/>
        <w:rPr>
          <w:rFonts w:ascii="Arial" w:cs="Arial" w:eastAsia="Arial" w:hAnsi="Arial"/>
          <w:sz w:val="20"/>
          <w:szCs w:val="20"/>
          <w:color w:val="auto"/>
        </w:rPr>
      </w:pPr>
    </w:p>
    <w:p>
      <w:pPr>
        <w:ind w:left="1860" w:hanging="644"/>
        <w:spacing w:after="0"/>
        <w:tabs>
          <w:tab w:leader="none" w:pos="1860"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 Jurisdiction and Venue</w:t>
      </w:r>
      <w:r>
        <w:rPr>
          <w:rFonts w:ascii="Arial" w:cs="Arial" w:eastAsia="Arial" w:hAnsi="Arial"/>
          <w:sz w:val="21"/>
          <w:szCs w:val="21"/>
          <w:color w:val="auto"/>
        </w:rPr>
        <w:t>.</w:t>
      </w:r>
    </w:p>
    <w:p>
      <w:pPr>
        <w:spacing w:after="0" w:line="194" w:lineRule="exact"/>
        <w:rPr>
          <w:sz w:val="20"/>
          <w:szCs w:val="20"/>
          <w:color w:val="auto"/>
        </w:rPr>
      </w:pPr>
    </w:p>
    <w:p>
      <w:pPr>
        <w:jc w:val="both"/>
        <w:ind w:left="-80" w:firstLine="1296"/>
        <w:spacing w:after="0"/>
        <w:tabs>
          <w:tab w:leader="none" w:pos="1849"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questions arising with respect to the provisions of this Agreement shall be determined by application of the laws of Texas, without giving any effect to any conflict of law provisions thereof, except to the extent Texas state law is preempted by federal law. The obligation of the Company to sell and deliver Shares hereunder is subject to applicable laws and to the approval of any governmental authority required in connection with the authorization, issuance, sale, or delivery of such Shares. The Participant and the Company (each, a “</w:t>
      </w:r>
      <w:r>
        <w:rPr>
          <w:rFonts w:ascii="Arial" w:cs="Arial" w:eastAsia="Arial" w:hAnsi="Arial"/>
          <w:sz w:val="19"/>
          <w:szCs w:val="19"/>
          <w:u w:val="single" w:color="auto"/>
          <w:color w:val="auto"/>
        </w:rPr>
        <w:t>Party</w:t>
      </w:r>
      <w:r>
        <w:rPr>
          <w:rFonts w:ascii="Arial" w:cs="Arial" w:eastAsia="Arial" w:hAnsi="Arial"/>
          <w:sz w:val="19"/>
          <w:szCs w:val="19"/>
          <w:color w:val="auto"/>
        </w:rPr>
        <w:t>”) irrevocably and unconditionally agree that any past, present, or future dispute, controversy, or claim arising under or relating to this Agreement; any other agreement between the Participant and the Company or any of its Subsidiaries (collectively with the Company,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any federal, state, local, or foreign statute, regulation, law, ordinance, or the common law (including but not limited to any law prohibiting discrimination); or in connection with the Participant’s provision of services or termination thereof; involving the Participant, on the one hand, and any of the Company Parties, on the other hand, including both claims brought by the Participant and claims brought against the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for resolution; provided that nothing herein shall require arbitration of a claim or charge that,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shall be heard in separate proceedings.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Commercial Arbitrators. Such arbitration shall be conducted in Houston, Texas, and the arbitrators shall apply Texas law, including federal statutory law as applied in Texas courts.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is void or voidable. The arbitrators shall issue their written decision (including a statement of finding of facts and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5460"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3</w:t>
      </w:r>
    </w:p>
    <w:p>
      <w:pPr>
        <w:sectPr>
          <w:pgSz w:w="11900" w:h="16838" w:orient="portrait"/>
          <w:cols w:equalWidth="0" w:num="1">
            <w:col w:w="11160"/>
          </w:cols>
          <w:pgMar w:left="400" w:top="1387" w:right="339" w:bottom="1440" w:gutter="0" w:footer="0" w:header="0"/>
        </w:sectPr>
      </w:pPr>
    </w:p>
    <w:bookmarkStart w:id="30" w:name="page31"/>
    <w:bookmarkEnd w:id="30"/>
    <w:p>
      <w:pPr>
        <w:jc w:val="both"/>
        <w:spacing w:after="0" w:line="241" w:lineRule="auto"/>
        <w:rPr>
          <w:sz w:val="20"/>
          <w:szCs w:val="20"/>
          <w:color w:val="auto"/>
        </w:rPr>
      </w:pPr>
      <w:r>
        <w:rPr>
          <w:rFonts w:ascii="Arial" w:cs="Arial" w:eastAsia="Arial" w:hAnsi="Arial"/>
          <w:sz w:val="19"/>
          <w:szCs w:val="19"/>
          <w:color w:val="auto"/>
        </w:rPr>
        <w:t>reasons for the award) within 30 days from the date of the close of the arbitration hearing. Except as otherwise provided herein, the Parties shall treat any arbitration as strictly confidential, and shall not disclose the existence or nature of any claim or defense; any documents, correspondence, pleadings, briefing, exhibits, or information exchanged or presented in connection with any claim or defense, unless required by applicable law (including public disclosures under applicable securities laws); or any rulings, decisions, or results of any claim, defense, or argument (collectively, “</w:t>
      </w:r>
      <w:r>
        <w:rPr>
          <w:rFonts w:ascii="Arial" w:cs="Arial" w:eastAsia="Arial" w:hAnsi="Arial"/>
          <w:sz w:val="19"/>
          <w:szCs w:val="19"/>
          <w:u w:val="single" w:color="auto"/>
          <w:color w:val="auto"/>
        </w:rPr>
        <w:t>Arbitration Materials</w:t>
      </w:r>
      <w:r>
        <w:rPr>
          <w:rFonts w:ascii="Arial" w:cs="Arial" w:eastAsia="Arial" w:hAnsi="Arial"/>
          <w:sz w:val="19"/>
          <w:szCs w:val="19"/>
          <w:color w:val="auto"/>
        </w:rPr>
        <w:t xml:space="preserve">”) to any third party, with the exception of the Parties’ legal counsel and/or tax advisors or such other similar consultants (who the applicable Party shall ensure complies with these confidentiality terms). Except as provided in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below, the arbitrators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163" w:lineRule="exact"/>
        <w:rPr>
          <w:sz w:val="20"/>
          <w:szCs w:val="20"/>
          <w:color w:val="auto"/>
        </w:rPr>
      </w:pPr>
    </w:p>
    <w:p>
      <w:pPr>
        <w:jc w:val="both"/>
        <w:ind w:firstLine="1296"/>
        <w:spacing w:after="0" w:line="220" w:lineRule="auto"/>
        <w:tabs>
          <w:tab w:leader="none" w:pos="1928"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161" w:lineRule="exact"/>
        <w:rPr>
          <w:rFonts w:ascii="Arial" w:cs="Arial" w:eastAsia="Arial" w:hAnsi="Arial"/>
          <w:sz w:val="21"/>
          <w:szCs w:val="21"/>
          <w:color w:val="auto"/>
        </w:rPr>
      </w:pPr>
    </w:p>
    <w:p>
      <w:pPr>
        <w:jc w:val="both"/>
        <w:ind w:firstLine="1296"/>
        <w:spacing w:after="0" w:line="225" w:lineRule="auto"/>
        <w:tabs>
          <w:tab w:leader="none" w:pos="1929"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Participant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spacing w:after="0" w:line="150" w:lineRule="exact"/>
        <w:rPr>
          <w:sz w:val="20"/>
          <w:szCs w:val="20"/>
          <w:color w:val="auto"/>
        </w:rPr>
      </w:pPr>
    </w:p>
    <w:p>
      <w:pPr>
        <w:jc w:val="both"/>
        <w:ind w:firstLine="1296"/>
        <w:spacing w:after="0" w:line="258" w:lineRule="auto"/>
        <w:tabs>
          <w:tab w:leader="none" w:pos="1933"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Legend</w:t>
      </w:r>
      <w:r>
        <w:rPr>
          <w:rFonts w:ascii="Arial" w:cs="Arial" w:eastAsia="Arial" w:hAnsi="Arial"/>
          <w:sz w:val="19"/>
          <w:szCs w:val="19"/>
          <w:color w:val="auto"/>
        </w:rPr>
        <w:t>. The Company may at any time place legends referencing any applicable federal, state or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law restrictions on all certificates, if any, representing Shares issued pursuant to this Agreement. The Participant shall, at the request of the Company, promptly present to the Company any and all certificates, if any, representing Shares acquired pursuant to this Agreement in the possession of the Participant in order to carry out the provisions of this </w:t>
      </w:r>
      <w:r>
        <w:rPr>
          <w:rFonts w:ascii="Arial" w:cs="Arial" w:eastAsia="Arial" w:hAnsi="Arial"/>
          <w:sz w:val="19"/>
          <w:szCs w:val="19"/>
          <w:u w:val="single" w:color="auto"/>
          <w:color w:val="auto"/>
        </w:rPr>
        <w:t>Section 8</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jc w:val="both"/>
        <w:ind w:firstLine="1296"/>
        <w:spacing w:after="0" w:line="234" w:lineRule="auto"/>
        <w:tabs>
          <w:tab w:leader="none" w:pos="1933" w:val="left"/>
        </w:tabs>
        <w:numPr>
          <w:ilvl w:val="0"/>
          <w:numId w:val="61"/>
        </w:numPr>
        <w:rPr>
          <w:rFonts w:ascii="Arial" w:cs="Arial" w:eastAsia="Arial" w:hAnsi="Arial"/>
          <w:sz w:val="21"/>
          <w:szCs w:val="21"/>
          <w:color w:val="auto"/>
        </w:rPr>
      </w:pPr>
      <w:r>
        <w:rPr>
          <w:rFonts w:ascii="Arial" w:cs="Arial" w:eastAsia="Arial" w:hAnsi="Arial"/>
          <w:sz w:val="21"/>
          <w:szCs w:val="21"/>
          <w:b w:val="1"/>
          <w:bCs w:val="1"/>
          <w:u w:val="single" w:color="auto"/>
          <w:color w:val="auto"/>
        </w:rPr>
        <w:t>Securities Representations</w:t>
      </w:r>
      <w:r>
        <w:rPr>
          <w:rFonts w:ascii="Arial" w:cs="Arial" w:eastAsia="Arial" w:hAnsi="Arial"/>
          <w:sz w:val="21"/>
          <w:szCs w:val="21"/>
          <w:color w:val="auto"/>
        </w:rPr>
        <w:t>. This Agreement is being entered into by the Company in reliance upon 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express representations and warranties of the Participant. The Participant hereby acknowledges, represents and warrants that:</w:t>
      </w:r>
    </w:p>
    <w:p>
      <w:pPr>
        <w:spacing w:after="0" w:line="159" w:lineRule="exact"/>
        <w:rPr>
          <w:sz w:val="20"/>
          <w:szCs w:val="20"/>
          <w:color w:val="auto"/>
        </w:rPr>
      </w:pPr>
    </w:p>
    <w:p>
      <w:pPr>
        <w:jc w:val="both"/>
        <w:ind w:firstLine="1296"/>
        <w:spacing w:after="0" w:line="232" w:lineRule="auto"/>
        <w:tabs>
          <w:tab w:leader="none" w:pos="1929"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Participant has been advised that the Participant may be an “affiliate” within the meaning of Rule 144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xml:space="preserve">”) and in this connection the Company is relying in part on the Participant’s representations set forth in this </w:t>
      </w:r>
      <w:r>
        <w:rPr>
          <w:rFonts w:ascii="Arial" w:cs="Arial" w:eastAsia="Arial" w:hAnsi="Arial"/>
          <w:sz w:val="21"/>
          <w:szCs w:val="21"/>
          <w:u w:val="single" w:color="auto"/>
          <w:color w:val="auto"/>
        </w:rPr>
        <w:t>Section 9</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1296"/>
        <w:spacing w:after="0" w:line="232" w:lineRule="auto"/>
        <w:tabs>
          <w:tab w:leader="none" w:pos="1928" w:val="left"/>
        </w:tabs>
        <w:numPr>
          <w:ilvl w:val="0"/>
          <w:numId w:val="62"/>
        </w:numPr>
        <w:rPr>
          <w:rFonts w:ascii="Arial" w:cs="Arial" w:eastAsia="Arial" w:hAnsi="Arial"/>
          <w:sz w:val="21"/>
          <w:szCs w:val="21"/>
          <w:color w:val="auto"/>
        </w:rPr>
      </w:pPr>
      <w:r>
        <w:rPr>
          <w:rFonts w:ascii="Arial" w:cs="Arial" w:eastAsia="Arial" w:hAnsi="Arial"/>
          <w:sz w:val="21"/>
          <w:szCs w:val="21"/>
          <w:color w:val="auto"/>
        </w:rPr>
        <w:t>If the Participant is deemed to be an affiliate within the meaning of Rule 144 of the Securities Act, the Shares issuable hereunder must be held indefinitely unless an exemption from any applicable resale restrictions is available or the Company files an additional</w:t>
      </w:r>
    </w:p>
    <w:p>
      <w:pPr>
        <w:spacing w:after="0" w:line="200" w:lineRule="exact"/>
        <w:rPr>
          <w:sz w:val="20"/>
          <w:szCs w:val="20"/>
          <w:color w:val="auto"/>
        </w:rPr>
      </w:pPr>
    </w:p>
    <w:p>
      <w:pPr>
        <w:spacing w:after="0" w:line="329" w:lineRule="exact"/>
        <w:rPr>
          <w:sz w:val="20"/>
          <w:szCs w:val="20"/>
          <w:color w:val="auto"/>
        </w:rPr>
      </w:pPr>
    </w:p>
    <w:p>
      <w:pPr>
        <w:ind w:left="80"/>
        <w:spacing w:after="0"/>
        <w:tabs>
          <w:tab w:leader="none" w:pos="5540"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4</w:t>
      </w:r>
    </w:p>
    <w:p>
      <w:pPr>
        <w:sectPr>
          <w:pgSz w:w="11900" w:h="16838" w:orient="portrait"/>
          <w:cols w:equalWidth="0" w:num="1">
            <w:col w:w="11240"/>
          </w:cols>
          <w:pgMar w:left="320" w:top="1393" w:right="339" w:bottom="1440" w:gutter="0" w:footer="0" w:header="0"/>
        </w:sectPr>
      </w:pPr>
    </w:p>
    <w:bookmarkStart w:id="31" w:name="page32"/>
    <w:bookmarkEnd w:id="31"/>
    <w:p>
      <w:pPr>
        <w:spacing w:after="0" w:line="245" w:lineRule="auto"/>
        <w:rPr>
          <w:sz w:val="20"/>
          <w:szCs w:val="20"/>
          <w:color w:val="auto"/>
        </w:rPr>
      </w:pPr>
      <w:r>
        <w:rPr>
          <w:rFonts w:ascii="Arial" w:cs="Arial" w:eastAsia="Arial" w:hAnsi="Arial"/>
          <w:sz w:val="21"/>
          <w:szCs w:val="21"/>
          <w:color w:val="auto"/>
        </w:rPr>
        <w:t>registration statement (or a “re-offer prospectus”) with regard to such Shares and the Company is under no obligation to register such Shares (or to file a “re-offer prospectus”).</w:t>
      </w:r>
    </w:p>
    <w:p>
      <w:pPr>
        <w:spacing w:after="0" w:line="151" w:lineRule="exact"/>
        <w:rPr>
          <w:sz w:val="20"/>
          <w:szCs w:val="20"/>
          <w:color w:val="auto"/>
        </w:rPr>
      </w:pPr>
    </w:p>
    <w:p>
      <w:pPr>
        <w:jc w:val="both"/>
        <w:ind w:firstLine="1296"/>
        <w:spacing w:after="0" w:line="223" w:lineRule="auto"/>
        <w:tabs>
          <w:tab w:leader="none" w:pos="1929" w:val="left"/>
        </w:tabs>
        <w:numPr>
          <w:ilvl w:val="0"/>
          <w:numId w:val="63"/>
        </w:numPr>
        <w:rPr>
          <w:rFonts w:ascii="Arial" w:cs="Arial" w:eastAsia="Arial" w:hAnsi="Arial"/>
          <w:sz w:val="21"/>
          <w:szCs w:val="21"/>
          <w:color w:val="auto"/>
        </w:rPr>
      </w:pPr>
      <w:r>
        <w:rPr>
          <w:rFonts w:ascii="Arial" w:cs="Arial" w:eastAsia="Arial" w:hAnsi="Arial"/>
          <w:sz w:val="21"/>
          <w:szCs w:val="21"/>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51" w:lineRule="exact"/>
        <w:rPr>
          <w:sz w:val="20"/>
          <w:szCs w:val="20"/>
          <w:color w:val="auto"/>
        </w:rPr>
      </w:pPr>
    </w:p>
    <w:p>
      <w:pPr>
        <w:jc w:val="both"/>
        <w:ind w:firstLine="1296"/>
        <w:spacing w:after="0" w:line="235" w:lineRule="auto"/>
        <w:tabs>
          <w:tab w:leader="none" w:pos="1933"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Clawback</w:t>
      </w:r>
      <w:r>
        <w:rPr>
          <w:rFonts w:ascii="Arial" w:cs="Arial" w:eastAsia="Arial" w:hAnsi="Arial"/>
          <w:sz w:val="20"/>
          <w:szCs w:val="20"/>
          <w:color w:val="auto"/>
        </w:rPr>
        <w:t>. The Participant shall be subject to the Company’s clawback, forfeiture or other similar policies</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Section 19 of the Plan. By accepting this Award, the Participant is deemed to have acknowledged and consented to the Company’s application, implementation and enforcement of any such policy adopted of the Company, whether adopted prior to or following the Grant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152" w:lineRule="exact"/>
        <w:rPr>
          <w:rFonts w:ascii="Arial" w:cs="Arial" w:eastAsia="Arial" w:hAnsi="Arial"/>
          <w:sz w:val="20"/>
          <w:szCs w:val="20"/>
          <w:color w:val="auto"/>
        </w:rPr>
      </w:pPr>
    </w:p>
    <w:p>
      <w:pPr>
        <w:jc w:val="both"/>
        <w:ind w:firstLine="1296"/>
        <w:spacing w:after="0" w:line="233" w:lineRule="auto"/>
        <w:tabs>
          <w:tab w:leader="none" w:pos="1925" w:val="left"/>
        </w:tabs>
        <w:numPr>
          <w:ilvl w:val="0"/>
          <w:numId w:val="64"/>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 Amendment</w:t>
      </w:r>
      <w:r>
        <w:rPr>
          <w:rFonts w:ascii="Arial" w:cs="Arial" w:eastAsia="Arial" w:hAnsi="Arial"/>
          <w:sz w:val="20"/>
          <w:szCs w:val="20"/>
          <w:color w:val="auto"/>
        </w:rPr>
        <w:t>. This Agreement, together with the Plan, contains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hereto with respect to the subject matter contained herein, and supersedes all prior agreements or prior understandings, whether written or oral, between the parties relating to such subject matter. This Agreement may be amended by the Board or by the Committee at any time (a) if the Board or the Committee determines, in its sole discretion, that an amendment is necessary or advisable in light of any addition to or change in any federal or state, tax or securities law or other law or regulation, which change occurs after the Grant Date and by its terms applies to the Award; or (b) other than in the circumstances described in clause (a) or provided in the Plan, with the Participant’s consent.</w:t>
      </w:r>
    </w:p>
    <w:p>
      <w:pPr>
        <w:spacing w:after="0" w:line="154" w:lineRule="exact"/>
        <w:rPr>
          <w:rFonts w:ascii="Arial" w:cs="Arial" w:eastAsia="Arial" w:hAnsi="Arial"/>
          <w:sz w:val="20"/>
          <w:szCs w:val="20"/>
          <w:color w:val="auto"/>
        </w:rPr>
      </w:pPr>
    </w:p>
    <w:p>
      <w:pPr>
        <w:jc w:val="both"/>
        <w:ind w:firstLine="1296"/>
        <w:spacing w:after="0" w:line="226" w:lineRule="auto"/>
        <w:tabs>
          <w:tab w:leader="none" w:pos="1933"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required or permitted under this Agreement must be in writing and personally delivered</w:t>
      </w:r>
      <w:r>
        <w:rPr>
          <w:rFonts w:ascii="Arial" w:cs="Arial" w:eastAsia="Arial" w:hAnsi="Arial"/>
          <w:sz w:val="21"/>
          <w:szCs w:val="21"/>
          <w:b w:val="1"/>
          <w:bCs w:val="1"/>
          <w:color w:val="auto"/>
        </w:rPr>
        <w:t xml:space="preserve"> </w:t>
      </w:r>
      <w:r>
        <w:rPr>
          <w:rFonts w:ascii="Arial" w:cs="Arial" w:eastAsia="Arial" w:hAnsi="Arial"/>
          <w:sz w:val="21"/>
          <w:szCs w:val="21"/>
          <w:color w:val="auto"/>
        </w:rPr>
        <w:t>or sent by certified mail, return receipt requested,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51"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Participation</w:t>
      </w:r>
      <w:r>
        <w:rPr>
          <w:rFonts w:ascii="Arial" w:cs="Arial" w:eastAsia="Arial" w:hAnsi="Arial"/>
          <w:sz w:val="21"/>
          <w:szCs w:val="21"/>
          <w:color w:val="auto"/>
        </w:rPr>
        <w:t>. The Company may, in its sole discretion, decide to deliver 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related to participation in the Plan by electronic means or to request the Participant’s consent to participate in the Plan by electronic means. By receipt of this RSU grant,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393"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No Right to Continued Service</w:t>
      </w:r>
      <w:r>
        <w:rPr>
          <w:rFonts w:ascii="Arial" w:cs="Arial" w:eastAsia="Arial" w:hAnsi="Arial"/>
          <w:sz w:val="21"/>
          <w:szCs w:val="21"/>
          <w:color w:val="auto"/>
        </w:rPr>
        <w:t>. Any questions as to whether and when there has been a termination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Service and the cause of such termination shall be determined in the sole discretion of the Committee. Nothing in this Agreement confers upon you the right to continue performing services for the Company or any Subsidiary, or interfere in any way with the rights of the Company or any Subsidiary to terminate your service relationship at any time, subject to any service agreement in effect between the Company and the Participant.</w:t>
      </w:r>
    </w:p>
    <w:p>
      <w:pPr>
        <w:spacing w:after="0" w:line="200" w:lineRule="exact"/>
        <w:rPr>
          <w:sz w:val="20"/>
          <w:szCs w:val="20"/>
          <w:color w:val="auto"/>
        </w:rPr>
      </w:pPr>
    </w:p>
    <w:p>
      <w:pPr>
        <w:spacing w:after="0" w:line="328" w:lineRule="exact"/>
        <w:rPr>
          <w:sz w:val="20"/>
          <w:szCs w:val="20"/>
          <w:color w:val="auto"/>
        </w:rPr>
      </w:pPr>
    </w:p>
    <w:p>
      <w:pPr>
        <w:ind w:left="80"/>
        <w:spacing w:after="0"/>
        <w:tabs>
          <w:tab w:leader="none" w:pos="5540"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5</w:t>
      </w:r>
    </w:p>
    <w:p>
      <w:pPr>
        <w:sectPr>
          <w:pgSz w:w="11900" w:h="16838" w:orient="portrait"/>
          <w:cols w:equalWidth="0" w:num="1">
            <w:col w:w="11240"/>
          </w:cols>
          <w:pgMar w:left="320" w:top="1393" w:right="339" w:bottom="1440" w:gutter="0" w:footer="0" w:header="0"/>
        </w:sectPr>
      </w:pPr>
    </w:p>
    <w:bookmarkStart w:id="32" w:name="page33"/>
    <w:bookmarkEnd w:id="32"/>
    <w:p>
      <w:pPr>
        <w:jc w:val="both"/>
        <w:ind w:left="-7" w:firstLine="1296"/>
        <w:spacing w:after="0" w:line="229" w:lineRule="auto"/>
        <w:tabs>
          <w:tab w:leader="none" w:pos="1925" w:val="left"/>
        </w:tabs>
        <w:numPr>
          <w:ilvl w:val="2"/>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Transfer of Personal Data</w:t>
      </w:r>
      <w:r>
        <w:rPr>
          <w:rFonts w:ascii="Arial" w:cs="Arial" w:eastAsia="Arial" w:hAnsi="Arial"/>
          <w:sz w:val="21"/>
          <w:szCs w:val="21"/>
          <w:color w:val="auto"/>
        </w:rPr>
        <w:t>. The Participant authorizes, agrees and unambiguously consents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transmission by the Company (or any Subsidiary) of any personal data information related to the RSUs awarded under this Agreement for legitimate business purposes (including, without limitation, the administration of the Plan). This authorization and consent is freely given by the Participant.</w:t>
      </w:r>
    </w:p>
    <w:p>
      <w:pPr>
        <w:spacing w:after="0" w:line="152" w:lineRule="exact"/>
        <w:rPr>
          <w:rFonts w:ascii="Arial" w:cs="Arial" w:eastAsia="Arial" w:hAnsi="Arial"/>
          <w:sz w:val="21"/>
          <w:szCs w:val="21"/>
          <w:color w:val="auto"/>
        </w:rPr>
      </w:pPr>
    </w:p>
    <w:p>
      <w:pPr>
        <w:jc w:val="both"/>
        <w:ind w:left="-7" w:firstLine="1296"/>
        <w:spacing w:after="0" w:line="239" w:lineRule="auto"/>
        <w:tabs>
          <w:tab w:leader="none" w:pos="1925" w:val="left"/>
        </w:tabs>
        <w:numPr>
          <w:ilvl w:val="2"/>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Notwithstanding any provision of this Agreement to the contrary, the issuance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(and the Shares upon settlement of the RSUs) pursuant to this Agreement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issued or</w:t>
      </w:r>
    </w:p>
    <w:p>
      <w:pPr>
        <w:spacing w:after="0" w:line="4" w:lineRule="exact"/>
        <w:rPr>
          <w:rFonts w:ascii="Arial" w:cs="Arial" w:eastAsia="Arial" w:hAnsi="Arial"/>
          <w:sz w:val="19"/>
          <w:szCs w:val="19"/>
          <w:color w:val="auto"/>
        </w:rPr>
      </w:pPr>
    </w:p>
    <w:p>
      <w:pPr>
        <w:jc w:val="both"/>
        <w:ind w:left="-7" w:firstLine="7"/>
        <w:spacing w:after="0" w:line="217" w:lineRule="auto"/>
        <w:tabs>
          <w:tab w:leader="none" w:pos="302" w:val="left"/>
        </w:tabs>
        <w:numPr>
          <w:ilvl w:val="0"/>
          <w:numId w:val="66"/>
        </w:numPr>
        <w:rPr>
          <w:rFonts w:ascii="Arial" w:cs="Arial" w:eastAsia="Arial" w:hAnsi="Arial"/>
          <w:sz w:val="21"/>
          <w:szCs w:val="21"/>
          <w:color w:val="auto"/>
        </w:rPr>
      </w:pPr>
      <w:r>
        <w:rPr>
          <w:rFonts w:ascii="Arial" w:cs="Arial" w:eastAsia="Arial" w:hAnsi="Arial"/>
          <w:sz w:val="21"/>
          <w:szCs w:val="21"/>
          <w:color w:val="auto"/>
        </w:rPr>
        <w:t>in the opinion of legal counsel to the Company, the shares issued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54" w:lineRule="exact"/>
        <w:rPr>
          <w:rFonts w:ascii="Arial" w:cs="Arial" w:eastAsia="Arial" w:hAnsi="Arial"/>
          <w:sz w:val="21"/>
          <w:szCs w:val="21"/>
          <w:color w:val="auto"/>
        </w:rPr>
      </w:pPr>
    </w:p>
    <w:p>
      <w:pPr>
        <w:jc w:val="both"/>
        <w:ind w:left="-7" w:firstLine="1296"/>
        <w:spacing w:after="0" w:line="231" w:lineRule="auto"/>
        <w:tabs>
          <w:tab w:leader="none" w:pos="1925" w:val="left"/>
        </w:tabs>
        <w:numPr>
          <w:ilvl w:val="2"/>
          <w:numId w:val="66"/>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Deferrals</w:t>
      </w:r>
      <w:r>
        <w:rPr>
          <w:rFonts w:ascii="Arial" w:cs="Arial" w:eastAsia="Arial" w:hAnsi="Arial"/>
          <w:sz w:val="20"/>
          <w:szCs w:val="20"/>
          <w:color w:val="auto"/>
        </w:rPr>
        <w:t>. (a) This Agreement and the Plan are intended to be exempt from or comply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applicable requirements of Section 409A of the Code and shall be limited, construed and interpreted in accordance with such intent. To the extent that this Award is subject to Section 409A of the Code, it shall be paid in a manner that will comply with Section 409A of the Code, including proposed, temporary or final regulations or any other guidance issued by the Secretary of the Treasury and the Internal Revenue Service with respect thereto. The Company shall have no liability to the Participant, or any other party, if an Award that is intended to be exempt from, or compliant with, Section 409A of the Code is not so exempt or compliant or for any action taken by the Committee or the Company and, in the event that any amount or benefit under this Agreement or the Plan becomes subject to penalties under Section 409A of the Code, responsibility for payment of such penalties shall rest solely with the Participant and not with the Company.</w:t>
      </w:r>
    </w:p>
    <w:p>
      <w:pPr>
        <w:spacing w:after="0" w:line="161" w:lineRule="exact"/>
        <w:rPr>
          <w:rFonts w:ascii="Arial" w:cs="Arial" w:eastAsia="Arial" w:hAnsi="Arial"/>
          <w:sz w:val="20"/>
          <w:szCs w:val="20"/>
          <w:color w:val="auto"/>
        </w:rPr>
      </w:pPr>
    </w:p>
    <w:p>
      <w:pPr>
        <w:jc w:val="both"/>
        <w:ind w:left="-7" w:firstLine="314"/>
        <w:spacing w:after="0" w:line="227" w:lineRule="auto"/>
        <w:tabs>
          <w:tab w:leader="none" w:pos="855" w:val="left"/>
        </w:tabs>
        <w:numPr>
          <w:ilvl w:val="1"/>
          <w:numId w:val="66"/>
        </w:numPr>
        <w:rPr>
          <w:rFonts w:ascii="Arial" w:cs="Arial" w:eastAsia="Arial" w:hAnsi="Arial"/>
          <w:sz w:val="21"/>
          <w:szCs w:val="21"/>
          <w:color w:val="auto"/>
        </w:rPr>
      </w:pPr>
      <w:r>
        <w:rPr>
          <w:rFonts w:ascii="Arial" w:cs="Arial" w:eastAsia="Arial" w:hAnsi="Arial"/>
          <w:sz w:val="21"/>
          <w:szCs w:val="21"/>
          <w:color w:val="auto"/>
        </w:rPr>
        <w:t>If permitted by the Company, the Participant may elect, subject to the terms and conditions of the Plan, the Director Deferred Compensation Plan and any other applicable written plan or procedure adopted by the Company from time to time for purposes of such election, to defer the distribution of all or any portion of the Shares that would otherwise be distributed to the Participant hereunder, consistent with the requirements of Section 409A of the Code.</w:t>
      </w:r>
    </w:p>
    <w:p>
      <w:pPr>
        <w:spacing w:after="0" w:line="154" w:lineRule="exact"/>
        <w:rPr>
          <w:rFonts w:ascii="Arial" w:cs="Arial" w:eastAsia="Arial" w:hAnsi="Arial"/>
          <w:sz w:val="21"/>
          <w:szCs w:val="21"/>
          <w:color w:val="auto"/>
        </w:rPr>
      </w:pPr>
    </w:p>
    <w:p>
      <w:pPr>
        <w:jc w:val="both"/>
        <w:ind w:left="-7" w:firstLine="1296"/>
        <w:spacing w:after="0" w:line="234" w:lineRule="auto"/>
        <w:tabs>
          <w:tab w:leader="none" w:pos="1925" w:val="left"/>
        </w:tabs>
        <w:numPr>
          <w:ilvl w:val="2"/>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 The Company is not providing any tax, legal or financial advice, nor is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making any recommendations regarding the Participant’s participation in the Plan, or his or her acquisition or sale of the underlying Shares.</w:t>
      </w:r>
    </w:p>
    <w:p>
      <w:pPr>
        <w:spacing w:after="0" w:line="200" w:lineRule="exact"/>
        <w:rPr>
          <w:sz w:val="20"/>
          <w:szCs w:val="20"/>
          <w:color w:val="auto"/>
        </w:rPr>
      </w:pPr>
    </w:p>
    <w:p>
      <w:pPr>
        <w:spacing w:after="0" w:line="329" w:lineRule="exact"/>
        <w:rPr>
          <w:sz w:val="20"/>
          <w:szCs w:val="20"/>
          <w:color w:val="auto"/>
        </w:rPr>
      </w:pPr>
    </w:p>
    <w:p>
      <w:pPr>
        <w:ind w:left="73"/>
        <w:spacing w:after="0"/>
        <w:tabs>
          <w:tab w:leader="none" w:pos="5532"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6</w:t>
      </w:r>
    </w:p>
    <w:p>
      <w:pPr>
        <w:sectPr>
          <w:pgSz w:w="11900" w:h="16838" w:orient="portrait"/>
          <w:cols w:equalWidth="0" w:num="1">
            <w:col w:w="11233"/>
          </w:cols>
          <w:pgMar w:left="327" w:top="1387" w:right="339" w:bottom="1440" w:gutter="0" w:footer="0" w:header="0"/>
        </w:sectPr>
      </w:pPr>
    </w:p>
    <w:bookmarkStart w:id="33" w:name="page34"/>
    <w:bookmarkEnd w:id="33"/>
    <w:p>
      <w:pPr>
        <w:spacing w:after="0" w:line="245" w:lineRule="auto"/>
        <w:rPr>
          <w:sz w:val="20"/>
          <w:szCs w:val="20"/>
          <w:color w:val="auto"/>
        </w:rPr>
      </w:pPr>
      <w:r>
        <w:rPr>
          <w:rFonts w:ascii="Arial" w:cs="Arial" w:eastAsia="Arial" w:hAnsi="Arial"/>
          <w:sz w:val="21"/>
          <w:szCs w:val="21"/>
          <w:color w:val="auto"/>
        </w:rPr>
        <w:t>the Participant should consult with his or her own personal tax, legal and financial advisors regarding the Participant’s participation in the Plan before taking any action related to the Plan.</w:t>
      </w:r>
    </w:p>
    <w:p>
      <w:pPr>
        <w:spacing w:after="0" w:line="145" w:lineRule="exact"/>
        <w:rPr>
          <w:sz w:val="20"/>
          <w:szCs w:val="20"/>
          <w:color w:val="auto"/>
        </w:rPr>
      </w:pPr>
    </w:p>
    <w:p>
      <w:pPr>
        <w:jc w:val="both"/>
        <w:ind w:firstLine="1296"/>
        <w:spacing w:after="0" w:line="226" w:lineRule="auto"/>
        <w:tabs>
          <w:tab w:leader="none" w:pos="1933"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Country-Specific Provisions</w:t>
      </w:r>
      <w:r>
        <w:rPr>
          <w:rFonts w:ascii="Arial" w:cs="Arial" w:eastAsia="Arial" w:hAnsi="Arial"/>
          <w:sz w:val="21"/>
          <w:szCs w:val="21"/>
          <w:color w:val="auto"/>
        </w:rPr>
        <w:t>. The RSUs and the Shares subject to the RSUs shall be subject to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for the Participant’s country set forth in the Appendix.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Agreement.</w:t>
      </w:r>
    </w:p>
    <w:p>
      <w:pPr>
        <w:spacing w:after="0" w:line="151" w:lineRule="exact"/>
        <w:rPr>
          <w:rFonts w:ascii="Arial" w:cs="Arial" w:eastAsia="Arial" w:hAnsi="Arial"/>
          <w:sz w:val="21"/>
          <w:szCs w:val="21"/>
          <w:color w:val="auto"/>
        </w:rPr>
      </w:pPr>
    </w:p>
    <w:p>
      <w:pPr>
        <w:jc w:val="both"/>
        <w:ind w:firstLine="1296"/>
        <w:spacing w:after="0" w:line="221" w:lineRule="auto"/>
        <w:tabs>
          <w:tab w:leader="none" w:pos="1933"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This grant is subject to, and limited by, all applicable laws and</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and such approvals by any governmental agencies or national securities exchanges, to the extent applicable, as may be required. The Participant agrees that the Company shall have unilateral authority to amend the Plan and this Agreement without the Participant’s consent to the extent necessary to comply with securities or other laws applicable to the issuance of Shares (including any state “blue sky” laws).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53" w:lineRule="exact"/>
        <w:rPr>
          <w:rFonts w:ascii="Arial" w:cs="Arial" w:eastAsia="Arial" w:hAnsi="Arial"/>
          <w:sz w:val="21"/>
          <w:szCs w:val="21"/>
          <w:color w:val="auto"/>
        </w:rPr>
      </w:pPr>
    </w:p>
    <w:p>
      <w:pPr>
        <w:jc w:val="both"/>
        <w:ind w:firstLine="1296"/>
        <w:spacing w:after="0" w:line="221" w:lineRule="auto"/>
        <w:tabs>
          <w:tab w:leader="none" w:pos="1933"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The Participant acknowledges that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(e.g., RSUs)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any applicable Company insider trading policy. The Participant is responsible for ensuring his or her compliance with any applicable restrictions and should speak to his or her personal legal advisor on this matter.</w:t>
      </w:r>
    </w:p>
    <w:p>
      <w:pPr>
        <w:spacing w:after="0" w:line="153" w:lineRule="exact"/>
        <w:rPr>
          <w:rFonts w:ascii="Arial" w:cs="Arial" w:eastAsia="Arial" w:hAnsi="Arial"/>
          <w:sz w:val="21"/>
          <w:szCs w:val="21"/>
          <w:color w:val="auto"/>
        </w:rPr>
      </w:pPr>
    </w:p>
    <w:p>
      <w:pPr>
        <w:jc w:val="both"/>
        <w:ind w:firstLine="1296"/>
        <w:spacing w:after="0" w:line="231" w:lineRule="auto"/>
        <w:tabs>
          <w:tab w:leader="none" w:pos="1933" w:val="left"/>
        </w:tabs>
        <w:numPr>
          <w:ilvl w:val="0"/>
          <w:numId w:val="68"/>
        </w:numPr>
        <w:rPr>
          <w:rFonts w:ascii="Arial" w:cs="Arial" w:eastAsia="Arial" w:hAnsi="Arial"/>
          <w:sz w:val="20"/>
          <w:szCs w:val="20"/>
          <w:color w:val="auto"/>
        </w:rPr>
      </w:pPr>
      <w:r>
        <w:rPr>
          <w:rFonts w:ascii="Arial" w:cs="Arial" w:eastAsia="Arial" w:hAnsi="Arial"/>
          <w:sz w:val="20"/>
          <w:szCs w:val="20"/>
          <w:b w:val="1"/>
          <w:bCs w:val="1"/>
          <w:u w:val="single" w:color="auto"/>
          <w:color w:val="auto"/>
        </w:rPr>
        <w:t>Foreign Asset/Account Reporting; Exchange Controls</w:t>
      </w:r>
      <w:r>
        <w:rPr>
          <w:rFonts w:ascii="Arial" w:cs="Arial" w:eastAsia="Arial" w:hAnsi="Arial"/>
          <w:sz w:val="20"/>
          <w:szCs w:val="20"/>
          <w:color w:val="auto"/>
        </w:rPr>
        <w:t>. The Participant acknowledges that, depending on</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country of residence, the Participant may be subject to foreign asset and/or account reporting requirements and/or exchange controls as a result of the vesting and settlement of the RSUs,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55" w:lineRule="exact"/>
        <w:rPr>
          <w:rFonts w:ascii="Arial" w:cs="Arial" w:eastAsia="Arial" w:hAnsi="Arial"/>
          <w:sz w:val="20"/>
          <w:szCs w:val="20"/>
          <w:color w:val="auto"/>
        </w:rPr>
      </w:pPr>
    </w:p>
    <w:p>
      <w:pPr>
        <w:jc w:val="both"/>
        <w:ind w:firstLine="1296"/>
        <w:spacing w:after="0" w:line="235" w:lineRule="auto"/>
        <w:tabs>
          <w:tab w:leader="none" w:pos="1933" w:val="left"/>
        </w:tabs>
        <w:numPr>
          <w:ilvl w:val="0"/>
          <w:numId w:val="68"/>
        </w:numPr>
        <w:rPr>
          <w:rFonts w:ascii="Arial" w:cs="Arial" w:eastAsia="Arial" w:hAnsi="Arial"/>
          <w:sz w:val="20"/>
          <w:szCs w:val="20"/>
          <w:color w:val="auto"/>
        </w:rPr>
      </w:pPr>
      <w:r>
        <w:rPr>
          <w:rFonts w:ascii="Arial" w:cs="Arial" w:eastAsia="Arial" w:hAnsi="Arial"/>
          <w:sz w:val="20"/>
          <w:szCs w:val="20"/>
          <w:b w:val="1"/>
          <w:bCs w:val="1"/>
          <w:u w:val="single" w:color="auto"/>
          <w:color w:val="auto"/>
        </w:rPr>
        <w:t>No Secured Rights</w:t>
      </w:r>
      <w:r>
        <w:rPr>
          <w:rFonts w:ascii="Arial" w:cs="Arial" w:eastAsia="Arial" w:hAnsi="Arial"/>
          <w:sz w:val="20"/>
          <w:szCs w:val="20"/>
          <w:color w:val="auto"/>
        </w:rPr>
        <w:t>. The Participant’s right to payments under this Agreement shall not constitute nor be</w:t>
      </w:r>
      <w:r>
        <w:rPr>
          <w:rFonts w:ascii="Arial" w:cs="Arial" w:eastAsia="Arial" w:hAnsi="Arial"/>
          <w:sz w:val="20"/>
          <w:szCs w:val="20"/>
          <w:b w:val="1"/>
          <w:bCs w:val="1"/>
          <w:color w:val="auto"/>
        </w:rPr>
        <w:t xml:space="preserve"> </w:t>
      </w:r>
      <w:r>
        <w:rPr>
          <w:rFonts w:ascii="Arial" w:cs="Arial" w:eastAsia="Arial" w:hAnsi="Arial"/>
          <w:sz w:val="20"/>
          <w:szCs w:val="20"/>
          <w:color w:val="auto"/>
        </w:rPr>
        <w:t>treated as property or as a trust fund of any kind. The Participant’s rights are limited exclusively to the right to receive Shares as provided in the Agreement. The Participant shall not have any rights as an owner of the Company with respect to any RSUs granted to Participant. All benefits payable to the Participant shall be payable solely from the general assets of the Company and no separate or special funds shall be established and no segregation of assets shall be made to assure the payment of benefits to Participant. The Participant’s rights shall be limited to those rights that are specifically</w:t>
      </w:r>
    </w:p>
    <w:p>
      <w:pPr>
        <w:spacing w:after="0" w:line="200" w:lineRule="exact"/>
        <w:rPr>
          <w:sz w:val="20"/>
          <w:szCs w:val="20"/>
          <w:color w:val="auto"/>
        </w:rPr>
      </w:pPr>
    </w:p>
    <w:p>
      <w:pPr>
        <w:spacing w:after="0" w:line="329" w:lineRule="exact"/>
        <w:rPr>
          <w:sz w:val="20"/>
          <w:szCs w:val="20"/>
          <w:color w:val="auto"/>
        </w:rPr>
      </w:pPr>
    </w:p>
    <w:p>
      <w:pPr>
        <w:ind w:left="80"/>
        <w:spacing w:after="0"/>
        <w:tabs>
          <w:tab w:leader="none" w:pos="5540"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7</w:t>
      </w:r>
    </w:p>
    <w:p>
      <w:pPr>
        <w:sectPr>
          <w:pgSz w:w="11900" w:h="16838" w:orient="portrait"/>
          <w:cols w:equalWidth="0" w:num="1">
            <w:col w:w="11240"/>
          </w:cols>
          <w:pgMar w:left="320" w:top="1393" w:right="339" w:bottom="1440" w:gutter="0" w:footer="0" w:header="0"/>
        </w:sectPr>
      </w:pPr>
    </w:p>
    <w:bookmarkStart w:id="34" w:name="page35"/>
    <w:bookmarkEnd w:id="34"/>
    <w:p>
      <w:pPr>
        <w:spacing w:after="0" w:line="245" w:lineRule="auto"/>
        <w:rPr>
          <w:sz w:val="20"/>
          <w:szCs w:val="20"/>
          <w:color w:val="auto"/>
        </w:rPr>
      </w:pPr>
      <w:r>
        <w:rPr>
          <w:rFonts w:ascii="Arial" w:cs="Arial" w:eastAsia="Arial" w:hAnsi="Arial"/>
          <w:sz w:val="21"/>
          <w:szCs w:val="21"/>
          <w:color w:val="auto"/>
        </w:rPr>
        <w:t>enumerated in the Agreement, and such rights shall be for all purposes, unsecured contractual creditors’ rights against the Company only.</w:t>
      </w:r>
    </w:p>
    <w:p>
      <w:pPr>
        <w:spacing w:after="0" w:line="145" w:lineRule="exact"/>
        <w:rPr>
          <w:sz w:val="20"/>
          <w:szCs w:val="20"/>
          <w:color w:val="auto"/>
        </w:rPr>
      </w:pPr>
    </w:p>
    <w:p>
      <w:pPr>
        <w:jc w:val="both"/>
        <w:ind w:firstLine="1296"/>
        <w:spacing w:after="0" w:line="235" w:lineRule="auto"/>
        <w:tabs>
          <w:tab w:leader="none" w:pos="1933" w:val="left"/>
        </w:tabs>
        <w:numPr>
          <w:ilvl w:val="0"/>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Agreement; Assignment; Amendment</w:t>
      </w:r>
      <w:r>
        <w:rPr>
          <w:rFonts w:ascii="Arial" w:cs="Arial" w:eastAsia="Arial" w:hAnsi="Arial"/>
          <w:sz w:val="20"/>
          <w:szCs w:val="20"/>
          <w:color w:val="auto"/>
        </w:rPr>
        <w:t>. This Agreement shall inure to the benefit of, be binding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upon, and be enforceable by the Company and its successors and assigns. The Participant shall not assign any part of this Agreement without the prior express written consent of the Company, which consent may not be unreasonably withheld, conditioned or delayed. The Committee has the right to amend, alter, suspend, discontinue or cancel the RSUs, prospectively or retroactively; provided that no such amendment shall materially and adversely affect the Participant’s rights under this Agreement without the Participant’s consent, except as provided in </w:t>
      </w:r>
      <w:r>
        <w:rPr>
          <w:rFonts w:ascii="Arial" w:cs="Arial" w:eastAsia="Arial" w:hAnsi="Arial"/>
          <w:sz w:val="20"/>
          <w:szCs w:val="20"/>
          <w:u w:val="single" w:color="auto"/>
          <w:color w:val="auto"/>
        </w:rPr>
        <w:t>Sections 17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20</w:t>
      </w:r>
      <w:r>
        <w:rPr>
          <w:rFonts w:ascii="Arial" w:cs="Arial" w:eastAsia="Arial" w:hAnsi="Arial"/>
          <w:sz w:val="20"/>
          <w:szCs w:val="20"/>
          <w:color w:val="auto"/>
        </w:rPr>
        <w:t xml:space="preserve"> hereof and Section 14 of the Plan.</w:t>
      </w:r>
    </w:p>
    <w:p>
      <w:pPr>
        <w:spacing w:after="0" w:line="152" w:lineRule="exact"/>
        <w:rPr>
          <w:rFonts w:ascii="Arial" w:cs="Arial" w:eastAsia="Arial" w:hAnsi="Arial"/>
          <w:sz w:val="20"/>
          <w:szCs w:val="20"/>
          <w:color w:val="auto"/>
        </w:rPr>
      </w:pPr>
    </w:p>
    <w:p>
      <w:pPr>
        <w:ind w:firstLine="1296"/>
        <w:spacing w:after="0" w:line="251" w:lineRule="auto"/>
        <w:tabs>
          <w:tab w:leader="none" w:pos="1933"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color w:val="auto"/>
        </w:rPr>
        <w:t>. The titles and headings of the various sections of this Agreement have been inserted for</w:t>
      </w:r>
      <w:r>
        <w:rPr>
          <w:rFonts w:ascii="Arial" w:cs="Arial" w:eastAsia="Arial" w:hAnsi="Arial"/>
          <w:sz w:val="21"/>
          <w:szCs w:val="21"/>
          <w:b w:val="1"/>
          <w:bCs w:val="1"/>
          <w:color w:val="auto"/>
        </w:rPr>
        <w:t xml:space="preserve"> </w:t>
      </w:r>
      <w:r>
        <w:rPr>
          <w:rFonts w:ascii="Arial" w:cs="Arial" w:eastAsia="Arial" w:hAnsi="Arial"/>
          <w:sz w:val="21"/>
          <w:szCs w:val="21"/>
          <w:color w:val="auto"/>
        </w:rPr>
        <w:t>convenience of reference only and shall not be deemed to be a part of this Agreement.</w:t>
      </w:r>
    </w:p>
    <w:p>
      <w:pPr>
        <w:spacing w:after="0" w:line="139" w:lineRule="exact"/>
        <w:rPr>
          <w:rFonts w:ascii="Arial" w:cs="Arial" w:eastAsia="Arial" w:hAnsi="Arial"/>
          <w:sz w:val="21"/>
          <w:szCs w:val="21"/>
          <w:color w:val="auto"/>
        </w:rPr>
      </w:pPr>
    </w:p>
    <w:p>
      <w:pPr>
        <w:jc w:val="both"/>
        <w:ind w:firstLine="1296"/>
        <w:spacing w:after="0" w:line="226" w:lineRule="auto"/>
        <w:tabs>
          <w:tab w:leader="none" w:pos="1933"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one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be an original, but all of which shall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51" w:lineRule="exact"/>
        <w:rPr>
          <w:rFonts w:ascii="Arial" w:cs="Arial" w:eastAsia="Arial" w:hAnsi="Arial"/>
          <w:sz w:val="21"/>
          <w:szCs w:val="21"/>
          <w:color w:val="auto"/>
        </w:rPr>
      </w:pPr>
    </w:p>
    <w:p>
      <w:pPr>
        <w:jc w:val="both"/>
        <w:ind w:firstLine="1296"/>
        <w:spacing w:after="0" w:line="229" w:lineRule="auto"/>
        <w:tabs>
          <w:tab w:leader="none" w:pos="1933"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Further Assurances</w:t>
      </w:r>
      <w:r>
        <w:rPr>
          <w:rFonts w:ascii="Arial" w:cs="Arial" w:eastAsia="Arial" w:hAnsi="Arial"/>
          <w:sz w:val="21"/>
          <w:szCs w:val="21"/>
          <w:color w:val="auto"/>
        </w:rPr>
        <w:t>. Each party hereto shall do and perform (or shall cause to be done and performed) all</w:t>
      </w:r>
      <w:r>
        <w:rPr>
          <w:rFonts w:ascii="Arial" w:cs="Arial" w:eastAsia="Arial" w:hAnsi="Arial"/>
          <w:sz w:val="21"/>
          <w:szCs w:val="21"/>
          <w:b w:val="1"/>
          <w:bCs w:val="1"/>
          <w:color w:val="auto"/>
        </w:rPr>
        <w:t xml:space="preserve"> </w:t>
      </w:r>
      <w:r>
        <w:rPr>
          <w:rFonts w:ascii="Arial" w:cs="Arial" w:eastAsia="Arial" w:hAnsi="Arial"/>
          <w:sz w:val="21"/>
          <w:szCs w:val="21"/>
          <w:color w:val="auto"/>
        </w:rPr>
        <w:t>such further acts and shall execute and deliver all such other agreements, certificates, instruments and documents as either party hereto reasonably may request in order to carry out the intent and accomplish the purposes of this Agreement and the Plan and the consummation of the transactions contemplated thereunder.</w:t>
      </w:r>
    </w:p>
    <w:p>
      <w:pPr>
        <w:spacing w:after="0" w:line="152" w:lineRule="exact"/>
        <w:rPr>
          <w:rFonts w:ascii="Arial" w:cs="Arial" w:eastAsia="Arial" w:hAnsi="Arial"/>
          <w:sz w:val="21"/>
          <w:szCs w:val="21"/>
          <w:color w:val="auto"/>
        </w:rPr>
      </w:pPr>
    </w:p>
    <w:p>
      <w:pPr>
        <w:jc w:val="both"/>
        <w:ind w:firstLine="1296"/>
        <w:spacing w:after="0" w:line="234" w:lineRule="auto"/>
        <w:tabs>
          <w:tab w:leader="none" w:pos="1933"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is held to be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hereof, but such provision shall be fully severable and this Agreement shall be construed and enforced as if the illegal or invalid provision had never been included herein.</w:t>
      </w:r>
    </w:p>
    <w:p>
      <w:pPr>
        <w:spacing w:after="0" w:line="152" w:lineRule="exact"/>
        <w:rPr>
          <w:rFonts w:ascii="Arial" w:cs="Arial" w:eastAsia="Arial" w:hAnsi="Arial"/>
          <w:sz w:val="21"/>
          <w:szCs w:val="21"/>
          <w:color w:val="auto"/>
        </w:rPr>
      </w:pPr>
    </w:p>
    <w:p>
      <w:pPr>
        <w:jc w:val="both"/>
        <w:ind w:firstLine="1296"/>
        <w:spacing w:after="0" w:line="224" w:lineRule="auto"/>
        <w:tabs>
          <w:tab w:leader="none" w:pos="1933"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color w:val="auto"/>
        </w:rPr>
        <w:t>. The Participant agrees to keep strictly confidential and not to disclose to any Person the</w:t>
      </w:r>
      <w:r>
        <w:rPr>
          <w:rFonts w:ascii="Arial" w:cs="Arial" w:eastAsia="Arial" w:hAnsi="Arial"/>
          <w:sz w:val="21"/>
          <w:szCs w:val="21"/>
          <w:b w:val="1"/>
          <w:bCs w:val="1"/>
          <w:color w:val="auto"/>
        </w:rPr>
        <w:t xml:space="preserve"> </w:t>
      </w:r>
      <w:r>
        <w:rPr>
          <w:rFonts w:ascii="Arial" w:cs="Arial" w:eastAsia="Arial" w:hAnsi="Arial"/>
          <w:sz w:val="21"/>
          <w:szCs w:val="21"/>
          <w:color w:val="auto"/>
        </w:rPr>
        <w:t>fact that the Participant has been granted the RSUs or any terms of this Agreement; provided, however, that the Participant may disclose the fact that the Participant has been granted the RSUs and the terms of this Agreement to the Participant’s attorney, accountant, spouse or those employees of the Company or its Affiliates who are or will be involved in administering and implementing this Agreement. The Participant specifically acknowledges and agrees to the provisions of Section 10(h) of the Plan (regarding confidentiality and other restrictive covenants).</w:t>
      </w:r>
    </w:p>
    <w:p>
      <w:pPr>
        <w:spacing w:after="0" w:line="150" w:lineRule="exact"/>
        <w:rPr>
          <w:rFonts w:ascii="Arial" w:cs="Arial" w:eastAsia="Arial" w:hAnsi="Arial"/>
          <w:sz w:val="21"/>
          <w:szCs w:val="21"/>
          <w:color w:val="auto"/>
        </w:rPr>
      </w:pPr>
    </w:p>
    <w:p>
      <w:pPr>
        <w:jc w:val="both"/>
        <w:ind w:firstLine="1296"/>
        <w:spacing w:after="0" w:line="229" w:lineRule="auto"/>
        <w:tabs>
          <w:tab w:leader="none" w:pos="1933" w:val="left"/>
        </w:tabs>
        <w:numPr>
          <w:ilvl w:val="0"/>
          <w:numId w:val="69"/>
        </w:numPr>
        <w:rPr>
          <w:rFonts w:ascii="Arial" w:cs="Arial" w:eastAsia="Arial" w:hAnsi="Arial"/>
          <w:sz w:val="21"/>
          <w:szCs w:val="21"/>
          <w:color w:val="auto"/>
        </w:rPr>
      </w:pPr>
      <w:r>
        <w:rPr>
          <w:rFonts w:ascii="Arial" w:cs="Arial" w:eastAsia="Arial" w:hAnsi="Arial"/>
          <w:sz w:val="21"/>
          <w:szCs w:val="21"/>
          <w:b w:val="1"/>
          <w:bCs w:val="1"/>
          <w:u w:val="single" w:color="auto"/>
          <w:color w:val="auto"/>
        </w:rPr>
        <w:t>Acknowledgement &amp; Acceptance within 30 Days</w:t>
      </w:r>
      <w:r>
        <w:rPr>
          <w:rFonts w:ascii="Arial" w:cs="Arial" w:eastAsia="Arial" w:hAnsi="Arial"/>
          <w:sz w:val="21"/>
          <w:szCs w:val="21"/>
          <w:color w:val="auto"/>
        </w:rPr>
        <w:t>. This grant is subject to acceptance, within 30 days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Grant Date, by electronic acceptance through the website of [ ● ], the Company’s share plan administrator, or by signed documents delivered to the Company. </w:t>
      </w:r>
      <w:r>
        <w:rPr>
          <w:rFonts w:ascii="Arial" w:cs="Arial" w:eastAsia="Arial" w:hAnsi="Arial"/>
          <w:sz w:val="21"/>
          <w:szCs w:val="21"/>
          <w:b w:val="1"/>
          <w:bCs w:val="1"/>
          <w:color w:val="auto"/>
        </w:rPr>
        <w:t>Failure to accept the RSUs within 30 days of the Grant Date may result in cancellation</w:t>
      </w:r>
      <w:r>
        <w:rPr>
          <w:rFonts w:ascii="Arial" w:cs="Arial" w:eastAsia="Arial" w:hAnsi="Arial"/>
          <w:sz w:val="21"/>
          <w:szCs w:val="21"/>
          <w:color w:val="auto"/>
        </w:rPr>
        <w:t xml:space="preserve"> </w:t>
      </w:r>
      <w:r>
        <w:rPr>
          <w:rFonts w:ascii="Arial" w:cs="Arial" w:eastAsia="Arial" w:hAnsi="Arial"/>
          <w:sz w:val="21"/>
          <w:szCs w:val="21"/>
          <w:b w:val="1"/>
          <w:bCs w:val="1"/>
          <w:color w:val="auto"/>
        </w:rPr>
        <w:t>of the RSUs</w:t>
      </w:r>
      <w:r>
        <w:rPr>
          <w:rFonts w:ascii="Arial" w:cs="Arial" w:eastAsia="Arial" w:hAnsi="Arial"/>
          <w:sz w:val="21"/>
          <w:szCs w:val="21"/>
          <w:color w:val="auto"/>
        </w:rPr>
        <w:t>.</w:t>
      </w:r>
    </w:p>
    <w:p>
      <w:pPr>
        <w:spacing w:after="0" w:line="400" w:lineRule="exact"/>
        <w:rPr>
          <w:sz w:val="20"/>
          <w:szCs w:val="20"/>
          <w:color w:val="auto"/>
        </w:rPr>
      </w:pPr>
    </w:p>
    <w:p>
      <w:pPr>
        <w:ind w:left="3980"/>
        <w:spacing w:after="0"/>
        <w:rPr>
          <w:sz w:val="20"/>
          <w:szCs w:val="20"/>
          <w:color w:val="auto"/>
        </w:rPr>
      </w:pPr>
      <w:r>
        <w:rPr>
          <w:rFonts w:ascii="Arial" w:cs="Arial" w:eastAsia="Arial" w:hAnsi="Arial"/>
          <w:sz w:val="21"/>
          <w:szCs w:val="21"/>
          <w:i w:val="1"/>
          <w:iCs w:val="1"/>
          <w:color w:val="auto"/>
        </w:rPr>
        <w:t>[Remainder of Page Intentionally Left Blank]</w:t>
      </w:r>
    </w:p>
    <w:p>
      <w:pPr>
        <w:spacing w:after="0" w:line="200" w:lineRule="exact"/>
        <w:rPr>
          <w:sz w:val="20"/>
          <w:szCs w:val="20"/>
          <w:color w:val="auto"/>
        </w:rPr>
      </w:pPr>
    </w:p>
    <w:p>
      <w:pPr>
        <w:spacing w:after="0" w:line="359" w:lineRule="exact"/>
        <w:rPr>
          <w:sz w:val="20"/>
          <w:szCs w:val="20"/>
          <w:color w:val="auto"/>
        </w:rPr>
      </w:pPr>
    </w:p>
    <w:p>
      <w:pPr>
        <w:ind w:left="80"/>
        <w:spacing w:after="0"/>
        <w:tabs>
          <w:tab w:leader="none" w:pos="5540"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8</w:t>
      </w:r>
    </w:p>
    <w:p>
      <w:pPr>
        <w:sectPr>
          <w:pgSz w:w="11900" w:h="16838" w:orient="portrait"/>
          <w:cols w:equalWidth="0" w:num="1">
            <w:col w:w="11240"/>
          </w:cols>
          <w:pgMar w:left="320" w:top="1393" w:right="339" w:bottom="1440" w:gutter="0" w:footer="0" w:header="0"/>
        </w:sectPr>
      </w:pPr>
    </w:p>
    <w:bookmarkStart w:id="35" w:name="page36"/>
    <w:bookmarkEnd w:id="35"/>
    <w:p>
      <w:pPr>
        <w:ind w:firstLine="268"/>
        <w:spacing w:after="0" w:line="245" w:lineRule="auto"/>
        <w:rPr>
          <w:sz w:val="20"/>
          <w:szCs w:val="20"/>
          <w:color w:val="auto"/>
        </w:rPr>
      </w:pPr>
      <w:r>
        <w:rPr>
          <w:rFonts w:ascii="Arial" w:cs="Arial" w:eastAsia="Arial" w:hAnsi="Arial"/>
          <w:sz w:val="21"/>
          <w:szCs w:val="21"/>
          <w:color w:val="auto"/>
        </w:rPr>
        <w:t>By signing below, the Participant hereby acknowledges receipt of the RSUs issued on the Grant Date indicated above, which have been issued under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WEATHERFORD INTERNATIONAL PLC</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-5715</wp:posOffset>
            </wp:positionV>
            <wp:extent cx="136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13" w:lineRule="auto"/>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-5715</wp:posOffset>
            </wp:positionV>
            <wp:extent cx="136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-22860</wp:posOffset>
            </wp:positionV>
            <wp:extent cx="136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 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136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-11430</wp:posOffset>
            </wp:positionV>
            <wp:extent cx="136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0"/>
        <w:spacing w:after="0"/>
        <w:tabs>
          <w:tab w:leader="none" w:pos="5540" w:val="left"/>
        </w:tabs>
        <w:rPr>
          <w:sz w:val="20"/>
          <w:szCs w:val="20"/>
          <w:color w:val="auto"/>
        </w:rPr>
      </w:pPr>
      <w:r>
        <w:rPr>
          <w:rFonts w:ascii="Arial" w:cs="Arial" w:eastAsia="Arial" w:hAnsi="Arial"/>
          <w:sz w:val="15"/>
          <w:szCs w:val="15"/>
          <w:color w:val="auto"/>
        </w:rPr>
        <w:t>105918v2</w:t>
      </w:r>
      <w:r>
        <w:rPr>
          <w:sz w:val="20"/>
          <w:szCs w:val="20"/>
          <w:color w:val="auto"/>
        </w:rPr>
        <w:tab/>
      </w:r>
      <w:r>
        <w:rPr>
          <w:rFonts w:ascii="Arial" w:cs="Arial" w:eastAsia="Arial" w:hAnsi="Arial"/>
          <w:sz w:val="43"/>
          <w:szCs w:val="43"/>
          <w:color w:val="auto"/>
          <w:vertAlign w:val="subscript"/>
        </w:rPr>
        <w:t>9</w:t>
      </w:r>
    </w:p>
    <w:sectPr>
      <w:pgSz w:w="11900" w:h="16838" w:orient="portrait"/>
      <w:cols w:equalWidth="0" w:num="1">
        <w:col w:w="11240"/>
      </w:cols>
      <w:pgMar w:left="320" w:top="13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lowerLetter"/>
      <w:start w:val="4"/>
    </w:lvl>
  </w:abstractNum>
  <w:abstractNum w:abstractNumId="2">
    <w:nsid w:val="5072367"/>
    <w:multiLevelType w:val="hybridMultilevel"/>
    <w:lvl w:ilvl="0">
      <w:lvlJc w:val="left"/>
      <w:lvlText w:val="*"/>
      <w:numFmt w:val="bullet"/>
      <w:start w:val="1"/>
    </w:lvl>
    <w:lvl w:ilvl="1">
      <w:lvlJc w:val="left"/>
      <w:lvlText w:val="%2"/>
      <w:numFmt w:val="decimal"/>
      <w:start w:val="104"/>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3"/>
    </w:lvl>
  </w:abstractNum>
  <w:abstractNum w:abstractNumId="5">
    <w:nsid w:val="7724C67E"/>
    <w:multiLevelType w:val="hybridMultilevel"/>
    <w:lvl w:ilvl="0">
      <w:lvlJc w:val="left"/>
      <w:lvlText w:val="(%1)"/>
      <w:numFmt w:val="lowerLetter"/>
      <w:start w:val="1"/>
    </w:lvl>
  </w:abstractNum>
  <w:abstractNum w:abstractNumId="6">
    <w:nsid w:val="5C482A97"/>
    <w:multiLevelType w:val="hybridMultilevel"/>
    <w:lvl w:ilvl="0">
      <w:lvlJc w:val="left"/>
      <w:lvlText w:val="(%1)"/>
      <w:numFmt w:val="lowerLetter"/>
      <w:start w:val="2"/>
    </w:lvl>
  </w:abstractNum>
  <w:abstractNum w:abstractNumId="7">
    <w:nsid w:val="2463B9EA"/>
    <w:multiLevelType w:val="hybridMultilevel"/>
    <w:lvl w:ilvl="0">
      <w:lvlJc w:val="left"/>
      <w:lvlText w:val="(%1)"/>
      <w:numFmt w:val="lowerLetter"/>
      <w:start w:val="5"/>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decimal"/>
      <w:start w:val="5"/>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2"/>
    </w:lvl>
  </w:abstractNum>
  <w:abstractNum w:abstractNumId="13">
    <w:nsid w:val="3855585C"/>
    <w:multiLevelType w:val="hybridMultilevel"/>
    <w:lvl w:ilvl="0">
      <w:lvlJc w:val="left"/>
      <w:lvlText w:val="(%1)"/>
      <w:numFmt w:val="lowerLetter"/>
      <w:start w:val="3"/>
    </w:lvl>
  </w:abstractNum>
  <w:abstractNum w:abstractNumId="14">
    <w:nsid w:val="70A64E2A"/>
    <w:multiLevelType w:val="hybridMultilevel"/>
    <w:lvl w:ilvl="0">
      <w:lvlJc w:val="left"/>
      <w:lvlText w:val="%1."/>
      <w:numFmt w:val="decimal"/>
      <w:start w:val="8"/>
    </w:lvl>
  </w:abstractNum>
  <w:abstractNum w:abstractNumId="15">
    <w:nsid w:val="6A2342EC"/>
    <w:multiLevelType w:val="hybridMultilevel"/>
    <w:lvl w:ilvl="0">
      <w:lvlJc w:val="left"/>
      <w:lvlText w:val="%1"/>
      <w:numFmt w:val="lowerLetter"/>
      <w:start w:val="1"/>
    </w:lvl>
    <w:lvl w:ilvl="1">
      <w:lvlJc w:val="left"/>
      <w:lvlText w:val="(%2)"/>
      <w:numFmt w:val="lowerLetter"/>
      <w:start w:val="1"/>
    </w:lvl>
  </w:abstractNum>
  <w:abstractNum w:abstractNumId="16">
    <w:nsid w:val="2A487CB0"/>
    <w:multiLevelType w:val="hybridMultilevel"/>
    <w:lvl w:ilvl="0">
      <w:lvlJc w:val="left"/>
      <w:lvlText w:val="(%1)"/>
      <w:numFmt w:val="lowerLetter"/>
      <w:start w:val="35"/>
    </w:lvl>
    <w:lvl w:ilvl="1">
      <w:lvlJc w:val="left"/>
      <w:lvlText w:val="(%2)"/>
      <w:numFmt w:val="lowerLetter"/>
      <w:start w:val="2"/>
    </w:lvl>
  </w:abstractNum>
  <w:abstractNum w:abstractNumId="17">
    <w:nsid w:val="1D4ED43B"/>
    <w:multiLevelType w:val="hybridMultilevel"/>
    <w:lvl w:ilvl="0">
      <w:lvlJc w:val="left"/>
      <w:lvlText w:val="(%1)"/>
      <w:numFmt w:val="lowerLetter"/>
      <w:start w:val="9"/>
    </w:lvl>
    <w:lvl w:ilvl="1">
      <w:lvlJc w:val="left"/>
      <w:lvlText w:val="%2"/>
      <w:numFmt w:val="lowerLetter"/>
      <w:start w:val="1"/>
    </w:lvl>
  </w:abstractNum>
  <w:abstractNum w:abstractNumId="18">
    <w:nsid w:val="725A06FB"/>
    <w:multiLevelType w:val="hybridMultilevel"/>
    <w:lvl w:ilvl="0">
      <w:lvlJc w:val="left"/>
      <w:lvlText w:val="(%1)"/>
      <w:numFmt w:val="lowerLetter"/>
      <w:start w:val="35"/>
    </w:lvl>
    <w:lvl w:ilvl="1">
      <w:lvlJc w:val="left"/>
      <w:lvlText w:val="(%2)"/>
      <w:numFmt w:val="lowerLetter"/>
      <w:start w:val="3"/>
    </w:lvl>
  </w:abstractNum>
  <w:abstractNum w:abstractNumId="19">
    <w:nsid w:val="2CD89A32"/>
    <w:multiLevelType w:val="hybridMultilevel"/>
    <w:lvl w:ilvl="0">
      <w:lvlJc w:val="left"/>
      <w:lvlText w:val="%1."/>
      <w:numFmt w:val="decimal"/>
      <w:start w:val="9"/>
    </w:lvl>
  </w:abstractNum>
  <w:abstractNum w:abstractNumId="20">
    <w:nsid w:val="57E4CCAF"/>
    <w:multiLevelType w:val="hybridMultilevel"/>
    <w:lvl w:ilvl="0">
      <w:lvlJc w:val="left"/>
      <w:lvlText w:val="%1."/>
      <w:numFmt w:val="decimal"/>
      <w:start w:val="10"/>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decimal"/>
      <w:start w:val="11"/>
    </w:lvl>
  </w:abstractNum>
  <w:abstractNum w:abstractNumId="23">
    <w:nsid w:val="542289EC"/>
    <w:multiLevelType w:val="hybridMultilevel"/>
    <w:lvl w:ilvl="0">
      <w:lvlJc w:val="left"/>
      <w:lvlText w:val="%1"/>
      <w:numFmt w:val="lowerLetter"/>
      <w:start w:val="1"/>
    </w:lvl>
    <w:lvl w:ilvl="1">
      <w:lvlJc w:val="left"/>
      <w:lvlText w:val="%2."/>
      <w:numFmt w:val="decimal"/>
      <w:start w:val="14"/>
    </w:lvl>
  </w:abstractNum>
  <w:abstractNum w:abstractNumId="24">
    <w:nsid w:val="6DE91B18"/>
    <w:multiLevelType w:val="hybridMultilevel"/>
    <w:lvl w:ilvl="0">
      <w:lvlJc w:val="left"/>
      <w:lvlText w:val="(%1)"/>
      <w:numFmt w:val="lowerLetter"/>
      <w:start w:val="2"/>
    </w:lvl>
    <w:lvl w:ilvl="1">
      <w:lvlJc w:val="left"/>
      <w:lvlText w:val="%2."/>
      <w:numFmt w:val="decimal"/>
      <w:start w:val="18"/>
    </w:lvl>
  </w:abstractNum>
  <w:abstractNum w:abstractNumId="25">
    <w:nsid w:val="38437FDB"/>
    <w:multiLevelType w:val="hybridMultilevel"/>
    <w:lvl w:ilvl="0">
      <w:lvlJc w:val="left"/>
      <w:lvlText w:val="%1."/>
      <w:numFmt w:val="decimal"/>
      <w:start w:val="19"/>
    </w:lvl>
  </w:abstractNum>
  <w:abstractNum w:abstractNumId="26">
    <w:nsid w:val="7644A45C"/>
    <w:multiLevelType w:val="hybridMultilevel"/>
    <w:lvl w:ilvl="0">
      <w:lvlJc w:val="left"/>
      <w:lvlText w:val="%1."/>
      <w:numFmt w:val="decimal"/>
      <w:start w:val="24"/>
    </w:lvl>
  </w:abstractNum>
  <w:abstractNum w:abstractNumId="27">
    <w:nsid w:val="32FFF902"/>
    <w:multiLevelType w:val="hybridMultilevel"/>
    <w:lvl w:ilvl="0">
      <w:lvlJc w:val="left"/>
      <w:lvlText w:val="%1."/>
      <w:numFmt w:val="decimal"/>
      <w:start w:val="3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
    <w:nsid w:val="749ABB43"/>
    <w:multiLevelType w:val="hybridMultilevel"/>
    <w:lvl w:ilvl="0">
      <w:lvlJc w:val="left"/>
      <w:lvlText w:val="(%1)"/>
      <w:numFmt w:val="lowerLetter"/>
      <w:start w:val="5"/>
    </w:lvl>
  </w:abstractNum>
  <w:abstractNum w:abstractNumId="31">
    <w:nsid w:val="3DC240FB"/>
    <w:multiLevelType w:val="hybridMultilevel"/>
    <w:lvl w:ilvl="0">
      <w:lvlJc w:val="left"/>
      <w:lvlText w:val="%1."/>
      <w:numFmt w:val="decimal"/>
      <w:start w:val="4"/>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decimal"/>
      <w:start w:val="5"/>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2"/>
    </w:lvl>
  </w:abstractNum>
  <w:abstractNum w:abstractNumId="36">
    <w:nsid w:val="70C6A529"/>
    <w:multiLevelType w:val="hybridMultilevel"/>
    <w:lvl w:ilvl="0">
      <w:lvlJc w:val="left"/>
      <w:lvlText w:val="(%1)"/>
      <w:numFmt w:val="lowerLetter"/>
      <w:start w:val="3"/>
    </w:lvl>
  </w:abstractNum>
  <w:abstractNum w:abstractNumId="37">
    <w:nsid w:val="520EEDD1"/>
    <w:multiLevelType w:val="hybridMultilevel"/>
    <w:lvl w:ilvl="0">
      <w:lvlJc w:val="left"/>
      <w:lvlText w:val="%1."/>
      <w:numFmt w:val="decimal"/>
      <w:start w:val="8"/>
    </w:lvl>
  </w:abstractNum>
  <w:abstractNum w:abstractNumId="38">
    <w:nsid w:val="374A3FE6"/>
    <w:multiLevelType w:val="hybridMultilevel"/>
    <w:lvl w:ilvl="0">
      <w:lvlJc w:val="left"/>
      <w:lvlText w:val="%1"/>
      <w:numFmt w:val="lowerLetter"/>
      <w:start w:val="1"/>
    </w:lvl>
    <w:lvl w:ilvl="1">
      <w:lvlJc w:val="left"/>
      <w:lvlText w:val="(%2)"/>
      <w:numFmt w:val="lowerLetter"/>
      <w:start w:val="1"/>
    </w:lvl>
  </w:abstractNum>
  <w:abstractNum w:abstractNumId="39">
    <w:nsid w:val="4F4EF005"/>
    <w:multiLevelType w:val="hybridMultilevel"/>
    <w:lvl w:ilvl="0">
      <w:lvlJc w:val="left"/>
      <w:lvlText w:val="(%1)"/>
      <w:numFmt w:val="lowerLetter"/>
      <w:start w:val="35"/>
    </w:lvl>
    <w:lvl w:ilvl="1">
      <w:lvlJc w:val="left"/>
      <w:lvlText w:val="(%2)"/>
      <w:numFmt w:val="lowerLetter"/>
      <w:start w:val="2"/>
    </w:lvl>
  </w:abstractNum>
  <w:abstractNum w:abstractNumId="40">
    <w:nsid w:val="23F9C13C"/>
    <w:multiLevelType w:val="hybridMultilevel"/>
    <w:lvl w:ilvl="0">
      <w:lvlJc w:val="left"/>
      <w:lvlText w:val="(%1)"/>
      <w:numFmt w:val="lowerLetter"/>
      <w:start w:val="9"/>
    </w:lvl>
    <w:lvl w:ilvl="1">
      <w:lvlJc w:val="left"/>
      <w:lvlText w:val="%2"/>
      <w:numFmt w:val="lowerLetter"/>
      <w:start w:val="1"/>
    </w:lvl>
  </w:abstractNum>
  <w:abstractNum w:abstractNumId="41">
    <w:nsid w:val="649BB77C"/>
    <w:multiLevelType w:val="hybridMultilevel"/>
    <w:lvl w:ilvl="0">
      <w:lvlJc w:val="left"/>
      <w:lvlText w:val="(%1)"/>
      <w:numFmt w:val="lowerLetter"/>
      <w:start w:val="35"/>
    </w:lvl>
    <w:lvl w:ilvl="1">
      <w:lvlJc w:val="left"/>
      <w:lvlText w:val="(%2)"/>
      <w:numFmt w:val="lowerLetter"/>
      <w:start w:val="3"/>
    </w:lvl>
  </w:abstractNum>
  <w:abstractNum w:abstractNumId="42">
    <w:nsid w:val="275AC794"/>
    <w:multiLevelType w:val="hybridMultilevel"/>
    <w:lvl w:ilvl="0">
      <w:lvlJc w:val="left"/>
      <w:lvlText w:val="%1."/>
      <w:numFmt w:val="decimal"/>
      <w:start w:val="9"/>
    </w:lvl>
  </w:abstractNum>
  <w:abstractNum w:abstractNumId="43">
    <w:nsid w:val="39386575"/>
    <w:multiLevelType w:val="hybridMultilevel"/>
    <w:lvl w:ilvl="0">
      <w:lvlJc w:val="left"/>
      <w:lvlText w:val="%1."/>
      <w:numFmt w:val="decimal"/>
      <w:start w:val="10"/>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decimal"/>
      <w:start w:val="11"/>
    </w:lvl>
  </w:abstractNum>
  <w:abstractNum w:abstractNumId="46">
    <w:nsid w:val="235BA861"/>
    <w:multiLevelType w:val="hybridMultilevel"/>
    <w:lvl w:ilvl="0">
      <w:lvlJc w:val="left"/>
      <w:lvlText w:val="%1"/>
      <w:numFmt w:val="lowerLetter"/>
      <w:start w:val="1"/>
    </w:lvl>
    <w:lvl w:ilvl="1">
      <w:lvlJc w:val="left"/>
      <w:lvlText w:val="%2."/>
      <w:numFmt w:val="decimal"/>
      <w:start w:val="14"/>
    </w:lvl>
  </w:abstractNum>
  <w:abstractNum w:abstractNumId="47">
    <w:nsid w:val="47398C89"/>
    <w:multiLevelType w:val="hybridMultilevel"/>
    <w:lvl w:ilvl="0">
      <w:lvlJc w:val="left"/>
      <w:lvlText w:val="(%1)"/>
      <w:numFmt w:val="lowerLetter"/>
      <w:start w:val="2"/>
    </w:lvl>
    <w:lvl w:ilvl="1">
      <w:lvlJc w:val="left"/>
      <w:lvlText w:val="%2."/>
      <w:numFmt w:val="decimal"/>
      <w:start w:val="18"/>
    </w:lvl>
  </w:abstractNum>
  <w:abstractNum w:abstractNumId="48">
    <w:nsid w:val="354FE9F9"/>
    <w:multiLevelType w:val="hybridMultilevel"/>
    <w:lvl w:ilvl="0">
      <w:lvlJc w:val="left"/>
      <w:lvlText w:val="%1."/>
      <w:numFmt w:val="decimal"/>
      <w:start w:val="19"/>
    </w:lvl>
  </w:abstractNum>
  <w:abstractNum w:abstractNumId="49">
    <w:nsid w:val="15B5AF5C"/>
    <w:multiLevelType w:val="hybridMultilevel"/>
    <w:lvl w:ilvl="0">
      <w:lvlJc w:val="left"/>
      <w:lvlText w:val="%1."/>
      <w:numFmt w:val="decimal"/>
      <w:start w:val="24"/>
    </w:lvl>
  </w:abstractNum>
  <w:abstractNum w:abstractNumId="50">
    <w:nsid w:val="741226BB"/>
    <w:multiLevelType w:val="hybridMultilevel"/>
    <w:lvl w:ilvl="0">
      <w:lvlJc w:val="left"/>
      <w:lvlText w:val="%1."/>
      <w:numFmt w:val="decimal"/>
      <w:start w:val="31"/>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3"/>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2"/>
    </w:lvl>
  </w:abstractNum>
  <w:abstractNum w:abstractNumId="55">
    <w:nsid w:val="7E0C57B1"/>
    <w:multiLevelType w:val="hybridMultilevel"/>
    <w:lvl w:ilvl="0">
      <w:lvlJc w:val="left"/>
      <w:lvlText w:val="%1."/>
      <w:numFmt w:val="decimal"/>
      <w:start w:val="4"/>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decimal"/>
      <w:start w:val="5"/>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2"/>
    </w:lvl>
  </w:abstractNum>
  <w:abstractNum w:abstractNumId="60">
    <w:nsid w:val="2F305DEF"/>
    <w:multiLevelType w:val="hybridMultilevel"/>
    <w:lvl w:ilvl="0">
      <w:lvlJc w:val="left"/>
      <w:lvlText w:val="%1."/>
      <w:numFmt w:val="decimal"/>
      <w:start w:val="8"/>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3"/>
    </w:lvl>
  </w:abstractNum>
  <w:abstractNum w:abstractNumId="63">
    <w:nsid w:val="4AD084E9"/>
    <w:multiLevelType w:val="hybridMultilevel"/>
    <w:lvl w:ilvl="0">
      <w:lvlJc w:val="left"/>
      <w:lvlText w:val="%1."/>
      <w:numFmt w:val="decimal"/>
      <w:start w:val="10"/>
    </w:lvl>
  </w:abstractNum>
  <w:abstractNum w:abstractNumId="64">
    <w:nsid w:val="1F48EAA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5"/>
    </w:lvl>
  </w:abstractNum>
  <w:abstractNum w:abstractNumId="65">
    <w:nsid w:val="1381823A"/>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7"/>
    </w:lvl>
  </w:abstractNum>
  <w:abstractNum w:abstractNumId="66">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8"/>
    </w:lvl>
  </w:abstractNum>
  <w:abstractNum w:abstractNumId="67">
    <w:nsid w:val="100F8FCA"/>
    <w:multiLevelType w:val="hybridMultilevel"/>
    <w:lvl w:ilvl="0">
      <w:lvlJc w:val="left"/>
      <w:lvlText w:val="%1."/>
      <w:numFmt w:val="decimal"/>
      <w:start w:val="19"/>
    </w:lvl>
  </w:abstractNum>
  <w:abstractNum w:abstractNumId="68">
    <w:nsid w:val="6590700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2022-01-20T16:13:40Z</dcterms:created>
  <dcterms:modified xsi:type="dcterms:W3CDTF">2022-01-20T16:13:40Z</dcterms:modified>
</cp:coreProperties>
</file>