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Weatherford International PLC</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G48833100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G48833100</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460,948</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174,300</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59,884,511</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541,710</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60,426,221</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6.03%</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2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Check the following [line] if a fee is being paid with this statement</w:t>
        <w:tab/>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Weststrasse 1</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6340 Baar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Switzerland, CH 6340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â€“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â€“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G48833100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Â§240.13d-1(b)(1)(ii)(E).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60,426,221</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460,948</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174,300</w:t>
      </w:r>
    </w:p>
    <w:p>
      <w:pPr>
        <w:spacing w:after="0" w:line="220" w:lineRule="exact"/>
        <w:rPr>
          <w:rFonts w:ascii="Arial" w:cs="Arial" w:eastAsia="Arial" w:hAnsi="Arial"/>
          <w:sz w:val="18"/>
          <w:szCs w:val="18"/>
          <w:color w:val="auto"/>
        </w:rPr>
      </w:pPr>
    </w:p>
    <w:p>
      <w:pPr>
        <w:ind w:left="80" w:right="654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59,884,511 (iv) shared power to dispose or to direct the disposition of: 541,710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367,410 shares or .03% of the Common Stock outstanding of the Company as a result of its serving as investment manager of collective trust accounts.</w:t>
      </w:r>
    </w:p>
    <w:p>
      <w:pPr>
        <w:spacing w:after="0" w:line="16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267,838 shares or .02% of the Common Stock outstanding of the Company as a result of its serving as investment manager of Australian investment offerings.</w:t>
      </w:r>
    </w:p>
    <w:sectPr>
      <w:pgSz w:w="12240" w:h="15840" w:orient="portrait"/>
      <w:cols w:equalWidth="0" w:num="1">
        <w:col w:w="11800"/>
      </w:cols>
      <w:pgMar w:left="120" w:top="236" w:right="3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2019-12-15T18:00:56Z</dcterms:created>
  <dcterms:modified xsi:type="dcterms:W3CDTF">2019-12-15T18:00:56Z</dcterms:modified>
</cp:coreProperties>
</file>