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July 28, 2021</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Weatherford International plc</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Arial" w:cs="Arial" w:eastAsia="Arial" w:hAnsi="Arial"/>
                <w:sz w:val="18"/>
                <w:szCs w:val="18"/>
                <w:b w:val="1"/>
                <w:bCs w:val="1"/>
                <w:color w:val="auto"/>
                <w:w w:val="90"/>
              </w:rPr>
              <w:t>001-36504</w:t>
            </w:r>
          </w:p>
        </w:tc>
        <w:tc>
          <w:tcPr>
            <w:tcW w:w="2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3"/>
        </w:trPr>
        <w:tc>
          <w:tcPr>
            <w:tcW w:w="426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33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7"/>
              </w:rPr>
              <w:t>2000 St. James Place ,  Houston,</w:t>
            </w:r>
          </w:p>
        </w:tc>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Arial" w:cs="Arial" w:eastAsia="Arial" w:hAnsi="Arial"/>
                <w:sz w:val="18"/>
                <w:szCs w:val="18"/>
                <w:color w:val="auto"/>
                <w:w w:val="91"/>
              </w:rPr>
              <w:t>(Zip Code)</w:t>
            </w:r>
          </w:p>
        </w:tc>
        <w:tc>
          <w:tcPr>
            <w:tcW w:w="820" w:type="dxa"/>
            <w:vAlign w:val="bottom"/>
          </w:tcPr>
          <w:p>
            <w:pPr>
              <w:spacing w:after="0"/>
              <w:rPr>
                <w:sz w:val="19"/>
                <w:szCs w:val="19"/>
                <w:color w:val="auto"/>
              </w:rPr>
            </w:pPr>
          </w:p>
        </w:tc>
      </w:tr>
    </w:tbl>
    <w:p>
      <w:pPr>
        <w:spacing w:after="0" w:line="7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2"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16510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6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49"/>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color w:val="auto"/>
                <w:w w:val="91"/>
              </w:rPr>
              <w:t>Trading Symbol</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23"/>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Arial" w:cs="Arial" w:eastAsia="Arial" w:hAnsi="Arial"/>
                <w:sz w:val="18"/>
                <w:szCs w:val="18"/>
                <w:color w:val="auto"/>
                <w:w w:val="88"/>
              </w:rPr>
              <w:t>Ordinary shares, $0.001 par value per share</w:t>
            </w:r>
          </w:p>
        </w:tc>
        <w:tc>
          <w:tcPr>
            <w:tcW w:w="2160" w:type="dxa"/>
            <w:vAlign w:val="bottom"/>
          </w:tcPr>
          <w:p>
            <w:pPr>
              <w:jc w:val="center"/>
              <w:ind w:right="231"/>
              <w:spacing w:after="0"/>
              <w:rPr>
                <w:sz w:val="20"/>
                <w:szCs w:val="20"/>
                <w:color w:val="auto"/>
              </w:rPr>
            </w:pPr>
            <w:r>
              <w:rPr>
                <w:rFonts w:ascii="Arial" w:cs="Arial" w:eastAsia="Arial" w:hAnsi="Arial"/>
                <w:sz w:val="18"/>
                <w:szCs w:val="18"/>
                <w:color w:val="auto"/>
                <w:w w:val="96"/>
              </w:rPr>
              <w:t>WFRD</w:t>
            </w:r>
          </w:p>
        </w:tc>
        <w:tc>
          <w:tcPr>
            <w:tcW w:w="454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78" w:lineRule="exact"/>
        <w:rPr>
          <w:sz w:val="24"/>
          <w:szCs w:val="24"/>
          <w:color w:val="auto"/>
        </w:rPr>
      </w:pPr>
    </w:p>
    <w:p>
      <w:pPr>
        <w:ind w:right="560"/>
        <w:spacing w:after="0" w:line="25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2" w:right="35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47" w:lineRule="exact"/>
        <w:rPr>
          <w:sz w:val="20"/>
          <w:szCs w:val="20"/>
          <w:color w:val="auto"/>
        </w:rPr>
      </w:pPr>
    </w:p>
    <w:p>
      <w:pPr>
        <w:jc w:val="both"/>
        <w:ind w:firstLine="322"/>
        <w:spacing w:after="0" w:line="261" w:lineRule="auto"/>
        <w:rPr>
          <w:sz w:val="20"/>
          <w:szCs w:val="20"/>
          <w:color w:val="auto"/>
        </w:rPr>
      </w:pPr>
      <w:r>
        <w:rPr>
          <w:rFonts w:ascii="Arial" w:cs="Arial" w:eastAsia="Arial" w:hAnsi="Arial"/>
          <w:sz w:val="18"/>
          <w:szCs w:val="18"/>
          <w:color w:val="auto"/>
        </w:rPr>
        <w:t>On July 28, 2021, Weatherford International plc (“Weatherford” and together with its subsidiaries, “we” or the “Company”) issued a news release announcing results for the second quarter and six months ended June 30, 2021. A copy of the news release is furnished as Exhibit 99.1 and incorporated into this Item 2.02.</w:t>
      </w:r>
    </w:p>
    <w:p>
      <w:pPr>
        <w:spacing w:after="0" w:line="210" w:lineRule="exact"/>
        <w:rPr>
          <w:sz w:val="20"/>
          <w:szCs w:val="20"/>
          <w:color w:val="auto"/>
        </w:rPr>
      </w:pPr>
    </w:p>
    <w:p>
      <w:pPr>
        <w:jc w:val="both"/>
        <w:ind w:firstLine="322"/>
        <w:spacing w:after="0" w:line="274" w:lineRule="auto"/>
        <w:rPr>
          <w:sz w:val="20"/>
          <w:szCs w:val="20"/>
          <w:color w:val="auto"/>
        </w:rPr>
      </w:pPr>
      <w:r>
        <w:rPr>
          <w:rFonts w:ascii="Arial" w:cs="Arial" w:eastAsia="Arial" w:hAnsi="Arial"/>
          <w:sz w:val="18"/>
          <w:szCs w:val="18"/>
          <w:color w:val="auto"/>
        </w:rPr>
        <w:t>We will host a conference call on Thursday, July 29, 2021, to discuss the results for the second quarter and six months ended June 30, 2021. The conference call will begin at 10:00 a.m. Eastern Time (9:00 a.m. Central Time).</w:t>
      </w:r>
    </w:p>
    <w:p>
      <w:pPr>
        <w:spacing w:after="0" w:line="198" w:lineRule="exact"/>
        <w:rPr>
          <w:sz w:val="20"/>
          <w:szCs w:val="20"/>
          <w:color w:val="auto"/>
        </w:rPr>
      </w:pPr>
    </w:p>
    <w:p>
      <w:pPr>
        <w:ind w:right="320" w:firstLine="322"/>
        <w:spacing w:after="0" w:line="259" w:lineRule="auto"/>
        <w:rPr>
          <w:sz w:val="20"/>
          <w:szCs w:val="20"/>
          <w:color w:val="auto"/>
        </w:rPr>
      </w:pPr>
      <w:r>
        <w:rPr>
          <w:rFonts w:ascii="Arial" w:cs="Arial" w:eastAsia="Arial" w:hAnsi="Arial"/>
          <w:sz w:val="18"/>
          <w:szCs w:val="18"/>
          <w:color w:val="auto"/>
        </w:rPr>
        <w:t>Listeners may register in advance for the conference call at http://dpregister.com/10157213 and will receive an email including a calendar reminder, dial-in number, and a PIN providing immediate access to the call.</w:t>
      </w:r>
    </w:p>
    <w:p>
      <w:pPr>
        <w:spacing w:after="0" w:line="197" w:lineRule="exact"/>
        <w:rPr>
          <w:sz w:val="20"/>
          <w:szCs w:val="20"/>
          <w:color w:val="auto"/>
        </w:rPr>
      </w:pPr>
    </w:p>
    <w:p>
      <w:pPr>
        <w:jc w:val="both"/>
        <w:ind w:firstLine="322"/>
        <w:spacing w:after="0" w:line="257" w:lineRule="auto"/>
        <w:rPr>
          <w:sz w:val="20"/>
          <w:szCs w:val="20"/>
          <w:color w:val="auto"/>
        </w:rPr>
      </w:pPr>
      <w:r>
        <w:rPr>
          <w:rFonts w:ascii="Arial" w:cs="Arial" w:eastAsia="Arial" w:hAnsi="Arial"/>
          <w:sz w:val="18"/>
          <w:szCs w:val="18"/>
          <w:color w:val="auto"/>
        </w:rPr>
        <w:t>Weatherford invites investors to listen to the call live via live webcast on the Company’s website at https://www.weatherford.com/en/investor-relations/investor-news-and-events/events/. Alternatively, listeners can access the conference call by dialing +1 877-328-5344 (within the U.S.) or +1 412-902-6762 (outside of the U.S.) and asking for the Weatherford conference call. Listeners should log in or dial in approximately 10 minutes prior to the start of the call.</w:t>
      </w:r>
    </w:p>
    <w:p>
      <w:pPr>
        <w:spacing w:after="0" w:line="214" w:lineRule="exact"/>
        <w:rPr>
          <w:sz w:val="20"/>
          <w:szCs w:val="20"/>
          <w:color w:val="auto"/>
        </w:rPr>
      </w:pPr>
    </w:p>
    <w:p>
      <w:pPr>
        <w:jc w:val="both"/>
        <w:ind w:firstLine="322"/>
        <w:spacing w:after="0" w:line="259" w:lineRule="auto"/>
        <w:rPr>
          <w:sz w:val="20"/>
          <w:szCs w:val="20"/>
          <w:color w:val="auto"/>
        </w:rPr>
      </w:pPr>
      <w:r>
        <w:rPr>
          <w:rFonts w:ascii="Arial" w:cs="Arial" w:eastAsia="Arial" w:hAnsi="Arial"/>
          <w:sz w:val="18"/>
          <w:szCs w:val="18"/>
          <w:color w:val="auto"/>
        </w:rPr>
        <w:t>Participants are encouraged to download the accompanying presentation slides which will be available in the investor relations section of the Company’s website.</w:t>
      </w:r>
    </w:p>
    <w:p>
      <w:pPr>
        <w:spacing w:after="0" w:line="197" w:lineRule="exact"/>
        <w:rPr>
          <w:sz w:val="20"/>
          <w:szCs w:val="20"/>
          <w:color w:val="auto"/>
        </w:rPr>
      </w:pPr>
    </w:p>
    <w:p>
      <w:pPr>
        <w:jc w:val="both"/>
        <w:ind w:firstLine="322"/>
        <w:spacing w:after="0" w:line="261" w:lineRule="auto"/>
        <w:rPr>
          <w:sz w:val="20"/>
          <w:szCs w:val="20"/>
          <w:color w:val="auto"/>
        </w:rPr>
      </w:pPr>
      <w:r>
        <w:rPr>
          <w:rFonts w:ascii="Arial" w:cs="Arial" w:eastAsia="Arial" w:hAnsi="Arial"/>
          <w:sz w:val="18"/>
          <w:szCs w:val="18"/>
          <w:color w:val="auto"/>
        </w:rPr>
        <w:t>A telephonic replay of the conference call will be available until August 12, 2021, at 5:00 p.m. Eastern Time. To access the replay, please dial +1 877-344-7529 (within the U.S.) or +1 412-317-0088 (outside of the U.S.) and reference conference number 10157213. A replay and transcript of the earnings call will also be available in the investor relations section of the Company’s website.</w:t>
      </w: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4" w:lineRule="exact"/>
        <w:rPr>
          <w:sz w:val="20"/>
          <w:szCs w:val="20"/>
          <w:color w:val="auto"/>
        </w:rPr>
      </w:pPr>
    </w:p>
    <w:p>
      <w:pPr>
        <w:ind w:left="1660" w:hanging="978"/>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Number</w:t>
            </w: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81"/>
        </w:trPr>
        <w:tc>
          <w:tcPr>
            <w:tcW w:w="1520" w:type="dxa"/>
            <w:vAlign w:val="bottom"/>
            <w:tcBorders>
              <w:top w:val="single" w:sz="8" w:color="auto"/>
            </w:tcBorders>
          </w:tcPr>
          <w:p>
            <w:pPr>
              <w:jc w:val="right"/>
              <w:ind w:right="511"/>
              <w:spacing w:after="0" w:line="18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8200" w:type="dxa"/>
            <w:vAlign w:val="bottom"/>
            <w:tcBorders>
              <w:top w:val="single" w:sz="8" w:color="auto"/>
              <w:bottom w:val="single" w:sz="8" w:color="0000FF"/>
            </w:tcBorders>
          </w:tcPr>
          <w:p>
            <w:pPr>
              <w:spacing w:after="0" w:line="182"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News Release dated July 28, 2021, announcing results for the second quarter and six months ended June 30, 2021.</w:t>
              </w:r>
            </w:hyperlink>
          </w:p>
        </w:tc>
        <w:tc>
          <w:tcPr>
            <w:tcW w:w="1400" w:type="dxa"/>
            <w:vAlign w:val="bottom"/>
            <w:tcBorders>
              <w:top w:val="single" w:sz="8" w:color="auto"/>
            </w:tcBorders>
          </w:tcPr>
          <w:p>
            <w:pPr>
              <w:spacing w:after="0"/>
              <w:rPr>
                <w:sz w:val="15"/>
                <w:szCs w:val="15"/>
                <w:color w:val="auto"/>
              </w:rPr>
            </w:pPr>
          </w:p>
        </w:tc>
      </w:tr>
      <w:tr>
        <w:trPr>
          <w:trHeight w:val="249"/>
        </w:trPr>
        <w:tc>
          <w:tcPr>
            <w:tcW w:w="1520" w:type="dxa"/>
            <w:vAlign w:val="bottom"/>
          </w:tcPr>
          <w:p>
            <w:pPr>
              <w:jc w:val="right"/>
              <w:ind w:right="53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73"/>
        </w:trPr>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July 28, 2021</w:t>
      </w:r>
    </w:p>
    <w:p>
      <w:pPr>
        <w:spacing w:after="0" w:line="2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1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H. Keith Jennings</w:t>
      </w:r>
    </w:p>
    <w:p>
      <w:pPr>
        <w:spacing w:after="0" w:line="2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140"/>
          </w:cols>
          <w:pgMar w:left="320" w:top="886"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59055</wp:posOffset>
            </wp:positionV>
            <wp:extent cx="1891665" cy="784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1665" cy="78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20"/>
        <w:spacing w:after="0"/>
        <w:rPr>
          <w:sz w:val="20"/>
          <w:szCs w:val="20"/>
          <w:color w:val="auto"/>
        </w:rPr>
      </w:pPr>
      <w:r>
        <w:rPr>
          <w:rFonts w:ascii="Arial" w:cs="Arial" w:eastAsia="Arial" w:hAnsi="Arial"/>
          <w:sz w:val="16"/>
          <w:szCs w:val="16"/>
          <w:b w:val="1"/>
          <w:bCs w:val="1"/>
          <w:color w:val="auto"/>
        </w:rPr>
        <w:t>News Release</w:t>
      </w:r>
    </w:p>
    <w:p>
      <w:pPr>
        <w:spacing w:after="0" w:line="200" w:lineRule="exact"/>
        <w:rPr>
          <w:sz w:val="20"/>
          <w:szCs w:val="20"/>
          <w:color w:val="auto"/>
        </w:rPr>
      </w:pPr>
    </w:p>
    <w:p>
      <w:pPr>
        <w:spacing w:after="0" w:line="237" w:lineRule="exact"/>
        <w:rPr>
          <w:sz w:val="20"/>
          <w:szCs w:val="20"/>
          <w:color w:val="auto"/>
        </w:rPr>
      </w:pPr>
    </w:p>
    <w:p>
      <w:pPr>
        <w:ind w:left="1560"/>
        <w:spacing w:after="0"/>
        <w:rPr>
          <w:sz w:val="20"/>
          <w:szCs w:val="20"/>
          <w:color w:val="auto"/>
        </w:rPr>
      </w:pPr>
      <w:r>
        <w:rPr>
          <w:rFonts w:ascii="Arial" w:cs="Arial" w:eastAsia="Arial" w:hAnsi="Arial"/>
          <w:sz w:val="32"/>
          <w:szCs w:val="32"/>
          <w:b w:val="1"/>
          <w:bCs w:val="1"/>
          <w:color w:val="auto"/>
        </w:rPr>
        <w:t>Weatherford Announces Second-Quarter 2021 Results</w:t>
      </w:r>
    </w:p>
    <w:p>
      <w:pPr>
        <w:spacing w:after="0" w:line="200" w:lineRule="exact"/>
        <w:rPr>
          <w:sz w:val="20"/>
          <w:szCs w:val="20"/>
          <w:color w:val="auto"/>
        </w:rPr>
      </w:pPr>
    </w:p>
    <w:p>
      <w:pPr>
        <w:spacing w:after="0" w:line="369" w:lineRule="exact"/>
        <w:rPr>
          <w:sz w:val="20"/>
          <w:szCs w:val="20"/>
          <w:color w:val="auto"/>
        </w:rPr>
      </w:pPr>
    </w:p>
    <w:p>
      <w:pPr>
        <w:ind w:left="320" w:hanging="31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$903 million increased 9% sequentially driven by a 12% increase in service revenues.</w:t>
      </w:r>
    </w:p>
    <w:p>
      <w:pPr>
        <w:spacing w:after="0" w:line="105" w:lineRule="exact"/>
        <w:rPr>
          <w:rFonts w:ascii="Arial" w:cs="Arial" w:eastAsia="Arial" w:hAnsi="Arial"/>
          <w:sz w:val="20"/>
          <w:szCs w:val="20"/>
          <w:color w:val="auto"/>
        </w:rPr>
      </w:pPr>
    </w:p>
    <w:p>
      <w:pPr>
        <w:ind w:left="320" w:hanging="31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totaled $25 million and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totaled $136 million or 15% adjusted EBITDA margins.</w:t>
      </w:r>
    </w:p>
    <w:p>
      <w:pPr>
        <w:spacing w:after="0" w:line="48" w:lineRule="exact"/>
        <w:rPr>
          <w:rFonts w:ascii="Arial" w:cs="Arial" w:eastAsia="Arial" w:hAnsi="Arial"/>
          <w:sz w:val="20"/>
          <w:szCs w:val="20"/>
          <w:color w:val="auto"/>
        </w:rPr>
      </w:pPr>
    </w:p>
    <w:p>
      <w:pPr>
        <w:ind w:left="320" w:hanging="311"/>
        <w:spacing w:after="0"/>
        <w:tabs>
          <w:tab w:leader="none" w:pos="3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Second-quarter cash provided by operating activities totaled $46 million and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totaled $48 million.</w:t>
      </w:r>
    </w:p>
    <w:p>
      <w:pPr>
        <w:spacing w:after="0" w:line="48" w:lineRule="exact"/>
        <w:rPr>
          <w:rFonts w:ascii="Arial" w:cs="Arial" w:eastAsia="Arial" w:hAnsi="Arial"/>
          <w:sz w:val="20"/>
          <w:szCs w:val="20"/>
          <w:color w:val="auto"/>
        </w:rPr>
      </w:pPr>
    </w:p>
    <w:p>
      <w:pPr>
        <w:jc w:val="both"/>
        <w:ind w:left="340" w:hanging="331"/>
        <w:spacing w:after="0" w:line="350"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During the quarter, Weatherford won more than $270 million in new and extended commercial awards within our market-leading product lines of Managed Pressure Drilling (“MPD”), Tubular Running Services (“TRS”), Fishing and Re-Entry Services, and Cementation Products.</w:t>
      </w:r>
    </w:p>
    <w:p>
      <w:pPr>
        <w:ind w:left="320" w:hanging="311"/>
        <w:spacing w:after="0"/>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On June 2, 2021, Weatherford shares began trading on The Nasdaq Global Select Market under the ticker symbol “WFRD”.</w:t>
      </w:r>
    </w:p>
    <w:p>
      <w:pPr>
        <w:sectPr>
          <w:pgSz w:w="11900" w:h="16838" w:orient="portrait"/>
          <w:cols w:equalWidth="0" w:num="1">
            <w:col w:w="10920"/>
          </w:cols>
          <w:pgMar w:left="640" w:top="1047" w:right="339" w:bottom="1440" w:gutter="0" w:footer="0" w:header="0"/>
        </w:sectPr>
      </w:pPr>
    </w:p>
    <w:bookmarkStart w:id="4" w:name="page5"/>
    <w:bookmarkEnd w:id="4"/>
    <w:p>
      <w:pPr>
        <w:jc w:val="both"/>
        <w:spacing w:after="0" w:line="376" w:lineRule="auto"/>
        <w:rPr>
          <w:sz w:val="20"/>
          <w:szCs w:val="20"/>
          <w:color w:val="auto"/>
        </w:rPr>
      </w:pPr>
      <w:r>
        <w:rPr>
          <w:rFonts w:ascii="Arial" w:cs="Arial" w:eastAsia="Arial" w:hAnsi="Arial"/>
          <w:sz w:val="20"/>
          <w:szCs w:val="20"/>
          <w:b w:val="1"/>
          <w:bCs w:val="1"/>
          <w:color w:val="auto"/>
        </w:rPr>
        <w:t xml:space="preserve">Houston, July 28, 2021 – </w:t>
      </w:r>
      <w:r>
        <w:rPr>
          <w:rFonts w:ascii="Arial" w:cs="Arial" w:eastAsia="Arial" w:hAnsi="Arial"/>
          <w:sz w:val="20"/>
          <w:szCs w:val="20"/>
          <w:color w:val="auto"/>
        </w:rPr>
        <w:t>Weatherford International plc (NASDAQ: WFRD) (“Weatherford” or the “Company”) announced today its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second quarter of 2021.</w:t>
      </w:r>
    </w:p>
    <w:p>
      <w:pPr>
        <w:spacing w:after="0" w:line="126" w:lineRule="exact"/>
        <w:rPr>
          <w:sz w:val="20"/>
          <w:szCs w:val="20"/>
          <w:color w:val="auto"/>
        </w:rPr>
      </w:pPr>
    </w:p>
    <w:p>
      <w:pPr>
        <w:jc w:val="both"/>
        <w:spacing w:after="0" w:line="379" w:lineRule="auto"/>
        <w:rPr>
          <w:sz w:val="20"/>
          <w:szCs w:val="20"/>
          <w:color w:val="auto"/>
        </w:rPr>
      </w:pPr>
      <w:r>
        <w:rPr>
          <w:rFonts w:ascii="Arial" w:cs="Arial" w:eastAsia="Arial" w:hAnsi="Arial"/>
          <w:sz w:val="19"/>
          <w:szCs w:val="19"/>
          <w:color w:val="auto"/>
        </w:rPr>
        <w:t xml:space="preserve">Revenues for the second quarter of 2021 were $903 million, an increase of </w:t>
      </w:r>
      <w:r>
        <w:rPr>
          <w:rFonts w:ascii="Arial" w:cs="Arial" w:eastAsia="Arial" w:hAnsi="Arial"/>
          <w:sz w:val="20"/>
          <w:szCs w:val="20"/>
          <w:color w:val="auto"/>
        </w:rPr>
        <w:t>9%</w:t>
      </w:r>
      <w:r>
        <w:rPr>
          <w:rFonts w:ascii="Arial" w:cs="Arial" w:eastAsia="Arial" w:hAnsi="Arial"/>
          <w:sz w:val="19"/>
          <w:szCs w:val="19"/>
          <w:color w:val="auto"/>
        </w:rPr>
        <w:t xml:space="preserve"> sequentially and </w:t>
      </w:r>
      <w:r>
        <w:rPr>
          <w:rFonts w:ascii="Arial" w:cs="Arial" w:eastAsia="Arial" w:hAnsi="Arial"/>
          <w:sz w:val="20"/>
          <w:szCs w:val="20"/>
          <w:color w:val="auto"/>
        </w:rPr>
        <w:t>10%</w:t>
      </w:r>
      <w:r>
        <w:rPr>
          <w:rFonts w:ascii="Arial" w:cs="Arial" w:eastAsia="Arial" w:hAnsi="Arial"/>
          <w:sz w:val="19"/>
          <w:szCs w:val="19"/>
          <w:color w:val="auto"/>
        </w:rPr>
        <w:t xml:space="preserve"> year-on-year. Reported operating income was $25 million in the second quarter of 2021, compared to an operating loss of $13 million in the first quarter of 2021 and an operating loss of $497 million in the second quarter of 2020. The Company’s second-quarter 2021 net loss was $78 million, compared to a net loss of $116 million in the first quarter of 2021 and a net loss of $581 million in the second quarter of 2020.</w:t>
      </w:r>
    </w:p>
    <w:p>
      <w:pPr>
        <w:spacing w:after="0" w:line="123"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Second-quarter 2021 cash flows provided by operations were $46 million, compared to $74 million in the first quarter of 2021 and $31 million in the second quarter of 2020. Capital expenditures were $9 million in the second quarter of 2021, compared to $15 million in the first quarter of 2021 and $35 million in the second quarter of 2020.</w:t>
      </w:r>
    </w:p>
    <w:p>
      <w:pPr>
        <w:spacing w:after="0" w:line="133" w:lineRule="exact"/>
        <w:rPr>
          <w:sz w:val="20"/>
          <w:szCs w:val="20"/>
          <w:color w:val="auto"/>
        </w:rPr>
      </w:pPr>
    </w:p>
    <w:p>
      <w:pPr>
        <w:ind w:left="320" w:hanging="23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Second-quarter 2021</w:t>
      </w:r>
    </w:p>
    <w:p>
      <w:pPr>
        <w:spacing w:after="0" w:line="212" w:lineRule="exact"/>
        <w:rPr>
          <w:rFonts w:ascii="Arial" w:cs="Arial" w:eastAsia="Arial" w:hAnsi="Arial"/>
          <w:sz w:val="20"/>
          <w:szCs w:val="20"/>
          <w:color w:val="auto"/>
        </w:rPr>
      </w:pPr>
    </w:p>
    <w:p>
      <w:pPr>
        <w:ind w:left="480" w:hanging="151"/>
        <w:spacing w:after="0"/>
        <w:tabs>
          <w:tab w:leader="none" w:pos="480" w:val="left"/>
        </w:tabs>
        <w:numPr>
          <w:ilvl w:val="1"/>
          <w:numId w:val="4"/>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$136 million, an increase of 33% sequentially and 72% year-over-year</w:t>
      </w:r>
    </w:p>
    <w:p>
      <w:pPr>
        <w:spacing w:after="0" w:line="155" w:lineRule="exact"/>
        <w:rPr>
          <w:rFonts w:ascii="Arial" w:cs="Arial" w:eastAsia="Arial" w:hAnsi="Arial"/>
          <w:sz w:val="20"/>
          <w:szCs w:val="20"/>
          <w:color w:val="auto"/>
        </w:rPr>
      </w:pPr>
    </w:p>
    <w:p>
      <w:pPr>
        <w:ind w:left="480" w:hanging="151"/>
        <w:spacing w:after="0"/>
        <w:tabs>
          <w:tab w:leader="none" w:pos="480" w:val="left"/>
        </w:tabs>
        <w:numPr>
          <w:ilvl w:val="1"/>
          <w:numId w:val="4"/>
        </w:numPr>
        <w:rPr>
          <w:rFonts w:ascii="Arial" w:cs="Arial" w:eastAsia="Arial" w:hAnsi="Arial"/>
          <w:sz w:val="20"/>
          <w:szCs w:val="20"/>
          <w:color w:val="auto"/>
        </w:rPr>
      </w:pPr>
      <w:r>
        <w:rPr>
          <w:rFonts w:ascii="Arial" w:cs="Arial" w:eastAsia="Arial" w:hAnsi="Arial"/>
          <w:sz w:val="20"/>
          <w:szCs w:val="20"/>
          <w:color w:val="auto"/>
        </w:rPr>
        <w:t>Unlevered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$165 million, an increase of $71 million sequentially and $57 million year-over-year</w:t>
      </w:r>
    </w:p>
    <w:p>
      <w:pPr>
        <w:spacing w:after="0" w:line="168" w:lineRule="exact"/>
        <w:rPr>
          <w:rFonts w:ascii="Arial" w:cs="Arial" w:eastAsia="Arial" w:hAnsi="Arial"/>
          <w:sz w:val="20"/>
          <w:szCs w:val="20"/>
          <w:color w:val="auto"/>
        </w:rPr>
      </w:pPr>
    </w:p>
    <w:p>
      <w:pPr>
        <w:ind w:left="500" w:hanging="171"/>
        <w:spacing w:after="0" w:line="370" w:lineRule="auto"/>
        <w:tabs>
          <w:tab w:leader="none" w:pos="502" w:val="left"/>
        </w:tabs>
        <w:numPr>
          <w:ilvl w:val="1"/>
          <w:numId w:val="4"/>
        </w:numPr>
        <w:rPr>
          <w:rFonts w:ascii="Arial" w:cs="Arial" w:eastAsia="Arial" w:hAnsi="Arial"/>
          <w:sz w:val="20"/>
          <w:szCs w:val="20"/>
          <w:color w:val="auto"/>
        </w:rPr>
      </w:pPr>
      <w:r>
        <w:rPr>
          <w:rFonts w:ascii="Arial" w:cs="Arial" w:eastAsia="Arial" w:hAnsi="Arial"/>
          <w:sz w:val="20"/>
          <w:szCs w:val="20"/>
          <w:color w:val="auto"/>
        </w:rPr>
        <w:t>Free cash flow of $48 million, a decline of only $22 million sequentially, despite $117 million in interest payments, representing an improvement of $50 million year-on-year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3" w:right="339" w:bottom="1440" w:gutter="0" w:footer="0" w:header="0"/>
        </w:sectPr>
      </w:pPr>
    </w:p>
    <w:bookmarkStart w:id="5" w:name="page6"/>
    <w:bookmarkEnd w:id="5"/>
    <w:p>
      <w:pPr>
        <w:jc w:val="both"/>
        <w:spacing w:after="0" w:line="360" w:lineRule="auto"/>
        <w:rPr>
          <w:sz w:val="20"/>
          <w:szCs w:val="20"/>
          <w:color w:val="auto"/>
        </w:rPr>
      </w:pPr>
      <w:r>
        <w:rPr>
          <w:rFonts w:ascii="Arial" w:cs="Arial" w:eastAsia="Arial" w:hAnsi="Arial"/>
          <w:sz w:val="20"/>
          <w:szCs w:val="20"/>
          <w:color w:val="auto"/>
        </w:rPr>
        <w:t>Girish Saligram, President and Chief Executive Officer, commented, “I am pleased with our second quarter results, as we delivered another quarter of positive operating performance. We made further progress on our strategic initiatives by driving improvements across all focus areas, including North American profitability and global inventory utilization.</w:t>
      </w:r>
    </w:p>
    <w:p>
      <w:pPr>
        <w:spacing w:after="0" w:line="133" w:lineRule="exact"/>
        <w:rPr>
          <w:sz w:val="20"/>
          <w:szCs w:val="20"/>
          <w:color w:val="auto"/>
        </w:rPr>
      </w:pPr>
    </w:p>
    <w:p>
      <w:pPr>
        <w:jc w:val="both"/>
        <w:spacing w:after="0" w:line="428" w:lineRule="auto"/>
        <w:rPr>
          <w:sz w:val="20"/>
          <w:szCs w:val="20"/>
          <w:color w:val="auto"/>
        </w:rPr>
      </w:pPr>
      <w:r>
        <w:rPr>
          <w:rFonts w:ascii="Arial" w:cs="Arial" w:eastAsia="Arial" w:hAnsi="Arial"/>
          <w:sz w:val="17"/>
          <w:szCs w:val="17"/>
          <w:color w:val="auto"/>
        </w:rPr>
        <w:t>“Our results from the second quarter of 2021 clearly demonstrate that efforts to streamline the business over the last several quarters have begun to take hold. We capitalized on activity improvements to grow revenue and capture significant fall-through from cost control, which led to expanded margins and positive free cash flow. We also saw increased traction of the commercialization of our field-proven technologies led by market-leading MPD and TRS as evidenced in the Middle East and Latin America, where we secured new contracts. These awards are a testament to our abilities in challenging environments and support our reputation as the preferred global provider within these product lines.</w:t>
      </w:r>
    </w:p>
    <w:p>
      <w:pPr>
        <w:spacing w:after="0" w:line="96"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“Our most recent results also indicate growing momentum for two of our Company’s strategic vectors, digitalization and the energy transition, as we secured multiple contracts to supply production automation solutions for operators in Europe and the Middle East. Additionally, we added to our successful track record for the Firma™ plug &amp; abandonment solution in Europe by replacing a competitor and delivering the entire scope of work early.</w:t>
      </w:r>
    </w:p>
    <w:p>
      <w:pPr>
        <w:spacing w:after="0" w:line="139"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“We exited the second quarter of 2021 with a strong liquidity position by generating $48 million of positive free cash flow, despite $117 million in interest payments. This achievement resulted from improved operating performance, disciplined capital allocation and expenditures, and reduced working capital.</w:t>
      </w:r>
    </w:p>
    <w:p>
      <w:pPr>
        <w:spacing w:after="0" w:line="133"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“Lastly, I am also pleased to share that we recently completed the listing of our shares on the NASDAQ stock exchange and the results from this quarter further validate our decision to relist. I am incredibly proud of our team’s efforts that build upon our history of innovation and customer focus. While we forge our path as the new Weatherford, I believe our best days are ahead.”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61" w:lineRule="exact"/>
        <w:rPr>
          <w:sz w:val="20"/>
          <w:szCs w:val="20"/>
          <w:color w:val="auto"/>
        </w:rPr>
      </w:pPr>
    </w:p>
    <w:p>
      <w:pPr>
        <w:jc w:val="both"/>
        <w:ind w:firstLine="7"/>
        <w:spacing w:after="0" w:line="232" w:lineRule="auto"/>
        <w:tabs>
          <w:tab w:leader="none" w:pos="145"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EBITDA represents income before income tax, depreciation and amortization expense. Adjusted EBITDA excludes, among other items, impairments of long-lived assets and goodwill, restructuring expense, share-based compensation expense, as well as write-offs of property plant and equipment, right-of-use assets, and inventory. Free cash flow is calculated as cash flows provided by (used in) operating activities, less capital expenditures plus proceeds from the disposition of assets. Unlevered free cash flow is calculated as free cash flow plus cash paid for interest. EBITDA, adjusted EBITDA, free cash flow and unlevered free cash flow are non-GAAP measures. Each measure is defined and reconciled to the most directly comparable GAAP measure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9"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u w:val="single" w:color="auto"/>
          <w:color w:val="auto"/>
        </w:rPr>
        <w:t>Operational Highlights</w:t>
      </w:r>
    </w:p>
    <w:p>
      <w:pPr>
        <w:spacing w:after="0" w:line="229" w:lineRule="exact"/>
        <w:rPr>
          <w:sz w:val="20"/>
          <w:szCs w:val="20"/>
          <w:color w:val="auto"/>
        </w:rPr>
      </w:pPr>
    </w:p>
    <w:p>
      <w:pPr>
        <w:ind w:left="320" w:hanging="313"/>
        <w:spacing w:after="0" w:line="37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Weatherford received the Kuwait Oil Company (“KOC”) CEO HSSE Award for logging and perforation services. The award recognizes outstanding health, safety, security and environment achievements.</w:t>
      </w:r>
    </w:p>
    <w:p>
      <w:pPr>
        <w:spacing w:after="0" w:line="42" w:lineRule="exact"/>
        <w:rPr>
          <w:rFonts w:ascii="Arial" w:cs="Arial" w:eastAsia="Arial" w:hAnsi="Arial"/>
          <w:sz w:val="20"/>
          <w:szCs w:val="20"/>
          <w:color w:val="auto"/>
        </w:rPr>
      </w:pPr>
    </w:p>
    <w:p>
      <w:pPr>
        <w:jc w:val="both"/>
        <w:ind w:left="320" w:hanging="313"/>
        <w:spacing w:after="0" w:line="36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As a further testament of the Company’s digital capabilities, Weatherford officially launched the first phase of a contract for rigsite data management and visualization services with KOC and completed the implementation of the Centro™ drilling optimization software platform and helped to establish KOC’s real-time drilling decision center.</w:t>
      </w:r>
    </w:p>
    <w:p>
      <w:pPr>
        <w:spacing w:after="0" w:line="65" w:lineRule="exact"/>
        <w:rPr>
          <w:rFonts w:ascii="Arial" w:cs="Arial" w:eastAsia="Arial" w:hAnsi="Arial"/>
          <w:sz w:val="20"/>
          <w:szCs w:val="20"/>
          <w:color w:val="auto"/>
        </w:rPr>
      </w:pPr>
    </w:p>
    <w:p>
      <w:pPr>
        <w:ind w:left="320" w:hanging="313"/>
        <w:spacing w:after="0" w:line="37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Weatherford signed a five-year well screens contract with bp in Azerbaijan. This agreement directly follows the safety-valve contract win during the prior quarter, which makes two concurrent, multiyear contracts with a major operator.</w:t>
      </w:r>
    </w:p>
    <w:p>
      <w:pPr>
        <w:spacing w:after="0" w:line="55" w:lineRule="exact"/>
        <w:rPr>
          <w:rFonts w:ascii="Arial" w:cs="Arial" w:eastAsia="Arial" w:hAnsi="Arial"/>
          <w:sz w:val="20"/>
          <w:szCs w:val="20"/>
          <w:color w:val="auto"/>
        </w:rPr>
      </w:pPr>
    </w:p>
    <w:p>
      <w:pPr>
        <w:jc w:val="both"/>
        <w:ind w:left="320" w:hanging="313"/>
        <w:spacing w:after="0" w:line="444" w:lineRule="auto"/>
        <w:tabs>
          <w:tab w:leader="none" w:pos="308" w:val="left"/>
        </w:tabs>
        <w:numPr>
          <w:ilvl w:val="0"/>
          <w:numId w:val="6"/>
        </w:numPr>
        <w:rPr>
          <w:rFonts w:ascii="Arial" w:cs="Arial" w:eastAsia="Arial" w:hAnsi="Arial"/>
          <w:sz w:val="17"/>
          <w:szCs w:val="17"/>
          <w:color w:val="auto"/>
        </w:rPr>
      </w:pPr>
      <w:r>
        <w:rPr>
          <w:rFonts w:ascii="Arial" w:cs="Arial" w:eastAsia="Arial" w:hAnsi="Arial"/>
          <w:sz w:val="17"/>
          <w:szCs w:val="17"/>
          <w:color w:val="auto"/>
        </w:rPr>
        <w:t>A major national oil company in the Middle East awarded Weatherford a five-year completion contract to provide OptiPkr™ production packers, completion accessories, and other items for 80 wells. Under a previous contract for the same scope of work, Weatherford delivered reliable products and excellent service quality in the field, which drove the current award with increased share.</w:t>
      </w:r>
    </w:p>
    <w:p>
      <w:pPr>
        <w:spacing w:after="0" w:line="2" w:lineRule="exact"/>
        <w:rPr>
          <w:rFonts w:ascii="Arial" w:cs="Arial" w:eastAsia="Arial" w:hAnsi="Arial"/>
          <w:sz w:val="17"/>
          <w:szCs w:val="17"/>
          <w:color w:val="auto"/>
        </w:rPr>
      </w:pPr>
    </w:p>
    <w:p>
      <w:pPr>
        <w:jc w:val="both"/>
        <w:ind w:left="320" w:hanging="313"/>
        <w:spacing w:after="0" w:line="360" w:lineRule="auto"/>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collaboration with a major drilling contractor, Weatherford secured a five-year contract to provide tubular running services that leverage digital capabilities for crew integration and personnel optimization in offshore Russia. This long-term, strategic contract displaces the incumbent and positions the Company for future expansion of the scope of work.</w:t>
      </w:r>
    </w:p>
    <w:p>
      <w:pPr>
        <w:spacing w:after="0" w:line="65" w:lineRule="exact"/>
        <w:rPr>
          <w:rFonts w:ascii="Arial" w:cs="Arial" w:eastAsia="Arial" w:hAnsi="Arial"/>
          <w:sz w:val="20"/>
          <w:szCs w:val="20"/>
          <w:color w:val="auto"/>
        </w:rPr>
      </w:pPr>
    </w:p>
    <w:p>
      <w:pPr>
        <w:ind w:left="320" w:right="20" w:hanging="313"/>
        <w:spacing w:after="0" w:line="469" w:lineRule="auto"/>
        <w:tabs>
          <w:tab w:leader="none" w:pos="308"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Continental Europe, Weatherford provided an integrated drilling solution featuring the Magnus® rotary steerable system to finish a drilling campaign 70% faster than planned. This success enables the continued expansion of RSS technology in that market.</w:t>
      </w:r>
    </w:p>
    <w:p>
      <w:pPr>
        <w:spacing w:after="0" w:line="1" w:lineRule="exact"/>
        <w:rPr>
          <w:rFonts w:ascii="Arial" w:cs="Arial" w:eastAsia="Arial" w:hAnsi="Arial"/>
          <w:sz w:val="17"/>
          <w:szCs w:val="17"/>
          <w:color w:val="auto"/>
        </w:rPr>
      </w:pPr>
    </w:p>
    <w:p>
      <w:pPr>
        <w:jc w:val="both"/>
        <w:ind w:left="320" w:hanging="313"/>
        <w:spacing w:after="0" w:line="444" w:lineRule="auto"/>
        <w:tabs>
          <w:tab w:leader="none" w:pos="308"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Operators in Continental Europe awarded Weatherford two contracts for de-liquification equipment and services in more than 100 wells and ForeSite® ecosystems in more than 200 gas wells. These awards are a continuation of previous de-liquification services that increased production, extended the productive life of wells, reduced operational costs, and minimized the carbon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7" w:right="339" w:bottom="1440" w:gutter="0" w:footer="0" w:header="0"/>
        </w:sectPr>
      </w:pPr>
    </w:p>
    <w:bookmarkStart w:id="7" w:name="page8"/>
    <w:bookmarkEnd w:id="7"/>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Liquidity</w:t>
      </w:r>
    </w:p>
    <w:p>
      <w:pPr>
        <w:spacing w:after="0" w:line="229"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The Company maintained its disciplined focus on liquidity during the second quarter of 2021. Unlevered free cash flow of $165 million in the second quarter of 2021 improved by $57 million versus the second quarter of 2020, on a 72% increase in adjusted EBITDA. This improvement is a result of the Company’s efforts to control costs and optimize net working capital and capital expenditures. Second-quarter 2021 free cash flow of $48 million improved by $50 million year-on-year and was only down $22 million sequentially, despite $117 million in interest payments in the second quarter. Total cash of approximately $1.4 billion as of June 30, 2021, was up $44 million from the prior quarter.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Results by Operating Segment</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Western Hemisphere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2"/>
              </w:rPr>
              <w:t>Quarter Ended</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06/30/21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03/31/21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06/30/20</w:t>
            </w:r>
          </w:p>
        </w:tc>
      </w:tr>
      <w:tr>
        <w:trPr>
          <w:trHeight w:val="221"/>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8"/>
        </w:trPr>
        <w:tc>
          <w:tcPr>
            <w:tcW w:w="342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220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214</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172</w:t>
            </w:r>
          </w:p>
        </w:tc>
      </w:tr>
      <w:tr>
        <w:trPr>
          <w:trHeight w:val="229"/>
        </w:trPr>
        <w:tc>
          <w:tcPr>
            <w:tcW w:w="3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138</w:t>
            </w:r>
          </w:p>
        </w:tc>
      </w:tr>
      <w:tr>
        <w:trPr>
          <w:trHeight w:val="222"/>
        </w:trPr>
        <w:tc>
          <w:tcPr>
            <w:tcW w:w="3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390</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310</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55"/>
        </w:trPr>
        <w:tc>
          <w:tcPr>
            <w:tcW w:w="3420" w:type="dxa"/>
            <w:vAlign w:val="bottom"/>
          </w:tcPr>
          <w:p>
            <w:pPr>
              <w:ind w:left="20"/>
              <w:spacing w:after="0"/>
              <w:rPr>
                <w:sz w:val="20"/>
                <w:szCs w:val="20"/>
                <w:color w:val="auto"/>
              </w:rPr>
            </w:pPr>
            <w:r>
              <w:rPr>
                <w:rFonts w:ascii="Arial" w:cs="Arial" w:eastAsia="Arial" w:hAnsi="Arial"/>
                <w:sz w:val="18"/>
                <w:szCs w:val="18"/>
                <w:color w:val="auto"/>
              </w:rPr>
              <w:t>Adjusted Segment EBITDA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1360" w:type="dxa"/>
            <w:vAlign w:val="bottom"/>
          </w:tcPr>
          <w:p>
            <w:pPr>
              <w:jc w:val="right"/>
              <w:ind w:right="171"/>
              <w:spacing w:after="0"/>
              <w:rPr>
                <w:sz w:val="20"/>
                <w:szCs w:val="20"/>
                <w:color w:val="auto"/>
              </w:rPr>
            </w:pPr>
            <w:r>
              <w:rPr>
                <w:rFonts w:ascii="Arial" w:cs="Arial" w:eastAsia="Arial" w:hAnsi="Arial"/>
                <w:sz w:val="18"/>
                <w:szCs w:val="18"/>
                <w:color w:val="auto"/>
              </w:rPr>
              <w:t>52</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29"/>
        </w:trPr>
        <w:tc>
          <w:tcPr>
            <w:tcW w:w="342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13 %</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-851535</wp:posOffset>
            </wp:positionV>
            <wp:extent cx="7132955" cy="144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-561975</wp:posOffset>
            </wp:positionV>
            <wp:extent cx="7132955" cy="170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01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-289560</wp:posOffset>
            </wp:positionV>
            <wp:extent cx="7132955" cy="144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Seq.</w:t>
            </w:r>
          </w:p>
        </w:tc>
        <w:tc>
          <w:tcPr>
            <w:tcW w:w="6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YoY</w:t>
            </w:r>
          </w:p>
        </w:tc>
        <w:tc>
          <w:tcPr>
            <w:tcW w:w="320" w:type="dxa"/>
            <w:vAlign w:val="bottom"/>
            <w:tcBorders>
              <w:top w:val="single" w:sz="8" w:color="auto"/>
              <w:bottom w:val="single" w:sz="8" w:color="auto"/>
            </w:tcBorders>
          </w:tcPr>
          <w:p>
            <w:pPr>
              <w:spacing w:after="0"/>
              <w:rPr>
                <w:sz w:val="19"/>
                <w:szCs w:val="19"/>
                <w:color w:val="auto"/>
              </w:rPr>
            </w:pPr>
          </w:p>
        </w:tc>
      </w:tr>
      <w:tr>
        <w:trPr>
          <w:trHeight w:val="449"/>
        </w:trPr>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355"/>
        </w:trPr>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30</w:t>
            </w:r>
          </w:p>
        </w:tc>
        <w:tc>
          <w:tcPr>
            <w:tcW w:w="660" w:type="dxa"/>
            <w:vAlign w:val="bottom"/>
          </w:tcPr>
          <w:p>
            <w:pPr>
              <w:jc w:val="right"/>
              <w:ind w:right="271"/>
              <w:spacing w:after="0"/>
              <w:rPr>
                <w:sz w:val="20"/>
                <w:szCs w:val="20"/>
                <w:color w:val="auto"/>
              </w:rPr>
            </w:pPr>
            <w:r>
              <w:rPr>
                <w:rFonts w:ascii="Arial" w:cs="Arial" w:eastAsia="Arial" w:hAnsi="Arial"/>
                <w:sz w:val="18"/>
                <w:szCs w:val="18"/>
                <w:i w:val="1"/>
                <w:iCs w:val="1"/>
                <w:color w:val="auto"/>
                <w:w w:val="96"/>
              </w:rPr>
              <w:t>bps</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1,170</w:t>
            </w:r>
          </w:p>
        </w:tc>
        <w:tc>
          <w:tcPr>
            <w:tcW w:w="320" w:type="dxa"/>
            <w:vAlign w:val="bottom"/>
          </w:tcPr>
          <w:p>
            <w:pPr>
              <w:jc w:val="right"/>
              <w:spacing w:after="0"/>
              <w:rPr>
                <w:sz w:val="20"/>
                <w:szCs w:val="20"/>
                <w:color w:val="auto"/>
              </w:rPr>
            </w:pPr>
            <w:r>
              <w:rPr>
                <w:rFonts w:ascii="Arial" w:cs="Arial" w:eastAsia="Arial" w:hAnsi="Arial"/>
                <w:sz w:val="18"/>
                <w:szCs w:val="18"/>
                <w:i w:val="1"/>
                <w:iCs w:val="1"/>
                <w:color w:val="auto"/>
                <w:w w:val="96"/>
              </w:rPr>
              <w:t>bps</w:t>
            </w:r>
          </w:p>
        </w:tc>
      </w:tr>
    </w:tbl>
    <w:p>
      <w:pPr>
        <w:spacing w:after="0" w:line="200" w:lineRule="exact"/>
        <w:rPr>
          <w:sz w:val="20"/>
          <w:szCs w:val="20"/>
          <w:color w:val="auto"/>
        </w:rPr>
      </w:pPr>
    </w:p>
    <w:p>
      <w:pPr>
        <w:sectPr>
          <w:pgSz w:w="11900" w:h="16838" w:orient="portrait"/>
          <w:cols w:equalWidth="0" w:num="2">
            <w:col w:w="7960" w:space="120"/>
            <w:col w:w="3160"/>
          </w:cols>
          <w:pgMar w:left="320" w:top="1440" w:right="339" w:bottom="1440" w:gutter="0" w:footer="0" w:header="0"/>
          <w:type w:val="continuous"/>
        </w:sectPr>
      </w:pPr>
    </w:p>
    <w:p>
      <w:pPr>
        <w:spacing w:after="0" w:line="172"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Second-quarter 2021 Western Hemisphere revenues of $425 million increased 9% sequentially and 37% year-on-year. North America revenues of $220 million increased by 3% sequentially primarily due to increased activity in the Drilling, Evaluation &amp; Intervention (“DEI”) product line in the United States, partially offset by seasonally lower activity in Canada. Latin America revenues of $205 million increased 16% sequentially, driven by increased Integrated Service Project activity in Mexico.</w:t>
      </w:r>
    </w:p>
    <w:p>
      <w:pPr>
        <w:spacing w:after="0" w:line="98"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Adjusted segment EBITDA of $58 million increased $6 million and associated margins of 14% improved 30 basis points, sequentially, and improved 1,170 basis points year-on-year. The growth in adjusted segment EBITDA was primarily driven by increased activity and sales in Latin America.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1"/>
          <w:szCs w:val="21"/>
          <w:b w:val="1"/>
          <w:bCs w:val="1"/>
          <w:i w:val="1"/>
          <w:iCs w:val="1"/>
          <w:color w:val="auto"/>
        </w:rPr>
        <w:t>Eastern Hemisphere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4"/>
              </w:rPr>
              <w:t>Quarter Ended</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2"/>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06/30/21</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03/31/21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06/30/20</w:t>
            </w:r>
          </w:p>
        </w:tc>
      </w:tr>
      <w:tr>
        <w:trPr>
          <w:trHeight w:val="221"/>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8"/>
        </w:trPr>
        <w:tc>
          <w:tcPr>
            <w:tcW w:w="3460" w:type="dxa"/>
            <w:vAlign w:val="bottom"/>
          </w:tcPr>
          <w:p>
            <w:pPr>
              <w:ind w:left="140"/>
              <w:spacing w:after="0"/>
              <w:rPr>
                <w:sz w:val="20"/>
                <w:szCs w:val="20"/>
                <w:color w:val="auto"/>
              </w:rPr>
            </w:pPr>
            <w:r>
              <w:rPr>
                <w:rFonts w:ascii="Arial" w:cs="Arial" w:eastAsia="Arial" w:hAnsi="Arial"/>
                <w:sz w:val="18"/>
                <w:szCs w:val="18"/>
                <w:color w:val="auto"/>
              </w:rPr>
              <w:t>Middle East, North Africa &amp; Asia</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289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267</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341</w:t>
            </w:r>
          </w:p>
        </w:tc>
      </w:tr>
      <w:tr>
        <w:trPr>
          <w:trHeight w:val="229"/>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Europe, SSA &amp; Russia</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189</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175</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170</w:t>
            </w:r>
          </w:p>
        </w:tc>
      </w:tr>
      <w:tr>
        <w:trPr>
          <w:trHeight w:val="222"/>
        </w:trPr>
        <w:tc>
          <w:tcPr>
            <w:tcW w:w="3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478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442</w:t>
            </w:r>
          </w:p>
        </w:tc>
        <w:tc>
          <w:tcPr>
            <w:tcW w:w="3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511</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55"/>
        </w:trPr>
        <w:tc>
          <w:tcPr>
            <w:tcW w:w="3460" w:type="dxa"/>
            <w:vAlign w:val="bottom"/>
          </w:tcPr>
          <w:p>
            <w:pPr>
              <w:ind w:left="20"/>
              <w:spacing w:after="0"/>
              <w:rPr>
                <w:sz w:val="20"/>
                <w:szCs w:val="20"/>
                <w:color w:val="auto"/>
              </w:rPr>
            </w:pPr>
            <w:r>
              <w:rPr>
                <w:rFonts w:ascii="Arial" w:cs="Arial" w:eastAsia="Arial" w:hAnsi="Arial"/>
                <w:sz w:val="18"/>
                <w:szCs w:val="18"/>
                <w:color w:val="auto"/>
              </w:rPr>
              <w:t>Adjusted Segment EBITDA</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1"/>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4"/>
                <w:szCs w:val="24"/>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66</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100</w:t>
            </w: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i w:val="1"/>
                <w:iCs w:val="1"/>
                <w:color w:val="auto"/>
              </w:rPr>
              <w:t>% Margin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-851535</wp:posOffset>
            </wp:positionV>
            <wp:extent cx="7132955" cy="144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-561975</wp:posOffset>
            </wp:positionV>
            <wp:extent cx="7132955" cy="170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01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-289560</wp:posOffset>
            </wp:positionV>
            <wp:extent cx="7132955" cy="144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85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spacing w:after="0" w:line="15" w:lineRule="exact"/>
        <w:rPr>
          <w:sz w:val="20"/>
          <w:szCs w:val="20"/>
          <w:color w:val="auto"/>
        </w:rPr>
      </w:pPr>
    </w:p>
    <w:p>
      <w:pPr>
        <w:ind w:left="600"/>
        <w:spacing w:after="0"/>
        <w:tabs>
          <w:tab w:leader="none" w:pos="2180" w:val="left"/>
        </w:tabs>
        <w:rPr>
          <w:sz w:val="20"/>
          <w:szCs w:val="20"/>
          <w:color w:val="auto"/>
        </w:rPr>
      </w:pPr>
      <w:r>
        <w:rPr>
          <w:rFonts w:ascii="Arial" w:cs="Arial" w:eastAsia="Arial" w:hAnsi="Arial"/>
          <w:sz w:val="18"/>
          <w:szCs w:val="18"/>
          <w:b w:val="1"/>
          <w:bCs w:val="1"/>
          <w:color w:val="auto"/>
        </w:rPr>
        <w:t>Seq.</w:t>
      </w:r>
      <w:r>
        <w:rPr>
          <w:sz w:val="20"/>
          <w:szCs w:val="20"/>
          <w:color w:val="auto"/>
        </w:rPr>
        <w:tab/>
      </w:r>
      <w:r>
        <w:rPr>
          <w:rFonts w:ascii="Arial" w:cs="Arial" w:eastAsia="Arial" w:hAnsi="Arial"/>
          <w:sz w:val="18"/>
          <w:szCs w:val="18"/>
          <w:b w:val="1"/>
          <w:bCs w:val="1"/>
          <w:color w:val="auto"/>
        </w:rPr>
        <w:t>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85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355"/>
        </w:trPr>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84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460</w:t>
            </w:r>
          </w:p>
        </w:tc>
        <w:tc>
          <w:tcPr>
            <w:tcW w:w="840" w:type="dxa"/>
            <w:vAlign w:val="bottom"/>
          </w:tcPr>
          <w:p>
            <w:pPr>
              <w:jc w:val="right"/>
              <w:ind w:right="451"/>
              <w:spacing w:after="0"/>
              <w:rPr>
                <w:sz w:val="20"/>
                <w:szCs w:val="20"/>
                <w:color w:val="auto"/>
              </w:rPr>
            </w:pPr>
            <w:r>
              <w:rPr>
                <w:rFonts w:ascii="Arial" w:cs="Arial" w:eastAsia="Arial" w:hAnsi="Arial"/>
                <w:sz w:val="18"/>
                <w:szCs w:val="18"/>
                <w:i w:val="1"/>
                <w:iCs w:val="1"/>
                <w:color w:val="auto"/>
                <w:w w:val="96"/>
              </w:rPr>
              <w:t>bps</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(10)bps</w:t>
            </w:r>
          </w:p>
        </w:tc>
      </w:tr>
    </w:tbl>
    <w:p>
      <w:pPr>
        <w:spacing w:after="0" w:line="200" w:lineRule="exact"/>
        <w:rPr>
          <w:sz w:val="20"/>
          <w:szCs w:val="20"/>
          <w:color w:val="auto"/>
        </w:rPr>
      </w:pPr>
    </w:p>
    <w:p>
      <w:pPr>
        <w:sectPr>
          <w:pgSz w:w="11900" w:h="16838" w:orient="portrait"/>
          <w:cols w:equalWidth="0" w:num="2">
            <w:col w:w="8000" w:space="120"/>
            <w:col w:w="3120"/>
          </w:cols>
          <w:pgMar w:left="320" w:top="1151" w:right="339" w:bottom="1440" w:gutter="0" w:footer="0" w:header="0"/>
        </w:sectPr>
      </w:pPr>
    </w:p>
    <w:p>
      <w:pPr>
        <w:spacing w:after="0" w:line="159"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Second-quarter 2021 Eastern Hemisphere revenues of $478 million increased 8% sequentially and decreased 6% year-on-year. Middle East, North Africa, and Asia revenues of $289 million increased 8% sequentially, with increased sales in both the Completion and Production (“C&amp;P”) and the DEI product lines. Europe, Sub Saharan Africa, and Russia revenues of $189 million increased 8% sequentially, primarily due to increased activity in both the C&amp;P and DEI product lines.</w:t>
      </w:r>
    </w:p>
    <w:p>
      <w:pPr>
        <w:spacing w:after="0" w:line="112"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Adjusted segment EBITDA of $93 million increased $27 million and associated margins of 20% improved 460 basis points, sequentially, and decreased 10 basis points year-on-year. The growth in adjusted segment EBITDA was primarily due to increased activity and sales in Middle East and Asia.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5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u w:val="single" w:color="auto"/>
          <w:color w:val="auto"/>
        </w:rPr>
        <w:t>About Weatherford</w:t>
      </w:r>
    </w:p>
    <w:p>
      <w:pPr>
        <w:spacing w:after="0" w:line="296" w:lineRule="exact"/>
        <w:rPr>
          <w:sz w:val="20"/>
          <w:szCs w:val="20"/>
          <w:color w:val="auto"/>
        </w:rPr>
      </w:pPr>
    </w:p>
    <w:p>
      <w:pPr>
        <w:jc w:val="both"/>
        <w:ind w:right="40"/>
        <w:spacing w:after="0" w:line="356" w:lineRule="auto"/>
        <w:rPr>
          <w:sz w:val="20"/>
          <w:szCs w:val="20"/>
          <w:color w:val="auto"/>
        </w:rPr>
      </w:pPr>
      <w:r>
        <w:rPr>
          <w:rFonts w:ascii="Arial" w:cs="Arial" w:eastAsia="Arial" w:hAnsi="Arial"/>
          <w:sz w:val="20"/>
          <w:szCs w:val="20"/>
          <w:color w:val="auto"/>
        </w:rPr>
        <w:t xml:space="preserve">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 Visit </w:t>
      </w:r>
      <w:r>
        <w:rPr>
          <w:rFonts w:ascii="Arial" w:cs="Arial" w:eastAsia="Arial" w:hAnsi="Arial"/>
          <w:sz w:val="20"/>
          <w:szCs w:val="20"/>
          <w:u w:val="single" w:color="auto"/>
          <w:color w:val="3051F2"/>
        </w:rPr>
        <w:t>https://www.weatherford.com/</w:t>
      </w:r>
      <w:r>
        <w:rPr>
          <w:rFonts w:ascii="Arial" w:cs="Arial" w:eastAsia="Arial" w:hAnsi="Arial"/>
          <w:sz w:val="20"/>
          <w:szCs w:val="20"/>
          <w:color w:val="auto"/>
        </w:rPr>
        <w:t xml:space="preserve"> for more information or connect on LinkedIn, Facebook, Twitter, Instagram, or YouTube.</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 Details</w:t>
      </w:r>
    </w:p>
    <w:p>
      <w:pPr>
        <w:spacing w:after="0" w:line="296"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Weatherford will host a conference call on Thursday, July 29, 2021, to discuss the results for the second quarter ended June 30, 2021. The conference call will begin at 10:00 a.m. Eastern Time (9:00 a.m. Central Time).</w:t>
      </w:r>
    </w:p>
    <w:p>
      <w:pPr>
        <w:spacing w:after="0" w:line="83"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Listeners are encouraged to download the accompanying presentation slides which will be available in the investor relations section of the Company’s website.</w:t>
      </w:r>
    </w:p>
    <w:p>
      <w:pPr>
        <w:spacing w:after="0" w:line="96" w:lineRule="exact"/>
        <w:rPr>
          <w:sz w:val="20"/>
          <w:szCs w:val="20"/>
          <w:color w:val="auto"/>
        </w:rPr>
      </w:pPr>
    </w:p>
    <w:p>
      <w:pPr>
        <w:jc w:val="both"/>
        <w:spacing w:after="0" w:line="385" w:lineRule="auto"/>
        <w:rPr>
          <w:sz w:val="20"/>
          <w:szCs w:val="20"/>
          <w:color w:val="auto"/>
        </w:rPr>
      </w:pPr>
      <w:r>
        <w:rPr>
          <w:rFonts w:ascii="Arial" w:cs="Arial" w:eastAsia="Arial" w:hAnsi="Arial"/>
          <w:sz w:val="19"/>
          <w:szCs w:val="19"/>
          <w:color w:val="auto"/>
        </w:rPr>
        <w:t xml:space="preserve">Listeners can participate in the conference call via a live webcast at </w:t>
      </w:r>
      <w:r>
        <w:rPr>
          <w:rFonts w:ascii="Arial" w:cs="Arial" w:eastAsia="Arial" w:hAnsi="Arial"/>
          <w:sz w:val="19"/>
          <w:szCs w:val="19"/>
          <w:u w:val="single" w:color="auto"/>
          <w:color w:val="3051F2"/>
        </w:rPr>
        <w:t>https://www.weatherford.com/en/investor-relations/investor-news-and-events/events/</w:t>
      </w:r>
      <w:r>
        <w:rPr>
          <w:rFonts w:ascii="Arial" w:cs="Arial" w:eastAsia="Arial" w:hAnsi="Arial"/>
          <w:sz w:val="19"/>
          <w:szCs w:val="19"/>
          <w:color w:val="000000"/>
        </w:rPr>
        <w:t>, or by dialing +1 877-328-5344 (within the U.S.) or +1 412-902-6762 (outside of the U.S.) and asking for the Weatherford</w:t>
      </w:r>
      <w:r>
        <w:rPr>
          <w:rFonts w:ascii="Arial" w:cs="Arial" w:eastAsia="Arial" w:hAnsi="Arial"/>
          <w:sz w:val="19"/>
          <w:szCs w:val="19"/>
          <w:color w:val="3051F2"/>
        </w:rPr>
        <w:t xml:space="preserve"> </w:t>
      </w:r>
      <w:r>
        <w:rPr>
          <w:rFonts w:ascii="Arial" w:cs="Arial" w:eastAsia="Arial" w:hAnsi="Arial"/>
          <w:sz w:val="19"/>
          <w:szCs w:val="19"/>
          <w:color w:val="000000"/>
        </w:rPr>
        <w:t>conference call. Listeners should log in or dial in approximately 10 minutes prior to the start of the call.</w:t>
      </w:r>
    </w:p>
    <w:p>
      <w:pPr>
        <w:spacing w:after="0" w:line="76" w:lineRule="exact"/>
        <w:rPr>
          <w:sz w:val="20"/>
          <w:szCs w:val="20"/>
          <w:color w:val="auto"/>
        </w:rPr>
      </w:pPr>
    </w:p>
    <w:p>
      <w:pPr>
        <w:jc w:val="both"/>
        <w:spacing w:after="0" w:line="385" w:lineRule="auto"/>
        <w:rPr>
          <w:sz w:val="20"/>
          <w:szCs w:val="20"/>
          <w:color w:val="auto"/>
        </w:rPr>
      </w:pPr>
      <w:r>
        <w:rPr>
          <w:rFonts w:ascii="Arial" w:cs="Arial" w:eastAsia="Arial" w:hAnsi="Arial"/>
          <w:sz w:val="19"/>
          <w:szCs w:val="19"/>
          <w:color w:val="auto"/>
        </w:rPr>
        <w:t>A telephonic replay of the conference call will be available until August 12, 2021, at 5:00 p.m. Eastern Time. To access the replay, please dial +1 877-344-7529 (within the U.S.) or +1 412-317-0088 (outside of the U.S.) and reference conference number 10157213. A replay and transcript of the earnings call will also be available in the investor relations section of the Company’s website.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Contacts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Mohammed Topiwala</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Director, Investor Relations and M&amp;A</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+1 713-836-7777</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investor.relations@weatherford.com</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Kelley Hughes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Director, Global Communications</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+1 713-836-4193</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kelley.hughes@weatherford.com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7"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u w:val="single" w:color="auto"/>
          <w:color w:val="auto"/>
        </w:rPr>
        <w:t>Forward-Looking Statements</w:t>
      </w:r>
    </w:p>
    <w:p>
      <w:pPr>
        <w:spacing w:after="0" w:line="296" w:lineRule="exact"/>
        <w:rPr>
          <w:sz w:val="20"/>
          <w:szCs w:val="20"/>
          <w:color w:val="auto"/>
        </w:rPr>
      </w:pPr>
    </w:p>
    <w:p>
      <w:pPr>
        <w:jc w:val="both"/>
        <w:spacing w:after="0" w:line="416" w:lineRule="auto"/>
        <w:rPr>
          <w:sz w:val="20"/>
          <w:szCs w:val="20"/>
          <w:color w:val="auto"/>
        </w:rPr>
      </w:pPr>
      <w:r>
        <w:rPr>
          <w:rFonts w:ascii="Arial" w:cs="Arial" w:eastAsia="Arial" w:hAnsi="Arial"/>
          <w:sz w:val="17"/>
          <w:szCs w:val="17"/>
          <w:color w:val="auto"/>
        </w:rPr>
        <w:t>This news release contains forward-looking statements concerning, among other things, the Company’s quarterly and full-year revenues, operating income and losses, adjusted EBITDA, unlevered free cash flow, forecasts or expectations regarding business outlook, cost savings plans,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7" w:right="339" w:bottom="1440" w:gutter="0" w:footer="0" w:header="0"/>
        </w:sectPr>
      </w:pPr>
    </w:p>
    <w:bookmarkStart w:id="11" w:name="page12"/>
    <w:bookmarkEnd w:id="11"/>
    <w:p>
      <w:pPr>
        <w:jc w:val="center"/>
        <w:ind w:right="-12"/>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 w:lineRule="exact"/>
        <w:rPr>
          <w:sz w:val="20"/>
          <w:szCs w:val="20"/>
          <w:color w:val="auto"/>
        </w:rPr>
      </w:pPr>
    </w:p>
    <w:p>
      <w:pPr>
        <w:jc w:val="center"/>
        <w:ind w:right="-12"/>
        <w:spacing w:after="0"/>
        <w:rPr>
          <w:sz w:val="20"/>
          <w:szCs w:val="20"/>
          <w:color w:val="auto"/>
        </w:rPr>
      </w:pPr>
      <w:r>
        <w:rPr>
          <w:rFonts w:ascii="Arial" w:cs="Arial" w:eastAsia="Arial" w:hAnsi="Arial"/>
          <w:sz w:val="18"/>
          <w:szCs w:val="18"/>
          <w:i w:val="1"/>
          <w:iCs w:val="1"/>
          <w:color w:val="auto"/>
        </w:rPr>
        <w:t>($ in Millions, Except Per Share Amounts)</w:t>
      </w:r>
    </w:p>
    <w:p>
      <w:pPr>
        <w:spacing w:after="0" w:line="284" w:lineRule="exact"/>
        <w:rPr>
          <w:sz w:val="20"/>
          <w:szCs w:val="20"/>
          <w:color w:val="auto"/>
        </w:rPr>
      </w:pPr>
    </w:p>
    <w:tbl>
      <w:tblPr>
        <w:tblLayout w:type="fixed"/>
        <w:tblInd w:w="33" w:type="dxa"/>
        <w:tblCellMar>
          <w:top w:w="0" w:type="dxa"/>
          <w:left w:w="0" w:type="dxa"/>
          <w:bottom w:w="0" w:type="dxa"/>
          <w:right w:w="0" w:type="dxa"/>
        </w:tblCellMar>
      </w:tblPr>
      <w:tr>
        <w:trPr>
          <w:trHeight w:val="233"/>
        </w:trPr>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Quarter Ended</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2"/>
        </w:trPr>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6/30/21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3/31/21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6/30/20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6/30/21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6/30/20</w:t>
            </w:r>
          </w:p>
        </w:tc>
        <w:tc>
          <w:tcPr>
            <w:tcW w:w="0" w:type="dxa"/>
            <w:vAlign w:val="bottom"/>
          </w:tcPr>
          <w:p>
            <w:pPr>
              <w:spacing w:after="0"/>
              <w:rPr>
                <w:sz w:val="1"/>
                <w:szCs w:val="1"/>
                <w:color w:val="auto"/>
              </w:rPr>
            </w:pPr>
          </w:p>
        </w:tc>
      </w:tr>
      <w:tr>
        <w:trPr>
          <w:trHeight w:val="208"/>
        </w:trPr>
        <w:tc>
          <w:tcPr>
            <w:tcW w:w="4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478</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Western Hemisphere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Eastern Hemisphere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Operating Income (Loss)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line="229" w:lineRule="exact"/>
              <w:rPr>
                <w:sz w:val="20"/>
                <w:szCs w:val="20"/>
                <w:color w:val="auto"/>
              </w:rPr>
            </w:pPr>
            <w:r>
              <w:rPr>
                <w:rFonts w:ascii="Arial" w:cs="Arial" w:eastAsia="Arial" w:hAnsi="Arial"/>
                <w:sz w:val="18"/>
                <w:szCs w:val="18"/>
                <w:color w:val="auto"/>
              </w:rPr>
              <w:t>Impairments and Other (Charges) Credits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Income (Loss)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8"/>
        </w:trPr>
        <w:tc>
          <w:tcPr>
            <w:tcW w:w="4900" w:type="dxa"/>
            <w:vAlign w:val="bottom"/>
          </w:tcPr>
          <w:p>
            <w:pPr>
              <w:ind w:left="140"/>
              <w:spacing w:after="0"/>
              <w:rPr>
                <w:sz w:val="20"/>
                <w:szCs w:val="20"/>
                <w:color w:val="auto"/>
              </w:rPr>
            </w:pPr>
            <w:r>
              <w:rPr>
                <w:rFonts w:ascii="Arial" w:cs="Arial" w:eastAsia="Arial" w:hAnsi="Arial"/>
                <w:sz w:val="18"/>
                <w:szCs w:val="18"/>
                <w:color w:val="auto"/>
              </w:rPr>
              <w:t>Reorganization Items</w:t>
            </w:r>
          </w:p>
        </w:tc>
        <w:tc>
          <w:tcPr>
            <w:tcW w:w="20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4900" w:type="dxa"/>
            <w:vAlign w:val="bottom"/>
          </w:tcPr>
          <w:p>
            <w:pPr>
              <w:ind w:left="26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49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Loss Attributable to Weatherford</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100"/>
              <w:spacing w:after="0"/>
              <w:rPr>
                <w:sz w:val="20"/>
                <w:szCs w:val="20"/>
                <w:color w:val="auto"/>
              </w:rPr>
            </w:pPr>
            <w:r>
              <w:rPr>
                <w:rFonts w:ascii="Arial" w:cs="Arial" w:eastAsia="Arial" w:hAnsi="Arial"/>
                <w:sz w:val="18"/>
                <w:szCs w:val="18"/>
                <w:color w:val="auto"/>
              </w:rPr>
              <w:t>Basic and Diluted Loss Per Share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Shares Outstanding</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233" w:hanging="233"/>
        <w:spacing w:after="0"/>
        <w:tabs>
          <w:tab w:leader="none" w:pos="233"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See Selected Statements of Operations Information Table for further details.</w:t>
      </w:r>
    </w:p>
    <w:p>
      <w:pPr>
        <w:spacing w:after="0" w:line="200" w:lineRule="exact"/>
        <w:rPr>
          <w:sz w:val="20"/>
          <w:szCs w:val="20"/>
          <w:color w:val="auto"/>
        </w:rPr>
      </w:pPr>
    </w:p>
    <w:p>
      <w:pPr>
        <w:spacing w:after="0" w:line="37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13"/>
          </w:cols>
          <w:pgMar w:left="327" w:top="967"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6/30/2021</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12/31/2020</w:t>
            </w:r>
          </w:p>
        </w:tc>
      </w:tr>
      <w:tr>
        <w:trPr>
          <w:trHeight w:val="222"/>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1,217</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782</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662</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w:t>
            </w:r>
          </w:p>
        </w:tc>
      </w:tr>
      <w:tr>
        <w:trPr>
          <w:trHeight w:val="268"/>
        </w:trPr>
        <w:tc>
          <w:tcPr>
            <w:tcW w:w="636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1,108</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Net</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68"/>
        </w:trPr>
        <w:tc>
          <w:tcPr>
            <w:tcW w:w="6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Salaries and Benefits</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2,605</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68"/>
        </w:trPr>
        <w:tc>
          <w:tcPr>
            <w:tcW w:w="6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759</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68"/>
        </w:trPr>
        <w:tc>
          <w:tcPr>
            <w:tcW w:w="636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8"/>
        </w:trPr>
        <w:tc>
          <w:tcPr>
            <w:tcW w:w="6360" w:type="dxa"/>
            <w:vAlign w:val="bottom"/>
          </w:tcPr>
          <w:p>
            <w:pPr>
              <w:ind w:left="20"/>
              <w:spacing w:after="0" w:line="229" w:lineRule="exact"/>
              <w:rPr>
                <w:sz w:val="20"/>
                <w:szCs w:val="20"/>
                <w:color w:val="auto"/>
              </w:rPr>
            </w:pPr>
            <w:r>
              <w:rPr>
                <w:rFonts w:ascii="Arial" w:cs="Arial" w:eastAsia="Arial" w:hAnsi="Arial"/>
                <w:sz w:val="18"/>
                <w:szCs w:val="18"/>
                <w:b w:val="1"/>
                <w:bCs w:val="1"/>
                <w:color w:val="auto"/>
              </w:rPr>
              <w:t>Components of Net Debt</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 and Current Portion of Long-term Debt</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63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94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2,605</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28"/>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Cash and Cash Equivalents</w:t>
            </w:r>
          </w:p>
        </w:tc>
        <w:tc>
          <w:tcPr>
            <w:tcW w:w="1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1,217</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8"/>
        </w:trPr>
        <w:tc>
          <w:tcPr>
            <w:tcW w:w="6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Restricted Cash</w:t>
            </w:r>
          </w:p>
        </w:tc>
        <w:tc>
          <w:tcPr>
            <w:tcW w:w="1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170</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47"/>
        </w:trPr>
        <w:tc>
          <w:tcPr>
            <w:tcW w:w="6360" w:type="dxa"/>
            <w:vAlign w:val="bottom"/>
            <w:tcBorders>
              <w:bottom w:val="single" w:sz="8" w:color="auto"/>
            </w:tcBorders>
            <w:shd w:val="clear" w:color="auto" w:fill="CCEEFF"/>
          </w:tcPr>
          <w:p>
            <w:pPr>
              <w:ind w:left="220"/>
              <w:spacing w:after="0" w:line="222" w:lineRule="exact"/>
              <w:rPr>
                <w:sz w:val="20"/>
                <w:szCs w:val="20"/>
                <w:color w:val="auto"/>
              </w:rPr>
            </w:pPr>
            <w:r>
              <w:rPr>
                <w:rFonts w:ascii="Arial" w:cs="Arial" w:eastAsia="Arial" w:hAnsi="Arial"/>
                <w:sz w:val="18"/>
                <w:szCs w:val="18"/>
                <w:color w:val="auto"/>
              </w:rPr>
              <w:t>Net Debt</w:t>
            </w:r>
            <w:r>
              <w:rPr>
                <w:rFonts w:ascii="Arial" w:cs="Arial" w:eastAsia="Arial" w:hAnsi="Arial"/>
                <w:sz w:val="23"/>
                <w:szCs w:val="23"/>
                <w:color w:val="auto"/>
                <w:vertAlign w:val="superscript"/>
              </w:rPr>
              <w:t>[1]</w:t>
            </w:r>
          </w:p>
        </w:tc>
        <w:tc>
          <w:tcPr>
            <w:tcW w:w="19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1,228</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0"/>
        </w:trPr>
        <w:tc>
          <w:tcPr>
            <w:tcW w:w="63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340" w:hanging="172"/>
        <w:spacing w:after="0"/>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6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3000" w:type="dxa"/>
            <w:vAlign w:val="bottom"/>
            <w:gridSpan w:val="5"/>
          </w:tcPr>
          <w:p>
            <w:pPr>
              <w:jc w:val="right"/>
              <w:ind w:right="551"/>
              <w:spacing w:after="0"/>
              <w:rPr>
                <w:sz w:val="20"/>
                <w:szCs w:val="20"/>
                <w:color w:val="auto"/>
              </w:rPr>
            </w:pPr>
            <w:r>
              <w:rPr>
                <w:rFonts w:ascii="Arial" w:cs="Arial" w:eastAsia="Arial" w:hAnsi="Arial"/>
                <w:sz w:val="18"/>
                <w:szCs w:val="18"/>
                <w:b w:val="1"/>
                <w:bCs w:val="1"/>
                <w:color w:val="auto"/>
                <w:w w:val="93"/>
              </w:rPr>
              <w:t>Weatherford International plc</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2"/>
        </w:trPr>
        <w:tc>
          <w:tcPr>
            <w:tcW w:w="7420" w:type="dxa"/>
            <w:vAlign w:val="bottom"/>
            <w:gridSpan w:val="6"/>
          </w:tcPr>
          <w:p>
            <w:pPr>
              <w:ind w:left="3880"/>
              <w:spacing w:after="0"/>
              <w:rPr>
                <w:sz w:val="20"/>
                <w:szCs w:val="20"/>
                <w:color w:val="auto"/>
              </w:rPr>
            </w:pPr>
            <w:r>
              <w:rPr>
                <w:rFonts w:ascii="Arial" w:cs="Arial" w:eastAsia="Arial" w:hAnsi="Arial"/>
                <w:sz w:val="18"/>
                <w:szCs w:val="18"/>
                <w:b w:val="1"/>
                <w:bCs w:val="1"/>
                <w:color w:val="auto"/>
                <w:w w:val="90"/>
              </w:rPr>
              <w:t>Selected Cash Flows Information (Unaudited)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44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w w:val="98"/>
              </w:rPr>
              <w:t>in Millions)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738"/>
        </w:trPr>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Quarter Ended</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8"/>
                <w:szCs w:val="18"/>
                <w:b w:val="1"/>
                <w:bCs w:val="1"/>
                <w:color w:val="auto"/>
              </w:rPr>
              <w:t>Six Months Ended</w:t>
            </w:r>
          </w:p>
        </w:tc>
      </w:tr>
      <w:tr>
        <w:trPr>
          <w:trHeight w:val="222"/>
        </w:trPr>
        <w:tc>
          <w:tcPr>
            <w:tcW w:w="4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8"/>
                <w:szCs w:val="18"/>
                <w:b w:val="1"/>
                <w:bCs w:val="1"/>
                <w:color w:val="auto"/>
              </w:rPr>
              <w:t>6/30/2021</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4"/>
              </w:rPr>
              <w:t>3/31/2021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4"/>
              </w:rPr>
              <w:t>6/30/2020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6/30/21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6/30/20</w:t>
            </w:r>
          </w:p>
        </w:tc>
      </w:tr>
      <w:tr>
        <w:trPr>
          <w:trHeight w:val="222"/>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174"/>
        </w:trPr>
        <w:tc>
          <w:tcPr>
            <w:tcW w:w="4420" w:type="dxa"/>
            <w:vAlign w:val="bottom"/>
          </w:tcPr>
          <w:p>
            <w:pPr>
              <w:ind w:left="20"/>
              <w:spacing w:after="0" w:line="175" w:lineRule="exact"/>
              <w:rPr>
                <w:sz w:val="20"/>
                <w:szCs w:val="20"/>
                <w:color w:val="auto"/>
              </w:rPr>
            </w:pPr>
            <w:r>
              <w:rPr>
                <w:rFonts w:ascii="Arial" w:cs="Arial" w:eastAsia="Arial" w:hAnsi="Arial"/>
                <w:sz w:val="18"/>
                <w:szCs w:val="18"/>
                <w:color w:val="auto"/>
                <w:w w:val="91"/>
              </w:rPr>
              <w:t>Adjustments to Reconcile Net Loss to Net Cash Provided By</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8"/>
        </w:trPr>
        <w:tc>
          <w:tcPr>
            <w:tcW w:w="44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Impairments of Long-Lived Assets and Goodwill</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Charges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(Gain) Loss on Disposition of Assets</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center"/>
              <w:ind w:left="331"/>
              <w:spacing w:after="0"/>
              <w:rPr>
                <w:sz w:val="20"/>
                <w:szCs w:val="20"/>
                <w:color w:val="auto"/>
              </w:rPr>
            </w:pPr>
            <w:r>
              <w:rPr>
                <w:rFonts w:ascii="Arial" w:cs="Arial" w:eastAsia="Arial" w:hAnsi="Arial"/>
                <w:sz w:val="18"/>
                <w:szCs w:val="18"/>
                <w:color w:val="auto"/>
                <w:w w:val="90"/>
              </w:rPr>
              <w:t>(8)</w:t>
            </w:r>
          </w:p>
        </w:tc>
        <w:tc>
          <w:tcPr>
            <w:tcW w:w="18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Provision (Benefit)</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420" w:type="dxa"/>
            <w:vAlign w:val="bottom"/>
            <w:shd w:val="clear" w:color="auto" w:fill="CCEEFF"/>
          </w:tcPr>
          <w:p>
            <w:pPr>
              <w:ind w:left="140"/>
              <w:spacing w:after="0" w:line="229"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8"/>
        </w:trPr>
        <w:tc>
          <w:tcPr>
            <w:tcW w:w="4420" w:type="dxa"/>
            <w:vAlign w:val="bottom"/>
            <w:tcBorders>
              <w:bottom w:val="single" w:sz="8" w:color="auto"/>
            </w:tcBorders>
          </w:tcPr>
          <w:p>
            <w:pPr>
              <w:ind w:left="140"/>
              <w:spacing w:after="0" w:line="229" w:lineRule="exact"/>
              <w:rPr>
                <w:sz w:val="20"/>
                <w:szCs w:val="20"/>
                <w:color w:val="auto"/>
              </w:rPr>
            </w:pPr>
            <w:r>
              <w:rPr>
                <w:rFonts w:ascii="Arial" w:cs="Arial" w:eastAsia="Arial" w:hAnsi="Arial"/>
                <w:sz w:val="18"/>
                <w:szCs w:val="18"/>
                <w:color w:val="auto"/>
              </w:rPr>
              <w:t>Other Operating Activities</w:t>
            </w:r>
            <w:r>
              <w:rPr>
                <w:rFonts w:ascii="Arial" w:cs="Arial" w:eastAsia="Arial" w:hAnsi="Arial"/>
                <w:sz w:val="23"/>
                <w:szCs w:val="23"/>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4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5"/>
        </w:trPr>
        <w:tc>
          <w:tcPr>
            <w:tcW w:w="4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w w:val="96"/>
              </w:rPr>
              <w:t>Capital Expenditures for Property, Plant and Equipment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center"/>
              <w:ind w:left="331"/>
              <w:spacing w:after="0"/>
              <w:rPr>
                <w:sz w:val="20"/>
                <w:szCs w:val="20"/>
                <w:color w:val="auto"/>
              </w:rPr>
            </w:pPr>
            <w:r>
              <w:rPr>
                <w:rFonts w:ascii="Arial" w:cs="Arial" w:eastAsia="Arial" w:hAnsi="Arial"/>
                <w:sz w:val="18"/>
                <w:szCs w:val="18"/>
                <w:color w:val="auto"/>
                <w:w w:val="90"/>
              </w:rPr>
              <w:t>(9)</w:t>
            </w:r>
          </w:p>
        </w:tc>
        <w:tc>
          <w:tcPr>
            <w:tcW w:w="18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Disposition of Assets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8"/>
        </w:trPr>
        <w:tc>
          <w:tcPr>
            <w:tcW w:w="4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Proceeds (Payments) for Other Investing Activities</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90"/>
              </w:rPr>
              <w:t>(1)</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4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5"/>
        </w:trPr>
        <w:tc>
          <w:tcPr>
            <w:tcW w:w="4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Borrowings of Long-term Debt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0"/>
              </w:rPr>
              <w:t>(2)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rPr>
              <w:t>Borrowings (Repayments) of Short-term Debt, Net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330E74"/>
              </w:rPr>
              <w:t>—</w:t>
            </w:r>
          </w:p>
        </w:tc>
        <w:tc>
          <w:tcPr>
            <w:tcW w:w="18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330E74"/>
              </w:rPr>
              <w:t>(4)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330E74"/>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330E74"/>
              </w:rPr>
              <w:t>(4)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330E74"/>
              </w:rPr>
              <w:t>7</w:t>
            </w:r>
          </w:p>
        </w:tc>
      </w:tr>
      <w:tr>
        <w:trPr>
          <w:trHeight w:val="228"/>
        </w:trPr>
        <w:tc>
          <w:tcPr>
            <w:tcW w:w="4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90"/>
              </w:rPr>
              <w:t>(4)</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4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ind w:left="331"/>
              <w:spacing w:after="0"/>
              <w:rPr>
                <w:sz w:val="20"/>
                <w:szCs w:val="20"/>
                <w:color w:val="auto"/>
              </w:rPr>
            </w:pPr>
            <w:r>
              <w:rPr>
                <w:rFonts w:ascii="Arial" w:cs="Arial" w:eastAsia="Arial" w:hAnsi="Arial"/>
                <w:sz w:val="18"/>
                <w:szCs w:val="18"/>
                <w:color w:val="auto"/>
                <w:w w:val="90"/>
              </w:rPr>
              <w:t>(6)</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57"/>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8"/>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89"/>
              </w:rPr>
              <w:t>46</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8"/>
        </w:trPr>
        <w:tc>
          <w:tcPr>
            <w:tcW w:w="4420" w:type="dxa"/>
            <w:vAlign w:val="bottom"/>
          </w:tcPr>
          <w:p>
            <w:pPr>
              <w:ind w:left="140"/>
              <w:spacing w:after="0"/>
              <w:rPr>
                <w:sz w:val="20"/>
                <w:szCs w:val="20"/>
                <w:color w:val="auto"/>
              </w:rPr>
            </w:pPr>
            <w:r>
              <w:rPr>
                <w:rFonts w:ascii="Arial" w:cs="Arial" w:eastAsia="Arial" w:hAnsi="Arial"/>
                <w:sz w:val="18"/>
                <w:szCs w:val="18"/>
                <w:color w:val="auto"/>
                <w:w w:val="96"/>
              </w:rPr>
              <w:t>Capital Expenditures for Property, Plant and Equipment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8"/>
        </w:trPr>
        <w:tc>
          <w:tcPr>
            <w:tcW w:w="4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Proceeds from Disposition of Assets</w:t>
            </w:r>
          </w:p>
        </w:tc>
        <w:tc>
          <w:tcPr>
            <w:tcW w:w="4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11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4420" w:type="dxa"/>
            <w:vAlign w:val="bottom"/>
            <w:tcBorders>
              <w:bottom w:val="single" w:sz="8" w:color="auto"/>
            </w:tcBorders>
          </w:tcPr>
          <w:p>
            <w:pPr>
              <w:ind w:left="220"/>
              <w:spacing w:after="0" w:line="222"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[3]</w:t>
            </w:r>
          </w:p>
        </w:tc>
        <w:tc>
          <w:tcPr>
            <w:tcW w:w="86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89"/>
              </w:rPr>
              <w:t>48</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160" w:hanging="153"/>
        <w:spacing w:after="0"/>
        <w:tabs>
          <w:tab w:leader="none" w:pos="16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Working capital is defined as the cash changes in accounts receivable plus inventory less accounts payable.</w:t>
      </w:r>
    </w:p>
    <w:p>
      <w:pPr>
        <w:ind w:left="160" w:hanging="153"/>
        <w:spacing w:after="0" w:line="182" w:lineRule="auto"/>
        <w:tabs>
          <w:tab w:leader="none" w:pos="16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Other operating activities is primarily accruals, net of cash payments for operational expenses, interest, taxes, employee costs and leases.</w:t>
      </w:r>
    </w:p>
    <w:p>
      <w:pPr>
        <w:jc w:val="both"/>
        <w:ind w:left="160" w:hanging="153"/>
        <w:spacing w:after="0" w:line="234" w:lineRule="auto"/>
        <w:tabs>
          <w:tab w:leader="none" w:pos="15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(used in)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Quarter Ended</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6/30/21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3/31/21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6/30/20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6/30/21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6/30/20</w:t>
            </w: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4900" w:type="dxa"/>
            <w:vAlign w:val="bottom"/>
          </w:tcPr>
          <w:p>
            <w:pPr>
              <w:ind w:left="120"/>
              <w:spacing w:after="0"/>
              <w:rPr>
                <w:sz w:val="20"/>
                <w:szCs w:val="20"/>
                <w:color w:val="auto"/>
              </w:rPr>
            </w:pPr>
            <w:r>
              <w:rPr>
                <w:rFonts w:ascii="Arial" w:cs="Arial" w:eastAsia="Arial" w:hAnsi="Arial"/>
                <w:sz w:val="18"/>
                <w:szCs w:val="18"/>
                <w:color w:val="auto"/>
              </w:rPr>
              <w:t>Segment Operating Income (Loss)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68"/>
        </w:trPr>
        <w:tc>
          <w:tcPr>
            <w:tcW w:w="4900" w:type="dxa"/>
            <w:vAlign w:val="bottom"/>
          </w:tcPr>
          <w:p>
            <w:pPr>
              <w:ind w:left="20"/>
              <w:spacing w:after="0" w:line="168" w:lineRule="exact"/>
              <w:rPr>
                <w:sz w:val="20"/>
                <w:szCs w:val="20"/>
                <w:color w:val="auto"/>
              </w:rPr>
            </w:pPr>
            <w:r>
              <w:rPr>
                <w:rFonts w:ascii="Arial" w:cs="Arial" w:eastAsia="Arial" w:hAnsi="Arial"/>
                <w:sz w:val="18"/>
                <w:szCs w:val="18"/>
                <w:color w:val="auto"/>
                <w:w w:val="99"/>
              </w:rPr>
              <w:t>Total Operating Income (Loss) Before Impairments and Other</w:t>
            </w:r>
          </w:p>
        </w:tc>
        <w:tc>
          <w:tcPr>
            <w:tcW w:w="2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(13)</w:t>
            </w:r>
          </w:p>
        </w:tc>
        <w:tc>
          <w:tcPr>
            <w:tcW w:w="2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4"/>
                <w:szCs w:val="14"/>
                <w:color w:val="auto"/>
              </w:rPr>
            </w:pPr>
          </w:p>
        </w:tc>
        <w:tc>
          <w:tcPr>
            <w:tcW w:w="220" w:type="dxa"/>
            <w:vAlign w:val="bottom"/>
            <w:vMerge w:val="restart"/>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4</w:t>
            </w:r>
          </w:p>
        </w:tc>
        <w:tc>
          <w:tcPr>
            <w:tcW w:w="28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(Charges) Credits and Restructuring Charges</w:t>
            </w:r>
          </w:p>
        </w:tc>
        <w:tc>
          <w:tcPr>
            <w:tcW w:w="2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Share-Based Compensation</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4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Total Share-Based Compensation</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line="229"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4900" w:type="dxa"/>
            <w:vAlign w:val="bottom"/>
            <w:tcBorders>
              <w:bottom w:val="single" w:sz="8" w:color="auto"/>
            </w:tcBorders>
          </w:tcPr>
          <w:p>
            <w:pPr>
              <w:ind w:left="140"/>
              <w:spacing w:after="0" w:line="222" w:lineRule="exact"/>
              <w:rPr>
                <w:sz w:val="20"/>
                <w:szCs w:val="20"/>
                <w:color w:val="auto"/>
              </w:rPr>
            </w:pPr>
            <w:r>
              <w:rPr>
                <w:rFonts w:ascii="Arial" w:cs="Arial" w:eastAsia="Arial" w:hAnsi="Arial"/>
                <w:sz w:val="18"/>
                <w:szCs w:val="18"/>
                <w:color w:val="auto"/>
              </w:rPr>
              <w:t>Total Adjusted EBITDA</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238</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line="229" w:lineRule="exact"/>
              <w:rPr>
                <w:sz w:val="20"/>
                <w:szCs w:val="20"/>
                <w:color w:val="auto"/>
              </w:rPr>
            </w:pPr>
            <w:r>
              <w:rPr>
                <w:rFonts w:ascii="Arial" w:cs="Arial" w:eastAsia="Arial" w:hAnsi="Arial"/>
                <w:sz w:val="18"/>
                <w:szCs w:val="18"/>
                <w:b w:val="1"/>
                <w:bCs w:val="1"/>
                <w:color w:val="auto"/>
              </w:rPr>
              <w:t>Impairments and Other Charges (Credits)</w:t>
            </w:r>
            <w:r>
              <w:rPr>
                <w:rFonts w:ascii="Arial" w:cs="Arial" w:eastAsia="Arial" w:hAnsi="Arial"/>
                <w:sz w:val="23"/>
                <w:szCs w:val="23"/>
                <w:b w:val="1"/>
                <w:bCs w:val="1"/>
                <w:color w:val="auto"/>
                <w:vertAlign w:val="superscript"/>
              </w:rPr>
              <w:t>[2]</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Charges</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Charges (Credits)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7"/>
        </w:trPr>
        <w:tc>
          <w:tcPr>
            <w:tcW w:w="4900" w:type="dxa"/>
            <w:vAlign w:val="bottom"/>
            <w:tcBorders>
              <w:bottom w:val="single" w:sz="8" w:color="auto"/>
            </w:tcBorders>
            <w:shd w:val="clear" w:color="auto" w:fill="CCEEFF"/>
          </w:tcPr>
          <w:p>
            <w:pPr>
              <w:ind w:left="140"/>
              <w:spacing w:after="0" w:line="222" w:lineRule="exact"/>
              <w:rPr>
                <w:sz w:val="20"/>
                <w:szCs w:val="20"/>
                <w:color w:val="auto"/>
              </w:rPr>
            </w:pPr>
            <w:r>
              <w:rPr>
                <w:rFonts w:ascii="Arial" w:cs="Arial" w:eastAsia="Arial" w:hAnsi="Arial"/>
                <w:sz w:val="18"/>
                <w:szCs w:val="18"/>
                <w:color w:val="auto"/>
              </w:rPr>
              <w:t>Total Impairments and Other Charges (Credits)</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500" w:hanging="332"/>
        <w:spacing w:after="0" w:line="211" w:lineRule="auto"/>
        <w:tabs>
          <w:tab w:leader="none" w:pos="48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Adjusted EBITDA is calculated as total operating income (loss) before impairments and other (charges) credits and restructuring charges plus depreciation and amortization plus share-based compensation.</w:t>
      </w:r>
    </w:p>
    <w:p>
      <w:pPr>
        <w:ind w:left="500" w:right="20" w:hanging="332"/>
        <w:spacing w:after="0" w:line="209" w:lineRule="auto"/>
        <w:tabs>
          <w:tab w:leader="none" w:pos="48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Impairments and Other Charges (Credits) are excluded from segment operating results and primarily represent charges on long-lived assets and goodwill, restructuring expense, as well as write-offs of property plant and equipment, right-of-use assets, and inventory.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0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in Millions)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 (Unaudited) - Product Line Revenues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Quarter Ended</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8"/>
                <w:szCs w:val="18"/>
                <w:b w:val="1"/>
                <w:bCs w:val="1"/>
                <w:color w:val="auto"/>
              </w:rPr>
              <w:t>Six Months Ended</w:t>
            </w:r>
          </w:p>
        </w:tc>
      </w:tr>
      <w:tr>
        <w:trPr>
          <w:trHeight w:val="222"/>
        </w:trPr>
        <w:tc>
          <w:tcPr>
            <w:tcW w:w="4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9"/>
              </w:rPr>
              <w:t>06/30/21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6"/>
              </w:rPr>
              <w:t>03/31/21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9"/>
              </w:rPr>
              <w:t>06/30/20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6/30/21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6/30/20</w:t>
            </w:r>
          </w:p>
        </w:tc>
      </w:tr>
      <w:tr>
        <w:trPr>
          <w:trHeight w:val="222"/>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Product Line Revenue by Hemisphere: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Completion and Production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8"/>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Drilling, Evaluation and Intervention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22"/>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Western Hemisphere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48"/>
        </w:trPr>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8"/>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Completion and Production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28"/>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Drilling, Evaluation and Intervention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22"/>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Eastern Hemisphere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48"/>
        </w:trPr>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Completion and Production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2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Drilling, Evaluation and Intervention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47"/>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Product Line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41" w:right="339" w:bottom="1440" w:gutter="0" w:footer="0" w:header="0"/>
        </w:sectPr>
      </w:pPr>
    </w:p>
    <w:bookmarkStart w:id="16" w:name="page17"/>
    <w:bookmarkEnd w:id="16"/>
    <w:p>
      <w:pPr>
        <w:jc w:val="both"/>
        <w:spacing w:after="0" w:line="272"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94"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3400" w:type="dxa"/>
            <w:vAlign w:val="bottom"/>
            <w:gridSpan w:val="5"/>
          </w:tcPr>
          <w:p>
            <w:pPr>
              <w:jc w:val="center"/>
              <w:spacing w:after="0"/>
              <w:rPr>
                <w:sz w:val="20"/>
                <w:szCs w:val="20"/>
                <w:color w:val="auto"/>
              </w:rPr>
            </w:pPr>
            <w:r>
              <w:rPr>
                <w:rFonts w:ascii="Arial" w:cs="Arial" w:eastAsia="Arial" w:hAnsi="Arial"/>
                <w:sz w:val="17"/>
                <w:szCs w:val="17"/>
                <w:b w:val="1"/>
                <w:bCs w:val="1"/>
                <w:color w:val="auto"/>
                <w:w w:val="93"/>
              </w:rPr>
              <w:t>Weatherford International plc</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140" w:type="dxa"/>
            <w:vAlign w:val="bottom"/>
            <w:gridSpan w:val="9"/>
          </w:tcPr>
          <w:p>
            <w:pPr>
              <w:jc w:val="center"/>
              <w:ind w:left="2214"/>
              <w:spacing w:after="0"/>
              <w:rPr>
                <w:sz w:val="20"/>
                <w:szCs w:val="20"/>
                <w:color w:val="auto"/>
              </w:rPr>
            </w:pPr>
            <w:r>
              <w:rPr>
                <w:rFonts w:ascii="Arial" w:cs="Arial" w:eastAsia="Arial" w:hAnsi="Arial"/>
                <w:sz w:val="17"/>
                <w:szCs w:val="17"/>
                <w:b w:val="1"/>
                <w:bCs w:val="1"/>
                <w:color w:val="auto"/>
                <w:w w:val="92"/>
              </w:rPr>
              <w:t>Reconciliation of GAAP to Non-GAAP Financial Measures (Unaudited)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4"/>
        </w:trPr>
        <w:tc>
          <w:tcPr>
            <w:tcW w:w="3500" w:type="dxa"/>
            <w:vAlign w:val="bottom"/>
          </w:tcPr>
          <w:p>
            <w:pPr>
              <w:spacing w:after="0"/>
              <w:rPr>
                <w:sz w:val="18"/>
                <w:szCs w:val="18"/>
                <w:color w:val="auto"/>
              </w:rPr>
            </w:pPr>
          </w:p>
        </w:tc>
        <w:tc>
          <w:tcPr>
            <w:tcW w:w="3400" w:type="dxa"/>
            <w:vAlign w:val="bottom"/>
            <w:gridSpan w:val="5"/>
          </w:tcPr>
          <w:p>
            <w:pPr>
              <w:jc w:val="center"/>
              <w:spacing w:after="0"/>
              <w:rPr>
                <w:sz w:val="20"/>
                <w:szCs w:val="20"/>
                <w:color w:val="auto"/>
              </w:rPr>
            </w:pPr>
            <w:r>
              <w:rPr>
                <w:rFonts w:ascii="Arial" w:cs="Arial" w:eastAsia="Arial" w:hAnsi="Arial"/>
                <w:sz w:val="17"/>
                <w:szCs w:val="17"/>
                <w:i w:val="1"/>
                <w:iCs w:val="1"/>
                <w:color w:val="auto"/>
                <w:w w:val="91"/>
              </w:rPr>
              <w:t>($ in Millions, Except Per Share Amounts)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3"/>
        </w:trPr>
        <w:tc>
          <w:tcPr>
            <w:tcW w:w="3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Quarter Ended</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8"/>
                <w:szCs w:val="18"/>
                <w:b w:val="1"/>
                <w:bCs w:val="1"/>
                <w:color w:val="auto"/>
              </w:rPr>
              <w:t>Six Months Ended</w:t>
            </w:r>
          </w:p>
        </w:tc>
      </w:tr>
      <w:tr>
        <w:trPr>
          <w:trHeight w:val="222"/>
        </w:trPr>
        <w:tc>
          <w:tcPr>
            <w:tcW w:w="3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99"/>
              </w:rPr>
              <w:t>6/30/21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3/31/21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6/30/20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6/30/21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99"/>
              </w:rPr>
              <w:t>6/30/20</w:t>
            </w:r>
          </w:p>
        </w:tc>
      </w:tr>
      <w:tr>
        <w:trPr>
          <w:trHeight w:val="208"/>
        </w:trPr>
        <w:tc>
          <w:tcPr>
            <w:tcW w:w="3500" w:type="dxa"/>
            <w:vAlign w:val="bottom"/>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Operating Income (Loss)</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28"/>
        </w:trPr>
        <w:tc>
          <w:tcPr>
            <w:tcW w:w="3500" w:type="dxa"/>
            <w:vAlign w:val="bottom"/>
          </w:tcPr>
          <w:p>
            <w:pPr>
              <w:ind w:left="140"/>
              <w:spacing w:after="0"/>
              <w:rPr>
                <w:sz w:val="20"/>
                <w:szCs w:val="20"/>
                <w:color w:val="auto"/>
              </w:rPr>
            </w:pPr>
            <w:r>
              <w:rPr>
                <w:rFonts w:ascii="Arial" w:cs="Arial" w:eastAsia="Arial" w:hAnsi="Arial"/>
                <w:sz w:val="18"/>
                <w:szCs w:val="18"/>
                <w:color w:val="auto"/>
              </w:rPr>
              <w:t>Impairments and Other Charges (Credits)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28"/>
        </w:trPr>
        <w:tc>
          <w:tcPr>
            <w:tcW w:w="3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Operating Non-GAAP Adjustments</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r>
      <w:tr>
        <w:trPr>
          <w:trHeight w:val="233"/>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9"/>
              </w:rPr>
              <w:t>Non-GAAP Adjusted Operating Income (Loss)</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3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3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7"/>
                <w:szCs w:val="17"/>
                <w:color w:val="auto"/>
              </w:rPr>
              <w:t>GAAP Income (Loss) Before Income Taxes</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(87)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(567)</w:t>
            </w:r>
          </w:p>
        </w:tc>
        <w:tc>
          <w:tcPr>
            <w:tcW w:w="1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(145)</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(1,481)</w:t>
            </w:r>
          </w:p>
        </w:tc>
      </w:tr>
      <w:tr>
        <w:trPr>
          <w:trHeight w:val="215"/>
        </w:trPr>
        <w:tc>
          <w:tcPr>
            <w:tcW w:w="3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Non-GAAP Adjustments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r>
      <w:tr>
        <w:trPr>
          <w:trHeight w:val="215"/>
        </w:trPr>
        <w:tc>
          <w:tcPr>
            <w:tcW w:w="3500" w:type="dxa"/>
            <w:vAlign w:val="bottom"/>
          </w:tcPr>
          <w:p>
            <w:pPr>
              <w:ind w:left="140"/>
              <w:spacing w:after="0"/>
              <w:rPr>
                <w:sz w:val="20"/>
                <w:szCs w:val="20"/>
                <w:color w:val="auto"/>
              </w:rPr>
            </w:pPr>
            <w:r>
              <w:rPr>
                <w:rFonts w:ascii="Arial" w:cs="Arial" w:eastAsia="Arial" w:hAnsi="Arial"/>
                <w:sz w:val="17"/>
                <w:szCs w:val="17"/>
                <w:color w:val="auto"/>
              </w:rPr>
              <w:t>Reorganization Items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8"/>
        </w:trPr>
        <w:tc>
          <w:tcPr>
            <w:tcW w:w="3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Adjustments Before Taxes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w:t>
            </w:r>
          </w:p>
        </w:tc>
      </w:tr>
      <w:tr>
        <w:trPr>
          <w:trHeight w:val="20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Loss Before Income Taxes</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2"/>
        </w:trPr>
        <w:tc>
          <w:tcPr>
            <w:tcW w:w="3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7"/>
                <w:szCs w:val="17"/>
                <w:b w:val="1"/>
                <w:bCs w:val="1"/>
                <w:color w:val="auto"/>
              </w:rPr>
              <w:t>Provision for Income Taxes: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Provision for Income Taxes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35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Tax Effect on Non-GAAP Adjustments</w:t>
            </w: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33"/>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Provision for Income Taxes</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0"/>
        </w:trPr>
        <w:tc>
          <w:tcPr>
            <w:tcW w:w="3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3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Weatherford:</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7"/>
                <w:szCs w:val="17"/>
                <w:color w:val="auto"/>
              </w:rPr>
              <w:t>GAAP Net Loss</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(116)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(581)</w:t>
            </w:r>
          </w:p>
        </w:tc>
        <w:tc>
          <w:tcPr>
            <w:tcW w:w="1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(194)</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(1,547)</w:t>
            </w:r>
          </w:p>
        </w:tc>
      </w:tr>
      <w:tr>
        <w:trPr>
          <w:trHeight w:val="215"/>
        </w:trPr>
        <w:tc>
          <w:tcPr>
            <w:tcW w:w="3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Non-GAAP Adjustments, net of tax</w:t>
            </w: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w:t>
            </w:r>
          </w:p>
        </w:tc>
      </w:tr>
      <w:tr>
        <w:trPr>
          <w:trHeight w:val="20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Net Loss</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2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2"/>
        </w:trPr>
        <w:tc>
          <w:tcPr>
            <w:tcW w:w="3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7"/>
                <w:szCs w:val="17"/>
                <w:b w:val="1"/>
                <w:bCs w:val="1"/>
                <w:color w:val="auto"/>
              </w:rPr>
              <w:t>Diluted Loss Per Share Attributable to Weatherford:</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Diluted Loss per Share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w:t>
            </w:r>
          </w:p>
        </w:tc>
      </w:tr>
      <w:tr>
        <w:trPr>
          <w:trHeight w:val="215"/>
        </w:trPr>
        <w:tc>
          <w:tcPr>
            <w:tcW w:w="35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Non-GAAP Adjustments, net of tax</w:t>
            </w: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18.66</w:t>
            </w:r>
          </w:p>
        </w:tc>
      </w:tr>
      <w:tr>
        <w:trPr>
          <w:trHeight w:val="233"/>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Diluted Loss per Share</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r>
      <w:tr>
        <w:trPr>
          <w:trHeight w:val="20"/>
        </w:trPr>
        <w:tc>
          <w:tcPr>
            <w:tcW w:w="3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66" w:right="339" w:bottom="1440" w:gutter="0" w:footer="0" w:header="0"/>
        </w:sectPr>
      </w:pPr>
    </w:p>
    <w:bookmarkStart w:id="17" w:name="page18"/>
    <w:bookmarkEnd w:id="17"/>
    <w:p>
      <w:pPr>
        <w:jc w:val="center"/>
        <w:ind w:right="160"/>
        <w:spacing w:after="0"/>
        <w:rPr>
          <w:sz w:val="20"/>
          <w:szCs w:val="20"/>
          <w:color w:val="auto"/>
        </w:rPr>
      </w:pPr>
      <w:r>
        <w:rPr>
          <w:rFonts w:ascii="Arial" w:cs="Arial" w:eastAsia="Arial" w:hAnsi="Arial"/>
          <w:sz w:val="17"/>
          <w:szCs w:val="17"/>
          <w:b w:val="1"/>
          <w:bCs w:val="1"/>
          <w:color w:val="auto"/>
        </w:rPr>
        <w:t>Weatherford International plc</w:t>
      </w:r>
    </w:p>
    <w:p>
      <w:pPr>
        <w:spacing w:after="0" w:line="24" w:lineRule="exact"/>
        <w:rPr>
          <w:sz w:val="20"/>
          <w:szCs w:val="20"/>
          <w:color w:val="auto"/>
        </w:rPr>
      </w:pPr>
    </w:p>
    <w:p>
      <w:pPr>
        <w:jc w:val="center"/>
        <w:ind w:right="160"/>
        <w:spacing w:after="0"/>
        <w:rPr>
          <w:sz w:val="20"/>
          <w:szCs w:val="20"/>
          <w:color w:val="auto"/>
        </w:rPr>
      </w:pPr>
      <w:r>
        <w:rPr>
          <w:rFonts w:ascii="Arial" w:cs="Arial" w:eastAsia="Arial" w:hAnsi="Arial"/>
          <w:sz w:val="17"/>
          <w:szCs w:val="17"/>
          <w:i w:val="1"/>
          <w:iCs w:val="1"/>
          <w:color w:val="auto"/>
        </w:rPr>
        <w:t>($ in Millions)</w:t>
      </w:r>
    </w:p>
    <w:p>
      <w:pPr>
        <w:spacing w:after="0" w:line="19"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Reconciliation of GAAP to Non-GAAP Financial Measures</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Net Loss to Adjusted EBITDA (Unaudited)</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33"/>
        </w:trPr>
        <w:tc>
          <w:tcPr>
            <w:tcW w:w="4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Quarter Ended</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8"/>
                <w:szCs w:val="18"/>
                <w:b w:val="1"/>
                <w:bCs w:val="1"/>
                <w:color w:val="auto"/>
              </w:rPr>
              <w:t>Six Months Ended</w:t>
            </w:r>
          </w:p>
        </w:tc>
      </w:tr>
      <w:tr>
        <w:trPr>
          <w:trHeight w:val="222"/>
        </w:trPr>
        <w:tc>
          <w:tcPr>
            <w:tcW w:w="4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99"/>
              </w:rPr>
              <w:t>6/30/21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3/31/21</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6/30/20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6/30/21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6/30/20</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Loss Attributable to Weatherford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(116)</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w:t>
            </w:r>
          </w:p>
        </w:tc>
      </w:tr>
      <w:tr>
        <w:trPr>
          <w:trHeight w:val="215"/>
        </w:trPr>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Income Attributable to Noncontrolling Interests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w:t>
            </w:r>
          </w:p>
        </w:tc>
      </w:tr>
      <w:tr>
        <w:trPr>
          <w:trHeight w:val="215"/>
        </w:trPr>
        <w:tc>
          <w:tcPr>
            <w:tcW w:w="454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72</w:t>
            </w:r>
          </w:p>
        </w:tc>
        <w:tc>
          <w:tcPr>
            <w:tcW w:w="2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142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15"/>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 Provision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15"/>
        </w:trPr>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111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225</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r>
      <w:tr>
        <w:trPr>
          <w:trHeight w:val="208"/>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EBITDA</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128</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w:t>
            </w:r>
          </w:p>
        </w:tc>
      </w:tr>
      <w:tr>
        <w:trPr>
          <w:trHeight w:val="268"/>
        </w:trPr>
        <w:tc>
          <w:tcPr>
            <w:tcW w:w="4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Adjustments: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4540" w:type="dxa"/>
            <w:vAlign w:val="bottom"/>
          </w:tcPr>
          <w:p>
            <w:pPr>
              <w:ind w:left="220"/>
              <w:spacing w:after="0"/>
              <w:rPr>
                <w:sz w:val="20"/>
                <w:szCs w:val="20"/>
                <w:color w:val="auto"/>
              </w:rPr>
            </w:pPr>
            <w:r>
              <w:rPr>
                <w:rFonts w:ascii="Arial" w:cs="Arial" w:eastAsia="Arial" w:hAnsi="Arial"/>
                <w:sz w:val="17"/>
                <w:szCs w:val="17"/>
                <w:color w:val="auto"/>
              </w:rPr>
              <w:t>Reorganization Items</w:t>
            </w:r>
          </w:p>
        </w:tc>
        <w:tc>
          <w:tcPr>
            <w:tcW w:w="2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8"/>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Impairments and Other (Charges) Credits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r>
      <w:tr>
        <w:trPr>
          <w:trHeight w:val="228"/>
        </w:trPr>
        <w:tc>
          <w:tcPr>
            <w:tcW w:w="4540" w:type="dxa"/>
            <w:vAlign w:val="bottom"/>
          </w:tcPr>
          <w:p>
            <w:pPr>
              <w:ind w:left="220"/>
              <w:spacing w:after="0"/>
              <w:rPr>
                <w:sz w:val="20"/>
                <w:szCs w:val="20"/>
                <w:color w:val="auto"/>
              </w:rPr>
            </w:pPr>
            <w:r>
              <w:rPr>
                <w:rFonts w:ascii="Arial" w:cs="Arial" w:eastAsia="Arial" w:hAnsi="Arial"/>
                <w:sz w:val="17"/>
                <w:szCs w:val="17"/>
                <w:color w:val="auto"/>
              </w:rPr>
              <w:t>Restructuring Charges</w:t>
            </w:r>
          </w:p>
        </w:tc>
        <w:tc>
          <w:tcPr>
            <w:tcW w:w="20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5"/>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Expense, Net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r>
      <w:tr>
        <w:trPr>
          <w:trHeight w:val="233"/>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136</w:t>
            </w:r>
          </w:p>
        </w:tc>
        <w:tc>
          <w:tcPr>
            <w:tcW w:w="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102</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238</w:t>
            </w:r>
          </w:p>
        </w:tc>
        <w:tc>
          <w:tcPr>
            <w:tcW w:w="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w:t>
            </w: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Supplemental Reconciliation of Non-GAAP Financial Measures</w:t>
      </w:r>
    </w:p>
    <w:p>
      <w:pPr>
        <w:spacing w:after="0" w:line="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Adjusted EBITDA to Free Cash Flow (Unaudited)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4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Quarter Ended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8"/>
                <w:szCs w:val="18"/>
                <w:b w:val="1"/>
                <w:bCs w:val="1"/>
                <w:color w:val="auto"/>
              </w:rPr>
              <w:t>Six Months Ended</w:t>
            </w:r>
          </w:p>
        </w:tc>
      </w:tr>
      <w:tr>
        <w:trPr>
          <w:trHeight w:val="222"/>
        </w:trPr>
        <w:tc>
          <w:tcPr>
            <w:tcW w:w="4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6/30/21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9"/>
              </w:rPr>
              <w:t>3/31/21</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6/30/20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9"/>
              </w:rPr>
              <w:t>6/30/21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6/30/20</w:t>
            </w:r>
          </w:p>
        </w:tc>
      </w:tr>
      <w:tr>
        <w:trPr>
          <w:trHeight w:val="22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8"/>
        </w:trPr>
        <w:tc>
          <w:tcPr>
            <w:tcW w:w="4740" w:type="dxa"/>
            <w:vAlign w:val="bottom"/>
          </w:tcPr>
          <w:p>
            <w:pPr>
              <w:ind w:left="200"/>
              <w:spacing w:after="0"/>
              <w:rPr>
                <w:sz w:val="20"/>
                <w:szCs w:val="20"/>
                <w:color w:val="auto"/>
              </w:rPr>
            </w:pPr>
            <w:r>
              <w:rPr>
                <w:rFonts w:ascii="Arial" w:cs="Arial" w:eastAsia="Arial" w:hAnsi="Arial"/>
                <w:sz w:val="18"/>
                <w:szCs w:val="18"/>
                <w:color w:val="auto"/>
              </w:rPr>
              <w:t>Cash From (Used) for Working Capital</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8"/>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for Property, Plant and Equipment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8"/>
        </w:trPr>
        <w:tc>
          <w:tcPr>
            <w:tcW w:w="4740" w:type="dxa"/>
            <w:vAlign w:val="bottom"/>
          </w:tcPr>
          <w:p>
            <w:pPr>
              <w:ind w:left="200"/>
              <w:spacing w:after="0"/>
              <w:rPr>
                <w:sz w:val="20"/>
                <w:szCs w:val="20"/>
                <w:color w:val="auto"/>
              </w:rPr>
            </w:pPr>
            <w:r>
              <w:rPr>
                <w:rFonts w:ascii="Arial" w:cs="Arial" w:eastAsia="Arial" w:hAnsi="Arial"/>
                <w:sz w:val="18"/>
                <w:szCs w:val="18"/>
                <w:color w:val="auto"/>
              </w:rPr>
              <w:t>Cash Paid for Taxes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Severance and Restructuring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8"/>
        </w:trPr>
        <w:tc>
          <w:tcPr>
            <w:tcW w:w="4740" w:type="dxa"/>
            <w:vAlign w:val="bottom"/>
            <w:tcBorders>
              <w:bottom w:val="single" w:sz="8" w:color="auto"/>
            </w:tcBorders>
          </w:tcPr>
          <w:p>
            <w:pPr>
              <w:ind w:left="200"/>
              <w:spacing w:after="0" w:line="229"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Unlevered Free Cash Flow</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4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Cash Paid for Interest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47"/>
        </w:trPr>
        <w:tc>
          <w:tcPr>
            <w:tcW w:w="4740" w:type="dxa"/>
            <w:vAlign w:val="bottom"/>
            <w:tcBorders>
              <w:bottom w:val="single" w:sz="8" w:color="auto"/>
            </w:tcBorders>
            <w:shd w:val="clear" w:color="auto" w:fill="CCEEFF"/>
          </w:tcPr>
          <w:p>
            <w:pPr>
              <w:ind w:left="20"/>
              <w:spacing w:after="0" w:line="222"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15" w:lineRule="auto"/>
        <w:tabs>
          <w:tab w:leader="none" w:pos="334"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Other primarily includes accruals net of payments for certain operational expenses, employee costs (excluding restructuring and shared-based compensation) and leases, inventory charges, bad debt expense, proceeds from disposition of assets and foreign currency exchange impact.</w:t>
      </w:r>
    </w:p>
    <w:p>
      <w:pPr>
        <w:jc w:val="both"/>
        <w:ind w:left="340" w:hanging="332"/>
        <w:spacing w:after="0" w:line="220" w:lineRule="auto"/>
        <w:tabs>
          <w:tab w:leader="none" w:pos="334"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(used in) operating activities.</w:t>
      </w:r>
    </w:p>
    <w:p>
      <w:pPr>
        <w:spacing w:after="0" w:line="200" w:lineRule="exact"/>
        <w:rPr>
          <w:sz w:val="20"/>
          <w:szCs w:val="20"/>
          <w:color w:val="auto"/>
        </w:rPr>
      </w:pPr>
    </w:p>
    <w:p>
      <w:pPr>
        <w:spacing w:after="0" w:line="2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sectPr>
      <w:pgSz w:w="11900" w:h="16838" w:orient="portrait"/>
      <w:cols w:equalWidth="0" w:num="1">
        <w:col w:w="11080"/>
      </w:cols>
      <w:pgMar w:left="480" w:top="9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2021-07-28T16:12:06Z</dcterms:created>
  <dcterms:modified xsi:type="dcterms:W3CDTF">2021-07-28T16:12:06Z</dcterms:modified>
</cp:coreProperties>
</file>