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511175</wp:posOffset>
            </wp:positionH>
            <wp:positionV relativeFrom="paragraph">
              <wp:posOffset>-224155</wp:posOffset>
            </wp:positionV>
            <wp:extent cx="66465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46545" cy="8890"/>
                    </a:xfrm>
                    <a:prstGeom prst="rect">
                      <a:avLst/>
                    </a:prstGeom>
                    <a:noFill/>
                  </pic:spPr>
                </pic:pic>
              </a:graphicData>
            </a:graphic>
          </wp:anchor>
        </w:drawing>
      </w:r>
    </w:p>
    <w:p>
      <w:pPr>
        <w:spacing w:after="0" w:line="2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2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312"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CURRENT REPORT</w:t>
      </w:r>
    </w:p>
    <w:p>
      <w:pPr>
        <w:spacing w:after="0" w:line="4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34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October 29, 2018</w:t>
      </w:r>
    </w:p>
    <w:p>
      <w:pPr>
        <w:spacing w:after="0" w:line="348" w:lineRule="exact"/>
        <w:rPr>
          <w:sz w:val="24"/>
          <w:szCs w:val="24"/>
          <w:color w:val="auto"/>
        </w:rPr>
      </w:pPr>
    </w:p>
    <w:p>
      <w:pPr>
        <w:jc w:val="center"/>
        <w:ind w:right="-119"/>
        <w:spacing w:after="0"/>
        <w:rPr>
          <w:sz w:val="20"/>
          <w:szCs w:val="20"/>
          <w:color w:val="auto"/>
        </w:rPr>
      </w:pPr>
      <w:r>
        <w:rPr>
          <w:rFonts w:ascii="Arial" w:cs="Arial" w:eastAsia="Arial" w:hAnsi="Arial"/>
          <w:sz w:val="40"/>
          <w:szCs w:val="40"/>
          <w:b w:val="1"/>
          <w:bCs w:val="1"/>
          <w:color w:val="auto"/>
        </w:rPr>
        <w:t>Weatherford International public limited company</w:t>
      </w:r>
    </w:p>
    <w:p>
      <w:pPr>
        <w:spacing w:after="0" w:line="4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67" w:lineRule="exact"/>
        <w:rPr>
          <w:sz w:val="24"/>
          <w:szCs w:val="24"/>
          <w:color w:val="auto"/>
        </w:rPr>
      </w:pPr>
    </w:p>
    <w:tbl>
      <w:tblPr>
        <w:tblLayout w:type="fixed"/>
        <w:tblInd w:w="1100" w:type="dxa"/>
        <w:tblCellMar>
          <w:top w:w="0" w:type="dxa"/>
          <w:left w:w="0" w:type="dxa"/>
          <w:bottom w:w="0" w:type="dxa"/>
          <w:right w:w="0" w:type="dxa"/>
        </w:tblCellMar>
      </w:tblPr>
      <w:tr>
        <w:trPr>
          <w:trHeight w:val="234"/>
        </w:trPr>
        <w:tc>
          <w:tcPr>
            <w:tcW w:w="3100" w:type="dxa"/>
            <w:vAlign w:val="bottom"/>
          </w:tcPr>
          <w:p>
            <w:pPr>
              <w:jc w:val="center"/>
              <w:spacing w:after="0"/>
              <w:rPr>
                <w:sz w:val="20"/>
                <w:szCs w:val="20"/>
                <w:color w:val="auto"/>
              </w:rPr>
            </w:pPr>
            <w:r>
              <w:rPr>
                <w:rFonts w:ascii="Arial" w:cs="Arial" w:eastAsia="Arial" w:hAnsi="Arial"/>
                <w:sz w:val="18"/>
                <w:szCs w:val="18"/>
                <w:b w:val="1"/>
                <w:bCs w:val="1"/>
                <w:color w:val="auto"/>
                <w:w w:val="94"/>
              </w:rPr>
              <w:t>Ireland</w:t>
            </w:r>
          </w:p>
        </w:tc>
        <w:tc>
          <w:tcPr>
            <w:tcW w:w="2900" w:type="dxa"/>
            <w:vAlign w:val="bottom"/>
          </w:tcPr>
          <w:p>
            <w:pPr>
              <w:jc w:val="right"/>
              <w:ind w:right="910"/>
              <w:spacing w:after="0"/>
              <w:rPr>
                <w:sz w:val="20"/>
                <w:szCs w:val="20"/>
                <w:color w:val="auto"/>
              </w:rPr>
            </w:pPr>
            <w:r>
              <w:rPr>
                <w:rFonts w:ascii="Arial" w:cs="Arial" w:eastAsia="Arial" w:hAnsi="Arial"/>
                <w:sz w:val="18"/>
                <w:szCs w:val="18"/>
                <w:b w:val="1"/>
                <w:bCs w:val="1"/>
                <w:color w:val="auto"/>
              </w:rPr>
              <w:t>001-36504</w:t>
            </w:r>
          </w:p>
        </w:tc>
        <w:tc>
          <w:tcPr>
            <w:tcW w:w="3220" w:type="dxa"/>
            <w:vAlign w:val="bottom"/>
          </w:tcPr>
          <w:p>
            <w:pPr>
              <w:jc w:val="center"/>
              <w:ind w:left="70"/>
              <w:spacing w:after="0"/>
              <w:rPr>
                <w:sz w:val="20"/>
                <w:szCs w:val="20"/>
                <w:color w:val="auto"/>
              </w:rPr>
            </w:pPr>
            <w:r>
              <w:rPr>
                <w:rFonts w:ascii="Arial" w:cs="Arial" w:eastAsia="Arial" w:hAnsi="Arial"/>
                <w:sz w:val="18"/>
                <w:szCs w:val="18"/>
                <w:b w:val="1"/>
                <w:bCs w:val="1"/>
                <w:color w:val="auto"/>
                <w:w w:val="89"/>
              </w:rPr>
              <w:t>98-0606750</w:t>
            </w:r>
          </w:p>
        </w:tc>
        <w:tc>
          <w:tcPr>
            <w:tcW w:w="20" w:type="dxa"/>
            <w:vAlign w:val="bottom"/>
          </w:tcPr>
          <w:p>
            <w:pPr>
              <w:spacing w:after="0"/>
              <w:rPr>
                <w:sz w:val="20"/>
                <w:szCs w:val="20"/>
                <w:color w:val="auto"/>
              </w:rPr>
            </w:pPr>
          </w:p>
        </w:tc>
      </w:tr>
      <w:tr>
        <w:trPr>
          <w:trHeight w:val="27"/>
        </w:trPr>
        <w:tc>
          <w:tcPr>
            <w:tcW w:w="310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2"/>
        </w:trPr>
        <w:tc>
          <w:tcPr>
            <w:tcW w:w="310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w:t>
            </w:r>
          </w:p>
        </w:tc>
        <w:tc>
          <w:tcPr>
            <w:tcW w:w="2900" w:type="dxa"/>
            <w:vAlign w:val="bottom"/>
          </w:tcPr>
          <w:p>
            <w:pPr>
              <w:jc w:val="center"/>
              <w:ind w:left="30"/>
              <w:spacing w:after="0"/>
              <w:rPr>
                <w:sz w:val="20"/>
                <w:szCs w:val="20"/>
                <w:color w:val="auto"/>
              </w:rPr>
            </w:pPr>
            <w:r>
              <w:rPr>
                <w:rFonts w:ascii="Arial" w:cs="Arial" w:eastAsia="Arial" w:hAnsi="Arial"/>
                <w:sz w:val="18"/>
                <w:szCs w:val="18"/>
                <w:color w:val="auto"/>
                <w:w w:val="92"/>
              </w:rPr>
              <w:t>(Commission File Number)</w:t>
            </w:r>
          </w:p>
        </w:tc>
        <w:tc>
          <w:tcPr>
            <w:tcW w:w="3240" w:type="dxa"/>
            <w:vAlign w:val="bottom"/>
            <w:gridSpan w:val="2"/>
          </w:tcPr>
          <w:p>
            <w:pPr>
              <w:jc w:val="center"/>
              <w:ind w:left="5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100" w:type="dxa"/>
            <w:vAlign w:val="bottom"/>
          </w:tcPr>
          <w:p>
            <w:pPr>
              <w:jc w:val="center"/>
              <w:spacing w:after="0"/>
              <w:rPr>
                <w:sz w:val="20"/>
                <w:szCs w:val="20"/>
                <w:color w:val="auto"/>
              </w:rPr>
            </w:pPr>
            <w:r>
              <w:rPr>
                <w:rFonts w:ascii="Arial" w:cs="Arial" w:eastAsia="Arial" w:hAnsi="Arial"/>
                <w:sz w:val="18"/>
                <w:szCs w:val="18"/>
                <w:color w:val="auto"/>
                <w:w w:val="92"/>
              </w:rPr>
              <w:t>incorporation)</w:t>
            </w:r>
          </w:p>
        </w:tc>
        <w:tc>
          <w:tcPr>
            <w:tcW w:w="29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21"/>
        </w:trPr>
        <w:tc>
          <w:tcPr>
            <w:tcW w:w="600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89"/>
              </w:rPr>
              <w:t>Weststrasse 1, 6340 Baar, Switzerland</w:t>
            </w:r>
          </w:p>
        </w:tc>
        <w:tc>
          <w:tcPr>
            <w:tcW w:w="324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95"/>
              </w:rPr>
              <w:t>CH 6340</w:t>
            </w:r>
          </w:p>
        </w:tc>
      </w:tr>
      <w:tr>
        <w:trPr>
          <w:trHeight w:val="27"/>
        </w:trPr>
        <w:tc>
          <w:tcPr>
            <w:tcW w:w="6000" w:type="dxa"/>
            <w:vAlign w:val="bottom"/>
            <w:tcBorders>
              <w:bottom w:val="single" w:sz="8" w:color="auto"/>
            </w:tcBorders>
            <w:gridSpan w:val="2"/>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6000" w:type="dxa"/>
            <w:vAlign w:val="bottom"/>
            <w:gridSpan w:val="2"/>
          </w:tcPr>
          <w:p>
            <w:pPr>
              <w:jc w:val="center"/>
              <w:ind w:left="70"/>
              <w:spacing w:after="0"/>
              <w:rPr>
                <w:sz w:val="20"/>
                <w:szCs w:val="20"/>
                <w:color w:val="auto"/>
              </w:rPr>
            </w:pPr>
            <w:r>
              <w:rPr>
                <w:rFonts w:ascii="Arial" w:cs="Arial" w:eastAsia="Arial" w:hAnsi="Arial"/>
                <w:sz w:val="18"/>
                <w:szCs w:val="18"/>
                <w:color w:val="auto"/>
                <w:w w:val="92"/>
              </w:rPr>
              <w:t>(Address of principal executive offices)</w:t>
            </w:r>
          </w:p>
        </w:tc>
        <w:tc>
          <w:tcPr>
            <w:tcW w:w="3240" w:type="dxa"/>
            <w:vAlign w:val="bottom"/>
            <w:gridSpan w:val="2"/>
          </w:tcPr>
          <w:p>
            <w:pPr>
              <w:jc w:val="center"/>
              <w:ind w:left="70"/>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376" w:lineRule="exact"/>
        <w:rPr>
          <w:sz w:val="24"/>
          <w:szCs w:val="24"/>
          <w:color w:val="auto"/>
        </w:rPr>
      </w:pPr>
    </w:p>
    <w:p>
      <w:pPr>
        <w:ind w:left="3100"/>
        <w:spacing w:after="0"/>
        <w:rPr>
          <w:sz w:val="20"/>
          <w:szCs w:val="20"/>
          <w:color w:val="auto"/>
        </w:rPr>
      </w:pPr>
      <w:r>
        <w:rPr>
          <w:rFonts w:ascii="Arial" w:cs="Arial" w:eastAsia="Arial" w:hAnsi="Arial"/>
          <w:sz w:val="18"/>
          <w:szCs w:val="18"/>
          <w:b w:val="1"/>
          <w:bCs w:val="1"/>
          <w:color w:val="auto"/>
        </w:rPr>
        <w:t>Registrant’s telephone number, including area code: +41.22.816.1500</w:t>
      </w:r>
    </w:p>
    <w:p>
      <w:pPr>
        <w:spacing w:after="0" w:line="171" w:lineRule="exact"/>
        <w:rPr>
          <w:sz w:val="24"/>
          <w:szCs w:val="24"/>
          <w:color w:val="auto"/>
        </w:rPr>
      </w:pPr>
    </w:p>
    <w:p>
      <w:pPr>
        <w:ind w:left="5560"/>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467995</wp:posOffset>
            </wp:positionH>
            <wp:positionV relativeFrom="paragraph">
              <wp:posOffset>34290</wp:posOffset>
            </wp:positionV>
            <wp:extent cx="63290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61"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1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1" w:lineRule="exact"/>
        <w:rPr>
          <w:sz w:val="24"/>
          <w:szCs w:val="24"/>
          <w:color w:val="auto"/>
        </w:rPr>
      </w:pPr>
    </w:p>
    <w:p>
      <w:pPr>
        <w:ind w:right="4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1934 (§240.12b-2 of this chapter).</w:t>
      </w:r>
    </w:p>
    <w:p>
      <w:pPr>
        <w:spacing w:after="0" w:line="3"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4"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300"/>
          </w:cols>
          <w:pgMar w:left="240" w:top="1003" w:right="359" w:bottom="1440" w:gutter="0" w:footer="0" w:header="0"/>
        </w:sectPr>
      </w:pPr>
    </w:p>
    <w:bookmarkStart w:id="1" w:name="page2"/>
    <w:bookmarkEnd w:id="1"/>
    <w:p>
      <w:pPr>
        <w:ind w:left="40"/>
        <w:spacing w:after="0"/>
        <w:tabs>
          <w:tab w:leader="none" w:pos="162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October 29, 2018, Weatherford International plc (“we” or the “Company”) issued a news release announcing results for the third quarter ended September 30, 2018. A copy of the news release is furnished as Exhibit 99.1 and incorporated into this Item 2.02.</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October 29, 2018, we will hold a conference call at 8:30 a.m. eastern time (“ET”), 7:30 a.m. central time (“CT”), regarding the Company’s third quarter ended September 30, 2018 results. This scheduled conference call was previously announced on August 30, 2018. To access the call, please contact the conference call operator at 866-393-8572, or 706-643-6499 for international calls, approximately 10 minutes prior to the scheduled start time, and ask for the Weatherford conference call. The passcode is “Weatherford.” The Company invites investors to listen to the call live via the Company’s website, at https://www.weatherford.com/en/investor-relations/conference-call-details/. To access the conference call click on the webcast link. Presentation materials will also be posted on the Company’s website prior to the conference call. To view the presentation materials, go to https://www.weatherford.com/en/investor-relations/investor-presentations/.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recording of the conference call and transcript of the call will be available in Investor Relations section of the website shortly after the call ends at the Company’s website at http://www.weatherford.com. A replay of the call will be available until 5:00 p.m. ET, November 8, 2018. To access the webcast of the conference call replay, click on the Investor Relations link and then click on the webcast link. The number for the replay is 855-859-2056 or 404-537-3406 for international calls; passcode 3993477.</w:t>
      </w:r>
    </w:p>
    <w:p>
      <w:pPr>
        <w:spacing w:after="0" w:line="345" w:lineRule="exact"/>
        <w:rPr>
          <w:sz w:val="20"/>
          <w:szCs w:val="20"/>
          <w:color w:val="auto"/>
        </w:rPr>
      </w:pPr>
    </w:p>
    <w:p>
      <w:pPr>
        <w:ind w:left="40"/>
        <w:spacing w:after="0"/>
        <w:tabs>
          <w:tab w:leader="none" w:pos="162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October 29, 2018, we issued a news release announcing results for the Company’s third quarter ended September 30, 2018. A copy of the news release is furnished as Exhibit 99.1 and incorporated into this Item 7.01.</w:t>
      </w:r>
    </w:p>
    <w:p>
      <w:pPr>
        <w:spacing w:after="0" w:line="329" w:lineRule="exact"/>
        <w:rPr>
          <w:sz w:val="20"/>
          <w:szCs w:val="20"/>
          <w:color w:val="auto"/>
        </w:rPr>
      </w:pPr>
    </w:p>
    <w:p>
      <w:pPr>
        <w:ind w:left="40"/>
        <w:spacing w:after="0"/>
        <w:tabs>
          <w:tab w:leader="none" w:pos="16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351" w:lineRule="exact"/>
        <w:rPr>
          <w:sz w:val="20"/>
          <w:szCs w:val="20"/>
          <w:color w:val="auto"/>
        </w:rPr>
      </w:pPr>
    </w:p>
    <w:p>
      <w:pPr>
        <w:ind w:left="1640" w:hanging="994"/>
        <w:spacing w:after="0"/>
        <w:tabs>
          <w:tab w:leader="none" w:pos="1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below are furnished pursuant to Item 9.01 of this Form 8-K.</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2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4"/>
              </w:rPr>
              <w:t>Exhibit Number</w:t>
            </w:r>
          </w:p>
        </w:tc>
        <w:tc>
          <w:tcPr>
            <w:tcW w:w="9800" w:type="dxa"/>
            <w:vAlign w:val="bottom"/>
          </w:tcPr>
          <w:p>
            <w:pPr>
              <w:ind w:left="20"/>
              <w:spacing w:after="0"/>
              <w:rPr>
                <w:sz w:val="20"/>
                <w:szCs w:val="20"/>
                <w:color w:val="auto"/>
              </w:rPr>
            </w:pPr>
            <w:r>
              <w:rPr>
                <w:rFonts w:ascii="Arial" w:cs="Arial" w:eastAsia="Arial" w:hAnsi="Arial"/>
                <w:sz w:val="18"/>
                <w:szCs w:val="18"/>
                <w:b w:val="1"/>
                <w:bCs w:val="1"/>
                <w:color w:val="auto"/>
              </w:rPr>
              <w:t>Exhibit Description</w:t>
            </w:r>
          </w:p>
        </w:tc>
      </w:tr>
      <w:tr>
        <w:trPr>
          <w:trHeight w:val="27"/>
        </w:trPr>
        <w:tc>
          <w:tcPr>
            <w:tcW w:w="6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0" w:type="dxa"/>
            <w:vAlign w:val="bottom"/>
            <w:tcBorders>
              <w:bottom w:val="single" w:sz="8" w:color="auto"/>
            </w:tcBorders>
          </w:tcPr>
          <w:p>
            <w:pPr>
              <w:spacing w:after="0"/>
              <w:rPr>
                <w:sz w:val="2"/>
                <w:szCs w:val="2"/>
                <w:color w:val="auto"/>
              </w:rPr>
            </w:pPr>
          </w:p>
        </w:tc>
      </w:tr>
      <w:tr>
        <w:trPr>
          <w:trHeight w:val="196"/>
        </w:trPr>
        <w:tc>
          <w:tcPr>
            <w:tcW w:w="900" w:type="dxa"/>
            <w:vAlign w:val="bottom"/>
            <w:gridSpan w:val="2"/>
          </w:tcPr>
          <w:p>
            <w:pPr>
              <w:jc w:val="center"/>
              <w:spacing w:after="0" w:line="196" w:lineRule="exact"/>
              <w:rPr>
                <w:rFonts w:ascii="Arial" w:cs="Arial" w:eastAsia="Arial" w:hAnsi="Arial"/>
                <w:sz w:val="18"/>
                <w:szCs w:val="18"/>
                <w:color w:val="0000FF"/>
              </w:rPr>
            </w:pPr>
            <w:hyperlink w:anchor="page4">
              <w:r>
                <w:rPr>
                  <w:rFonts w:ascii="Arial" w:cs="Arial" w:eastAsia="Arial" w:hAnsi="Arial"/>
                  <w:sz w:val="18"/>
                  <w:szCs w:val="18"/>
                  <w:color w:val="0000FF"/>
                </w:rPr>
                <w:t>99.</w:t>
              </w:r>
              <w:r>
                <w:rPr>
                  <w:rFonts w:ascii="Arial" w:cs="Arial" w:eastAsia="Arial" w:hAnsi="Arial"/>
                  <w:sz w:val="18"/>
                  <w:szCs w:val="18"/>
                  <w:u w:val="single" w:color="auto"/>
                  <w:color w:val="0000FF"/>
                </w:rPr>
                <w:t>1</w:t>
              </w:r>
            </w:hyperlink>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0" w:type="dxa"/>
            <w:vAlign w:val="bottom"/>
          </w:tcPr>
          <w:p>
            <w:pPr>
              <w:ind w:left="20"/>
              <w:spacing w:after="0" w:line="196" w:lineRule="exact"/>
              <w:rPr>
                <w:sz w:val="20"/>
                <w:szCs w:val="20"/>
                <w:color w:val="auto"/>
              </w:rPr>
            </w:pPr>
            <w:r>
              <w:rPr>
                <w:rFonts w:ascii="Arial" w:cs="Arial" w:eastAsia="Arial" w:hAnsi="Arial"/>
                <w:sz w:val="18"/>
                <w:szCs w:val="18"/>
                <w:color w:val="auto"/>
              </w:rPr>
              <w:t>News Release dated October 29, 2018, announcing results for the third quarter ended September 30, 2018.</w:t>
            </w:r>
          </w:p>
        </w:tc>
      </w:tr>
      <w:tr>
        <w:trPr>
          <w:trHeight w:val="20"/>
        </w:trPr>
        <w:tc>
          <w:tcPr>
            <w:tcW w:w="6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0" w:type="dxa"/>
            <w:vAlign w:val="bottom"/>
          </w:tcPr>
          <w:p>
            <w:pPr>
              <w:spacing w:after="0" w:line="20" w:lineRule="exact"/>
              <w:rPr>
                <w:sz w:val="1"/>
                <w:szCs w:val="1"/>
                <w:color w:val="auto"/>
              </w:rPr>
            </w:pPr>
          </w:p>
        </w:tc>
      </w:tr>
    </w:tbl>
    <w:p>
      <w:pPr>
        <w:sectPr>
          <w:pgSz w:w="11900" w:h="16838" w:orient="portrait"/>
          <w:cols w:equalWidth="0" w:num="1">
            <w:col w:w="11420"/>
          </w:cols>
          <w:pgMar w:left="240" w:top="742"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5" w:lineRule="exact"/>
        <w:rPr>
          <w:sz w:val="20"/>
          <w:szCs w:val="20"/>
          <w:color w:val="auto"/>
        </w:rPr>
      </w:pPr>
    </w:p>
    <w:p>
      <w:pPr>
        <w:ind w:left="6940"/>
        <w:spacing w:after="0"/>
        <w:rPr>
          <w:sz w:val="20"/>
          <w:szCs w:val="20"/>
          <w:color w:val="auto"/>
        </w:rPr>
      </w:pPr>
      <w:r>
        <w:rPr>
          <w:rFonts w:ascii="Arial" w:cs="Arial" w:eastAsia="Arial" w:hAnsi="Arial"/>
          <w:sz w:val="18"/>
          <w:szCs w:val="18"/>
          <w:b w:val="1"/>
          <w:bCs w:val="1"/>
          <w:color w:val="auto"/>
        </w:rPr>
        <w:t>Weatherford International plc</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October 29, 2018</w:t>
      </w:r>
    </w:p>
    <w:p>
      <w:pPr>
        <w:spacing w:after="0" w:line="6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/s/ Christoph Bausch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31750</wp:posOffset>
            </wp:positionV>
            <wp:extent cx="38931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893185" cy="8890"/>
                    </a:xfrm>
                    <a:prstGeom prst="rect">
                      <a:avLst/>
                    </a:prstGeom>
                    <a:noFill/>
                  </pic:spPr>
                </pic:pic>
              </a:graphicData>
            </a:graphic>
          </wp:anchor>
        </w:drawing>
      </w:r>
    </w:p>
    <w:p>
      <w:pPr>
        <w:spacing w:after="0" w:line="57"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Christoph Bausch</w:t>
      </w:r>
    </w:p>
    <w:p>
      <w:pPr>
        <w:spacing w:after="0" w:line="63"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Executive Vice President and</w:t>
      </w:r>
    </w:p>
    <w:p>
      <w:pPr>
        <w:spacing w:after="0" w:line="23"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20"/>
          </w:cols>
          <w:pgMar w:left="240" w:top="580"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283210</wp:posOffset>
            </wp:positionV>
            <wp:extent cx="1903730" cy="7886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0373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0360"/>
        <w:spacing w:after="0"/>
        <w:rPr>
          <w:sz w:val="20"/>
          <w:szCs w:val="20"/>
          <w:color w:val="auto"/>
        </w:rPr>
      </w:pPr>
      <w:r>
        <w:rPr>
          <w:rFonts w:ascii="Arial" w:cs="Arial" w:eastAsia="Arial" w:hAnsi="Arial"/>
          <w:sz w:val="15"/>
          <w:szCs w:val="15"/>
          <w:b w:val="1"/>
          <w:bCs w:val="1"/>
          <w:color w:val="auto"/>
        </w:rPr>
        <w:t>News Release</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Weatherford Reports Third Quarter 2018 Results</w:t>
      </w:r>
    </w:p>
    <w:p>
      <w:pPr>
        <w:spacing w:after="0" w:line="200" w:lineRule="exact"/>
        <w:rPr>
          <w:sz w:val="20"/>
          <w:szCs w:val="20"/>
          <w:color w:val="auto"/>
        </w:rPr>
      </w:pPr>
    </w:p>
    <w:p>
      <w:pPr>
        <w:spacing w:after="0" w:line="318" w:lineRule="exact"/>
        <w:rPr>
          <w:sz w:val="20"/>
          <w:szCs w:val="20"/>
          <w:color w:val="auto"/>
        </w:rPr>
      </w:pPr>
    </w:p>
    <w:p>
      <w:pPr>
        <w:jc w:val="both"/>
        <w:spacing w:after="0" w:line="387" w:lineRule="auto"/>
        <w:rPr>
          <w:sz w:val="20"/>
          <w:szCs w:val="20"/>
          <w:color w:val="auto"/>
        </w:rPr>
      </w:pPr>
      <w:r>
        <w:rPr>
          <w:rFonts w:ascii="Arial" w:cs="Arial" w:eastAsia="Arial" w:hAnsi="Arial"/>
          <w:sz w:val="18"/>
          <w:szCs w:val="18"/>
          <w:color w:val="auto"/>
        </w:rPr>
        <w:t>BAAR, SWITZERLAND, October 29, 2018 - Weatherford International plc (NYSE: WFT) reported a net loss of $199 million, or a loss of $0.20 per share, for the third quarter of 2018. This compares to a net loss of $256 million, or a loss of $0.26 per share, for the third quarter of 2017.</w:t>
      </w:r>
    </w:p>
    <w:p>
      <w:pPr>
        <w:spacing w:after="0" w:line="264" w:lineRule="exact"/>
        <w:rPr>
          <w:sz w:val="20"/>
          <w:szCs w:val="20"/>
          <w:color w:val="auto"/>
        </w:rPr>
      </w:pPr>
    </w:p>
    <w:p>
      <w:pPr>
        <w:jc w:val="both"/>
        <w:spacing w:after="0" w:line="373" w:lineRule="auto"/>
        <w:rPr>
          <w:sz w:val="20"/>
          <w:szCs w:val="20"/>
          <w:color w:val="auto"/>
        </w:rPr>
      </w:pPr>
      <w:r>
        <w:rPr>
          <w:rFonts w:ascii="Arial" w:cs="Arial" w:eastAsia="Arial" w:hAnsi="Arial"/>
          <w:sz w:val="18"/>
          <w:szCs w:val="18"/>
          <w:color w:val="auto"/>
        </w:rPr>
        <w:t>The non-GAAP net loss for the third quarter of 2018, which excludes unusual charges and credits, was $103 million, or $0.10 diluted loss per share. This compares to a $156 million non-GAAP net loss in the prior quarter, or $0.16 diluted loss per share, and a $221 million non-GAAP net loss for the third quarter of 2017, or $0.22 diluted loss per share.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Significant Highlights</w:t>
      </w:r>
    </w:p>
    <w:p>
      <w:pPr>
        <w:spacing w:after="0" w:line="108" w:lineRule="exact"/>
        <w:rPr>
          <w:sz w:val="20"/>
          <w:szCs w:val="20"/>
          <w:color w:val="auto"/>
        </w:rPr>
      </w:pPr>
    </w:p>
    <w:p>
      <w:pPr>
        <w:ind w:left="500" w:hanging="330"/>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segment operating income by 68% sequentially and by $123 million on a year-over-year basis.</w:t>
      </w:r>
    </w:p>
    <w:p>
      <w:pPr>
        <w:spacing w:after="0" w:line="103" w:lineRule="exact"/>
        <w:rPr>
          <w:rFonts w:ascii="Arial" w:cs="Arial" w:eastAsia="Arial" w:hAnsi="Arial"/>
          <w:sz w:val="18"/>
          <w:szCs w:val="18"/>
          <w:color w:val="auto"/>
        </w:rPr>
      </w:pPr>
    </w:p>
    <w:p>
      <w:pPr>
        <w:ind w:left="500" w:hanging="330"/>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Reached an agreement with lenders to extend the revolving credit facility.</w:t>
      </w:r>
    </w:p>
    <w:p>
      <w:pPr>
        <w:spacing w:after="0" w:line="103" w:lineRule="exact"/>
        <w:rPr>
          <w:rFonts w:ascii="Arial" w:cs="Arial" w:eastAsia="Arial" w:hAnsi="Arial"/>
          <w:sz w:val="18"/>
          <w:szCs w:val="18"/>
          <w:color w:val="auto"/>
        </w:rPr>
      </w:pPr>
    </w:p>
    <w:p>
      <w:pPr>
        <w:ind w:left="500" w:hanging="330"/>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Achieved annualized recurring transformation benefits of $300 million, which represents 30% of the total transformation target.</w:t>
      </w:r>
    </w:p>
    <w:p>
      <w:pPr>
        <w:spacing w:after="0" w:line="103" w:lineRule="exact"/>
        <w:rPr>
          <w:rFonts w:ascii="Arial" w:cs="Arial" w:eastAsia="Arial" w:hAnsi="Arial"/>
          <w:sz w:val="18"/>
          <w:szCs w:val="18"/>
          <w:color w:val="auto"/>
        </w:rPr>
      </w:pPr>
    </w:p>
    <w:p>
      <w:pPr>
        <w:ind w:left="500" w:hanging="330"/>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Signed a definitive agreement to divest the laboratory services business for $205 million in cash.</w:t>
      </w:r>
    </w:p>
    <w:p>
      <w:pPr>
        <w:spacing w:after="0" w:line="103" w:lineRule="exact"/>
        <w:rPr>
          <w:rFonts w:ascii="Arial" w:cs="Arial" w:eastAsia="Arial" w:hAnsi="Arial"/>
          <w:sz w:val="18"/>
          <w:szCs w:val="18"/>
          <w:color w:val="auto"/>
        </w:rPr>
      </w:pPr>
    </w:p>
    <w:p>
      <w:pPr>
        <w:ind w:left="500" w:hanging="330"/>
        <w:spacing w:after="0"/>
        <w:tabs>
          <w:tab w:leader="none" w:pos="50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Continued to exceed goals for reducing nonproductive time on a year-to-date basis, extending the improvements achieved over the past four years.</w:t>
      </w:r>
    </w:p>
    <w:p>
      <w:pPr>
        <w:spacing w:after="0" w:line="72" w:lineRule="exact"/>
        <w:rPr>
          <w:rFonts w:ascii="Arial" w:cs="Arial" w:eastAsia="Arial" w:hAnsi="Arial"/>
          <w:sz w:val="16"/>
          <w:szCs w:val="16"/>
          <w:color w:val="auto"/>
        </w:rPr>
      </w:pPr>
    </w:p>
    <w:p>
      <w:pPr>
        <w:ind w:left="500" w:hanging="330"/>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Extended ForeSite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CygNet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SCADA production software availability on the Google Cloud platform.</w:t>
      </w:r>
    </w:p>
    <w:p>
      <w:pPr>
        <w:spacing w:after="0" w:line="388" w:lineRule="exact"/>
        <w:rPr>
          <w:sz w:val="20"/>
          <w:szCs w:val="20"/>
          <w:color w:val="auto"/>
        </w:rPr>
      </w:pPr>
    </w:p>
    <w:p>
      <w:pPr>
        <w:jc w:val="both"/>
        <w:spacing w:after="0" w:line="369" w:lineRule="auto"/>
        <w:rPr>
          <w:sz w:val="20"/>
          <w:szCs w:val="20"/>
          <w:color w:val="auto"/>
        </w:rPr>
      </w:pPr>
      <w:r>
        <w:rPr>
          <w:rFonts w:ascii="Arial" w:cs="Arial" w:eastAsia="Arial" w:hAnsi="Arial"/>
          <w:sz w:val="18"/>
          <w:szCs w:val="18"/>
          <w:color w:val="auto"/>
        </w:rPr>
        <w:t>Revenue in the third quarter of 2018 was $1.44 billion, a modest decrease from the $1.45 billion of revenue recognized in the prior quarter and an approximately 1% decrease from the $1.46 billion of revenue reported for the third quarter of 2017. Sequentially, seasonal improvements in Canada and activity increases in Continental Europe and Asia were offset by lower overall activity levels in the United States and unfavorable foreign exchange rate movements in Latin America.</w:t>
      </w:r>
    </w:p>
    <w:p>
      <w:pPr>
        <w:spacing w:after="0" w:line="280" w:lineRule="exact"/>
        <w:rPr>
          <w:sz w:val="20"/>
          <w:szCs w:val="20"/>
          <w:color w:val="auto"/>
        </w:rPr>
      </w:pPr>
    </w:p>
    <w:p>
      <w:pPr>
        <w:jc w:val="both"/>
        <w:spacing w:after="0" w:line="373" w:lineRule="auto"/>
        <w:rPr>
          <w:sz w:val="20"/>
          <w:szCs w:val="20"/>
          <w:color w:val="auto"/>
        </w:rPr>
      </w:pPr>
      <w:r>
        <w:rPr>
          <w:rFonts w:ascii="Arial" w:cs="Arial" w:eastAsia="Arial" w:hAnsi="Arial"/>
          <w:sz w:val="18"/>
          <w:szCs w:val="18"/>
          <w:color w:val="auto"/>
        </w:rPr>
        <w:t>On a year-over-year basis, higher revenues associated with integrated service projects in Latin America were offset by lower activity levels in Canada as crude oil differentials expanded, which reduced demand for Completions and Production services and products. Results in Russia were negatively impacted by foreign exchange rate effects.</w:t>
      </w:r>
    </w:p>
    <w:p>
      <w:pPr>
        <w:spacing w:after="0" w:line="277" w:lineRule="exact"/>
        <w:rPr>
          <w:sz w:val="20"/>
          <w:szCs w:val="20"/>
          <w:color w:val="auto"/>
        </w:rPr>
      </w:pPr>
    </w:p>
    <w:p>
      <w:pPr>
        <w:jc w:val="both"/>
        <w:ind w:right="20"/>
        <w:spacing w:after="0" w:line="387" w:lineRule="auto"/>
        <w:rPr>
          <w:sz w:val="20"/>
          <w:szCs w:val="20"/>
          <w:color w:val="auto"/>
        </w:rPr>
      </w:pPr>
      <w:r>
        <w:rPr>
          <w:rFonts w:ascii="Arial" w:cs="Arial" w:eastAsia="Arial" w:hAnsi="Arial"/>
          <w:sz w:val="18"/>
          <w:szCs w:val="18"/>
          <w:color w:val="auto"/>
        </w:rPr>
        <w:t>Operating loss for the third quarter of 2018 was $13 million. Segment operating income in the third quarter of 2018 was $116 million, up $47 million, or 68%, sequentially and up $123 million year-over-year.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75" w:right="239" w:bottom="1440" w:gutter="0" w:footer="0" w:header="0"/>
        </w:sectPr>
      </w:pPr>
    </w:p>
    <w:bookmarkStart w:id="4" w:name="page5"/>
    <w:bookmarkEnd w:id="4"/>
    <w:p>
      <w:pPr>
        <w:jc w:val="both"/>
        <w:spacing w:after="0" w:line="387" w:lineRule="auto"/>
        <w:rPr>
          <w:sz w:val="20"/>
          <w:szCs w:val="20"/>
          <w:color w:val="auto"/>
        </w:rPr>
      </w:pPr>
      <w:r>
        <w:rPr>
          <w:rFonts w:ascii="Arial" w:cs="Arial" w:eastAsia="Arial" w:hAnsi="Arial"/>
          <w:sz w:val="18"/>
          <w:szCs w:val="18"/>
          <w:color w:val="auto"/>
        </w:rPr>
        <w:t>The sequential improvement was driven by seasonal activity increases in Canada and higher margins across all product line segments on reduced costs and improved efficiencies as a result of the transformation efforts.</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Year-over-year operating income improvements were driven by improved efficiencies and reduced expenses as a result of the transformation processes.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Higher revenues in Latin America positively impacted operating income, offsetting relatively weak results in Canada.</w:t>
      </w:r>
    </w:p>
    <w:p>
      <w:pPr>
        <w:spacing w:after="0" w:line="200" w:lineRule="exact"/>
        <w:rPr>
          <w:sz w:val="20"/>
          <w:szCs w:val="20"/>
          <w:color w:val="auto"/>
        </w:rPr>
      </w:pPr>
    </w:p>
    <w:p>
      <w:pPr>
        <w:spacing w:after="0" w:line="214" w:lineRule="exact"/>
        <w:rPr>
          <w:sz w:val="20"/>
          <w:szCs w:val="20"/>
          <w:color w:val="auto"/>
        </w:rPr>
      </w:pPr>
    </w:p>
    <w:p>
      <w:pPr>
        <w:jc w:val="both"/>
        <w:spacing w:after="0" w:line="373" w:lineRule="auto"/>
        <w:rPr>
          <w:sz w:val="20"/>
          <w:szCs w:val="20"/>
          <w:color w:val="auto"/>
        </w:rPr>
      </w:pPr>
      <w:r>
        <w:rPr>
          <w:rFonts w:ascii="Arial" w:cs="Arial" w:eastAsia="Arial" w:hAnsi="Arial"/>
          <w:sz w:val="18"/>
          <w:szCs w:val="18"/>
          <w:color w:val="auto"/>
        </w:rPr>
        <w:t>In the quarter, Weatherford recorded pre-tax charges of $95 million, which consist of $71 million in non-cash impairments and asset write-downs, primarily related to land drilling rigs, $27 million in restructuring and transformation charges, and $8 million in currency devaluation charges, partially offset by an $11 million credit related to the fair value adjustment of the outstanding warrant.</w:t>
      </w:r>
    </w:p>
    <w:p>
      <w:pPr>
        <w:spacing w:after="0" w:line="277" w:lineRule="exact"/>
        <w:rPr>
          <w:sz w:val="20"/>
          <w:szCs w:val="20"/>
          <w:color w:val="auto"/>
        </w:rPr>
      </w:pPr>
    </w:p>
    <w:p>
      <w:pPr>
        <w:jc w:val="both"/>
        <w:spacing w:after="0" w:line="373" w:lineRule="auto"/>
        <w:rPr>
          <w:sz w:val="20"/>
          <w:szCs w:val="20"/>
          <w:color w:val="auto"/>
        </w:rPr>
      </w:pPr>
      <w:r>
        <w:rPr>
          <w:rFonts w:ascii="Arial" w:cs="Arial" w:eastAsia="Arial" w:hAnsi="Arial"/>
          <w:sz w:val="18"/>
          <w:szCs w:val="18"/>
          <w:color w:val="auto"/>
        </w:rPr>
        <w:t>In the third quarter of 2018, incremental recurring benefits as a result of the transformation plan were $27 million. The total recurring transformation benefits recognized during the third quarter were $75 million, or approximately $300 million on an annualized basis, which represents about 30% of the $1 billion target.</w:t>
      </w:r>
    </w:p>
    <w:p>
      <w:pPr>
        <w:spacing w:after="0" w:line="291" w:lineRule="exact"/>
        <w:rPr>
          <w:sz w:val="20"/>
          <w:szCs w:val="20"/>
          <w:color w:val="auto"/>
        </w:rPr>
      </w:pPr>
    </w:p>
    <w:p>
      <w:pPr>
        <w:jc w:val="both"/>
        <w:spacing w:after="0" w:line="396" w:lineRule="auto"/>
        <w:rPr>
          <w:sz w:val="20"/>
          <w:szCs w:val="20"/>
          <w:color w:val="auto"/>
        </w:rPr>
      </w:pPr>
      <w:r>
        <w:rPr>
          <w:rFonts w:ascii="Arial" w:cs="Arial" w:eastAsia="Arial" w:hAnsi="Arial"/>
          <w:sz w:val="18"/>
          <w:szCs w:val="18"/>
          <w:color w:val="auto"/>
        </w:rPr>
        <w:t>Mark A. McCollum, President and Chief Executive Officer, commented, “I am pleased with our third quarter operating results, which once again demonstrate the strength of our transformation and its positive impact on our bottom line. With a $195 million, or 56%, increase in adjusted EBITDA year-to-date compared to this time last year, these results represent a significant achievement and reaffirm the effectiveness of our transformation plan. Our progress reflects the discipline and accountability now being ingrained in our organization. I am confident that, having achieved approximately 30% of our annualized transformation goal, we will reach our $1 billion run-rate improvement target by the end of 2019. I believe we are just starting to see what this company is capable of.”</w:t>
      </w:r>
    </w:p>
    <w:p>
      <w:pPr>
        <w:spacing w:after="0" w:line="274" w:lineRule="exact"/>
        <w:rPr>
          <w:sz w:val="20"/>
          <w:szCs w:val="20"/>
          <w:color w:val="auto"/>
        </w:rPr>
      </w:pPr>
    </w:p>
    <w:p>
      <w:pPr>
        <w:jc w:val="both"/>
        <w:ind w:right="20"/>
        <w:spacing w:after="0" w:line="424" w:lineRule="auto"/>
        <w:rPr>
          <w:sz w:val="20"/>
          <w:szCs w:val="20"/>
          <w:color w:val="auto"/>
        </w:rPr>
      </w:pPr>
      <w:r>
        <w:rPr>
          <w:rFonts w:ascii="Arial" w:cs="Arial" w:eastAsia="Arial" w:hAnsi="Arial"/>
          <w:sz w:val="17"/>
          <w:szCs w:val="17"/>
          <w:color w:val="auto"/>
        </w:rPr>
        <w:t>“During the quarter, we fell short of our revenue and cash flow goals, due in large part to transitory supply chain and manufacturing inefficiencies as well as continued challenges converting inventories to cash. We remain intensely focused on generating free cash flow and on reversing these trends.”</w:t>
      </w:r>
    </w:p>
    <w:p>
      <w:pPr>
        <w:spacing w:after="0" w:line="241" w:lineRule="exact"/>
        <w:rPr>
          <w:sz w:val="20"/>
          <w:szCs w:val="20"/>
          <w:color w:val="auto"/>
        </w:rPr>
      </w:pPr>
    </w:p>
    <w:p>
      <w:pPr>
        <w:jc w:val="both"/>
        <w:ind w:right="20"/>
        <w:spacing w:after="0" w:line="387" w:lineRule="auto"/>
        <w:rPr>
          <w:sz w:val="20"/>
          <w:szCs w:val="20"/>
          <w:color w:val="auto"/>
        </w:rPr>
      </w:pPr>
      <w:r>
        <w:rPr>
          <w:rFonts w:ascii="Arial" w:cs="Arial" w:eastAsia="Arial" w:hAnsi="Arial"/>
          <w:sz w:val="18"/>
          <w:szCs w:val="18"/>
          <w:color w:val="auto"/>
        </w:rPr>
        <w:t>“The recent announcement of the sale of our laboratory services business earlier this month, combined with the previously announced land drilling rigs divestiture, will generate close to $500 million in cash proceeds, which will be used to reduce debt.”</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Flow</w:t>
      </w:r>
    </w:p>
    <w:p>
      <w:pPr>
        <w:spacing w:after="0" w:line="108" w:lineRule="exact"/>
        <w:rPr>
          <w:sz w:val="20"/>
          <w:szCs w:val="20"/>
          <w:color w:val="auto"/>
        </w:rPr>
      </w:pPr>
    </w:p>
    <w:p>
      <w:pPr>
        <w:jc w:val="both"/>
        <w:spacing w:after="0" w:line="369" w:lineRule="auto"/>
        <w:rPr>
          <w:sz w:val="20"/>
          <w:szCs w:val="20"/>
          <w:color w:val="auto"/>
        </w:rPr>
      </w:pPr>
      <w:r>
        <w:rPr>
          <w:rFonts w:ascii="Arial" w:cs="Arial" w:eastAsia="Arial" w:hAnsi="Arial"/>
          <w:sz w:val="18"/>
          <w:szCs w:val="18"/>
          <w:color w:val="auto"/>
        </w:rPr>
        <w:t>Net cash used by operating activities was $32 million for the third quarter of 2018, driven by cash payments of $156 million for debt interest and $20 million for cash severance, restructuring, and transformation offset by segment operating income. Third quarter total capital expenditures of $55 million, including investments in held-for-sale land drilling rigs, increased by $7 million, or 15%, sequentially and decreased $10 million, or 15%, from the same quarter in the prior year.</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733"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3560" w:type="dxa"/>
            <w:vAlign w:val="bottom"/>
            <w:gridSpan w:val="5"/>
          </w:tcPr>
          <w:p>
            <w:pPr>
              <w:spacing w:after="0"/>
              <w:rPr>
                <w:sz w:val="20"/>
                <w:szCs w:val="20"/>
                <w:color w:val="auto"/>
              </w:rPr>
            </w:pPr>
            <w:r>
              <w:rPr>
                <w:rFonts w:ascii="Arial" w:cs="Arial" w:eastAsia="Arial" w:hAnsi="Arial"/>
                <w:sz w:val="18"/>
                <w:szCs w:val="18"/>
                <w:b w:val="1"/>
                <w:bCs w:val="1"/>
                <w:color w:val="auto"/>
              </w:rPr>
              <w:t>Operating Segments</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439"/>
        </w:trPr>
        <w:tc>
          <w:tcPr>
            <w:tcW w:w="40" w:type="dxa"/>
            <w:vAlign w:val="bottom"/>
            <w:tcBorders>
              <w:top w:val="single" w:sz="8" w:color="auto"/>
            </w:tcBorders>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60" w:type="dxa"/>
            <w:vAlign w:val="bottom"/>
            <w:gridSpan w:val="6"/>
          </w:tcPr>
          <w:p>
            <w:pPr>
              <w:jc w:val="right"/>
              <w:ind w:right="180"/>
              <w:spacing w:after="0"/>
              <w:rPr>
                <w:sz w:val="20"/>
                <w:szCs w:val="20"/>
                <w:color w:val="auto"/>
              </w:rPr>
            </w:pPr>
            <w:r>
              <w:rPr>
                <w:rFonts w:ascii="Arial" w:cs="Arial" w:eastAsia="Arial" w:hAnsi="Arial"/>
                <w:sz w:val="18"/>
                <w:szCs w:val="18"/>
                <w:b w:val="1"/>
                <w:bCs w:val="1"/>
                <w:color w:val="auto"/>
                <w:w w:val="93"/>
              </w:rPr>
              <w:t>Three Months Ended</w:t>
            </w: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gridSpan w:val="3"/>
          </w:tcPr>
          <w:p>
            <w:pPr>
              <w:ind w:left="220"/>
              <w:spacing w:after="0"/>
              <w:rPr>
                <w:sz w:val="20"/>
                <w:szCs w:val="20"/>
                <w:color w:val="auto"/>
              </w:rPr>
            </w:pPr>
            <w:r>
              <w:rPr>
                <w:rFonts w:ascii="Arial" w:cs="Arial" w:eastAsia="Arial" w:hAnsi="Arial"/>
                <w:sz w:val="18"/>
                <w:szCs w:val="18"/>
                <w:b w:val="1"/>
                <w:bCs w:val="1"/>
                <w:color w:val="auto"/>
              </w:rPr>
              <w:t>Change</w:t>
            </w: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Borders>
              <w:bottom w:val="single" w:sz="8" w:color="auto"/>
            </w:tcBorders>
            <w:gridSpan w:val="4"/>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37"/>
        </w:trPr>
        <w:tc>
          <w:tcPr>
            <w:tcW w:w="3560" w:type="dxa"/>
            <w:vAlign w:val="bottom"/>
            <w:gridSpan w:val="5"/>
          </w:tcPr>
          <w:p>
            <w:pPr>
              <w:ind w:left="40"/>
              <w:spacing w:after="0"/>
              <w:rPr>
                <w:sz w:val="20"/>
                <w:szCs w:val="20"/>
                <w:color w:val="auto"/>
              </w:rPr>
            </w:pPr>
            <w:r>
              <w:rPr>
                <w:rFonts w:ascii="Arial" w:cs="Arial" w:eastAsia="Arial" w:hAnsi="Arial"/>
                <w:sz w:val="18"/>
                <w:szCs w:val="18"/>
                <w:color w:val="auto"/>
              </w:rPr>
              <w:t>(In Millions)</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9/30/2018</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w w:val="99"/>
              </w:rPr>
              <w:t>6/30/2018</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9/30/2017</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gridSpan w:val="4"/>
          </w:tcPr>
          <w:p>
            <w:pPr>
              <w:ind w:left="400"/>
              <w:spacing w:after="0"/>
              <w:rPr>
                <w:sz w:val="20"/>
                <w:szCs w:val="20"/>
                <w:color w:val="auto"/>
              </w:rPr>
            </w:pPr>
            <w:r>
              <w:rPr>
                <w:rFonts w:ascii="Arial" w:cs="Arial" w:eastAsia="Arial" w:hAnsi="Arial"/>
                <w:sz w:val="18"/>
                <w:szCs w:val="18"/>
                <w:b w:val="1"/>
                <w:bCs w:val="1"/>
                <w:color w:val="auto"/>
              </w:rPr>
              <w:t>Sequential</w:t>
            </w:r>
          </w:p>
        </w:tc>
        <w:tc>
          <w:tcPr>
            <w:tcW w:w="680" w:type="dxa"/>
            <w:vAlign w:val="bottom"/>
          </w:tcPr>
          <w:p>
            <w:pPr>
              <w:jc w:val="right"/>
              <w:ind w:right="70"/>
              <w:spacing w:after="0"/>
              <w:rPr>
                <w:sz w:val="20"/>
                <w:szCs w:val="20"/>
                <w:color w:val="auto"/>
              </w:rPr>
            </w:pPr>
            <w:r>
              <w:rPr>
                <w:rFonts w:ascii="Arial" w:cs="Arial" w:eastAsia="Arial" w:hAnsi="Arial"/>
                <w:sz w:val="18"/>
                <w:szCs w:val="18"/>
                <w:b w:val="1"/>
                <w:bCs w:val="1"/>
                <w:color w:val="auto"/>
              </w:rPr>
              <w:t>YoY</w:t>
            </w:r>
          </w:p>
        </w:tc>
        <w:tc>
          <w:tcPr>
            <w:tcW w:w="460" w:type="dxa"/>
            <w:vAlign w:val="bottom"/>
          </w:tcPr>
          <w:p>
            <w:pPr>
              <w:spacing w:after="0"/>
              <w:rPr>
                <w:sz w:val="20"/>
                <w:szCs w:val="20"/>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196"/>
        </w:trPr>
        <w:tc>
          <w:tcPr>
            <w:tcW w:w="3560" w:type="dxa"/>
            <w:vAlign w:val="bottom"/>
            <w:gridSpan w:val="5"/>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Western Hemisphere</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19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r>
      <w:tr>
        <w:trPr>
          <w:trHeight w:val="243"/>
        </w:trPr>
        <w:tc>
          <w:tcPr>
            <w:tcW w:w="3560" w:type="dxa"/>
            <w:vAlign w:val="bottom"/>
            <w:gridSpan w:val="5"/>
          </w:tcPr>
          <w:p>
            <w:pPr>
              <w:ind w:left="40"/>
              <w:spacing w:after="0"/>
              <w:rPr>
                <w:sz w:val="20"/>
                <w:szCs w:val="20"/>
                <w:color w:val="auto"/>
              </w:rPr>
            </w:pPr>
            <w:r>
              <w:rPr>
                <w:rFonts w:ascii="Arial" w:cs="Arial" w:eastAsia="Arial" w:hAnsi="Arial"/>
                <w:sz w:val="18"/>
                <w:szCs w:val="18"/>
                <w:color w:val="auto"/>
              </w:rPr>
              <w:t>Revenues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762</w:t>
            </w:r>
          </w:p>
        </w:tc>
        <w:tc>
          <w:tcPr>
            <w:tcW w:w="260" w:type="dxa"/>
            <w:vAlign w:val="bottom"/>
          </w:tcPr>
          <w:p>
            <w:pPr>
              <w:spacing w:after="0"/>
              <w:rPr>
                <w:sz w:val="21"/>
                <w:szCs w:val="21"/>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769</w:t>
            </w:r>
          </w:p>
        </w:tc>
        <w:tc>
          <w:tcPr>
            <w:tcW w:w="6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767</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460" w:type="dxa"/>
            <w:vAlign w:val="bottom"/>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460" w:type="dxa"/>
            <w:vAlign w:val="bottom"/>
          </w:tcPr>
          <w:p>
            <w:pPr>
              <w:ind w:left="4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35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Segment Operating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c>
          <w:tcPr>
            <w:tcW w:w="6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c>
          <w:tcPr>
            <w:tcW w:w="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2,500</w:t>
            </w:r>
          </w:p>
        </w:tc>
        <w:tc>
          <w:tcPr>
            <w:tcW w:w="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r>
      <w:tr>
        <w:trPr>
          <w:trHeight w:val="243"/>
        </w:trPr>
        <w:tc>
          <w:tcPr>
            <w:tcW w:w="3560" w:type="dxa"/>
            <w:vAlign w:val="bottom"/>
            <w:gridSpan w:val="5"/>
          </w:tcPr>
          <w:p>
            <w:pPr>
              <w:ind w:left="40"/>
              <w:spacing w:after="0"/>
              <w:rPr>
                <w:sz w:val="20"/>
                <w:szCs w:val="20"/>
                <w:color w:val="auto"/>
              </w:rPr>
            </w:pPr>
            <w:r>
              <w:rPr>
                <w:rFonts w:ascii="Arial" w:cs="Arial" w:eastAsia="Arial" w:hAnsi="Arial"/>
                <w:sz w:val="18"/>
                <w:szCs w:val="18"/>
                <w:color w:val="auto"/>
              </w:rPr>
              <w:t>Segment Operating Margin</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6.5</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370</w:t>
            </w:r>
          </w:p>
        </w:tc>
        <w:tc>
          <w:tcPr>
            <w:tcW w:w="1000" w:type="dxa"/>
            <w:vAlign w:val="bottom"/>
            <w:gridSpan w:val="3"/>
          </w:tcPr>
          <w:p>
            <w:pPr>
              <w:ind w:left="40"/>
              <w:spacing w:after="0"/>
              <w:rPr>
                <w:sz w:val="20"/>
                <w:szCs w:val="20"/>
                <w:color w:val="auto"/>
              </w:rPr>
            </w:pPr>
            <w:r>
              <w:rPr>
                <w:rFonts w:ascii="Arial" w:cs="Arial" w:eastAsia="Arial" w:hAnsi="Arial"/>
                <w:sz w:val="18"/>
                <w:szCs w:val="18"/>
                <w:color w:val="auto"/>
              </w:rPr>
              <w:t>bps</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980</w:t>
            </w:r>
          </w:p>
        </w:tc>
        <w:tc>
          <w:tcPr>
            <w:tcW w:w="460" w:type="dxa"/>
            <w:vAlign w:val="bottom"/>
          </w:tcPr>
          <w:p>
            <w:pPr>
              <w:ind w:left="40"/>
              <w:spacing w:after="0"/>
              <w:rPr>
                <w:sz w:val="20"/>
                <w:szCs w:val="20"/>
                <w:color w:val="auto"/>
              </w:rPr>
            </w:pPr>
            <w:r>
              <w:rPr>
                <w:rFonts w:ascii="Arial" w:cs="Arial" w:eastAsia="Arial" w:hAnsi="Arial"/>
                <w:sz w:val="18"/>
                <w:szCs w:val="18"/>
                <w:color w:val="auto"/>
              </w:rPr>
              <w:t>bps</w:t>
            </w:r>
          </w:p>
        </w:tc>
      </w:tr>
      <w:tr>
        <w:trPr>
          <w:trHeight w:val="27"/>
        </w:trPr>
        <w:tc>
          <w:tcPr>
            <w:tcW w:w="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84"/>
        </w:trPr>
        <w:tc>
          <w:tcPr>
            <w:tcW w:w="4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9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r>
      <w:tr>
        <w:trPr>
          <w:trHeight w:val="203"/>
        </w:trPr>
        <w:tc>
          <w:tcPr>
            <w:tcW w:w="3560" w:type="dxa"/>
            <w:vAlign w:val="bottom"/>
            <w:gridSpan w:val="5"/>
          </w:tcPr>
          <w:p>
            <w:pPr>
              <w:ind w:left="40"/>
              <w:spacing w:after="0" w:line="202" w:lineRule="exact"/>
              <w:rPr>
                <w:sz w:val="20"/>
                <w:szCs w:val="20"/>
                <w:color w:val="auto"/>
              </w:rPr>
            </w:pPr>
            <w:r>
              <w:rPr>
                <w:rFonts w:ascii="Arial" w:cs="Arial" w:eastAsia="Arial" w:hAnsi="Arial"/>
                <w:sz w:val="18"/>
                <w:szCs w:val="18"/>
                <w:b w:val="1"/>
                <w:bCs w:val="1"/>
                <w:color w:val="auto"/>
              </w:rPr>
              <w:t>Eastern Hemisphere</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5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19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60" w:type="dxa"/>
            <w:vAlign w:val="bottom"/>
          </w:tcPr>
          <w:p>
            <w:pPr>
              <w:spacing w:after="0"/>
              <w:rPr>
                <w:sz w:val="4"/>
                <w:szCs w:val="4"/>
                <w:color w:val="auto"/>
              </w:rPr>
            </w:pPr>
          </w:p>
        </w:tc>
      </w:tr>
      <w:tr>
        <w:trPr>
          <w:trHeight w:val="250"/>
        </w:trPr>
        <w:tc>
          <w:tcPr>
            <w:tcW w:w="35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679</w:t>
            </w:r>
          </w:p>
        </w:tc>
        <w:tc>
          <w:tcPr>
            <w:tcW w:w="6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693</w:t>
            </w: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r>
      <w:tr>
        <w:trPr>
          <w:trHeight w:val="243"/>
        </w:trPr>
        <w:tc>
          <w:tcPr>
            <w:tcW w:w="3560" w:type="dxa"/>
            <w:vAlign w:val="bottom"/>
            <w:gridSpan w:val="5"/>
          </w:tcPr>
          <w:p>
            <w:pPr>
              <w:ind w:left="40"/>
              <w:spacing w:after="0"/>
              <w:rPr>
                <w:sz w:val="20"/>
                <w:szCs w:val="20"/>
                <w:color w:val="auto"/>
              </w:rPr>
            </w:pPr>
            <w:r>
              <w:rPr>
                <w:rFonts w:ascii="Arial" w:cs="Arial" w:eastAsia="Arial" w:hAnsi="Arial"/>
                <w:sz w:val="18"/>
                <w:szCs w:val="18"/>
                <w:color w:val="auto"/>
              </w:rPr>
              <w:t>Segment Operating Income (Loss)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38</w:t>
            </w:r>
          </w:p>
        </w:tc>
        <w:tc>
          <w:tcPr>
            <w:tcW w:w="260" w:type="dxa"/>
            <w:vAlign w:val="bottom"/>
          </w:tcPr>
          <w:p>
            <w:pPr>
              <w:spacing w:after="0"/>
              <w:rPr>
                <w:sz w:val="21"/>
                <w:szCs w:val="21"/>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6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100</w:t>
            </w:r>
          </w:p>
        </w:tc>
        <w:tc>
          <w:tcPr>
            <w:tcW w:w="460" w:type="dxa"/>
            <w:vAlign w:val="bottom"/>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480</w:t>
            </w:r>
          </w:p>
        </w:tc>
        <w:tc>
          <w:tcPr>
            <w:tcW w:w="460" w:type="dxa"/>
            <w:vAlign w:val="bottom"/>
          </w:tcPr>
          <w:p>
            <w:pPr>
              <w:ind w:left="4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43"/>
        </w:trPr>
        <w:tc>
          <w:tcPr>
            <w:tcW w:w="356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Segment Operating Margin</w:t>
            </w: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(1.4) %</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280</w:t>
            </w:r>
          </w:p>
        </w:tc>
        <w:tc>
          <w:tcPr>
            <w:tcW w:w="10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bps</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700</w:t>
            </w:r>
          </w:p>
        </w:tc>
        <w:tc>
          <w:tcPr>
            <w:tcW w:w="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bps</w:t>
            </w:r>
          </w:p>
        </w:tc>
      </w:tr>
      <w:tr>
        <w:trPr>
          <w:trHeight w:val="27"/>
        </w:trPr>
        <w:tc>
          <w:tcPr>
            <w:tcW w:w="4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Western Hemisphere</w:t>
      </w:r>
    </w:p>
    <w:p>
      <w:pPr>
        <w:spacing w:after="0" w:line="320" w:lineRule="exact"/>
        <w:rPr>
          <w:sz w:val="20"/>
          <w:szCs w:val="20"/>
          <w:color w:val="auto"/>
        </w:rPr>
      </w:pPr>
    </w:p>
    <w:p>
      <w:pPr>
        <w:jc w:val="both"/>
        <w:spacing w:after="0" w:line="425" w:lineRule="auto"/>
        <w:rPr>
          <w:sz w:val="20"/>
          <w:szCs w:val="20"/>
          <w:color w:val="auto"/>
        </w:rPr>
      </w:pPr>
      <w:r>
        <w:rPr>
          <w:rFonts w:ascii="Arial" w:cs="Arial" w:eastAsia="Arial" w:hAnsi="Arial"/>
          <w:sz w:val="16"/>
          <w:szCs w:val="16"/>
          <w:color w:val="auto"/>
        </w:rPr>
        <w:t>Third quarter revenues of $762 million were down $7 million, or 1%, sequentially, and down $5 million, or 1%, year-over-year. Compared to the second quarter of 2018, revenues in Canada improved seasonally as the rig count increased following the spring breakup, but were offset by lower results in the United States and negative foreign exchange impacts in Latin America. Year-over-year revenue increases from integrated service projects in Latin America were offset by lower activity levels in Canada as crude differentials expanded, which reduced demand for Completions and Production services and products.</w:t>
      </w:r>
    </w:p>
    <w:p>
      <w:pPr>
        <w:spacing w:after="0" w:line="250" w:lineRule="exact"/>
        <w:rPr>
          <w:sz w:val="20"/>
          <w:szCs w:val="20"/>
          <w:color w:val="auto"/>
        </w:rPr>
      </w:pPr>
    </w:p>
    <w:p>
      <w:pPr>
        <w:jc w:val="both"/>
        <w:spacing w:after="0" w:line="369" w:lineRule="auto"/>
        <w:rPr>
          <w:sz w:val="20"/>
          <w:szCs w:val="20"/>
          <w:color w:val="auto"/>
        </w:rPr>
      </w:pPr>
      <w:r>
        <w:rPr>
          <w:rFonts w:ascii="Arial" w:cs="Arial" w:eastAsia="Arial" w:hAnsi="Arial"/>
          <w:sz w:val="18"/>
          <w:szCs w:val="18"/>
          <w:color w:val="auto"/>
        </w:rPr>
        <w:t>Third quarter segment operating income of $78 million was up $28 million sequentially and up $75 million year-over-year. The sequential increase benefited from lower expenses and improved operating efficiencies mainly associated with the transformation. The year-over-year improvements were driven by a combination of higher activity levels in Argentina and Mexico and the positive impacts from our transformation efforts, which overcame lower operating results in Canada and foreign exchange effects in Latin America.</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Operational highlights in the Western Hemisphere during the quarter include:</w:t>
      </w:r>
    </w:p>
    <w:p>
      <w:pPr>
        <w:spacing w:after="0" w:line="50" w:lineRule="exact"/>
        <w:rPr>
          <w:sz w:val="20"/>
          <w:szCs w:val="20"/>
          <w:color w:val="auto"/>
        </w:rPr>
      </w:pPr>
    </w:p>
    <w:p>
      <w:pPr>
        <w:ind w:left="660" w:right="20" w:hanging="328"/>
        <w:spacing w:after="0" w:line="30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the inaugural run of the Magnus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rotary steerable system (RSS) for a major operator, Weatherford mobilized in just 10 hours to finish a competitor’s job in the Permian Basin. The RSS reliably performed at challenging depths to drill the lateral to 24,348 feet.</w:t>
      </w:r>
    </w:p>
    <w:p>
      <w:pPr>
        <w:spacing w:after="0" w:line="1" w:lineRule="exact"/>
        <w:rPr>
          <w:rFonts w:ascii="Arial" w:cs="Arial" w:eastAsia="Arial" w:hAnsi="Arial"/>
          <w:sz w:val="18"/>
          <w:szCs w:val="18"/>
          <w:color w:val="auto"/>
        </w:rPr>
      </w:pPr>
    </w:p>
    <w:p>
      <w:pPr>
        <w:ind w:left="660" w:hanging="328"/>
        <w:spacing w:after="0" w:line="313"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20"/>
          <w:szCs w:val="20"/>
          <w:color w:val="1F497D"/>
        </w:rPr>
        <w:t>I</w:t>
      </w:r>
      <w:r>
        <w:rPr>
          <w:rFonts w:ascii="Arial" w:cs="Arial" w:eastAsia="Arial" w:hAnsi="Arial"/>
          <w:sz w:val="20"/>
          <w:szCs w:val="20"/>
          <w:color w:val="000000"/>
        </w:rPr>
        <w:t>n Mexico, Weatherford replaced an incumbent’s system with the Magnus RSS, which ran onshore alongside the RipTide</w:t>
      </w:r>
      <w:r>
        <w:rPr>
          <w:rFonts w:ascii="Arial" w:cs="Arial" w:eastAsia="Arial" w:hAnsi="Arial"/>
          <w:sz w:val="25"/>
          <w:szCs w:val="25"/>
          <w:color w:val="000000"/>
          <w:vertAlign w:val="superscript"/>
        </w:rPr>
        <w:t>®</w:t>
      </w:r>
      <w:r>
        <w:rPr>
          <w:rFonts w:ascii="Arial" w:cs="Arial" w:eastAsia="Arial" w:hAnsi="Arial"/>
          <w:sz w:val="20"/>
          <w:szCs w:val="20"/>
          <w:color w:val="1F497D"/>
        </w:rPr>
        <w:t xml:space="preserve"> </w:t>
      </w:r>
      <w:r>
        <w:rPr>
          <w:rFonts w:ascii="Arial" w:cs="Arial" w:eastAsia="Arial" w:hAnsi="Arial"/>
          <w:sz w:val="20"/>
          <w:szCs w:val="20"/>
          <w:color w:val="000000"/>
        </w:rPr>
        <w:t>drilling</w:t>
      </w:r>
      <w:r>
        <w:rPr>
          <w:rFonts w:ascii="Arial" w:cs="Arial" w:eastAsia="Arial" w:hAnsi="Arial"/>
          <w:sz w:val="20"/>
          <w:szCs w:val="20"/>
          <w:color w:val="1F497D"/>
        </w:rPr>
        <w:t xml:space="preserve"> </w:t>
      </w:r>
      <w:r>
        <w:rPr>
          <w:rFonts w:ascii="Arial" w:cs="Arial" w:eastAsia="Arial" w:hAnsi="Arial"/>
          <w:sz w:val="20"/>
          <w:szCs w:val="20"/>
          <w:color w:val="000000"/>
        </w:rPr>
        <w:t>reamer to drill and enlarge a directional well with a 42° profile.</w:t>
      </w:r>
    </w:p>
    <w:p>
      <w:pPr>
        <w:jc w:val="both"/>
        <w:ind w:left="660" w:hanging="328"/>
        <w:spacing w:after="0" w:line="33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Weatherford successfully launched the PressurePro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control system, an onshore managed pressure drilling solution, in the United States market with demand outpacing production schedules. Deliveries will increase in the first quarter of 2019 with the expectation of 100% utilization throughout the rest of next year.</w:t>
      </w:r>
    </w:p>
    <w:p>
      <w:pPr>
        <w:ind w:left="660" w:hanging="328"/>
        <w:spacing w:after="0" w:line="36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Weatherford displaced an incumbent in Brazil by signing a new tubular running contract with Petrobras. The contract awards Weatherford work on 14 deepwater rigs, which represents significant market share.</w:t>
      </w:r>
    </w:p>
    <w:p>
      <w:pPr>
        <w:jc w:val="both"/>
        <w:ind w:left="660" w:hanging="328"/>
        <w:spacing w:after="0" w:line="390"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Working in collaboration with a customer, Weatherford devised an integrated solution that included logging, pressure pumping services, and the FracAdvisor</w:t>
      </w:r>
      <w:r>
        <w:rPr>
          <w:rFonts w:ascii="Arial" w:cs="Arial" w:eastAsia="Arial" w:hAnsi="Arial"/>
          <w:sz w:val="22"/>
          <w:szCs w:val="22"/>
          <w:color w:val="auto"/>
          <w:vertAlign w:val="superscript"/>
        </w:rPr>
        <w:t>®</w:t>
      </w:r>
      <w:r>
        <w:rPr>
          <w:rFonts w:ascii="Arial" w:cs="Arial" w:eastAsia="Arial" w:hAnsi="Arial"/>
          <w:sz w:val="16"/>
          <w:szCs w:val="16"/>
          <w:color w:val="auto"/>
        </w:rPr>
        <w:t xml:space="preserve"> workflow to execute the first documented multistage frac job in the Jurassic Superior Pimienta Shale in Mexico. The large-scale solution complied with new government regulations and overcame significant logistical issues to fracture 17 stages in less time than allotted.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05"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t>Eastern Hemisphere</w:t>
      </w:r>
    </w:p>
    <w:p>
      <w:pPr>
        <w:spacing w:after="0" w:line="320" w:lineRule="exact"/>
        <w:rPr>
          <w:sz w:val="20"/>
          <w:szCs w:val="20"/>
          <w:color w:val="auto"/>
        </w:rPr>
      </w:pPr>
    </w:p>
    <w:p>
      <w:pPr>
        <w:jc w:val="both"/>
        <w:spacing w:after="0" w:line="373" w:lineRule="auto"/>
        <w:rPr>
          <w:sz w:val="20"/>
          <w:szCs w:val="20"/>
          <w:color w:val="auto"/>
        </w:rPr>
      </w:pPr>
      <w:r>
        <w:rPr>
          <w:rFonts w:ascii="Arial" w:cs="Arial" w:eastAsia="Arial" w:hAnsi="Arial"/>
          <w:sz w:val="18"/>
          <w:szCs w:val="18"/>
          <w:color w:val="auto"/>
        </w:rPr>
        <w:t>Third quarter revenues of $682 million were up $3 million sequentially and down $11 million, or 2%, year-over-year. Sequential revenues were higher in Continental Europe and Asia on higher product sales, offset by lower services activity in the Middle East. The modest decrease in revenues on a year-over-year basis was driven by impacts on foreign exchange rates in Russia.</w:t>
      </w:r>
    </w:p>
    <w:p>
      <w:pPr>
        <w:spacing w:after="0" w:line="277" w:lineRule="exact"/>
        <w:rPr>
          <w:sz w:val="20"/>
          <w:szCs w:val="20"/>
          <w:color w:val="auto"/>
        </w:rPr>
      </w:pPr>
    </w:p>
    <w:p>
      <w:pPr>
        <w:jc w:val="both"/>
        <w:ind w:right="20"/>
        <w:spacing w:after="0" w:line="402" w:lineRule="auto"/>
        <w:rPr>
          <w:sz w:val="20"/>
          <w:szCs w:val="20"/>
          <w:color w:val="auto"/>
        </w:rPr>
      </w:pPr>
      <w:r>
        <w:rPr>
          <w:rFonts w:ascii="Arial" w:cs="Arial" w:eastAsia="Arial" w:hAnsi="Arial"/>
          <w:sz w:val="17"/>
          <w:szCs w:val="17"/>
          <w:color w:val="auto"/>
        </w:rPr>
        <w:t>Third quarter segment operating income of $38 million was up $19 million sequentially and up $48 million year-over-year. The sequential improvements resulted from a favorable revenue mix in Russia and Asia combined with the transformation benefits. Compared to the third quarter of 2017, operating income improved mainly as a result of our transformation program leading to a lower cost structure across the hemisphere.</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Operational highlights in the Eastern Hemisphere during the quarter include:</w:t>
      </w:r>
    </w:p>
    <w:p>
      <w:pPr>
        <w:spacing w:after="0" w:line="104" w:lineRule="exact"/>
        <w:rPr>
          <w:sz w:val="20"/>
          <w:szCs w:val="20"/>
          <w:color w:val="auto"/>
        </w:rPr>
      </w:pPr>
    </w:p>
    <w:p>
      <w:pPr>
        <w:jc w:val="both"/>
        <w:ind w:left="660" w:hanging="328"/>
        <w:spacing w:after="0" w:line="36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Through project-managed integrated services, Weatherford helped to plug and abandon 13 platform wells in the North Sea 125 days earlier than the customer’s original plan. The project employed products and services throughout the entire Weatherford portfolio: drilling rental tools, fishing services, wellbore cleanup, and tubular running.</w:t>
      </w:r>
    </w:p>
    <w:p>
      <w:pPr>
        <w:ind w:left="660" w:hanging="328"/>
        <w:spacing w:after="0" w:line="36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Weatherford introduced and deployed two wireline technologies, including focused magnetic resonance and precision elemental spectroscopy, for a national oil company in the Middle East.</w:t>
      </w:r>
    </w:p>
    <w:p>
      <w:pPr>
        <w:ind w:left="660" w:hanging="328"/>
        <w:spacing w:after="0" w:line="405"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A competitor failed to meet logging objectives in an openhole well with a 76° inclination and 12° dogleg in a Middle Eastern country. By performing through-drillpipe logging, Weatherford acquired high-quality triple-combo and pressure data in two runs with zero nonproductive time.</w:t>
      </w:r>
    </w:p>
    <w:p>
      <w:pPr>
        <w:ind w:left="660" w:hanging="328"/>
        <w:spacing w:after="0" w:line="36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a demanding application in the Middle East, Weatherford replaced a competitor to perform the longest casing run ever for the customer at a depth of nearly 20,000 feet.</w:t>
      </w:r>
    </w:p>
    <w:p>
      <w:pPr>
        <w:ind w:left="660" w:hanging="328"/>
        <w:spacing w:after="0" w:line="36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Weatherford installed a gas-lift packoff system in an oil-producing well in Malaysia. After installation in just 20 days, the system helped to increase production by 200 barrels per day.</w:t>
      </w:r>
    </w:p>
    <w:p>
      <w:pPr>
        <w:ind w:left="660" w:right="20" w:hanging="328"/>
        <w:spacing w:after="0" w:line="36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By replacing a conventional pump with a proprietary sand tolerant pump, Weatherford tripled run life and reduced workover frequency in a problematic well in Egypt suffering from sand and clay issues.</w:t>
      </w:r>
    </w:p>
    <w:p>
      <w:pPr>
        <w:jc w:val="both"/>
        <w:ind w:left="660" w:hanging="328"/>
        <w:spacing w:after="0" w:line="37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an exploration well with very low reservoir pressure in Kurdistan, Weatherford provided an integrated solution including underbalanced drilling and production services. The hydraulic jet lift solution combined with extended well testing resulted in initial production of 1,600 barrels per day, after which the operator decided to drill four more wells using the same approach.</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22"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auto"/>
        </w:rPr>
        <w:t>Reclassifications</w:t>
      </w:r>
    </w:p>
    <w:p>
      <w:pPr>
        <w:spacing w:after="0" w:line="200" w:lineRule="exact"/>
        <w:rPr>
          <w:sz w:val="20"/>
          <w:szCs w:val="20"/>
          <w:color w:val="auto"/>
        </w:rPr>
      </w:pPr>
    </w:p>
    <w:p>
      <w:pPr>
        <w:spacing w:after="0" w:line="218" w:lineRule="exact"/>
        <w:rPr>
          <w:sz w:val="20"/>
          <w:szCs w:val="20"/>
          <w:color w:val="auto"/>
        </w:rPr>
      </w:pPr>
    </w:p>
    <w:p>
      <w:pPr>
        <w:jc w:val="both"/>
        <w:spacing w:after="0" w:line="402" w:lineRule="auto"/>
        <w:rPr>
          <w:sz w:val="20"/>
          <w:szCs w:val="20"/>
          <w:color w:val="auto"/>
        </w:rPr>
      </w:pPr>
      <w:r>
        <w:rPr>
          <w:rFonts w:ascii="Arial" w:cs="Arial" w:eastAsia="Arial" w:hAnsi="Arial"/>
          <w:sz w:val="17"/>
          <w:szCs w:val="17"/>
          <w:color w:val="auto"/>
        </w:rPr>
        <w:t>In 2018 we adopted pension accounting standards on a retrospective basis, reclassifying the presentation of non-service cost components of net periodic pension and post-retirement cost from operating income to non-operating Other Income (Expense), Net. All prior periods have been restated to conform to the current presentation within the Condensed Consolidated Statements of Operations and other financial information in the following pages.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Weatherford</w:t>
      </w:r>
    </w:p>
    <w:p>
      <w:pPr>
        <w:spacing w:after="0" w:line="200" w:lineRule="exact"/>
        <w:rPr>
          <w:sz w:val="20"/>
          <w:szCs w:val="20"/>
          <w:color w:val="auto"/>
        </w:rPr>
      </w:pPr>
    </w:p>
    <w:p>
      <w:pPr>
        <w:spacing w:after="0" w:line="218" w:lineRule="exact"/>
        <w:rPr>
          <w:sz w:val="20"/>
          <w:szCs w:val="20"/>
          <w:color w:val="auto"/>
        </w:rPr>
      </w:pPr>
    </w:p>
    <w:p>
      <w:pPr>
        <w:jc w:val="both"/>
        <w:spacing w:after="0" w:line="369" w:lineRule="auto"/>
        <w:rPr>
          <w:sz w:val="20"/>
          <w:szCs w:val="20"/>
          <w:color w:val="auto"/>
        </w:rPr>
      </w:pPr>
      <w:r>
        <w:rPr>
          <w:rFonts w:ascii="Arial" w:cs="Arial" w:eastAsia="Arial" w:hAnsi="Arial"/>
          <w:sz w:val="18"/>
          <w:szCs w:val="18"/>
          <w:color w:val="auto"/>
        </w:rPr>
        <w:t xml:space="preserve">Weatherford is one of the largest multinational oilfield service companies providing innovative solutions, technology and services to the oil and gas industry. The Company operates in over 90 countries and has a network of approximately 710 locations, including manufacturing, service, research and development and training facilities and employs approximately 28,450 people. For more information, visit </w:t>
      </w:r>
      <w:r>
        <w:rPr>
          <w:rFonts w:ascii="Arial" w:cs="Arial" w:eastAsia="Arial" w:hAnsi="Arial"/>
          <w:sz w:val="18"/>
          <w:szCs w:val="18"/>
          <w:u w:val="single" w:color="auto"/>
          <w:color w:val="auto"/>
        </w:rPr>
        <w:t>http://www.weatherford.com</w:t>
      </w:r>
      <w:r>
        <w:rPr>
          <w:rFonts w:ascii="Arial" w:cs="Arial" w:eastAsia="Arial" w:hAnsi="Arial"/>
          <w:sz w:val="18"/>
          <w:szCs w:val="18"/>
          <w:color w:val="auto"/>
        </w:rPr>
        <w:t xml:space="preserve"> and connect with Weatherford on </w:t>
      </w:r>
      <w:r>
        <w:rPr>
          <w:rFonts w:ascii="Arial" w:cs="Arial" w:eastAsia="Arial" w:hAnsi="Arial"/>
          <w:sz w:val="18"/>
          <w:szCs w:val="18"/>
          <w:u w:val="single" w:color="auto"/>
          <w:color w:val="auto"/>
        </w:rPr>
        <w:t>LinkedIn</w:t>
      </w:r>
      <w:r>
        <w:rPr>
          <w:rFonts w:ascii="Arial" w:cs="Arial" w:eastAsia="Arial" w:hAnsi="Arial"/>
          <w:sz w:val="18"/>
          <w:szCs w:val="18"/>
          <w:color w:val="auto"/>
        </w:rPr>
        <w:t xml:space="preserve">, </w:t>
      </w:r>
      <w:r>
        <w:rPr>
          <w:rFonts w:ascii="Arial" w:cs="Arial" w:eastAsia="Arial" w:hAnsi="Arial"/>
          <w:sz w:val="18"/>
          <w:szCs w:val="18"/>
          <w:u w:val="single" w:color="auto"/>
          <w:color w:val="auto"/>
        </w:rPr>
        <w:t>Facebook</w:t>
      </w:r>
      <w:r>
        <w:rPr>
          <w:rFonts w:ascii="Arial" w:cs="Arial" w:eastAsia="Arial" w:hAnsi="Arial"/>
          <w:sz w:val="18"/>
          <w:szCs w:val="18"/>
          <w:color w:val="auto"/>
        </w:rPr>
        <w:t xml:space="preserve">, </w:t>
      </w:r>
      <w:r>
        <w:rPr>
          <w:rFonts w:ascii="Arial" w:cs="Arial" w:eastAsia="Arial" w:hAnsi="Arial"/>
          <w:sz w:val="18"/>
          <w:szCs w:val="18"/>
          <w:u w:val="single" w:color="auto"/>
          <w:color w:val="auto"/>
        </w:rPr>
        <w:t>Twitter</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YouTube</w:t>
      </w:r>
      <w:r>
        <w:rPr>
          <w:rFonts w:ascii="Arial" w:cs="Arial" w:eastAsia="Arial" w:hAnsi="Arial"/>
          <w:sz w:val="18"/>
          <w:szCs w:val="18"/>
          <w:color w:val="auto"/>
        </w:rPr>
        <w: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w:t>
      </w:r>
    </w:p>
    <w:p>
      <w:pPr>
        <w:spacing w:after="0" w:line="200" w:lineRule="exact"/>
        <w:rPr>
          <w:sz w:val="20"/>
          <w:szCs w:val="20"/>
          <w:color w:val="auto"/>
        </w:rPr>
      </w:pPr>
    </w:p>
    <w:p>
      <w:pPr>
        <w:spacing w:after="0" w:line="218" w:lineRule="exact"/>
        <w:rPr>
          <w:sz w:val="20"/>
          <w:szCs w:val="20"/>
          <w:color w:val="auto"/>
        </w:rPr>
      </w:pPr>
    </w:p>
    <w:p>
      <w:pPr>
        <w:jc w:val="both"/>
        <w:spacing w:after="0" w:line="395" w:lineRule="auto"/>
        <w:rPr>
          <w:sz w:val="20"/>
          <w:szCs w:val="20"/>
          <w:color w:val="auto"/>
        </w:rPr>
      </w:pPr>
      <w:r>
        <w:rPr>
          <w:rFonts w:ascii="Arial" w:cs="Arial" w:eastAsia="Arial" w:hAnsi="Arial"/>
          <w:sz w:val="17"/>
          <w:szCs w:val="17"/>
          <w:color w:val="auto"/>
        </w:rPr>
        <w:t xml:space="preserve">The Company will host a conference call with financial analysts to discuss the quarterly results on October 29, 2018, at 8:30 a.m. Eastern Time (ET), 7:30 a.m. Central Time (CT). Weatherford invites investors to listen to the call live and review related presentation materials via the Company’s website. Conference call details and presentation materials can be found at </w:t>
      </w:r>
      <w:r>
        <w:rPr>
          <w:rFonts w:ascii="Arial" w:cs="Arial" w:eastAsia="Arial" w:hAnsi="Arial"/>
          <w:sz w:val="17"/>
          <w:szCs w:val="17"/>
          <w:u w:val="single" w:color="auto"/>
          <w:color w:val="auto"/>
        </w:rPr>
        <w:t>https://www.weatherford.com/en/investor-relations/investor-presentations</w:t>
      </w:r>
      <w:r>
        <w:rPr>
          <w:rFonts w:ascii="Arial" w:cs="Arial" w:eastAsia="Arial" w:hAnsi="Arial"/>
          <w:sz w:val="17"/>
          <w:szCs w:val="17"/>
          <w:color w:val="auto"/>
        </w:rPr>
        <w:t>. A recording of the conference call and transcript of the call will be available in the Investor Relations section of the website shortly after the call ends.</w:t>
      </w:r>
    </w:p>
    <w:p>
      <w:pPr>
        <w:spacing w:after="0" w:line="266" w:lineRule="exact"/>
        <w:rPr>
          <w:sz w:val="20"/>
          <w:szCs w:val="20"/>
          <w:color w:val="auto"/>
        </w:rPr>
      </w:pPr>
    </w:p>
    <w:tbl>
      <w:tblPr>
        <w:tblLayout w:type="fixed"/>
        <w:tblInd w:w="960" w:type="dxa"/>
        <w:tblCellMar>
          <w:top w:w="0" w:type="dxa"/>
          <w:left w:w="0" w:type="dxa"/>
          <w:bottom w:w="0" w:type="dxa"/>
          <w:right w:w="0" w:type="dxa"/>
        </w:tblCellMar>
      </w:tblPr>
      <w:tr>
        <w:trPr>
          <w:trHeight w:val="230"/>
        </w:trPr>
        <w:tc>
          <w:tcPr>
            <w:tcW w:w="1120" w:type="dxa"/>
            <w:vAlign w:val="bottom"/>
          </w:tcPr>
          <w:p>
            <w:pPr>
              <w:spacing w:after="0"/>
              <w:rPr>
                <w:sz w:val="20"/>
                <w:szCs w:val="20"/>
                <w:color w:val="auto"/>
              </w:rPr>
            </w:pPr>
          </w:p>
        </w:tc>
        <w:tc>
          <w:tcPr>
            <w:tcW w:w="6580" w:type="dxa"/>
            <w:vAlign w:val="bottom"/>
          </w:tcPr>
          <w:p>
            <w:pPr>
              <w:jc w:val="right"/>
              <w:ind w:right="2670"/>
              <w:spacing w:after="0"/>
              <w:rPr>
                <w:sz w:val="20"/>
                <w:szCs w:val="20"/>
                <w:color w:val="auto"/>
              </w:rPr>
            </w:pPr>
            <w:r>
              <w:rPr>
                <w:rFonts w:ascii="Arial" w:cs="Arial" w:eastAsia="Arial" w:hAnsi="Arial"/>
                <w:sz w:val="18"/>
                <w:szCs w:val="18"/>
                <w:color w:val="auto"/>
              </w:rPr>
              <w:t># # #</w:t>
            </w:r>
          </w:p>
        </w:tc>
        <w:tc>
          <w:tcPr>
            <w:tcW w:w="1800" w:type="dxa"/>
            <w:vAlign w:val="bottom"/>
          </w:tcPr>
          <w:p>
            <w:pPr>
              <w:spacing w:after="0"/>
              <w:rPr>
                <w:sz w:val="20"/>
                <w:szCs w:val="20"/>
                <w:color w:val="auto"/>
              </w:rPr>
            </w:pPr>
          </w:p>
        </w:tc>
      </w:tr>
      <w:tr>
        <w:trPr>
          <w:trHeight w:val="419"/>
        </w:trPr>
        <w:tc>
          <w:tcPr>
            <w:tcW w:w="1120" w:type="dxa"/>
            <w:vAlign w:val="bottom"/>
          </w:tcPr>
          <w:p>
            <w:pPr>
              <w:spacing w:after="0"/>
              <w:rPr>
                <w:sz w:val="20"/>
                <w:szCs w:val="20"/>
                <w:color w:val="auto"/>
              </w:rPr>
            </w:pPr>
            <w:r>
              <w:rPr>
                <w:rFonts w:ascii="Arial" w:cs="Arial" w:eastAsia="Arial" w:hAnsi="Arial"/>
                <w:sz w:val="18"/>
                <w:szCs w:val="18"/>
                <w:color w:val="auto"/>
              </w:rPr>
              <w:t>Contacts:</w:t>
            </w:r>
          </w:p>
        </w:tc>
        <w:tc>
          <w:tcPr>
            <w:tcW w:w="6580" w:type="dxa"/>
            <w:vAlign w:val="bottom"/>
          </w:tcPr>
          <w:p>
            <w:pPr>
              <w:ind w:left="420"/>
              <w:spacing w:after="0"/>
              <w:rPr>
                <w:sz w:val="20"/>
                <w:szCs w:val="20"/>
                <w:color w:val="auto"/>
              </w:rPr>
            </w:pPr>
            <w:r>
              <w:rPr>
                <w:rFonts w:ascii="Arial" w:cs="Arial" w:eastAsia="Arial" w:hAnsi="Arial"/>
                <w:sz w:val="18"/>
                <w:szCs w:val="18"/>
                <w:color w:val="auto"/>
              </w:rPr>
              <w:t>Christoph Bausch</w:t>
            </w:r>
          </w:p>
        </w:tc>
        <w:tc>
          <w:tcPr>
            <w:tcW w:w="1800" w:type="dxa"/>
            <w:vAlign w:val="bottom"/>
          </w:tcPr>
          <w:p>
            <w:pPr>
              <w:jc w:val="right"/>
              <w:spacing w:after="0"/>
              <w:rPr>
                <w:sz w:val="20"/>
                <w:szCs w:val="20"/>
                <w:color w:val="auto"/>
              </w:rPr>
            </w:pPr>
            <w:r>
              <w:rPr>
                <w:rFonts w:ascii="Arial" w:cs="Arial" w:eastAsia="Arial" w:hAnsi="Arial"/>
                <w:sz w:val="18"/>
                <w:szCs w:val="18"/>
                <w:color w:val="auto"/>
              </w:rPr>
              <w:t>+1.713.836.4615</w:t>
            </w:r>
          </w:p>
        </w:tc>
      </w:tr>
      <w:tr>
        <w:trPr>
          <w:trHeight w:val="270"/>
        </w:trPr>
        <w:tc>
          <w:tcPr>
            <w:tcW w:w="1120" w:type="dxa"/>
            <w:vAlign w:val="bottom"/>
          </w:tcPr>
          <w:p>
            <w:pPr>
              <w:spacing w:after="0"/>
              <w:rPr>
                <w:sz w:val="23"/>
                <w:szCs w:val="23"/>
                <w:color w:val="auto"/>
              </w:rPr>
            </w:pPr>
          </w:p>
        </w:tc>
        <w:tc>
          <w:tcPr>
            <w:tcW w:w="6580" w:type="dxa"/>
            <w:vAlign w:val="bottom"/>
          </w:tcPr>
          <w:p>
            <w:pPr>
              <w:ind w:left="420"/>
              <w:spacing w:after="0"/>
              <w:rPr>
                <w:sz w:val="20"/>
                <w:szCs w:val="20"/>
                <w:color w:val="auto"/>
              </w:rPr>
            </w:pPr>
            <w:r>
              <w:rPr>
                <w:rFonts w:ascii="Arial" w:cs="Arial" w:eastAsia="Arial" w:hAnsi="Arial"/>
                <w:sz w:val="18"/>
                <w:szCs w:val="18"/>
                <w:color w:val="auto"/>
              </w:rPr>
              <w:t>Executive Vice President and Chief Financial Officer</w:t>
            </w:r>
          </w:p>
        </w:tc>
        <w:tc>
          <w:tcPr>
            <w:tcW w:w="1800" w:type="dxa"/>
            <w:vAlign w:val="bottom"/>
          </w:tcPr>
          <w:p>
            <w:pPr>
              <w:spacing w:after="0"/>
              <w:rPr>
                <w:sz w:val="23"/>
                <w:szCs w:val="23"/>
                <w:color w:val="auto"/>
              </w:rPr>
            </w:pPr>
          </w:p>
        </w:tc>
      </w:tr>
      <w:tr>
        <w:trPr>
          <w:trHeight w:val="540"/>
        </w:trPr>
        <w:tc>
          <w:tcPr>
            <w:tcW w:w="1120" w:type="dxa"/>
            <w:vAlign w:val="bottom"/>
          </w:tcPr>
          <w:p>
            <w:pPr>
              <w:spacing w:after="0"/>
              <w:rPr>
                <w:sz w:val="24"/>
                <w:szCs w:val="24"/>
                <w:color w:val="auto"/>
              </w:rPr>
            </w:pPr>
          </w:p>
        </w:tc>
        <w:tc>
          <w:tcPr>
            <w:tcW w:w="6580" w:type="dxa"/>
            <w:vAlign w:val="bottom"/>
          </w:tcPr>
          <w:p>
            <w:pPr>
              <w:ind w:left="420"/>
              <w:spacing w:after="0"/>
              <w:rPr>
                <w:sz w:val="20"/>
                <w:szCs w:val="20"/>
                <w:color w:val="auto"/>
              </w:rPr>
            </w:pPr>
            <w:r>
              <w:rPr>
                <w:rFonts w:ascii="Arial" w:cs="Arial" w:eastAsia="Arial" w:hAnsi="Arial"/>
                <w:sz w:val="18"/>
                <w:szCs w:val="18"/>
                <w:color w:val="auto"/>
              </w:rPr>
              <w:t>Karen David-Green</w:t>
            </w:r>
          </w:p>
        </w:tc>
        <w:tc>
          <w:tcPr>
            <w:tcW w:w="1800" w:type="dxa"/>
            <w:vAlign w:val="bottom"/>
          </w:tcPr>
          <w:p>
            <w:pPr>
              <w:jc w:val="right"/>
              <w:spacing w:after="0"/>
              <w:rPr>
                <w:sz w:val="20"/>
                <w:szCs w:val="20"/>
                <w:color w:val="auto"/>
              </w:rPr>
            </w:pPr>
            <w:r>
              <w:rPr>
                <w:rFonts w:ascii="Arial" w:cs="Arial" w:eastAsia="Arial" w:hAnsi="Arial"/>
                <w:sz w:val="18"/>
                <w:szCs w:val="18"/>
                <w:color w:val="auto"/>
              </w:rPr>
              <w:t>+1.713.836.7430</w:t>
            </w:r>
          </w:p>
        </w:tc>
      </w:tr>
      <w:tr>
        <w:trPr>
          <w:trHeight w:val="270"/>
        </w:trPr>
        <w:tc>
          <w:tcPr>
            <w:tcW w:w="1120" w:type="dxa"/>
            <w:vAlign w:val="bottom"/>
          </w:tcPr>
          <w:p>
            <w:pPr>
              <w:spacing w:after="0"/>
              <w:rPr>
                <w:sz w:val="23"/>
                <w:szCs w:val="23"/>
                <w:color w:val="auto"/>
              </w:rPr>
            </w:pPr>
          </w:p>
        </w:tc>
        <w:tc>
          <w:tcPr>
            <w:tcW w:w="6580" w:type="dxa"/>
            <w:vAlign w:val="bottom"/>
          </w:tcPr>
          <w:p>
            <w:pPr>
              <w:ind w:left="420"/>
              <w:spacing w:after="0"/>
              <w:rPr>
                <w:sz w:val="20"/>
                <w:szCs w:val="20"/>
                <w:color w:val="auto"/>
              </w:rPr>
            </w:pPr>
            <w:r>
              <w:rPr>
                <w:rFonts w:ascii="Arial" w:cs="Arial" w:eastAsia="Arial" w:hAnsi="Arial"/>
                <w:sz w:val="18"/>
                <w:szCs w:val="18"/>
                <w:color w:val="auto"/>
              </w:rPr>
              <w:t>Senior Vice President, Stakeholder Engagement and Chief Marketing Officer</w:t>
            </w:r>
          </w:p>
        </w:tc>
        <w:tc>
          <w:tcPr>
            <w:tcW w:w="1800" w:type="dxa"/>
            <w:vAlign w:val="bottom"/>
          </w:tcPr>
          <w:p>
            <w:pPr>
              <w:spacing w:after="0"/>
              <w:rPr>
                <w:sz w:val="23"/>
                <w:szCs w:val="23"/>
                <w:color w:val="auto"/>
              </w:rPr>
            </w:pPr>
          </w:p>
        </w:tc>
      </w:tr>
      <w:tr>
        <w:trPr>
          <w:trHeight w:val="797"/>
        </w:trPr>
        <w:tc>
          <w:tcPr>
            <w:tcW w:w="1120" w:type="dxa"/>
            <w:vAlign w:val="bottom"/>
          </w:tcPr>
          <w:p>
            <w:pPr>
              <w:spacing w:after="0"/>
              <w:rPr>
                <w:sz w:val="24"/>
                <w:szCs w:val="24"/>
                <w:color w:val="auto"/>
              </w:rPr>
            </w:pPr>
          </w:p>
        </w:tc>
        <w:tc>
          <w:tcPr>
            <w:tcW w:w="6580" w:type="dxa"/>
            <w:vAlign w:val="bottom"/>
          </w:tcPr>
          <w:p>
            <w:pPr>
              <w:jc w:val="right"/>
              <w:ind w:right="2810"/>
              <w:spacing w:after="0"/>
              <w:rPr>
                <w:sz w:val="20"/>
                <w:szCs w:val="20"/>
                <w:color w:val="auto"/>
              </w:rPr>
            </w:pPr>
            <w:r>
              <w:rPr>
                <w:rFonts w:ascii="Arial" w:cs="Arial" w:eastAsia="Arial" w:hAnsi="Arial"/>
                <w:sz w:val="18"/>
                <w:szCs w:val="18"/>
                <w:color w:val="auto"/>
              </w:rPr>
              <w:t>5</w:t>
            </w:r>
          </w:p>
        </w:tc>
        <w:tc>
          <w:tcPr>
            <w:tcW w:w="1800" w:type="dxa"/>
            <w:vAlign w:val="bottom"/>
          </w:tcPr>
          <w:p>
            <w:pPr>
              <w:spacing w:after="0"/>
              <w:rPr>
                <w:sz w:val="24"/>
                <w:szCs w:val="24"/>
                <w:color w:val="auto"/>
              </w:rPr>
            </w:pPr>
          </w:p>
        </w:tc>
      </w:tr>
    </w:tbl>
    <w:p>
      <w:pPr>
        <w:sectPr>
          <w:pgSz w:w="11900" w:h="16838" w:orient="portrait"/>
          <w:cols w:equalWidth="0" w:num="1">
            <w:col w:w="11420"/>
          </w:cols>
          <w:pgMar w:left="240" w:top="418"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00" w:lineRule="exact"/>
        <w:rPr>
          <w:sz w:val="20"/>
          <w:szCs w:val="20"/>
          <w:color w:val="auto"/>
        </w:rPr>
      </w:pPr>
    </w:p>
    <w:p>
      <w:pPr>
        <w:spacing w:after="0" w:line="218" w:lineRule="exact"/>
        <w:rPr>
          <w:sz w:val="20"/>
          <w:szCs w:val="20"/>
          <w:color w:val="auto"/>
        </w:rPr>
      </w:pPr>
    </w:p>
    <w:p>
      <w:pPr>
        <w:jc w:val="both"/>
        <w:spacing w:after="0" w:line="384" w:lineRule="auto"/>
        <w:rPr>
          <w:sz w:val="20"/>
          <w:szCs w:val="20"/>
          <w:color w:val="auto"/>
        </w:rPr>
      </w:pPr>
      <w:r>
        <w:rPr>
          <w:rFonts w:ascii="Arial" w:cs="Arial" w:eastAsia="Arial" w:hAnsi="Arial"/>
          <w:sz w:val="17"/>
          <w:szCs w:val="17"/>
          <w:color w:val="auto"/>
        </w:rPr>
        <w:t>This news release contains, and the conference call announced in this release may include, forward-looking statements. These forward-looking statements include, among other things, the Company’s quarterly non-GAAP earnings per shar</w:t>
      </w:r>
      <w:r>
        <w:rPr>
          <w:rFonts w:ascii="Arial" w:cs="Arial" w:eastAsia="Arial" w:hAnsi="Arial"/>
          <w:sz w:val="17"/>
          <w:szCs w:val="17"/>
          <w:color w:val="1F497D"/>
        </w:rPr>
        <w:t>e</w:t>
      </w:r>
      <w:r>
        <w:rPr>
          <w:rFonts w:ascii="Arial" w:cs="Arial" w:eastAsia="Arial" w:hAnsi="Arial"/>
          <w:sz w:val="17"/>
          <w:szCs w:val="17"/>
          <w:color w:val="auto"/>
        </w:rPr>
        <w:t>, effective tax rate, net debt, forecasts or expectations regarding business outlook, and capital expenditures, and are also generally identified by the words “believe,” “project,” “expect,” “anticipate,” “estimate,” “outlook,” “budget,” “intend,” “strategy,” “plan,” “guidance,” “may,” “should,” “could,” “will,” “would,” “will be,” “will continue,” “will likely result,” and similar expressions, although not all forward-looking statements contain these identifying words. Such statements are based upon the current beliefs of Weatherford’s management, and are subject to significant risks, assumptions and uncertainties. Should one or more of these risks or uncertainties materialize, or underlying assumptions prove incorrect, actual results may vary materially from those indicated in our forward-looking statements. Readers are also cautioned that forward-looking statements are only predictions and may differ materially from actual future events or results, including possible changes in the expected efficiencies and cost savings associated with our transformation plans; completion of potential dispositions, and the changes in spending and payment timing by our clients and customers. Forward-looking statements are also affected by the risk factors described in the Company’s Annual Report on Form 10-K for the year ended December 31, 2017 and those set forth from time-to-time in the Company’s other filings with the Securities and Exchange Commission. We undertake no obligation to correct or update any forward-looking statement, whether as a result of new information, future events, or otherwise, except to the extent required under federal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18"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Weatherford International plc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Amounts)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60" w:type="dxa"/>
            <w:vAlign w:val="bottom"/>
            <w:gridSpan w:val="5"/>
          </w:tcPr>
          <w:p>
            <w:pPr>
              <w:ind w:left="24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20"/>
                <w:szCs w:val="20"/>
                <w:color w:val="auto"/>
              </w:rPr>
            </w:pPr>
          </w:p>
        </w:tc>
        <w:tc>
          <w:tcPr>
            <w:tcW w:w="218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rPr>
              <w:t>Nine Months Ended</w:t>
            </w:r>
          </w:p>
        </w:tc>
      </w:tr>
      <w:tr>
        <w:trPr>
          <w:trHeight w:val="27"/>
        </w:trPr>
        <w:tc>
          <w:tcPr>
            <w:tcW w:w="47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47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9/30/2018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9/30/2017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9/30/2018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9/30/2017</w:t>
            </w:r>
          </w:p>
        </w:tc>
      </w:tr>
      <w:tr>
        <w:trPr>
          <w:trHeight w:val="27"/>
        </w:trPr>
        <w:tc>
          <w:tcPr>
            <w:tcW w:w="47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15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4720" w:type="dxa"/>
            <w:vAlign w:val="bottom"/>
          </w:tcPr>
          <w:p>
            <w:pPr>
              <w:ind w:left="180"/>
              <w:spacing w:after="0"/>
              <w:rPr>
                <w:sz w:val="20"/>
                <w:szCs w:val="20"/>
                <w:color w:val="auto"/>
              </w:rPr>
            </w:pPr>
            <w:r>
              <w:rPr>
                <w:rFonts w:ascii="Arial" w:cs="Arial" w:eastAsia="Arial" w:hAnsi="Arial"/>
                <w:sz w:val="18"/>
                <w:szCs w:val="18"/>
                <w:color w:val="auto"/>
              </w:rPr>
              <w:t>Western Hemisphere</w:t>
            </w:r>
          </w:p>
        </w:tc>
        <w:tc>
          <w:tcPr>
            <w:tcW w:w="1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762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2C2C2C"/>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2C2C2C"/>
              </w:rPr>
              <w:t>767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2,287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2C2C2C"/>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2C2C2C"/>
              </w:rPr>
              <w:t>2,178</w:t>
            </w:r>
          </w:p>
        </w:tc>
      </w:tr>
      <w:tr>
        <w:trPr>
          <w:trHeight w:val="27"/>
        </w:trPr>
        <w:tc>
          <w:tcPr>
            <w:tcW w:w="47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Eastern Hemisphere</w:t>
            </w:r>
          </w:p>
        </w:tc>
        <w:tc>
          <w:tcPr>
            <w:tcW w:w="15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2C2C2C"/>
              </w:rPr>
              <w:t>693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2,028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2C2C2C"/>
              </w:rPr>
              <w:t>2,031</w:t>
            </w:r>
          </w:p>
        </w:tc>
      </w:tr>
      <w:tr>
        <w:trPr>
          <w:trHeight w:val="237"/>
        </w:trPr>
        <w:tc>
          <w:tcPr>
            <w:tcW w:w="4720" w:type="dxa"/>
            <w:vAlign w:val="bottom"/>
          </w:tcPr>
          <w:p>
            <w:pPr>
              <w:ind w:left="400"/>
              <w:spacing w:after="0"/>
              <w:rPr>
                <w:sz w:val="20"/>
                <w:szCs w:val="20"/>
                <w:color w:val="auto"/>
              </w:rPr>
            </w:pPr>
            <w:r>
              <w:rPr>
                <w:rFonts w:ascii="Arial" w:cs="Arial" w:eastAsia="Arial" w:hAnsi="Arial"/>
                <w:sz w:val="18"/>
                <w:szCs w:val="18"/>
                <w:color w:val="auto"/>
              </w:rPr>
              <w:t>Total Revenues</w:t>
            </w:r>
          </w:p>
        </w:tc>
        <w:tc>
          <w:tcPr>
            <w:tcW w:w="15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1,444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1,460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4,315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4,209</w:t>
            </w:r>
          </w:p>
        </w:tc>
      </w:tr>
      <w:tr>
        <w:trPr>
          <w:trHeight w:val="27"/>
        </w:trPr>
        <w:tc>
          <w:tcPr>
            <w:tcW w:w="47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97"/>
        </w:trPr>
        <w:tc>
          <w:tcPr>
            <w:tcW w:w="472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1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47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Western Hemisphere</w:t>
            </w:r>
          </w:p>
        </w:tc>
        <w:tc>
          <w:tcPr>
            <w:tcW w:w="15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43"/>
        </w:trPr>
        <w:tc>
          <w:tcPr>
            <w:tcW w:w="4720" w:type="dxa"/>
            <w:vAlign w:val="bottom"/>
          </w:tcPr>
          <w:p>
            <w:pPr>
              <w:ind w:left="180"/>
              <w:spacing w:after="0"/>
              <w:rPr>
                <w:sz w:val="20"/>
                <w:szCs w:val="20"/>
                <w:color w:val="auto"/>
              </w:rPr>
            </w:pPr>
            <w:r>
              <w:rPr>
                <w:rFonts w:ascii="Arial" w:cs="Arial" w:eastAsia="Arial" w:hAnsi="Arial"/>
                <w:sz w:val="18"/>
                <w:szCs w:val="18"/>
                <w:color w:val="auto"/>
              </w:rPr>
              <w:t>Eastern Hemisphere</w:t>
            </w:r>
          </w:p>
        </w:tc>
        <w:tc>
          <w:tcPr>
            <w:tcW w:w="1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7"/>
        </w:trPr>
        <w:tc>
          <w:tcPr>
            <w:tcW w:w="47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47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Segment Operating Income (Loss)</w:t>
            </w:r>
          </w:p>
        </w:tc>
        <w:tc>
          <w:tcPr>
            <w:tcW w:w="15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r>
      <w:tr>
        <w:trPr>
          <w:trHeight w:val="243"/>
        </w:trPr>
        <w:tc>
          <w:tcPr>
            <w:tcW w:w="4720" w:type="dxa"/>
            <w:vAlign w:val="bottom"/>
          </w:tcPr>
          <w:p>
            <w:pPr>
              <w:ind w:left="180"/>
              <w:spacing w:after="0"/>
              <w:rPr>
                <w:sz w:val="20"/>
                <w:szCs w:val="20"/>
                <w:color w:val="auto"/>
              </w:rPr>
            </w:pPr>
            <w:r>
              <w:rPr>
                <w:rFonts w:ascii="Arial" w:cs="Arial" w:eastAsia="Arial" w:hAnsi="Arial"/>
                <w:sz w:val="18"/>
                <w:szCs w:val="18"/>
                <w:color w:val="auto"/>
              </w:rPr>
              <w:t>Corporate Expenses</w:t>
            </w:r>
          </w:p>
        </w:tc>
        <w:tc>
          <w:tcPr>
            <w:tcW w:w="1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7"/>
        </w:trPr>
        <w:tc>
          <w:tcPr>
            <w:tcW w:w="47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and Transformation Charges</w:t>
            </w:r>
          </w:p>
        </w:tc>
        <w:tc>
          <w:tcPr>
            <w:tcW w:w="15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43"/>
        </w:trPr>
        <w:tc>
          <w:tcPr>
            <w:tcW w:w="4720" w:type="dxa"/>
            <w:vAlign w:val="bottom"/>
          </w:tcPr>
          <w:p>
            <w:pPr>
              <w:ind w:left="180"/>
              <w:spacing w:after="0"/>
              <w:rPr>
                <w:sz w:val="20"/>
                <w:szCs w:val="20"/>
                <w:color w:val="auto"/>
              </w:rPr>
            </w:pPr>
            <w:r>
              <w:rPr>
                <w:rFonts w:ascii="Arial" w:cs="Arial" w:eastAsia="Arial" w:hAnsi="Arial"/>
                <w:sz w:val="18"/>
                <w:szCs w:val="18"/>
                <w:color w:val="auto"/>
              </w:rPr>
              <w:t>Other Charges, Net</w:t>
            </w:r>
          </w:p>
        </w:tc>
        <w:tc>
          <w:tcPr>
            <w:tcW w:w="1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
        </w:trPr>
        <w:tc>
          <w:tcPr>
            <w:tcW w:w="47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4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Operating Loss</w:t>
            </w:r>
          </w:p>
        </w:tc>
        <w:tc>
          <w:tcPr>
            <w:tcW w:w="15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C2C2C"/>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C2C2C"/>
              </w:rPr>
              <w:t>(429)</w:t>
            </w:r>
          </w:p>
        </w:tc>
      </w:tr>
      <w:tr>
        <w:trPr>
          <w:trHeight w:val="297"/>
        </w:trPr>
        <w:tc>
          <w:tcPr>
            <w:tcW w:w="47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15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4720" w:type="dxa"/>
            <w:vAlign w:val="bottom"/>
          </w:tcPr>
          <w:p>
            <w:pPr>
              <w:ind w:left="180"/>
              <w:spacing w:after="0"/>
              <w:rPr>
                <w:sz w:val="20"/>
                <w:szCs w:val="20"/>
                <w:color w:val="auto"/>
              </w:rPr>
            </w:pPr>
            <w:r>
              <w:rPr>
                <w:rFonts w:ascii="Arial" w:cs="Arial" w:eastAsia="Arial" w:hAnsi="Arial"/>
                <w:sz w:val="18"/>
                <w:szCs w:val="18"/>
                <w:color w:val="auto"/>
              </w:rPr>
              <w:t>Interest Expense, Net</w:t>
            </w:r>
          </w:p>
        </w:tc>
        <w:tc>
          <w:tcPr>
            <w:tcW w:w="1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(427)</w:t>
            </w:r>
          </w:p>
        </w:tc>
      </w:tr>
      <w:tr>
        <w:trPr>
          <w:trHeight w:val="27"/>
        </w:trPr>
        <w:tc>
          <w:tcPr>
            <w:tcW w:w="47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Bond Tender and Call Premium</w:t>
            </w:r>
          </w:p>
        </w:tc>
        <w:tc>
          <w:tcPr>
            <w:tcW w:w="15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720" w:type="dxa"/>
            <w:vAlign w:val="bottom"/>
          </w:tcPr>
          <w:p>
            <w:pPr>
              <w:ind w:left="180"/>
              <w:spacing w:after="0"/>
              <w:rPr>
                <w:sz w:val="20"/>
                <w:szCs w:val="20"/>
                <w:color w:val="auto"/>
              </w:rPr>
            </w:pPr>
            <w:r>
              <w:rPr>
                <w:rFonts w:ascii="Arial" w:cs="Arial" w:eastAsia="Arial" w:hAnsi="Arial"/>
                <w:sz w:val="18"/>
                <w:szCs w:val="18"/>
                <w:color w:val="auto"/>
              </w:rPr>
              <w:t>Warrant Fair Value Adjustment</w:t>
            </w:r>
          </w:p>
        </w:tc>
        <w:tc>
          <w:tcPr>
            <w:tcW w:w="1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58</w:t>
            </w:r>
          </w:p>
        </w:tc>
      </w:tr>
      <w:tr>
        <w:trPr>
          <w:trHeight w:val="27"/>
        </w:trPr>
        <w:tc>
          <w:tcPr>
            <w:tcW w:w="47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Currency Devaluation Charges</w:t>
            </w:r>
          </w:p>
        </w:tc>
        <w:tc>
          <w:tcPr>
            <w:tcW w:w="15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720" w:type="dxa"/>
            <w:vAlign w:val="bottom"/>
          </w:tcPr>
          <w:p>
            <w:pPr>
              <w:ind w:left="180"/>
              <w:spacing w:after="0"/>
              <w:rPr>
                <w:sz w:val="20"/>
                <w:szCs w:val="20"/>
                <w:color w:val="auto"/>
              </w:rPr>
            </w:pPr>
            <w:r>
              <w:rPr>
                <w:rFonts w:ascii="Arial" w:cs="Arial" w:eastAsia="Arial" w:hAnsi="Arial"/>
                <w:sz w:val="18"/>
                <w:szCs w:val="18"/>
                <w:color w:val="auto"/>
              </w:rPr>
              <w:t>Other Income (Expense), Net</w:t>
            </w:r>
          </w:p>
        </w:tc>
        <w:tc>
          <w:tcPr>
            <w:tcW w:w="1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2C2C2C"/>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2C2C2C"/>
              </w:rPr>
              <w:t>14</w:t>
            </w:r>
          </w:p>
        </w:tc>
      </w:tr>
      <w:tr>
        <w:trPr>
          <w:trHeight w:val="27"/>
        </w:trPr>
        <w:tc>
          <w:tcPr>
            <w:tcW w:w="47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Before Income Taxes</w:t>
            </w:r>
          </w:p>
        </w:tc>
        <w:tc>
          <w:tcPr>
            <w:tcW w:w="15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(784)</w:t>
            </w:r>
          </w:p>
        </w:tc>
      </w:tr>
      <w:tr>
        <w:trPr>
          <w:trHeight w:val="324"/>
        </w:trPr>
        <w:tc>
          <w:tcPr>
            <w:tcW w:w="47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7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w:t>
            </w:r>
          </w:p>
        </w:tc>
        <w:tc>
          <w:tcPr>
            <w:tcW w:w="15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91"/>
        </w:trPr>
        <w:tc>
          <w:tcPr>
            <w:tcW w:w="47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5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(859)</w:t>
            </w: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1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7"/>
        </w:trPr>
        <w:tc>
          <w:tcPr>
            <w:tcW w:w="47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4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 Attributable to Weatherford</w:t>
            </w:r>
          </w:p>
        </w:tc>
        <w:tc>
          <w:tcPr>
            <w:tcW w:w="1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47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Per Share Attributable to Weatherford:</w:t>
            </w:r>
          </w:p>
        </w:tc>
        <w:tc>
          <w:tcPr>
            <w:tcW w:w="15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4720" w:type="dxa"/>
            <w:vAlign w:val="bottom"/>
          </w:tcPr>
          <w:p>
            <w:pPr>
              <w:ind w:left="180"/>
              <w:spacing w:after="0"/>
              <w:rPr>
                <w:sz w:val="20"/>
                <w:szCs w:val="20"/>
                <w:color w:val="auto"/>
              </w:rPr>
            </w:pPr>
            <w:r>
              <w:rPr>
                <w:rFonts w:ascii="Arial" w:cs="Arial" w:eastAsia="Arial" w:hAnsi="Arial"/>
                <w:sz w:val="18"/>
                <w:szCs w:val="18"/>
                <w:color w:val="auto"/>
              </w:rPr>
              <w:t>Basic &amp; Diluted</w:t>
            </w:r>
          </w:p>
        </w:tc>
        <w:tc>
          <w:tcPr>
            <w:tcW w:w="1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(0.71)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(0.88)</w:t>
            </w:r>
          </w:p>
        </w:tc>
      </w:tr>
      <w:tr>
        <w:trPr>
          <w:trHeight w:val="27"/>
        </w:trPr>
        <w:tc>
          <w:tcPr>
            <w:tcW w:w="47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97"/>
        </w:trPr>
        <w:tc>
          <w:tcPr>
            <w:tcW w:w="472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Weighted Average Shares Outstanding:</w:t>
            </w:r>
          </w:p>
        </w:tc>
        <w:tc>
          <w:tcPr>
            <w:tcW w:w="1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47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&amp; Diluted</w:t>
            </w:r>
          </w:p>
        </w:tc>
        <w:tc>
          <w:tcPr>
            <w:tcW w:w="15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989</w:t>
            </w:r>
          </w:p>
        </w:tc>
      </w:tr>
      <w:tr>
        <w:trPr>
          <w:trHeight w:val="891"/>
        </w:trPr>
        <w:tc>
          <w:tcPr>
            <w:tcW w:w="4720" w:type="dxa"/>
            <w:vAlign w:val="bottom"/>
          </w:tcPr>
          <w:p>
            <w:pPr>
              <w:spacing w:after="0"/>
              <w:rPr>
                <w:sz w:val="24"/>
                <w:szCs w:val="24"/>
                <w:color w:val="auto"/>
              </w:rPr>
            </w:pPr>
          </w:p>
        </w:tc>
        <w:tc>
          <w:tcPr>
            <w:tcW w:w="1580" w:type="dxa"/>
            <w:vAlign w:val="bottom"/>
          </w:tcPr>
          <w:p>
            <w:pPr>
              <w:jc w:val="right"/>
              <w:ind w:right="450"/>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420"/>
          </w:cols>
          <w:pgMar w:left="240" w:top="742" w:right="2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4220" w:type="dxa"/>
            <w:vAlign w:val="bottom"/>
            <w:gridSpan w:val="7"/>
          </w:tcPr>
          <w:p>
            <w:pPr>
              <w:jc w:val="center"/>
              <w:spacing w:after="0"/>
              <w:rPr>
                <w:sz w:val="20"/>
                <w:szCs w:val="20"/>
                <w:color w:val="auto"/>
              </w:rPr>
            </w:pPr>
            <w:r>
              <w:rPr>
                <w:rFonts w:ascii="Arial" w:cs="Arial" w:eastAsia="Arial" w:hAnsi="Arial"/>
                <w:sz w:val="18"/>
                <w:szCs w:val="18"/>
                <w:b w:val="1"/>
                <w:bCs w:val="1"/>
                <w:color w:val="auto"/>
                <w:w w:val="93"/>
              </w:rPr>
              <w:t>Weatherford International plc</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0"/>
        </w:trPr>
        <w:tc>
          <w:tcPr>
            <w:tcW w:w="3580" w:type="dxa"/>
            <w:vAlign w:val="bottom"/>
          </w:tcPr>
          <w:p>
            <w:pPr>
              <w:spacing w:after="0"/>
              <w:rPr>
                <w:sz w:val="23"/>
                <w:szCs w:val="23"/>
                <w:color w:val="auto"/>
              </w:rPr>
            </w:pPr>
          </w:p>
        </w:tc>
        <w:tc>
          <w:tcPr>
            <w:tcW w:w="4220" w:type="dxa"/>
            <w:vAlign w:val="bottom"/>
            <w:gridSpan w:val="7"/>
          </w:tcPr>
          <w:p>
            <w:pPr>
              <w:jc w:val="center"/>
              <w:spacing w:after="0"/>
              <w:rPr>
                <w:sz w:val="20"/>
                <w:szCs w:val="20"/>
                <w:color w:val="auto"/>
              </w:rPr>
            </w:pPr>
            <w:r>
              <w:rPr>
                <w:rFonts w:ascii="Arial" w:cs="Arial" w:eastAsia="Arial" w:hAnsi="Arial"/>
                <w:sz w:val="18"/>
                <w:szCs w:val="18"/>
                <w:b w:val="1"/>
                <w:bCs w:val="1"/>
                <w:color w:val="auto"/>
                <w:w w:val="90"/>
              </w:rPr>
              <w:t>Selected Statements of Operations Information</w:t>
            </w: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70"/>
        </w:trPr>
        <w:tc>
          <w:tcPr>
            <w:tcW w:w="358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300" w:type="dxa"/>
            <w:vAlign w:val="bottom"/>
            <w:gridSpan w:val="3"/>
          </w:tcPr>
          <w:p>
            <w:pPr>
              <w:ind w:left="20"/>
              <w:spacing w:after="0"/>
              <w:rPr>
                <w:sz w:val="20"/>
                <w:szCs w:val="20"/>
                <w:color w:val="auto"/>
              </w:rPr>
            </w:pPr>
            <w:r>
              <w:rPr>
                <w:rFonts w:ascii="Arial" w:cs="Arial" w:eastAsia="Arial" w:hAnsi="Arial"/>
                <w:sz w:val="18"/>
                <w:szCs w:val="18"/>
                <w:color w:val="auto"/>
              </w:rPr>
              <w:t>(Unaudited)</w:t>
            </w: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70"/>
        </w:trPr>
        <w:tc>
          <w:tcPr>
            <w:tcW w:w="3580" w:type="dxa"/>
            <w:vAlign w:val="bottom"/>
          </w:tcPr>
          <w:p>
            <w:pPr>
              <w:spacing w:after="0"/>
              <w:rPr>
                <w:sz w:val="23"/>
                <w:szCs w:val="23"/>
                <w:color w:val="auto"/>
              </w:rPr>
            </w:pPr>
          </w:p>
        </w:tc>
        <w:tc>
          <w:tcPr>
            <w:tcW w:w="2980" w:type="dxa"/>
            <w:vAlign w:val="bottom"/>
            <w:gridSpan w:val="4"/>
          </w:tcPr>
          <w:p>
            <w:pPr>
              <w:jc w:val="center"/>
              <w:ind w:left="1210"/>
              <w:spacing w:after="0"/>
              <w:rPr>
                <w:sz w:val="20"/>
                <w:szCs w:val="20"/>
                <w:color w:val="auto"/>
              </w:rPr>
            </w:pPr>
            <w:r>
              <w:rPr>
                <w:rFonts w:ascii="Arial" w:cs="Arial" w:eastAsia="Arial" w:hAnsi="Arial"/>
                <w:sz w:val="18"/>
                <w:szCs w:val="18"/>
                <w:color w:val="auto"/>
                <w:w w:val="99"/>
              </w:rPr>
              <w:t>(In Millions)</w:t>
            </w: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70"/>
        </w:trPr>
        <w:tc>
          <w:tcPr>
            <w:tcW w:w="358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60" w:type="dxa"/>
            <w:vAlign w:val="bottom"/>
            <w:gridSpan w:val="6"/>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7"/>
        </w:trPr>
        <w:tc>
          <w:tcPr>
            <w:tcW w:w="35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35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rPr>
              <w:t>9/30/2018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6/30/2018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3/31/2018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w w:val="90"/>
              </w:rPr>
              <w:t>12/31/2017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9/30/2017</w:t>
            </w:r>
          </w:p>
        </w:tc>
      </w:tr>
      <w:tr>
        <w:trPr>
          <w:trHeight w:val="27"/>
        </w:trPr>
        <w:tc>
          <w:tcPr>
            <w:tcW w:w="358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16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Western Hemisphere</w:t>
            </w:r>
          </w:p>
        </w:tc>
        <w:tc>
          <w:tcPr>
            <w:tcW w:w="1900" w:type="dxa"/>
            <w:vAlign w:val="bottom"/>
            <w:gridSpan w:val="2"/>
          </w:tcPr>
          <w:p>
            <w:pPr>
              <w:ind w:left="17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762</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2C2C2C"/>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2C2C2C"/>
              </w:rPr>
              <w:t>769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756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759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767</w:t>
            </w:r>
          </w:p>
        </w:tc>
      </w:tr>
      <w:tr>
        <w:trPr>
          <w:trHeight w:val="27"/>
        </w:trPr>
        <w:tc>
          <w:tcPr>
            <w:tcW w:w="35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Eastern Hemisphere</w:t>
            </w:r>
          </w:p>
        </w:tc>
        <w:tc>
          <w:tcPr>
            <w:tcW w:w="16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2C2C2C"/>
              </w:rPr>
              <w:t>679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693</w:t>
            </w:r>
          </w:p>
        </w:tc>
      </w:tr>
      <w:tr>
        <w:trPr>
          <w:trHeight w:val="297"/>
        </w:trPr>
        <w:tc>
          <w:tcPr>
            <w:tcW w:w="35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Revenues</w:t>
            </w:r>
          </w:p>
        </w:tc>
        <w:tc>
          <w:tcPr>
            <w:tcW w:w="168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1,444</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2C2C2C"/>
                <w:w w:val="99"/>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2C2C2C"/>
              </w:rPr>
              <w:t>1,448</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1,423</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1,490</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1,460</w:t>
            </w:r>
          </w:p>
        </w:tc>
      </w:tr>
      <w:tr>
        <w:trPr>
          <w:trHeight w:val="284"/>
        </w:trPr>
        <w:tc>
          <w:tcPr>
            <w:tcW w:w="358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43"/>
        </w:trPr>
        <w:tc>
          <w:tcPr>
            <w:tcW w:w="35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60" w:type="dxa"/>
            <w:vAlign w:val="bottom"/>
            <w:gridSpan w:val="6"/>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35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35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rPr>
              <w:t>9/30/2018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6/30/2018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3/31/2018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w w:val="90"/>
              </w:rPr>
              <w:t>12/31/2017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9/30/2017</w:t>
            </w:r>
          </w:p>
        </w:tc>
      </w:tr>
      <w:tr>
        <w:trPr>
          <w:trHeight w:val="27"/>
        </w:trPr>
        <w:tc>
          <w:tcPr>
            <w:tcW w:w="358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16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Western Hemisphere</w:t>
            </w:r>
          </w:p>
        </w:tc>
        <w:tc>
          <w:tcPr>
            <w:tcW w:w="1900" w:type="dxa"/>
            <w:vAlign w:val="bottom"/>
            <w:gridSpan w:val="2"/>
          </w:tcPr>
          <w:p>
            <w:pPr>
              <w:ind w:left="17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35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Eastern Hemisphere</w:t>
            </w:r>
          </w:p>
        </w:tc>
        <w:tc>
          <w:tcPr>
            <w:tcW w:w="16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7"/>
        </w:trPr>
        <w:tc>
          <w:tcPr>
            <w:tcW w:w="3580" w:type="dxa"/>
            <w:vAlign w:val="bottom"/>
          </w:tcPr>
          <w:p>
            <w:pPr>
              <w:ind w:left="120"/>
              <w:spacing w:after="0"/>
              <w:rPr>
                <w:sz w:val="20"/>
                <w:szCs w:val="20"/>
                <w:color w:val="auto"/>
              </w:rPr>
            </w:pPr>
            <w:r>
              <w:rPr>
                <w:rFonts w:ascii="Arial" w:cs="Arial" w:eastAsia="Arial" w:hAnsi="Arial"/>
                <w:sz w:val="18"/>
                <w:szCs w:val="18"/>
                <w:color w:val="auto"/>
              </w:rPr>
              <w:t>Segment Operating Income (Loss)</w:t>
            </w:r>
          </w:p>
        </w:tc>
        <w:tc>
          <w:tcPr>
            <w:tcW w:w="16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35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Expenses</w:t>
            </w:r>
          </w:p>
        </w:tc>
        <w:tc>
          <w:tcPr>
            <w:tcW w:w="16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Restructuring and Transformation Charges</w:t>
            </w:r>
          </w:p>
        </w:tc>
        <w:tc>
          <w:tcPr>
            <w:tcW w:w="1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
        </w:trPr>
        <w:tc>
          <w:tcPr>
            <w:tcW w:w="35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Charges, Net</w:t>
            </w:r>
          </w:p>
        </w:tc>
        <w:tc>
          <w:tcPr>
            <w:tcW w:w="16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57"/>
        </w:trPr>
        <w:tc>
          <w:tcPr>
            <w:tcW w:w="3580" w:type="dxa"/>
            <w:vAlign w:val="bottom"/>
          </w:tcPr>
          <w:p>
            <w:pPr>
              <w:ind w:left="280"/>
              <w:spacing w:after="0"/>
              <w:rPr>
                <w:sz w:val="20"/>
                <w:szCs w:val="20"/>
                <w:color w:val="auto"/>
              </w:rPr>
            </w:pPr>
            <w:r>
              <w:rPr>
                <w:rFonts w:ascii="Arial" w:cs="Arial" w:eastAsia="Arial" w:hAnsi="Arial"/>
                <w:sz w:val="18"/>
                <w:szCs w:val="18"/>
                <w:color w:val="auto"/>
              </w:rPr>
              <w:t>Total Operating Loss</w:t>
            </w:r>
          </w:p>
        </w:tc>
        <w:tc>
          <w:tcPr>
            <w:tcW w:w="1680" w:type="dxa"/>
            <w:vAlign w:val="bottom"/>
          </w:tcPr>
          <w:p>
            <w:pPr>
              <w:spacing w:after="0"/>
              <w:rPr>
                <w:sz w:val="22"/>
                <w:szCs w:val="22"/>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(1,741)</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w:t>
            </w:r>
          </w:p>
        </w:tc>
      </w:tr>
      <w:tr>
        <w:trPr>
          <w:trHeight w:val="20"/>
        </w:trPr>
        <w:tc>
          <w:tcPr>
            <w:tcW w:w="35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527"/>
        </w:trPr>
        <w:tc>
          <w:tcPr>
            <w:tcW w:w="35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60" w:type="dxa"/>
            <w:vAlign w:val="bottom"/>
            <w:gridSpan w:val="6"/>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7"/>
        </w:trPr>
        <w:tc>
          <w:tcPr>
            <w:tcW w:w="35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35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rPr>
              <w:t>9/30/2018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6/30/2018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3/31/2018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w w:val="90"/>
              </w:rPr>
              <w:t>12/31/2017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9/30/2017</w:t>
            </w:r>
          </w:p>
        </w:tc>
      </w:tr>
      <w:tr>
        <w:trPr>
          <w:trHeight w:val="27"/>
        </w:trPr>
        <w:tc>
          <w:tcPr>
            <w:tcW w:w="358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358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b w:val="1"/>
                <w:bCs w:val="1"/>
                <w:color w:val="auto"/>
              </w:rPr>
              <w:t xml:space="preserve">Product and Service Line </w:t>
            </w:r>
            <w:r>
              <w:rPr>
                <w:rFonts w:ascii="Arial" w:cs="Arial" w:eastAsia="Arial" w:hAnsi="Arial"/>
                <w:sz w:val="25"/>
                <w:szCs w:val="25"/>
                <w:b w:val="1"/>
                <w:bCs w:val="1"/>
                <w:color w:val="auto"/>
                <w:vertAlign w:val="superscript"/>
              </w:rPr>
              <w:t>(a</w:t>
            </w:r>
            <w:r>
              <w:rPr>
                <w:rFonts w:ascii="Arial" w:cs="Arial" w:eastAsia="Arial" w:hAnsi="Arial"/>
                <w:sz w:val="25"/>
                <w:szCs w:val="25"/>
                <w:color w:val="auto"/>
                <w:vertAlign w:val="superscript"/>
              </w:rPr>
              <w:t>)</w:t>
            </w:r>
            <w:r>
              <w:rPr>
                <w:rFonts w:ascii="Arial" w:cs="Arial" w:eastAsia="Arial" w:hAnsi="Arial"/>
                <w:sz w:val="18"/>
                <w:szCs w:val="18"/>
                <w:b w:val="1"/>
                <w:bCs w:val="1"/>
                <w:color w:val="auto"/>
              </w:rPr>
              <w:t xml:space="preserve"> Revenues:</w:t>
            </w:r>
          </w:p>
        </w:tc>
        <w:tc>
          <w:tcPr>
            <w:tcW w:w="16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Production</w:t>
            </w:r>
          </w:p>
        </w:tc>
        <w:tc>
          <w:tcPr>
            <w:tcW w:w="1900" w:type="dxa"/>
            <w:vAlign w:val="bottom"/>
            <w:gridSpan w:val="2"/>
          </w:tcPr>
          <w:p>
            <w:pPr>
              <w:ind w:left="17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383</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381</w:t>
            </w:r>
          </w:p>
        </w:tc>
      </w:tr>
      <w:tr>
        <w:trPr>
          <w:trHeight w:val="27"/>
        </w:trPr>
        <w:tc>
          <w:tcPr>
            <w:tcW w:w="35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Completion</w:t>
            </w:r>
          </w:p>
        </w:tc>
        <w:tc>
          <w:tcPr>
            <w:tcW w:w="16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320</w:t>
            </w: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Drilling and Evaluation</w:t>
            </w:r>
          </w:p>
        </w:tc>
        <w:tc>
          <w:tcPr>
            <w:tcW w:w="1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357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347</w:t>
            </w:r>
          </w:p>
        </w:tc>
      </w:tr>
      <w:tr>
        <w:trPr>
          <w:trHeight w:val="27"/>
        </w:trPr>
        <w:tc>
          <w:tcPr>
            <w:tcW w:w="35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Well Construction</w:t>
            </w:r>
          </w:p>
        </w:tc>
        <w:tc>
          <w:tcPr>
            <w:tcW w:w="16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412</w:t>
            </w:r>
          </w:p>
        </w:tc>
      </w:tr>
      <w:tr>
        <w:trPr>
          <w:trHeight w:val="257"/>
        </w:trPr>
        <w:tc>
          <w:tcPr>
            <w:tcW w:w="3580" w:type="dxa"/>
            <w:vAlign w:val="bottom"/>
          </w:tcPr>
          <w:p>
            <w:pPr>
              <w:ind w:left="280"/>
              <w:spacing w:after="0"/>
              <w:rPr>
                <w:sz w:val="20"/>
                <w:szCs w:val="20"/>
                <w:color w:val="auto"/>
              </w:rPr>
            </w:pPr>
            <w:r>
              <w:rPr>
                <w:rFonts w:ascii="Arial" w:cs="Arial" w:eastAsia="Arial" w:hAnsi="Arial"/>
                <w:sz w:val="18"/>
                <w:szCs w:val="18"/>
                <w:color w:val="auto"/>
                <w:w w:val="98"/>
              </w:rPr>
              <w:t>Total Product and Service Line Revenues</w:t>
            </w:r>
          </w:p>
        </w:tc>
        <w:tc>
          <w:tcPr>
            <w:tcW w:w="1680" w:type="dxa"/>
            <w:vAlign w:val="bottom"/>
          </w:tcPr>
          <w:p>
            <w:pPr>
              <w:spacing w:after="0"/>
              <w:rPr>
                <w:sz w:val="22"/>
                <w:szCs w:val="22"/>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1,444</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1,448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1,423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1,490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1,460</w:t>
            </w:r>
          </w:p>
        </w:tc>
      </w:tr>
      <w:tr>
        <w:trPr>
          <w:trHeight w:val="20"/>
        </w:trPr>
        <w:tc>
          <w:tcPr>
            <w:tcW w:w="35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527"/>
        </w:trPr>
        <w:tc>
          <w:tcPr>
            <w:tcW w:w="35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60" w:type="dxa"/>
            <w:vAlign w:val="bottom"/>
            <w:gridSpan w:val="6"/>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7"/>
        </w:trPr>
        <w:tc>
          <w:tcPr>
            <w:tcW w:w="35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35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rPr>
              <w:t>9/30/2018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6/30/2018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3/31/2018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w w:val="90"/>
              </w:rPr>
              <w:t>12/31/2017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9/30/2017</w:t>
            </w:r>
          </w:p>
        </w:tc>
      </w:tr>
      <w:tr>
        <w:trPr>
          <w:trHeight w:val="27"/>
        </w:trPr>
        <w:tc>
          <w:tcPr>
            <w:tcW w:w="358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Depreciation and Amortization:</w:t>
            </w:r>
          </w:p>
        </w:tc>
        <w:tc>
          <w:tcPr>
            <w:tcW w:w="16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Western Hemisphere</w:t>
            </w:r>
          </w:p>
        </w:tc>
        <w:tc>
          <w:tcPr>
            <w:tcW w:w="1900" w:type="dxa"/>
            <w:vAlign w:val="bottom"/>
            <w:gridSpan w:val="2"/>
          </w:tcPr>
          <w:p>
            <w:pPr>
              <w:ind w:left="17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89</w:t>
            </w:r>
          </w:p>
        </w:tc>
      </w:tr>
      <w:tr>
        <w:trPr>
          <w:trHeight w:val="27"/>
        </w:trPr>
        <w:tc>
          <w:tcPr>
            <w:tcW w:w="35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Eastern Hemisphere</w:t>
            </w:r>
          </w:p>
        </w:tc>
        <w:tc>
          <w:tcPr>
            <w:tcW w:w="16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w:t>
            </w: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Corporate</w:t>
            </w:r>
          </w:p>
        </w:tc>
        <w:tc>
          <w:tcPr>
            <w:tcW w:w="1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358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3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Depreciation and Amortization</w:t>
            </w:r>
          </w:p>
        </w:tc>
        <w:tc>
          <w:tcPr>
            <w:tcW w:w="1900" w:type="dxa"/>
            <w:vAlign w:val="bottom"/>
            <w:gridSpan w:val="2"/>
            <w:shd w:val="clear" w:color="auto" w:fill="CCEEFF"/>
          </w:tcPr>
          <w:p>
            <w:pPr>
              <w:ind w:left="17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199</w:t>
            </w: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35" w:lineRule="exact"/>
        <w:rPr>
          <w:sz w:val="20"/>
          <w:szCs w:val="20"/>
          <w:color w:val="auto"/>
        </w:rPr>
      </w:pPr>
    </w:p>
    <w:p>
      <w:pPr>
        <w:jc w:val="both"/>
        <w:ind w:left="340" w:hanging="332"/>
        <w:spacing w:after="0" w:line="257" w:lineRule="auto"/>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Production includes Artificial Lift Systems, Stimulation and Testing and Production Services. Completions includes Completion Systems, Liner Systems and Cementing Products. Drilling and Evaluation includes Drilling Services, Managed Pressure Drilling, Surface Logging Systems, Wireline Services and Reservoir Solutions. Well Construction includes Tubular Running Services, Intervention Services, Drilling Tools and Rental Equipment and Land Drilling Rigs.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42" w:right="239" w:bottom="1440" w:gutter="0" w:footer="0" w:header="0"/>
        </w:sectPr>
      </w:pPr>
    </w:p>
    <w:bookmarkStart w:id="11" w:name="page12"/>
    <w:bookmarkEnd w:id="11"/>
    <w:p>
      <w:pPr>
        <w:jc w:val="both"/>
        <w:spacing w:after="0" w:line="274" w:lineRule="auto"/>
        <w:rPr>
          <w:sz w:val="20"/>
          <w:szCs w:val="20"/>
          <w:color w:val="auto"/>
        </w:rPr>
      </w:pPr>
      <w:r>
        <w:rPr>
          <w:rFonts w:ascii="Arial" w:cs="Arial" w:eastAsia="Arial" w:hAnsi="Arial"/>
          <w:sz w:val="16"/>
          <w:szCs w:val="16"/>
          <w:color w:val="auto"/>
        </w:rPr>
        <w:t>We report our financial results in accordance with U.S. generally accepted accounting principles (GAAP). However, Weatherford’s management believes that certain non-GAAP financial measures and ratios (as defined under the SEC’s Regulation G and Item 10(e) of Regulation S-K) may provide users of this financial information additional meaningful comparisons between current results and results of prior periods and comparisons with peer companies. The non-GAAP amounts shown in the following tables should not be considered as substitutes for operating income, provision for income taxes, net income or other data prepared and reported in accordance with GAAP, but should be viewed in addition to the Company’s reported results prepared in accordance with GAAP.</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Weatherford International plc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to Non-GAAP Financial Measures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Amounts)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0" w:type="dxa"/>
            <w:vAlign w:val="bottom"/>
            <w:gridSpan w:val="6"/>
          </w:tcPr>
          <w:p>
            <w:pPr>
              <w:jc w:val="right"/>
              <w:ind w:right="70"/>
              <w:spacing w:after="0"/>
              <w:rPr>
                <w:sz w:val="20"/>
                <w:szCs w:val="20"/>
                <w:color w:val="auto"/>
              </w:rPr>
            </w:pPr>
            <w:r>
              <w:rPr>
                <w:rFonts w:ascii="Arial" w:cs="Arial" w:eastAsia="Arial" w:hAnsi="Arial"/>
                <w:sz w:val="18"/>
                <w:szCs w:val="18"/>
                <w:b w:val="1"/>
                <w:bCs w:val="1"/>
                <w:color w:val="auto"/>
                <w:w w:val="90"/>
              </w:rPr>
              <w:t>Three Months Ended</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Nine Months Ended</w:t>
            </w:r>
          </w:p>
        </w:tc>
      </w:tr>
      <w:tr>
        <w:trPr>
          <w:trHeight w:val="27"/>
        </w:trPr>
        <w:tc>
          <w:tcPr>
            <w:tcW w:w="44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ind w:right="190"/>
              <w:spacing w:after="0"/>
              <w:rPr>
                <w:sz w:val="20"/>
                <w:szCs w:val="20"/>
                <w:color w:val="auto"/>
              </w:rPr>
            </w:pPr>
            <w:r>
              <w:rPr>
                <w:rFonts w:ascii="Arial" w:cs="Arial" w:eastAsia="Arial" w:hAnsi="Arial"/>
                <w:sz w:val="18"/>
                <w:szCs w:val="18"/>
                <w:b w:val="1"/>
                <w:bCs w:val="1"/>
                <w:color w:val="auto"/>
              </w:rPr>
              <w:t>9/30/2018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210"/>
              <w:spacing w:after="0"/>
              <w:rPr>
                <w:sz w:val="20"/>
                <w:szCs w:val="20"/>
                <w:color w:val="auto"/>
              </w:rPr>
            </w:pPr>
            <w:r>
              <w:rPr>
                <w:rFonts w:ascii="Arial" w:cs="Arial" w:eastAsia="Arial" w:hAnsi="Arial"/>
                <w:sz w:val="18"/>
                <w:szCs w:val="18"/>
                <w:b w:val="1"/>
                <w:bCs w:val="1"/>
                <w:color w:val="auto"/>
              </w:rPr>
              <w:t>6/30/2018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9/30/2017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b w:val="1"/>
                <w:bCs w:val="1"/>
                <w:color w:val="auto"/>
                <w:w w:val="97"/>
              </w:rPr>
              <w:t>9/30/2018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b w:val="1"/>
                <w:bCs w:val="1"/>
                <w:color w:val="auto"/>
                <w:w w:val="97"/>
              </w:rPr>
              <w:t>9/30/2017</w:t>
            </w:r>
          </w:p>
        </w:tc>
      </w:tr>
      <w:tr>
        <w:trPr>
          <w:trHeight w:val="27"/>
        </w:trPr>
        <w:tc>
          <w:tcPr>
            <w:tcW w:w="44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Loss:</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GAAP Operating Loss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(13)</w:t>
            </w:r>
          </w:p>
        </w:tc>
        <w:tc>
          <w:tcPr>
            <w:tcW w:w="34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2C2C2C"/>
                <w:w w:val="99"/>
              </w:rPr>
              <w:t>$</w:t>
            </w:r>
          </w:p>
        </w:tc>
        <w:tc>
          <w:tcPr>
            <w:tcW w:w="1140" w:type="dxa"/>
            <w:vAlign w:val="bottom"/>
          </w:tcPr>
          <w:p>
            <w:pPr>
              <w:jc w:val="right"/>
              <w:ind w:right="90"/>
              <w:spacing w:after="0"/>
              <w:rPr>
                <w:sz w:val="20"/>
                <w:szCs w:val="20"/>
                <w:color w:val="auto"/>
              </w:rPr>
            </w:pPr>
            <w:r>
              <w:rPr>
                <w:rFonts w:ascii="Arial" w:cs="Arial" w:eastAsia="Arial" w:hAnsi="Arial"/>
                <w:sz w:val="18"/>
                <w:szCs w:val="18"/>
                <w:color w:val="2C2C2C"/>
              </w:rPr>
              <w:t>(70)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2C2C2C"/>
                <w:w w:val="99"/>
              </w:rPr>
              <w:t>$</w:t>
            </w:r>
          </w:p>
        </w:tc>
        <w:tc>
          <w:tcPr>
            <w:tcW w:w="1060" w:type="dxa"/>
            <w:vAlign w:val="bottom"/>
          </w:tcPr>
          <w:p>
            <w:pPr>
              <w:jc w:val="right"/>
              <w:ind w:right="90"/>
              <w:spacing w:after="0"/>
              <w:rPr>
                <w:sz w:val="20"/>
                <w:szCs w:val="20"/>
                <w:color w:val="auto"/>
              </w:rPr>
            </w:pPr>
            <w:r>
              <w:rPr>
                <w:rFonts w:ascii="Arial" w:cs="Arial" w:eastAsia="Arial" w:hAnsi="Arial"/>
                <w:sz w:val="18"/>
                <w:szCs w:val="18"/>
                <w:color w:val="2C2C2C"/>
              </w:rPr>
              <w:t>(429)</w:t>
            </w:r>
          </w:p>
        </w:tc>
      </w:tr>
      <w:tr>
        <w:trPr>
          <w:trHeight w:val="27"/>
        </w:trPr>
        <w:tc>
          <w:tcPr>
            <w:tcW w:w="4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46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Restructuring and Transformation Charges </w:t>
            </w:r>
            <w:r>
              <w:rPr>
                <w:rFonts w:ascii="Arial" w:cs="Arial" w:eastAsia="Arial" w:hAnsi="Arial"/>
                <w:sz w:val="25"/>
                <w:szCs w:val="25"/>
                <w:color w:val="auto"/>
                <w:vertAlign w:val="superscript"/>
              </w:rPr>
              <w:t>(a)</w:t>
            </w:r>
          </w:p>
        </w:tc>
        <w:tc>
          <w:tcPr>
            <w:tcW w:w="20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27</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140</w:t>
            </w:r>
          </w:p>
        </w:tc>
      </w:tr>
      <w:tr>
        <w:trPr>
          <w:trHeight w:val="270"/>
        </w:trPr>
        <w:tc>
          <w:tcPr>
            <w:tcW w:w="4460" w:type="dxa"/>
            <w:vAlign w:val="bottom"/>
            <w:tcBorders>
              <w:bottom w:val="single" w:sz="8" w:color="CCEEFF"/>
            </w:tcBorders>
          </w:tcPr>
          <w:p>
            <w:pPr>
              <w:ind w:left="280"/>
              <w:spacing w:after="0" w:line="270" w:lineRule="exact"/>
              <w:rPr>
                <w:sz w:val="20"/>
                <w:szCs w:val="20"/>
                <w:color w:val="auto"/>
              </w:rPr>
            </w:pPr>
            <w:r>
              <w:rPr>
                <w:rFonts w:ascii="Arial" w:cs="Arial" w:eastAsia="Arial" w:hAnsi="Arial"/>
                <w:sz w:val="18"/>
                <w:szCs w:val="18"/>
                <w:color w:val="auto"/>
              </w:rPr>
              <w:t xml:space="preserve">Impairments, Asset Write-Downs and Other </w:t>
            </w:r>
            <w:r>
              <w:rPr>
                <w:rFonts w:ascii="Arial" w:cs="Arial" w:eastAsia="Arial" w:hAnsi="Arial"/>
                <w:sz w:val="25"/>
                <w:szCs w:val="25"/>
                <w:color w:val="auto"/>
                <w:vertAlign w:val="superscript"/>
              </w:rPr>
              <w:t>(b)</w:t>
            </w:r>
          </w:p>
        </w:tc>
        <w:tc>
          <w:tcPr>
            <w:tcW w:w="2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71</w:t>
            </w: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2C2C2C"/>
              </w:rPr>
              <w:t>1</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159</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2C2C2C"/>
              </w:rPr>
              <w:t>26</w:t>
            </w:r>
          </w:p>
        </w:tc>
      </w:tr>
      <w:tr>
        <w:trPr>
          <w:trHeight w:val="264"/>
        </w:trPr>
        <w:tc>
          <w:tcPr>
            <w:tcW w:w="44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Operating Non-GAAP Adjustments</w:t>
            </w:r>
          </w:p>
        </w:tc>
        <w:tc>
          <w:tcPr>
            <w:tcW w:w="2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98</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2C2C2C"/>
              </w:rPr>
              <w:t>35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249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2C2C2C"/>
              </w:rPr>
              <w:t>166</w:t>
            </w:r>
          </w:p>
        </w:tc>
      </w:tr>
      <w:tr>
        <w:trPr>
          <w:trHeight w:val="297"/>
        </w:trPr>
        <w:tc>
          <w:tcPr>
            <w:tcW w:w="44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Non-GAAP Adjusted Operating Income (Loss)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85</w:t>
            </w:r>
          </w:p>
        </w:tc>
        <w:tc>
          <w:tcPr>
            <w:tcW w:w="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2C2C2C"/>
                <w:w w:val="99"/>
              </w:rPr>
              <w:t>$</w:t>
            </w:r>
          </w:p>
        </w:tc>
        <w:tc>
          <w:tcPr>
            <w:tcW w:w="11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2C2C2C"/>
              </w:rPr>
              <w:t>(35)</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124</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2C2C2C"/>
                <w:w w:val="99"/>
              </w:rPr>
              <w:t>$</w:t>
            </w:r>
          </w:p>
        </w:tc>
        <w:tc>
          <w:tcPr>
            <w:tcW w:w="10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2C2C2C"/>
              </w:rPr>
              <w:t>(263)</w:t>
            </w:r>
          </w:p>
        </w:tc>
      </w:tr>
      <w:tr>
        <w:trPr>
          <w:trHeight w:val="203"/>
        </w:trPr>
        <w:tc>
          <w:tcPr>
            <w:tcW w:w="4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b w:val="1"/>
                <w:bCs w:val="1"/>
                <w:color w:val="auto"/>
              </w:rPr>
              <w:t>Loss Before Income Taxes:</w:t>
            </w: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4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GAAP Loss Before Income Taxes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(172)</w:t>
            </w:r>
          </w:p>
        </w:tc>
        <w:tc>
          <w:tcPr>
            <w:tcW w:w="3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(784)</w:t>
            </w:r>
          </w:p>
        </w:tc>
      </w:tr>
      <w:tr>
        <w:trPr>
          <w:trHeight w:val="243"/>
        </w:trPr>
        <w:tc>
          <w:tcPr>
            <w:tcW w:w="4460" w:type="dxa"/>
            <w:vAlign w:val="bottom"/>
          </w:tcPr>
          <w:p>
            <w:pPr>
              <w:ind w:left="280"/>
              <w:spacing w:after="0"/>
              <w:rPr>
                <w:sz w:val="20"/>
                <w:szCs w:val="20"/>
                <w:color w:val="auto"/>
              </w:rPr>
            </w:pPr>
            <w:r>
              <w:rPr>
                <w:rFonts w:ascii="Arial" w:cs="Arial" w:eastAsia="Arial" w:hAnsi="Arial"/>
                <w:sz w:val="18"/>
                <w:szCs w:val="18"/>
                <w:color w:val="auto"/>
              </w:rPr>
              <w:t>Operating Non-GAAP Adjustments</w:t>
            </w:r>
          </w:p>
        </w:tc>
        <w:tc>
          <w:tcPr>
            <w:tcW w:w="200" w:type="dxa"/>
            <w:vAlign w:val="bottom"/>
          </w:tcPr>
          <w:p>
            <w:pPr>
              <w:spacing w:after="0"/>
              <w:rPr>
                <w:sz w:val="21"/>
                <w:szCs w:val="21"/>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2C2C2C"/>
              </w:rPr>
              <w:t>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249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2C2C2C"/>
              </w:rPr>
              <w:t>166</w:t>
            </w:r>
          </w:p>
        </w:tc>
      </w:tr>
      <w:tr>
        <w:trPr>
          <w:trHeight w:val="27"/>
        </w:trPr>
        <w:tc>
          <w:tcPr>
            <w:tcW w:w="4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46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Bond Tender and Call Premium </w:t>
            </w:r>
            <w:r>
              <w:rPr>
                <w:rFonts w:ascii="Arial" w:cs="Arial" w:eastAsia="Arial" w:hAnsi="Arial"/>
                <w:sz w:val="25"/>
                <w:szCs w:val="25"/>
                <w:color w:val="auto"/>
                <w:vertAlign w:val="superscript"/>
              </w:rPr>
              <w:t>(c)</w:t>
            </w:r>
          </w:p>
        </w:tc>
        <w:tc>
          <w:tcPr>
            <w:tcW w:w="20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43"/>
        </w:trPr>
        <w:tc>
          <w:tcPr>
            <w:tcW w:w="4460" w:type="dxa"/>
            <w:vAlign w:val="bottom"/>
          </w:tcPr>
          <w:p>
            <w:pPr>
              <w:ind w:left="280"/>
              <w:spacing w:after="0"/>
              <w:rPr>
                <w:sz w:val="20"/>
                <w:szCs w:val="20"/>
                <w:color w:val="auto"/>
              </w:rPr>
            </w:pPr>
            <w:r>
              <w:rPr>
                <w:rFonts w:ascii="Arial" w:cs="Arial" w:eastAsia="Arial" w:hAnsi="Arial"/>
                <w:sz w:val="18"/>
                <w:szCs w:val="18"/>
                <w:color w:val="auto"/>
              </w:rPr>
              <w:t>Warrant Fair Value Adjustment</w:t>
            </w:r>
          </w:p>
        </w:tc>
        <w:tc>
          <w:tcPr>
            <w:tcW w:w="20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(58)</w:t>
            </w:r>
          </w:p>
        </w:tc>
      </w:tr>
      <w:tr>
        <w:trPr>
          <w:trHeight w:val="27"/>
        </w:trPr>
        <w:tc>
          <w:tcPr>
            <w:tcW w:w="4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46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Defined Benefit Pension Plan Gains </w:t>
            </w:r>
            <w:r>
              <w:rPr>
                <w:rFonts w:ascii="Arial" w:cs="Arial" w:eastAsia="Arial" w:hAnsi="Arial"/>
                <w:sz w:val="25"/>
                <w:szCs w:val="25"/>
                <w:color w:val="auto"/>
                <w:vertAlign w:val="superscript"/>
              </w:rPr>
              <w:t>(d)</w:t>
            </w:r>
          </w:p>
        </w:tc>
        <w:tc>
          <w:tcPr>
            <w:tcW w:w="20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2C2C2C"/>
              </w:rPr>
              <w:t>(7)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2C2C2C"/>
              </w:rPr>
              <w:t>(47)</w:t>
            </w:r>
          </w:p>
        </w:tc>
      </w:tr>
      <w:tr>
        <w:trPr>
          <w:trHeight w:val="270"/>
        </w:trPr>
        <w:tc>
          <w:tcPr>
            <w:tcW w:w="4460" w:type="dxa"/>
            <w:vAlign w:val="bottom"/>
            <w:tcBorders>
              <w:bottom w:val="single" w:sz="8" w:color="CCEEFF"/>
            </w:tcBorders>
          </w:tcPr>
          <w:p>
            <w:pPr>
              <w:ind w:left="280"/>
              <w:spacing w:after="0" w:line="270" w:lineRule="exact"/>
              <w:rPr>
                <w:sz w:val="20"/>
                <w:szCs w:val="20"/>
                <w:color w:val="auto"/>
              </w:rPr>
            </w:pPr>
            <w:r>
              <w:rPr>
                <w:rFonts w:ascii="Arial" w:cs="Arial" w:eastAsia="Arial" w:hAnsi="Arial"/>
                <w:sz w:val="18"/>
                <w:szCs w:val="18"/>
                <w:color w:val="auto"/>
              </w:rPr>
              <w:t xml:space="preserve">Currency Devaluation Charges </w:t>
            </w:r>
            <w:r>
              <w:rPr>
                <w:rFonts w:ascii="Arial" w:cs="Arial" w:eastAsia="Arial" w:hAnsi="Arial"/>
                <w:sz w:val="25"/>
                <w:szCs w:val="25"/>
                <w:color w:val="auto"/>
                <w:vertAlign w:val="superscript"/>
              </w:rPr>
              <w:t>(e)</w:t>
            </w:r>
          </w:p>
        </w:tc>
        <w:tc>
          <w:tcPr>
            <w:tcW w:w="2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8</w:t>
            </w: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r>
      <w:tr>
        <w:trPr>
          <w:trHeight w:val="264"/>
        </w:trPr>
        <w:tc>
          <w:tcPr>
            <w:tcW w:w="44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Non-GAAP Adjustments Before Taxes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95</w:t>
            </w:r>
          </w:p>
        </w:tc>
        <w:tc>
          <w:tcPr>
            <w:tcW w:w="3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261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61</w:t>
            </w:r>
          </w:p>
        </w:tc>
      </w:tr>
      <w:tr>
        <w:trPr>
          <w:trHeight w:val="297"/>
        </w:trPr>
        <w:tc>
          <w:tcPr>
            <w:tcW w:w="44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Non-GAAP Loss Before Income Taxes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(77)</w:t>
            </w:r>
          </w:p>
        </w:tc>
        <w:tc>
          <w:tcPr>
            <w:tcW w:w="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(354)</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(723)</w:t>
            </w:r>
          </w:p>
        </w:tc>
      </w:tr>
      <w:tr>
        <w:trPr>
          <w:trHeight w:val="203"/>
        </w:trPr>
        <w:tc>
          <w:tcPr>
            <w:tcW w:w="4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b w:val="1"/>
                <w:bCs w:val="1"/>
                <w:color w:val="auto"/>
              </w:rPr>
              <w:t>Provision for Income Taxes:</w:t>
            </w: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4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GAAP Provision for Income Taxes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w:t>
            </w:r>
          </w:p>
        </w:tc>
        <w:tc>
          <w:tcPr>
            <w:tcW w:w="3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(75)</w:t>
            </w:r>
          </w:p>
        </w:tc>
      </w:tr>
      <w:tr>
        <w:trPr>
          <w:trHeight w:val="243"/>
        </w:trPr>
        <w:tc>
          <w:tcPr>
            <w:tcW w:w="4460" w:type="dxa"/>
            <w:vAlign w:val="bottom"/>
          </w:tcPr>
          <w:p>
            <w:pPr>
              <w:ind w:left="280"/>
              <w:spacing w:after="0"/>
              <w:rPr>
                <w:sz w:val="20"/>
                <w:szCs w:val="20"/>
                <w:color w:val="auto"/>
              </w:rPr>
            </w:pPr>
            <w:r>
              <w:rPr>
                <w:rFonts w:ascii="Arial" w:cs="Arial" w:eastAsia="Arial" w:hAnsi="Arial"/>
                <w:sz w:val="18"/>
                <w:szCs w:val="18"/>
                <w:color w:val="auto"/>
              </w:rPr>
              <w:t>Tax Effect on Non-GAAP Adjustments</w:t>
            </w:r>
          </w:p>
        </w:tc>
        <w:tc>
          <w:tcPr>
            <w:tcW w:w="200" w:type="dxa"/>
            <w:vAlign w:val="bottom"/>
          </w:tcPr>
          <w:p>
            <w:pPr>
              <w:spacing w:after="0"/>
              <w:rPr>
                <w:sz w:val="21"/>
                <w:szCs w:val="21"/>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(7)</w:t>
            </w:r>
          </w:p>
        </w:tc>
      </w:tr>
      <w:tr>
        <w:trPr>
          <w:trHeight w:val="27"/>
        </w:trPr>
        <w:tc>
          <w:tcPr>
            <w:tcW w:w="44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Non-GAAP Provision for Income Taxes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(21)</w:t>
            </w:r>
          </w:p>
        </w:tc>
        <w:tc>
          <w:tcPr>
            <w:tcW w:w="34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(82)</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4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 Attributable to Weatherford:</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GAAP Net Loss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(199)</w:t>
            </w:r>
          </w:p>
        </w:tc>
        <w:tc>
          <w:tcPr>
            <w:tcW w:w="34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(708)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(875)</w:t>
            </w:r>
          </w:p>
        </w:tc>
      </w:tr>
      <w:tr>
        <w:trPr>
          <w:trHeight w:val="27"/>
        </w:trPr>
        <w:tc>
          <w:tcPr>
            <w:tcW w:w="4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Non-GAAP Adjustments, net of tax</w:t>
            </w: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96</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261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54</w:t>
            </w:r>
          </w:p>
        </w:tc>
      </w:tr>
      <w:tr>
        <w:trPr>
          <w:trHeight w:val="297"/>
        </w:trPr>
        <w:tc>
          <w:tcPr>
            <w:tcW w:w="44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Non-GAAP Net Loss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(103)</w:t>
            </w:r>
          </w:p>
        </w:tc>
        <w:tc>
          <w:tcPr>
            <w:tcW w:w="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(447)</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(821)</w:t>
            </w:r>
          </w:p>
        </w:tc>
      </w:tr>
      <w:tr>
        <w:trPr>
          <w:trHeight w:val="230"/>
        </w:trPr>
        <w:tc>
          <w:tcPr>
            <w:tcW w:w="44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b w:val="1"/>
                <w:bCs w:val="1"/>
                <w:color w:val="auto"/>
                <w:w w:val="99"/>
              </w:rPr>
              <w:t>Diluted Loss Per Share Attributable to Weatherford:</w:t>
            </w: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4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GAAP Diluted Loss per Share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(0.20)</w:t>
            </w:r>
          </w:p>
        </w:tc>
        <w:tc>
          <w:tcPr>
            <w:tcW w:w="3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C2C2C"/>
                <w:w w:val="99"/>
              </w:rPr>
              <w:t>$</w:t>
            </w: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2C2C2C"/>
              </w:rPr>
              <w:t>(0.88)</w:t>
            </w:r>
          </w:p>
        </w:tc>
      </w:tr>
      <w:tr>
        <w:trPr>
          <w:trHeight w:val="243"/>
        </w:trPr>
        <w:tc>
          <w:tcPr>
            <w:tcW w:w="4460" w:type="dxa"/>
            <w:vAlign w:val="bottom"/>
          </w:tcPr>
          <w:p>
            <w:pPr>
              <w:ind w:left="280"/>
              <w:spacing w:after="0"/>
              <w:rPr>
                <w:sz w:val="20"/>
                <w:szCs w:val="20"/>
                <w:color w:val="auto"/>
              </w:rPr>
            </w:pPr>
            <w:r>
              <w:rPr>
                <w:rFonts w:ascii="Arial" w:cs="Arial" w:eastAsia="Arial" w:hAnsi="Arial"/>
                <w:sz w:val="18"/>
                <w:szCs w:val="18"/>
                <w:color w:val="auto"/>
              </w:rPr>
              <w:t>Non-GAAP Adjustments, net of tax</w:t>
            </w:r>
          </w:p>
        </w:tc>
        <w:tc>
          <w:tcPr>
            <w:tcW w:w="200" w:type="dxa"/>
            <w:vAlign w:val="bottom"/>
          </w:tcPr>
          <w:p>
            <w:pPr>
              <w:spacing w:after="0"/>
              <w:rPr>
                <w:sz w:val="21"/>
                <w:szCs w:val="21"/>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0.10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0.26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0.05</w:t>
            </w:r>
          </w:p>
        </w:tc>
      </w:tr>
      <w:tr>
        <w:trPr>
          <w:trHeight w:val="27"/>
        </w:trPr>
        <w:tc>
          <w:tcPr>
            <w:tcW w:w="44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Non-GAAP Diluted Loss per Share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(0.10)</w:t>
            </w:r>
          </w:p>
        </w:tc>
        <w:tc>
          <w:tcPr>
            <w:tcW w:w="34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(0.16)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(0.22)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(0.45)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(0.83)</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4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70"/>
        </w:trPr>
        <w:tc>
          <w:tcPr>
            <w:tcW w:w="446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b w:val="1"/>
                <w:bCs w:val="1"/>
                <w:color w:val="auto"/>
              </w:rPr>
              <w:t xml:space="preserve">GAAP Effective Tax Rate </w:t>
            </w:r>
            <w:r>
              <w:rPr>
                <w:rFonts w:ascii="Arial" w:cs="Arial" w:eastAsia="Arial" w:hAnsi="Arial"/>
                <w:sz w:val="25"/>
                <w:szCs w:val="25"/>
                <w:b w:val="1"/>
                <w:bCs w:val="1"/>
                <w:color w:val="auto"/>
                <w:vertAlign w:val="superscript"/>
              </w:rPr>
              <w:t>(f)</w:t>
            </w:r>
          </w:p>
        </w:tc>
        <w:tc>
          <w:tcPr>
            <w:tcW w:w="20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71"/>
        </w:trPr>
        <w:tc>
          <w:tcPr>
            <w:tcW w:w="4460" w:type="dxa"/>
            <w:vAlign w:val="bottom"/>
          </w:tcPr>
          <w:p>
            <w:pPr>
              <w:ind w:left="180"/>
              <w:spacing w:after="0" w:line="271" w:lineRule="exact"/>
              <w:rPr>
                <w:sz w:val="20"/>
                <w:szCs w:val="20"/>
                <w:color w:val="auto"/>
              </w:rPr>
            </w:pPr>
            <w:r>
              <w:rPr>
                <w:rFonts w:ascii="Arial" w:cs="Arial" w:eastAsia="Arial" w:hAnsi="Arial"/>
                <w:sz w:val="18"/>
                <w:szCs w:val="18"/>
                <w:b w:val="1"/>
                <w:bCs w:val="1"/>
                <w:color w:val="auto"/>
              </w:rPr>
              <w:t xml:space="preserve">Non-GAAP Effective Tax Rate </w:t>
            </w:r>
            <w:r>
              <w:rPr>
                <w:rFonts w:ascii="Arial" w:cs="Arial" w:eastAsia="Arial" w:hAnsi="Arial"/>
                <w:sz w:val="25"/>
                <w:szCs w:val="25"/>
                <w:b w:val="1"/>
                <w:bCs w:val="1"/>
                <w:color w:val="auto"/>
                <w:vertAlign w:val="superscript"/>
              </w:rPr>
              <w:t>(g)</w:t>
            </w:r>
          </w:p>
        </w:tc>
        <w:tc>
          <w:tcPr>
            <w:tcW w:w="2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w:t>
            </w:r>
          </w:p>
        </w:tc>
      </w:tr>
    </w:tbl>
    <w:p>
      <w:pPr>
        <w:ind w:left="260" w:hanging="252"/>
        <w:spacing w:after="0"/>
        <w:tabs>
          <w:tab w:leader="none" w:pos="260" w:val="left"/>
        </w:tabs>
        <w:numPr>
          <w:ilvl w:val="0"/>
          <w:numId w:val="7"/>
        </w:numPr>
        <w:rPr>
          <w:rFonts w:ascii="Arial" w:cs="Arial" w:eastAsia="Arial" w:hAnsi="Arial"/>
          <w:sz w:val="14"/>
          <w:szCs w:val="14"/>
          <w:color w:val="auto"/>
        </w:rPr>
      </w:pPr>
      <w:r>
        <w:rPr>
          <w:rFonts w:ascii="Arial" w:cs="Arial" w:eastAsia="Arial" w:hAnsi="Arial"/>
          <w:sz w:val="14"/>
          <w:szCs w:val="14"/>
          <w:color w:val="auto"/>
        </w:rPr>
        <w:t>Represents severance, transformation and facility exit costs in 2018.</w:t>
      </w:r>
    </w:p>
    <w:p>
      <w:pPr>
        <w:ind w:left="260" w:hanging="252"/>
        <w:spacing w:after="0" w:line="241" w:lineRule="auto"/>
        <w:tabs>
          <w:tab w:leader="none" w:pos="260" w:val="left"/>
        </w:tabs>
        <w:numPr>
          <w:ilvl w:val="0"/>
          <w:numId w:val="7"/>
        </w:numPr>
        <w:rPr>
          <w:rFonts w:ascii="Arial" w:cs="Arial" w:eastAsia="Arial" w:hAnsi="Arial"/>
          <w:sz w:val="14"/>
          <w:szCs w:val="14"/>
          <w:color w:val="auto"/>
        </w:rPr>
      </w:pPr>
      <w:r>
        <w:rPr>
          <w:rFonts w:ascii="Arial" w:cs="Arial" w:eastAsia="Arial" w:hAnsi="Arial"/>
          <w:sz w:val="14"/>
          <w:szCs w:val="14"/>
          <w:color w:val="auto"/>
        </w:rPr>
        <w:t>Represents long-lived asset impairments, other asset write-downs and inventory charges, partially offset by gains on purchase of the remaining interest in a joint venture, property sales and a reduction of a contingency reserve on a legacy contract in 2018.</w:t>
      </w:r>
    </w:p>
    <w:p>
      <w:pPr>
        <w:ind w:left="260" w:hanging="252"/>
        <w:spacing w:after="0"/>
        <w:tabs>
          <w:tab w:leader="none" w:pos="260" w:val="left"/>
        </w:tabs>
        <w:numPr>
          <w:ilvl w:val="0"/>
          <w:numId w:val="7"/>
        </w:numPr>
        <w:rPr>
          <w:rFonts w:ascii="Arial" w:cs="Arial" w:eastAsia="Arial" w:hAnsi="Arial"/>
          <w:sz w:val="14"/>
          <w:szCs w:val="14"/>
          <w:color w:val="auto"/>
        </w:rPr>
      </w:pPr>
      <w:r>
        <w:rPr>
          <w:rFonts w:ascii="Arial" w:cs="Arial" w:eastAsia="Arial" w:hAnsi="Arial"/>
          <w:sz w:val="14"/>
          <w:szCs w:val="14"/>
          <w:color w:val="auto"/>
        </w:rPr>
        <w:t>Represents a bond tender and call premium on the tender offer redemption of our 9.625% senior notes.</w:t>
      </w:r>
    </w:p>
    <w:p>
      <w:pPr>
        <w:spacing w:after="0" w:line="1" w:lineRule="exact"/>
        <w:rPr>
          <w:rFonts w:ascii="Arial" w:cs="Arial" w:eastAsia="Arial" w:hAnsi="Arial"/>
          <w:sz w:val="14"/>
          <w:szCs w:val="14"/>
          <w:color w:val="auto"/>
        </w:rPr>
      </w:pPr>
    </w:p>
    <w:p>
      <w:pPr>
        <w:ind w:left="260" w:hanging="252"/>
        <w:spacing w:after="0" w:line="241" w:lineRule="auto"/>
        <w:tabs>
          <w:tab w:leader="none" w:pos="260" w:val="left"/>
        </w:tabs>
        <w:numPr>
          <w:ilvl w:val="0"/>
          <w:numId w:val="7"/>
        </w:numPr>
        <w:rPr>
          <w:rFonts w:ascii="Arial" w:cs="Arial" w:eastAsia="Arial" w:hAnsi="Arial"/>
          <w:sz w:val="14"/>
          <w:szCs w:val="14"/>
          <w:color w:val="auto"/>
        </w:rPr>
      </w:pPr>
      <w:r>
        <w:rPr>
          <w:rFonts w:ascii="Arial" w:cs="Arial" w:eastAsia="Arial" w:hAnsi="Arial"/>
          <w:sz w:val="14"/>
          <w:szCs w:val="14"/>
          <w:color w:val="auto"/>
        </w:rPr>
        <w:t>Represents the supplemental executive retirement plan gain that was reclassified from Operating Non-GAAP Adjustments to non-operating Other Income (Expense), Net upon retrospective adoption of the new pension accounting standards in the first quarter of 2018.</w:t>
      </w:r>
    </w:p>
    <w:p>
      <w:pPr>
        <w:ind w:left="260" w:hanging="252"/>
        <w:spacing w:after="0"/>
        <w:tabs>
          <w:tab w:leader="none" w:pos="260" w:val="left"/>
        </w:tabs>
        <w:numPr>
          <w:ilvl w:val="0"/>
          <w:numId w:val="7"/>
        </w:numPr>
        <w:rPr>
          <w:rFonts w:ascii="Arial" w:cs="Arial" w:eastAsia="Arial" w:hAnsi="Arial"/>
          <w:sz w:val="14"/>
          <w:szCs w:val="14"/>
          <w:color w:val="auto"/>
        </w:rPr>
      </w:pPr>
      <w:r>
        <w:rPr>
          <w:rFonts w:ascii="Arial" w:cs="Arial" w:eastAsia="Arial" w:hAnsi="Arial"/>
          <w:sz w:val="14"/>
          <w:szCs w:val="14"/>
          <w:color w:val="auto"/>
        </w:rPr>
        <w:t>Represents currency devaluations of the Angolan kwanza and Venezuelan bolivar.</w:t>
      </w:r>
    </w:p>
    <w:p>
      <w:pPr>
        <w:spacing w:after="0" w:line="1" w:lineRule="exact"/>
        <w:rPr>
          <w:rFonts w:ascii="Arial" w:cs="Arial" w:eastAsia="Arial" w:hAnsi="Arial"/>
          <w:sz w:val="14"/>
          <w:szCs w:val="14"/>
          <w:color w:val="auto"/>
        </w:rPr>
      </w:pPr>
    </w:p>
    <w:p>
      <w:pPr>
        <w:ind w:left="260" w:hanging="252"/>
        <w:spacing w:after="0"/>
        <w:tabs>
          <w:tab w:leader="none" w:pos="260" w:val="left"/>
        </w:tabs>
        <w:numPr>
          <w:ilvl w:val="0"/>
          <w:numId w:val="7"/>
        </w:numPr>
        <w:rPr>
          <w:rFonts w:ascii="Arial" w:cs="Arial" w:eastAsia="Arial" w:hAnsi="Arial"/>
          <w:sz w:val="14"/>
          <w:szCs w:val="14"/>
          <w:color w:val="auto"/>
        </w:rPr>
      </w:pPr>
      <w:r>
        <w:rPr>
          <w:rFonts w:ascii="Arial" w:cs="Arial" w:eastAsia="Arial" w:hAnsi="Arial"/>
          <w:sz w:val="14"/>
          <w:szCs w:val="14"/>
          <w:color w:val="auto"/>
        </w:rPr>
        <w:t>GAAP Effective Tax Rate is the GAAP provision for income taxes divided by GAAP income before income taxes and calculated in thousands.</w:t>
      </w:r>
    </w:p>
    <w:p>
      <w:pPr>
        <w:spacing w:after="0" w:line="1" w:lineRule="exact"/>
        <w:rPr>
          <w:rFonts w:ascii="Arial" w:cs="Arial" w:eastAsia="Arial" w:hAnsi="Arial"/>
          <w:sz w:val="14"/>
          <w:szCs w:val="14"/>
          <w:color w:val="auto"/>
        </w:rPr>
      </w:pPr>
    </w:p>
    <w:p>
      <w:pPr>
        <w:ind w:left="260" w:hanging="252"/>
        <w:spacing w:after="0"/>
        <w:tabs>
          <w:tab w:leader="none" w:pos="260" w:val="left"/>
        </w:tabs>
        <w:numPr>
          <w:ilvl w:val="0"/>
          <w:numId w:val="7"/>
        </w:numPr>
        <w:rPr>
          <w:rFonts w:ascii="Arial" w:cs="Arial" w:eastAsia="Arial" w:hAnsi="Arial"/>
          <w:sz w:val="14"/>
          <w:szCs w:val="14"/>
          <w:color w:val="auto"/>
        </w:rPr>
      </w:pPr>
      <w:r>
        <w:rPr>
          <w:rFonts w:ascii="Arial" w:cs="Arial" w:eastAsia="Arial" w:hAnsi="Arial"/>
          <w:sz w:val="14"/>
          <w:szCs w:val="14"/>
          <w:color w:val="auto"/>
        </w:rPr>
        <w:t>Non-GAAP Effective Tax Rate is the Non-GAAP provision for income taxes divided by Non-GAAP income before income taxes and calculated in thousands.</w:t>
      </w:r>
    </w:p>
    <w:p>
      <w:pPr>
        <w:sectPr>
          <w:pgSz w:w="11900" w:h="16838" w:orient="portrait"/>
          <w:cols w:equalWidth="0" w:num="1">
            <w:col w:w="11420"/>
          </w:cols>
          <w:pgMar w:left="240" w:top="581" w:right="239" w:bottom="1440" w:gutter="0" w:footer="0" w:header="0"/>
        </w:sect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581" w:right="23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Weatherford International plc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to Non-GAAP Financial Measures - EBITDA</w:t>
      </w:r>
    </w:p>
    <w:p>
      <w:pPr>
        <w:spacing w:after="0" w:line="67"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(Unaudited)</w:t>
      </w:r>
    </w:p>
    <w:p>
      <w:pPr>
        <w:spacing w:after="0" w:line="6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20" w:type="dxa"/>
            <w:vAlign w:val="bottom"/>
            <w:gridSpan w:val="6"/>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0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rPr>
              <w:t>Nine Months Ended</w:t>
            </w:r>
          </w:p>
        </w:tc>
      </w:tr>
      <w:tr>
        <w:trPr>
          <w:trHeight w:val="27"/>
        </w:trPr>
        <w:tc>
          <w:tcPr>
            <w:tcW w:w="53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b w:val="1"/>
                <w:bCs w:val="1"/>
                <w:color w:val="auto"/>
                <w:w w:val="94"/>
              </w:rPr>
              <w:t>9/30/2018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6/30/2018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b w:val="1"/>
                <w:bCs w:val="1"/>
                <w:color w:val="2C2C2C"/>
                <w:w w:val="92"/>
              </w:rPr>
              <w:t>9/30/2017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9/30/2018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b w:val="1"/>
                <w:bCs w:val="1"/>
                <w:color w:val="2C2C2C"/>
                <w:w w:val="89"/>
              </w:rPr>
              <w:t>9/30/2017</w:t>
            </w:r>
          </w:p>
        </w:tc>
      </w:tr>
      <w:tr>
        <w:trPr>
          <w:trHeight w:val="27"/>
        </w:trPr>
        <w:tc>
          <w:tcPr>
            <w:tcW w:w="5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77"/>
        </w:trPr>
        <w:tc>
          <w:tcPr>
            <w:tcW w:w="53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b w:val="1"/>
                <w:bCs w:val="1"/>
                <w:color w:val="auto"/>
              </w:rPr>
              <w:t>Net Loss Attributable to Weatherford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(708)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(875)</w:t>
            </w:r>
          </w:p>
        </w:tc>
      </w:tr>
      <w:tr>
        <w:trPr>
          <w:trHeight w:val="27"/>
        </w:trPr>
        <w:tc>
          <w:tcPr>
            <w:tcW w:w="5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 Attributable to Noncontrolling Interests</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r>
      <w:tr>
        <w:trPr>
          <w:trHeight w:val="237"/>
        </w:trPr>
        <w:tc>
          <w:tcPr>
            <w:tcW w:w="5360" w:type="dxa"/>
            <w:vAlign w:val="bottom"/>
          </w:tcPr>
          <w:p>
            <w:pPr>
              <w:ind w:left="20"/>
              <w:spacing w:after="0"/>
              <w:rPr>
                <w:sz w:val="20"/>
                <w:szCs w:val="20"/>
                <w:color w:val="auto"/>
              </w:rPr>
            </w:pPr>
            <w:r>
              <w:rPr>
                <w:rFonts w:ascii="Arial" w:cs="Arial" w:eastAsia="Arial" w:hAnsi="Arial"/>
                <w:sz w:val="18"/>
                <w:szCs w:val="18"/>
                <w:b w:val="1"/>
                <w:bCs w:val="1"/>
                <w:color w:val="auto"/>
              </w:rPr>
              <w:t>Net Loss</w:t>
            </w: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(859)</w:t>
            </w:r>
          </w:p>
        </w:tc>
      </w:tr>
      <w:tr>
        <w:trPr>
          <w:trHeight w:val="27"/>
        </w:trPr>
        <w:tc>
          <w:tcPr>
            <w:tcW w:w="5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 Net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427</w:t>
            </w:r>
          </w:p>
        </w:tc>
      </w:tr>
      <w:tr>
        <w:trPr>
          <w:trHeight w:val="243"/>
        </w:trPr>
        <w:tc>
          <w:tcPr>
            <w:tcW w:w="5360" w:type="dxa"/>
            <w:vAlign w:val="bottom"/>
          </w:tcPr>
          <w:p>
            <w:pPr>
              <w:ind w:left="280"/>
              <w:spacing w:after="0"/>
              <w:rPr>
                <w:sz w:val="20"/>
                <w:szCs w:val="20"/>
                <w:color w:val="auto"/>
              </w:rPr>
            </w:pPr>
            <w:r>
              <w:rPr>
                <w:rFonts w:ascii="Arial" w:cs="Arial" w:eastAsia="Arial" w:hAnsi="Arial"/>
                <w:sz w:val="18"/>
                <w:szCs w:val="18"/>
                <w:color w:val="auto"/>
              </w:rPr>
              <w:t>Income Tax Provision</w:t>
            </w:r>
          </w:p>
        </w:tc>
        <w:tc>
          <w:tcPr>
            <w:tcW w:w="1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75</w:t>
            </w:r>
          </w:p>
        </w:tc>
      </w:tr>
      <w:tr>
        <w:trPr>
          <w:trHeight w:val="27"/>
        </w:trPr>
        <w:tc>
          <w:tcPr>
            <w:tcW w:w="5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611</w:t>
            </w:r>
          </w:p>
        </w:tc>
      </w:tr>
      <w:tr>
        <w:trPr>
          <w:trHeight w:val="237"/>
        </w:trPr>
        <w:tc>
          <w:tcPr>
            <w:tcW w:w="5360" w:type="dxa"/>
            <w:vAlign w:val="bottom"/>
          </w:tcPr>
          <w:p>
            <w:pPr>
              <w:ind w:left="20"/>
              <w:spacing w:after="0"/>
              <w:rPr>
                <w:sz w:val="20"/>
                <w:szCs w:val="20"/>
                <w:color w:val="auto"/>
              </w:rPr>
            </w:pPr>
            <w:r>
              <w:rPr>
                <w:rFonts w:ascii="Arial" w:cs="Arial" w:eastAsia="Arial" w:hAnsi="Arial"/>
                <w:sz w:val="18"/>
                <w:szCs w:val="18"/>
                <w:b w:val="1"/>
                <w:bCs w:val="1"/>
                <w:color w:val="auto"/>
              </w:rPr>
              <w:t>EBITDA</w:t>
            </w: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254</w:t>
            </w:r>
          </w:p>
        </w:tc>
      </w:tr>
      <w:tr>
        <w:trPr>
          <w:trHeight w:val="27"/>
        </w:trPr>
        <w:tc>
          <w:tcPr>
            <w:tcW w:w="5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84"/>
        </w:trPr>
        <w:tc>
          <w:tcPr>
            <w:tcW w:w="53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b w:val="1"/>
                <w:bCs w:val="1"/>
                <w:color w:val="auto"/>
              </w:rPr>
              <w:t>Other (Income) Expense Adjustments:</w:t>
            </w: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Warrant Fair Value Adjustment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43"/>
        </w:trPr>
        <w:tc>
          <w:tcPr>
            <w:tcW w:w="5360" w:type="dxa"/>
            <w:vAlign w:val="bottom"/>
          </w:tcPr>
          <w:p>
            <w:pPr>
              <w:ind w:left="280"/>
              <w:spacing w:after="0"/>
              <w:rPr>
                <w:sz w:val="20"/>
                <w:szCs w:val="20"/>
                <w:color w:val="auto"/>
              </w:rPr>
            </w:pPr>
            <w:r>
              <w:rPr>
                <w:rFonts w:ascii="Arial" w:cs="Arial" w:eastAsia="Arial" w:hAnsi="Arial"/>
                <w:sz w:val="18"/>
                <w:szCs w:val="18"/>
                <w:color w:val="auto"/>
              </w:rPr>
              <w:t>Bond Tender and Call Premium</w:t>
            </w:r>
          </w:p>
        </w:tc>
        <w:tc>
          <w:tcPr>
            <w:tcW w:w="1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Currency Devaluation Charges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360" w:type="dxa"/>
            <w:vAlign w:val="bottom"/>
          </w:tcPr>
          <w:p>
            <w:pPr>
              <w:ind w:left="280"/>
              <w:spacing w:after="0"/>
              <w:rPr>
                <w:sz w:val="20"/>
                <w:szCs w:val="20"/>
                <w:color w:val="auto"/>
              </w:rPr>
            </w:pPr>
            <w:r>
              <w:rPr>
                <w:rFonts w:ascii="Arial" w:cs="Arial" w:eastAsia="Arial" w:hAnsi="Arial"/>
                <w:sz w:val="18"/>
                <w:szCs w:val="18"/>
                <w:color w:val="auto"/>
              </w:rPr>
              <w:t>Other (Income) Expense, Net</w:t>
            </w:r>
          </w:p>
        </w:tc>
        <w:tc>
          <w:tcPr>
            <w:tcW w:w="1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5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Restructuring and Transformation Charges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w:t>
            </w:r>
          </w:p>
        </w:tc>
      </w:tr>
      <w:tr>
        <w:trPr>
          <w:trHeight w:val="243"/>
        </w:trPr>
        <w:tc>
          <w:tcPr>
            <w:tcW w:w="5360" w:type="dxa"/>
            <w:vAlign w:val="bottom"/>
          </w:tcPr>
          <w:p>
            <w:pPr>
              <w:ind w:left="280"/>
              <w:spacing w:after="0"/>
              <w:rPr>
                <w:sz w:val="20"/>
                <w:szCs w:val="20"/>
                <w:color w:val="auto"/>
              </w:rPr>
            </w:pPr>
            <w:r>
              <w:rPr>
                <w:rFonts w:ascii="Arial" w:cs="Arial" w:eastAsia="Arial" w:hAnsi="Arial"/>
                <w:sz w:val="18"/>
                <w:szCs w:val="18"/>
                <w:color w:val="auto"/>
              </w:rPr>
              <w:t>Impairments, Asset Write-Downs and Other</w:t>
            </w:r>
          </w:p>
        </w:tc>
        <w:tc>
          <w:tcPr>
            <w:tcW w:w="1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26</w:t>
            </w:r>
          </w:p>
        </w:tc>
      </w:tr>
      <w:tr>
        <w:trPr>
          <w:trHeight w:val="27"/>
        </w:trPr>
        <w:tc>
          <w:tcPr>
            <w:tcW w:w="5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543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348</w:t>
            </w:r>
          </w:p>
        </w:tc>
      </w:tr>
      <w:tr>
        <w:trPr>
          <w:trHeight w:val="20"/>
        </w:trPr>
        <w:tc>
          <w:tcPr>
            <w:tcW w:w="5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892"/>
        </w:trPr>
        <w:tc>
          <w:tcPr>
            <w:tcW w:w="5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ind w:right="65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380"/>
          </w:cols>
          <w:pgMar w:left="260" w:top="742" w:right="259" w:bottom="1440" w:gutter="0" w:footer="0" w:header="0"/>
        </w:sectPr>
      </w:pPr>
    </w:p>
    <w:bookmarkStart w:id="13" w:name="page14"/>
    <w:bookmarkEnd w:id="13"/>
    <w:p>
      <w:pPr>
        <w:jc w:val="center"/>
        <w:ind w:right="80"/>
        <w:spacing w:after="0"/>
        <w:rPr>
          <w:sz w:val="20"/>
          <w:szCs w:val="20"/>
          <w:color w:val="auto"/>
        </w:rPr>
      </w:pPr>
      <w:r>
        <w:rPr>
          <w:rFonts w:ascii="Arial" w:cs="Arial" w:eastAsia="Arial" w:hAnsi="Arial"/>
          <w:sz w:val="18"/>
          <w:szCs w:val="18"/>
          <w:b w:val="1"/>
          <w:bCs w:val="1"/>
          <w:color w:val="auto"/>
        </w:rPr>
        <w:t>Weatherford International plc</w:t>
      </w:r>
    </w:p>
    <w:p>
      <w:pPr>
        <w:spacing w:after="0" w:line="63"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Selected Balance Sheet Data</w:t>
      </w:r>
    </w:p>
    <w:p>
      <w:pPr>
        <w:spacing w:after="0" w:line="67"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(Unaudited)</w:t>
      </w:r>
    </w:p>
    <w:p>
      <w:pPr>
        <w:spacing w:after="0" w:line="6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(In Millions)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9/30/2018</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6/30/2018</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3/31/2018</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12/31/2017</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9/30/2017</w:t>
            </w:r>
          </w:p>
        </w:tc>
      </w:tr>
      <w:tr>
        <w:trPr>
          <w:trHeight w:val="27"/>
        </w:trPr>
        <w:tc>
          <w:tcPr>
            <w:tcW w:w="2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4160" w:type="dxa"/>
            <w:vAlign w:val="bottom"/>
            <w:gridSpan w:val="4"/>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auto"/>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24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r>
      <w:tr>
        <w:trPr>
          <w:trHeight w:val="243"/>
        </w:trPr>
        <w:tc>
          <w:tcPr>
            <w:tcW w:w="20" w:type="dxa"/>
            <w:vAlign w:val="bottom"/>
          </w:tcPr>
          <w:p>
            <w:pPr>
              <w:spacing w:after="0"/>
              <w:rPr>
                <w:sz w:val="21"/>
                <w:szCs w:val="21"/>
                <w:color w:val="auto"/>
              </w:rPr>
            </w:pPr>
          </w:p>
        </w:tc>
        <w:tc>
          <w:tcPr>
            <w:tcW w:w="4160" w:type="dxa"/>
            <w:vAlign w:val="bottom"/>
            <w:gridSpan w:val="4"/>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393</w:t>
            </w:r>
          </w:p>
        </w:tc>
        <w:tc>
          <w:tcPr>
            <w:tcW w:w="2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415</w:t>
            </w:r>
          </w:p>
        </w:tc>
        <w:tc>
          <w:tcPr>
            <w:tcW w:w="2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459</w:t>
            </w:r>
          </w:p>
        </w:tc>
        <w:tc>
          <w:tcPr>
            <w:tcW w:w="2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613</w:t>
            </w:r>
          </w:p>
        </w:tc>
        <w:tc>
          <w:tcPr>
            <w:tcW w:w="2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445</w:t>
            </w:r>
          </w:p>
        </w:tc>
      </w:tr>
      <w:tr>
        <w:trPr>
          <w:trHeight w:val="27"/>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1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1,155</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1,167</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1,100</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1,103</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1,236</w:t>
            </w:r>
          </w:p>
        </w:tc>
      </w:tr>
      <w:tr>
        <w:trPr>
          <w:trHeight w:val="243"/>
        </w:trPr>
        <w:tc>
          <w:tcPr>
            <w:tcW w:w="20" w:type="dxa"/>
            <w:vAlign w:val="bottom"/>
          </w:tcPr>
          <w:p>
            <w:pPr>
              <w:spacing w:after="0"/>
              <w:rPr>
                <w:sz w:val="21"/>
                <w:szCs w:val="21"/>
                <w:color w:val="auto"/>
              </w:rPr>
            </w:pPr>
          </w:p>
        </w:tc>
        <w:tc>
          <w:tcPr>
            <w:tcW w:w="4160" w:type="dxa"/>
            <w:vAlign w:val="bottom"/>
            <w:gridSpan w:val="4"/>
          </w:tcPr>
          <w:p>
            <w:pPr>
              <w:spacing w:after="0"/>
              <w:rPr>
                <w:sz w:val="20"/>
                <w:szCs w:val="20"/>
                <w:color w:val="auto"/>
              </w:rPr>
            </w:pPr>
            <w:r>
              <w:rPr>
                <w:rFonts w:ascii="Arial" w:cs="Arial" w:eastAsia="Arial" w:hAnsi="Arial"/>
                <w:sz w:val="18"/>
                <w:szCs w:val="18"/>
                <w:color w:val="auto"/>
              </w:rPr>
              <w:t>Inventories, Net</w:t>
            </w:r>
          </w:p>
        </w:tc>
        <w:tc>
          <w:tcPr>
            <w:tcW w:w="2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1,097</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1,143</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1,225</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1,234</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1,752</w:t>
            </w:r>
          </w:p>
        </w:tc>
      </w:tr>
      <w:tr>
        <w:trPr>
          <w:trHeight w:val="27"/>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1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Assets Held for Sale</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618</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489</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369</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359</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935</w:t>
            </w:r>
          </w:p>
        </w:tc>
      </w:tr>
      <w:tr>
        <w:trPr>
          <w:trHeight w:val="243"/>
        </w:trPr>
        <w:tc>
          <w:tcPr>
            <w:tcW w:w="20" w:type="dxa"/>
            <w:vAlign w:val="bottom"/>
          </w:tcPr>
          <w:p>
            <w:pPr>
              <w:spacing w:after="0"/>
              <w:rPr>
                <w:sz w:val="21"/>
                <w:szCs w:val="21"/>
                <w:color w:val="auto"/>
              </w:rPr>
            </w:pPr>
          </w:p>
        </w:tc>
        <w:tc>
          <w:tcPr>
            <w:tcW w:w="4160" w:type="dxa"/>
            <w:vAlign w:val="bottom"/>
            <w:gridSpan w:val="4"/>
          </w:tcPr>
          <w:p>
            <w:pPr>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2,157</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2,273</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2,580</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2,708</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3,989</w:t>
            </w:r>
          </w:p>
        </w:tc>
      </w:tr>
      <w:tr>
        <w:trPr>
          <w:trHeight w:val="27"/>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1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Goodwill and Intangibles, Net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2,824</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2,837</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2,968</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2,940</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2,575</w:t>
            </w:r>
          </w:p>
        </w:tc>
      </w:tr>
      <w:tr>
        <w:trPr>
          <w:trHeight w:val="324"/>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92"/>
              </w:rPr>
              <w:t>Liabilities:</w:t>
            </w:r>
          </w:p>
        </w:tc>
        <w:tc>
          <w:tcPr>
            <w:tcW w:w="3320" w:type="dxa"/>
            <w:vAlign w:val="bottom"/>
            <w:tcBorders>
              <w:bottom w:val="single" w:sz="8" w:color="CCEEFF"/>
            </w:tcBorders>
            <w:gridSpan w:val="2"/>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160" w:type="dxa"/>
            <w:vAlign w:val="bottom"/>
            <w:gridSpan w:val="4"/>
          </w:tcPr>
          <w:p>
            <w:pPr>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728</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754</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809</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856</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815</w:t>
            </w:r>
          </w:p>
        </w:tc>
      </w:tr>
      <w:tr>
        <w:trPr>
          <w:trHeight w:val="27"/>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1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Liabilities Held for Sale</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w:t>
            </w:r>
          </w:p>
        </w:tc>
      </w:tr>
      <w:tr>
        <w:trPr>
          <w:trHeight w:val="229"/>
        </w:trPr>
        <w:tc>
          <w:tcPr>
            <w:tcW w:w="20" w:type="dxa"/>
            <w:vAlign w:val="bottom"/>
          </w:tcPr>
          <w:p>
            <w:pPr>
              <w:spacing w:after="0"/>
              <w:rPr>
                <w:sz w:val="19"/>
                <w:szCs w:val="19"/>
                <w:color w:val="auto"/>
              </w:rPr>
            </w:pPr>
          </w:p>
        </w:tc>
        <w:tc>
          <w:tcPr>
            <w:tcW w:w="4160" w:type="dxa"/>
            <w:vAlign w:val="bottom"/>
            <w:gridSpan w:val="4"/>
          </w:tcPr>
          <w:p>
            <w:pPr>
              <w:spacing w:after="0"/>
              <w:rPr>
                <w:sz w:val="20"/>
                <w:szCs w:val="20"/>
                <w:color w:val="auto"/>
              </w:rPr>
            </w:pPr>
            <w:r>
              <w:rPr>
                <w:rFonts w:ascii="Arial" w:cs="Arial" w:eastAsia="Arial" w:hAnsi="Arial"/>
                <w:sz w:val="18"/>
                <w:szCs w:val="18"/>
                <w:color w:val="auto"/>
              </w:rPr>
              <w:t>Short-term Borrowings and Current Portion of Long-</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160" w:type="dxa"/>
            <w:vAlign w:val="bottom"/>
            <w:gridSpan w:val="4"/>
          </w:tcPr>
          <w:p>
            <w:pPr>
              <w:spacing w:after="0"/>
              <w:rPr>
                <w:sz w:val="20"/>
                <w:szCs w:val="20"/>
                <w:color w:val="auto"/>
              </w:rPr>
            </w:pPr>
            <w:r>
              <w:rPr>
                <w:rFonts w:ascii="Arial" w:cs="Arial" w:eastAsia="Arial" w:hAnsi="Arial"/>
                <w:sz w:val="18"/>
                <w:szCs w:val="18"/>
                <w:color w:val="auto"/>
              </w:rPr>
              <w:t>term Debt</w:t>
            </w:r>
          </w:p>
        </w:tc>
        <w:tc>
          <w:tcPr>
            <w:tcW w:w="26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396</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295</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153</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148</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391</w:t>
            </w:r>
          </w:p>
        </w:tc>
      </w:tr>
      <w:tr>
        <w:trPr>
          <w:trHeight w:val="27"/>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1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7,626</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7,634</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7,639</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7,541</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7,530</w:t>
            </w:r>
          </w:p>
        </w:tc>
      </w:tr>
      <w:tr>
        <w:trPr>
          <w:trHeight w:val="324"/>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03"/>
        </w:trPr>
        <w:tc>
          <w:tcPr>
            <w:tcW w:w="20" w:type="dxa"/>
            <w:vAlign w:val="bottom"/>
            <w:shd w:val="clear" w:color="auto" w:fill="CCEEFF"/>
          </w:tcPr>
          <w:p>
            <w:pPr>
              <w:spacing w:after="0"/>
              <w:rPr>
                <w:sz w:val="17"/>
                <w:szCs w:val="17"/>
                <w:color w:val="auto"/>
              </w:rPr>
            </w:pPr>
          </w:p>
        </w:tc>
        <w:tc>
          <w:tcPr>
            <w:tcW w:w="416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Shareholders’ Equity:</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auto"/>
            </w:tcBorders>
            <w:shd w:val="clear" w:color="auto" w:fill="CCEEFF"/>
          </w:tcPr>
          <w:p>
            <w:pPr>
              <w:spacing w:after="0"/>
              <w:rPr>
                <w:sz w:val="4"/>
                <w:szCs w:val="4"/>
                <w:color w:val="auto"/>
              </w:rPr>
            </w:pPr>
          </w:p>
        </w:tc>
        <w:tc>
          <w:tcPr>
            <w:tcW w:w="300" w:type="dxa"/>
            <w:vAlign w:val="bottom"/>
            <w:tcBorders>
              <w:top w:val="single" w:sz="8" w:color="auto"/>
            </w:tcBorders>
            <w:shd w:val="clear" w:color="auto" w:fill="CCEEFF"/>
          </w:tcPr>
          <w:p>
            <w:pPr>
              <w:spacing w:after="0"/>
              <w:rPr>
                <w:sz w:val="4"/>
                <w:szCs w:val="4"/>
                <w:color w:val="auto"/>
              </w:rPr>
            </w:pPr>
          </w:p>
        </w:tc>
        <w:tc>
          <w:tcPr>
            <w:tcW w:w="860" w:type="dxa"/>
            <w:vAlign w:val="bottom"/>
            <w:tcBorders>
              <w:top w:val="single" w:sz="8" w:color="auto"/>
            </w:tcBorders>
            <w:shd w:val="clear" w:color="auto" w:fill="CCEEFF"/>
          </w:tcPr>
          <w:p>
            <w:pPr>
              <w:spacing w:after="0"/>
              <w:rPr>
                <w:sz w:val="4"/>
                <w:szCs w:val="4"/>
                <w:color w:val="auto"/>
              </w:rPr>
            </w:pPr>
          </w:p>
        </w:tc>
        <w:tc>
          <w:tcPr>
            <w:tcW w:w="24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r>
      <w:tr>
        <w:trPr>
          <w:trHeight w:val="266"/>
        </w:trPr>
        <w:tc>
          <w:tcPr>
            <w:tcW w:w="20" w:type="dxa"/>
            <w:vAlign w:val="bottom"/>
          </w:tcPr>
          <w:p>
            <w:pPr>
              <w:spacing w:after="0"/>
              <w:rPr>
                <w:sz w:val="23"/>
                <w:szCs w:val="23"/>
                <w:color w:val="auto"/>
              </w:rPr>
            </w:pPr>
          </w:p>
        </w:tc>
        <w:tc>
          <w:tcPr>
            <w:tcW w:w="4160" w:type="dxa"/>
            <w:vAlign w:val="bottom"/>
            <w:gridSpan w:val="4"/>
          </w:tcPr>
          <w:p>
            <w:pPr>
              <w:spacing w:after="0" w:line="265" w:lineRule="exact"/>
              <w:rPr>
                <w:sz w:val="20"/>
                <w:szCs w:val="20"/>
                <w:color w:val="auto"/>
              </w:rPr>
            </w:pPr>
            <w:r>
              <w:rPr>
                <w:rFonts w:ascii="Arial" w:cs="Arial" w:eastAsia="Arial" w:hAnsi="Arial"/>
                <w:sz w:val="18"/>
                <w:szCs w:val="18"/>
                <w:color w:val="auto"/>
              </w:rPr>
              <w:t xml:space="preserve">Total Shareholders’ Equity </w:t>
            </w:r>
            <w:r>
              <w:rPr>
                <w:rFonts w:ascii="Arial" w:cs="Arial" w:eastAsia="Arial" w:hAnsi="Arial"/>
                <w:sz w:val="25"/>
                <w:szCs w:val="25"/>
                <w:color w:val="auto"/>
                <w:vertAlign w:val="superscript"/>
              </w:rPr>
              <w:t>(a)</w:t>
            </w:r>
          </w:p>
        </w:tc>
        <w:tc>
          <w:tcPr>
            <w:tcW w:w="2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(1,508)</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(1,312)</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(898)</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(571)</w:t>
            </w: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1,384</w:t>
            </w:r>
          </w:p>
        </w:tc>
      </w:tr>
    </w:tbl>
    <w:p>
      <w:pPr>
        <w:jc w:val="both"/>
        <w:ind w:left="420" w:hanging="330"/>
        <w:spacing w:after="0" w:line="239" w:lineRule="auto"/>
        <w:tabs>
          <w:tab w:leader="none" w:pos="420" w:val="left"/>
        </w:tabs>
        <w:numPr>
          <w:ilvl w:val="0"/>
          <w:numId w:val="8"/>
        </w:numPr>
        <w:rPr>
          <w:rFonts w:ascii="Arial" w:cs="Arial" w:eastAsia="Arial" w:hAnsi="Arial"/>
          <w:sz w:val="13"/>
          <w:szCs w:val="13"/>
          <w:color w:val="auto"/>
        </w:rPr>
      </w:pPr>
      <w:r>
        <w:rPr>
          <w:rFonts w:ascii="Arial" w:cs="Arial" w:eastAsia="Arial" w:hAnsi="Arial"/>
          <w:sz w:val="13"/>
          <w:szCs w:val="13"/>
          <w:color w:val="auto"/>
        </w:rPr>
        <w:t>On January 1, 2018, we adopted the accounting standard related to taxes on intra-entity transfers of non-inventory assets on a modified retrospective basis and the impact from this adoption was to record the previously recorded prepaid taxes as an adjustment to retained earnings. In addition we also adopted the revenue recognition accounting standard and recorded the cumulative effect of the changes made to our consolidated balance sheet as an adjustment to retained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40"/>
          </w:cols>
          <w:pgMar w:left="320" w:top="742" w:right="239" w:bottom="1440" w:gutter="0" w:footer="0" w:header="0"/>
        </w:sectPr>
      </w:pPr>
    </w:p>
    <w:bookmarkStart w:id="14" w:name="page15"/>
    <w:bookmarkEnd w:id="14"/>
    <w:tbl>
      <w:tblPr>
        <w:tblLayout w:type="fixed"/>
        <w:tblInd w:w="12" w:type="dxa"/>
        <w:tblCellMar>
          <w:top w:w="0" w:type="dxa"/>
          <w:left w:w="0" w:type="dxa"/>
          <w:bottom w:w="0" w:type="dxa"/>
          <w:right w:w="0" w:type="dxa"/>
        </w:tblCellMar>
      </w:tblPr>
      <w:tr>
        <w:trPr>
          <w:trHeight w:val="234"/>
        </w:trPr>
        <w:tc>
          <w:tcPr>
            <w:tcW w:w="7080" w:type="dxa"/>
            <w:vAlign w:val="bottom"/>
          </w:tcPr>
          <w:p>
            <w:pPr>
              <w:jc w:val="center"/>
              <w:ind w:left="4210"/>
              <w:spacing w:after="0"/>
              <w:rPr>
                <w:sz w:val="20"/>
                <w:szCs w:val="20"/>
                <w:color w:val="auto"/>
              </w:rPr>
            </w:pPr>
            <w:r>
              <w:rPr>
                <w:rFonts w:ascii="Arial" w:cs="Arial" w:eastAsia="Arial" w:hAnsi="Arial"/>
                <w:sz w:val="18"/>
                <w:szCs w:val="18"/>
                <w:b w:val="1"/>
                <w:bCs w:val="1"/>
                <w:color w:val="auto"/>
                <w:w w:val="93"/>
              </w:rPr>
              <w:t>Weatherford International plc</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10"/>
        </w:trPr>
        <w:tc>
          <w:tcPr>
            <w:tcW w:w="7080" w:type="dxa"/>
            <w:vAlign w:val="bottom"/>
          </w:tcPr>
          <w:p>
            <w:pPr>
              <w:jc w:val="center"/>
              <w:ind w:left="4230"/>
              <w:spacing w:after="0"/>
              <w:rPr>
                <w:sz w:val="20"/>
                <w:szCs w:val="20"/>
                <w:color w:val="auto"/>
              </w:rPr>
            </w:pPr>
            <w:r>
              <w:rPr>
                <w:rFonts w:ascii="Arial" w:cs="Arial" w:eastAsia="Arial" w:hAnsi="Arial"/>
                <w:sz w:val="18"/>
                <w:szCs w:val="18"/>
                <w:b w:val="1"/>
                <w:bCs w:val="1"/>
                <w:color w:val="auto"/>
                <w:w w:val="88"/>
              </w:rPr>
              <w:t xml:space="preserve">Net Debt </w:t>
            </w:r>
            <w:r>
              <w:rPr>
                <w:rFonts w:ascii="Arial" w:cs="Arial" w:eastAsia="Arial" w:hAnsi="Arial"/>
                <w:sz w:val="25"/>
                <w:szCs w:val="25"/>
                <w:b w:val="1"/>
                <w:bCs w:val="1"/>
                <w:color w:val="auto"/>
                <w:w w:val="88"/>
                <w:vertAlign w:val="superscript"/>
              </w:rPr>
              <w:t>(a)</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30"/>
        </w:trPr>
        <w:tc>
          <w:tcPr>
            <w:tcW w:w="7080" w:type="dxa"/>
            <w:vAlign w:val="bottom"/>
          </w:tcPr>
          <w:p>
            <w:pPr>
              <w:jc w:val="center"/>
              <w:ind w:left="4210"/>
              <w:spacing w:after="0"/>
              <w:rPr>
                <w:sz w:val="20"/>
                <w:szCs w:val="20"/>
                <w:color w:val="auto"/>
              </w:rPr>
            </w:pPr>
            <w:r>
              <w:rPr>
                <w:rFonts w:ascii="Arial" w:cs="Arial" w:eastAsia="Arial" w:hAnsi="Arial"/>
                <w:sz w:val="18"/>
                <w:szCs w:val="18"/>
                <w:color w:val="auto"/>
                <w:w w:val="91"/>
              </w:rPr>
              <w:t>(Unaudited)</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0"/>
        </w:trPr>
        <w:tc>
          <w:tcPr>
            <w:tcW w:w="7080" w:type="dxa"/>
            <w:vAlign w:val="bottom"/>
          </w:tcPr>
          <w:p>
            <w:pPr>
              <w:jc w:val="center"/>
              <w:ind w:left="4230"/>
              <w:spacing w:after="0"/>
              <w:rPr>
                <w:sz w:val="20"/>
                <w:szCs w:val="20"/>
                <w:color w:val="auto"/>
              </w:rPr>
            </w:pPr>
            <w:r>
              <w:rPr>
                <w:rFonts w:ascii="Arial" w:cs="Arial" w:eastAsia="Arial" w:hAnsi="Arial"/>
                <w:sz w:val="18"/>
                <w:szCs w:val="18"/>
                <w:color w:val="auto"/>
                <w:w w:val="99"/>
              </w:rPr>
              <w:t>(In Millions)</w:t>
            </w: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162"/>
        </w:trPr>
        <w:tc>
          <w:tcPr>
            <w:tcW w:w="7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50"/>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Change in Net Debt for the Three Months Ended 9/30/2018:</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70"/>
        </w:trPr>
        <w:tc>
          <w:tcPr>
            <w:tcW w:w="7080" w:type="dxa"/>
            <w:vAlign w:val="bottom"/>
          </w:tcPr>
          <w:p>
            <w:pPr>
              <w:ind w:left="160"/>
              <w:spacing w:after="0" w:line="270" w:lineRule="exact"/>
              <w:rPr>
                <w:sz w:val="20"/>
                <w:szCs w:val="20"/>
                <w:color w:val="auto"/>
              </w:rPr>
            </w:pPr>
            <w:r>
              <w:rPr>
                <w:rFonts w:ascii="Arial" w:cs="Arial" w:eastAsia="Arial" w:hAnsi="Arial"/>
                <w:sz w:val="18"/>
                <w:szCs w:val="18"/>
                <w:color w:val="auto"/>
              </w:rPr>
              <w:t xml:space="preserve">Net Debt at 6/30/2018 </w:t>
            </w:r>
            <w:r>
              <w:rPr>
                <w:rFonts w:ascii="Arial" w:cs="Arial" w:eastAsia="Arial" w:hAnsi="Arial"/>
                <w:sz w:val="25"/>
                <w:szCs w:val="25"/>
                <w:color w:val="auto"/>
                <w:vertAlign w:val="superscript"/>
              </w:rPr>
              <w:t>(a)</w:t>
            </w: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(7,514)</w:t>
            </w: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Loss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128</w:t>
            </w: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Capital Expenditures for Property, Plant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Capital Expenditures for Assets Held for Sale</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Sale of Assets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Acquisition of Intangibles</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08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Decrease in Working Capital </w:t>
            </w:r>
            <w:r>
              <w:rPr>
                <w:rFonts w:ascii="Arial" w:cs="Arial" w:eastAsia="Arial" w:hAnsi="Arial"/>
                <w:sz w:val="25"/>
                <w:szCs w:val="25"/>
                <w:color w:val="auto"/>
                <w:vertAlign w:val="superscript"/>
              </w:rPr>
              <w:t>(b)</w:t>
            </w: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Other Financing Activities</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Taxes Paid</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Interest Paid</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304"/>
        </w:trPr>
        <w:tc>
          <w:tcPr>
            <w:tcW w:w="7080" w:type="dxa"/>
            <w:vAlign w:val="bottom"/>
            <w:tcBorders>
              <w:bottom w:val="single" w:sz="8" w:color="CCEEFF"/>
            </w:tcBorders>
          </w:tcPr>
          <w:p>
            <w:pPr>
              <w:ind w:left="160"/>
              <w:spacing w:after="0" w:line="264" w:lineRule="exact"/>
              <w:rPr>
                <w:sz w:val="20"/>
                <w:szCs w:val="20"/>
                <w:color w:val="auto"/>
              </w:rPr>
            </w:pPr>
            <w:r>
              <w:rPr>
                <w:rFonts w:ascii="Arial" w:cs="Arial" w:eastAsia="Arial" w:hAnsi="Arial"/>
                <w:sz w:val="18"/>
                <w:szCs w:val="18"/>
                <w:color w:val="auto"/>
              </w:rPr>
              <w:t xml:space="preserve">Net Debt at 9/30/2018 </w:t>
            </w:r>
            <w:r>
              <w:rPr>
                <w:rFonts w:ascii="Arial" w:cs="Arial" w:eastAsia="Arial" w:hAnsi="Arial"/>
                <w:sz w:val="25"/>
                <w:szCs w:val="25"/>
                <w:color w:val="auto"/>
                <w:vertAlign w:val="superscript"/>
              </w:rPr>
              <w:t>(a)</w:t>
            </w:r>
          </w:p>
        </w:tc>
        <w:tc>
          <w:tcPr>
            <w:tcW w:w="22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(7,629)</w:t>
            </w:r>
          </w:p>
        </w:tc>
      </w:tr>
      <w:tr>
        <w:trPr>
          <w:trHeight w:val="197"/>
        </w:trPr>
        <w:tc>
          <w:tcPr>
            <w:tcW w:w="7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43"/>
        </w:trPr>
        <w:tc>
          <w:tcPr>
            <w:tcW w:w="7080" w:type="dxa"/>
            <w:vAlign w:val="bottom"/>
          </w:tcPr>
          <w:p>
            <w:pPr>
              <w:ind w:left="20"/>
              <w:spacing w:after="0"/>
              <w:rPr>
                <w:sz w:val="20"/>
                <w:szCs w:val="20"/>
                <w:color w:val="auto"/>
              </w:rPr>
            </w:pPr>
            <w:r>
              <w:rPr>
                <w:rFonts w:ascii="Arial" w:cs="Arial" w:eastAsia="Arial" w:hAnsi="Arial"/>
                <w:sz w:val="18"/>
                <w:szCs w:val="18"/>
                <w:b w:val="1"/>
                <w:bCs w:val="1"/>
                <w:color w:val="auto"/>
              </w:rPr>
              <w:t>Change in Net Debt for the Nine Months Ended 9/30/2018:</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080" w:type="dxa"/>
            <w:vAlign w:val="bottom"/>
            <w:shd w:val="clear" w:color="auto" w:fill="CCEEFF"/>
          </w:tcPr>
          <w:p>
            <w:pPr>
              <w:ind w:left="160"/>
              <w:spacing w:after="0" w:line="270" w:lineRule="exact"/>
              <w:rPr>
                <w:sz w:val="20"/>
                <w:szCs w:val="20"/>
                <w:color w:val="auto"/>
              </w:rPr>
            </w:pPr>
            <w:r>
              <w:rPr>
                <w:rFonts w:ascii="Arial" w:cs="Arial" w:eastAsia="Arial" w:hAnsi="Arial"/>
                <w:sz w:val="18"/>
                <w:szCs w:val="18"/>
                <w:color w:val="auto"/>
              </w:rPr>
              <w:t xml:space="preserve">Net Debt at 12/31/2017 </w:t>
            </w:r>
            <w:r>
              <w:rPr>
                <w:rFonts w:ascii="Arial" w:cs="Arial" w:eastAsia="Arial" w:hAnsi="Arial"/>
                <w:sz w:val="25"/>
                <w:szCs w:val="25"/>
                <w:color w:val="auto"/>
                <w:vertAlign w:val="superscript"/>
              </w:rPr>
              <w:t>(a)</w:t>
            </w: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(7,076)</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Operating Loss</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419</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Capital Expenditures for Property, Plant and Equipment</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Capital Expenditures for Assets Held for Sale</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Proceeds from Sale of Assets</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70</w:t>
            </w: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Acquisition of Intangibles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Other Financing Activities</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08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Increase in Working Capital </w:t>
            </w:r>
            <w:r>
              <w:rPr>
                <w:rFonts w:ascii="Arial" w:cs="Arial" w:eastAsia="Arial" w:hAnsi="Arial"/>
                <w:sz w:val="25"/>
                <w:szCs w:val="25"/>
                <w:color w:val="auto"/>
                <w:vertAlign w:val="superscript"/>
              </w:rPr>
              <w:t>(b)</w:t>
            </w: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Accrued Litigation and Settlements</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Taxes Paid</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Interest Paid</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(439)</w:t>
            </w: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304"/>
        </w:trPr>
        <w:tc>
          <w:tcPr>
            <w:tcW w:w="7080" w:type="dxa"/>
            <w:vAlign w:val="bottom"/>
            <w:tcBorders>
              <w:bottom w:val="single" w:sz="8" w:color="CCEEFF"/>
            </w:tcBorders>
          </w:tcPr>
          <w:p>
            <w:pPr>
              <w:ind w:left="160"/>
              <w:spacing w:after="0" w:line="264" w:lineRule="exact"/>
              <w:rPr>
                <w:sz w:val="20"/>
                <w:szCs w:val="20"/>
                <w:color w:val="auto"/>
              </w:rPr>
            </w:pPr>
            <w:r>
              <w:rPr>
                <w:rFonts w:ascii="Arial" w:cs="Arial" w:eastAsia="Arial" w:hAnsi="Arial"/>
                <w:sz w:val="18"/>
                <w:szCs w:val="18"/>
                <w:color w:val="auto"/>
              </w:rPr>
              <w:t xml:space="preserve">Net Debt at 9/30/2018 </w:t>
            </w:r>
            <w:r>
              <w:rPr>
                <w:rFonts w:ascii="Arial" w:cs="Arial" w:eastAsia="Arial" w:hAnsi="Arial"/>
                <w:sz w:val="25"/>
                <w:szCs w:val="25"/>
                <w:color w:val="auto"/>
                <w:vertAlign w:val="superscript"/>
              </w:rPr>
              <w:t>(a)</w:t>
            </w:r>
          </w:p>
        </w:tc>
        <w:tc>
          <w:tcPr>
            <w:tcW w:w="22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(7,629)</w:t>
            </w:r>
          </w:p>
        </w:tc>
      </w:tr>
      <w:tr>
        <w:trPr>
          <w:trHeight w:val="251"/>
        </w:trPr>
        <w:tc>
          <w:tcPr>
            <w:tcW w:w="70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spacing w:after="0"/>
              <w:rPr>
                <w:sz w:val="21"/>
                <w:szCs w:val="21"/>
                <w:color w:val="auto"/>
              </w:rPr>
            </w:pPr>
          </w:p>
        </w:tc>
      </w:tr>
      <w:tr>
        <w:trPr>
          <w:trHeight w:val="264"/>
        </w:trPr>
        <w:tc>
          <w:tcPr>
            <w:tcW w:w="7080" w:type="dxa"/>
            <w:vAlign w:val="bottom"/>
            <w:tcBorders>
              <w:bottom w:val="single" w:sz="8" w:color="CCEEFF"/>
            </w:tcBorders>
          </w:tcPr>
          <w:p>
            <w:pPr>
              <w:ind w:left="20"/>
              <w:spacing w:after="0" w:line="264" w:lineRule="exact"/>
              <w:rPr>
                <w:sz w:val="20"/>
                <w:szCs w:val="20"/>
                <w:color w:val="auto"/>
              </w:rPr>
            </w:pPr>
            <w:r>
              <w:rPr>
                <w:rFonts w:ascii="Arial" w:cs="Arial" w:eastAsia="Arial" w:hAnsi="Arial"/>
                <w:sz w:val="18"/>
                <w:szCs w:val="18"/>
                <w:b w:val="1"/>
                <w:bCs w:val="1"/>
                <w:color w:val="auto"/>
              </w:rPr>
              <w:t xml:space="preserve">Components of Net Debt </w:t>
            </w:r>
            <w:r>
              <w:rPr>
                <w:rFonts w:ascii="Arial" w:cs="Arial" w:eastAsia="Arial" w:hAnsi="Arial"/>
                <w:sz w:val="25"/>
                <w:szCs w:val="25"/>
                <w:color w:val="auto"/>
                <w:vertAlign w:val="superscript"/>
              </w:rPr>
              <w:t>(a)</w:t>
            </w: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9/30/2018</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6/30/2018</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7"/>
              </w:rPr>
              <w:t>12/31/2017</w:t>
            </w:r>
          </w:p>
        </w:tc>
      </w:tr>
      <w:tr>
        <w:trPr>
          <w:trHeight w:val="244"/>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613</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Short-term Borrowings and Current Portion of Long-term Debt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Long-term Debt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(7,626)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(7,634)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(7,541)</w:t>
            </w:r>
          </w:p>
        </w:tc>
      </w:tr>
      <w:tr>
        <w:trPr>
          <w:trHeight w:val="300"/>
        </w:trPr>
        <w:tc>
          <w:tcPr>
            <w:tcW w:w="7080" w:type="dxa"/>
            <w:vAlign w:val="bottom"/>
          </w:tcPr>
          <w:p>
            <w:pPr>
              <w:ind w:left="280"/>
              <w:spacing w:after="0"/>
              <w:rPr>
                <w:sz w:val="20"/>
                <w:szCs w:val="20"/>
                <w:color w:val="auto"/>
              </w:rPr>
            </w:pPr>
            <w:r>
              <w:rPr>
                <w:rFonts w:ascii="Arial" w:cs="Arial" w:eastAsia="Arial" w:hAnsi="Arial"/>
                <w:sz w:val="18"/>
                <w:szCs w:val="18"/>
                <w:color w:val="auto"/>
              </w:rPr>
              <w:t xml:space="preserve">Net Debt </w:t>
            </w:r>
            <w:r>
              <w:rPr>
                <w:rFonts w:ascii="Arial" w:cs="Arial" w:eastAsia="Arial" w:hAnsi="Arial"/>
                <w:sz w:val="25"/>
                <w:szCs w:val="25"/>
                <w:color w:val="auto"/>
                <w:vertAlign w:val="superscript"/>
              </w:rPr>
              <w:t>(a)</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(7,629)</w:t>
            </w:r>
          </w:p>
        </w:tc>
        <w:tc>
          <w:tcPr>
            <w:tcW w:w="120" w:type="dxa"/>
            <w:vAlign w:val="bottom"/>
          </w:tcPr>
          <w:p>
            <w:pPr>
              <w:spacing w:after="0"/>
              <w:rPr>
                <w:sz w:val="24"/>
                <w:szCs w:val="24"/>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(7,514)</w:t>
            </w:r>
          </w:p>
        </w:tc>
        <w:tc>
          <w:tcPr>
            <w:tcW w:w="100" w:type="dxa"/>
            <w:vAlign w:val="bottom"/>
          </w:tcPr>
          <w:p>
            <w:pPr>
              <w:spacing w:after="0"/>
              <w:rPr>
                <w:sz w:val="24"/>
                <w:szCs w:val="24"/>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4502150</wp:posOffset>
            </wp:positionH>
            <wp:positionV relativeFrom="paragraph">
              <wp:posOffset>-22225</wp:posOffset>
            </wp:positionV>
            <wp:extent cx="273558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35580" cy="26035"/>
                    </a:xfrm>
                    <a:prstGeom prst="rect">
                      <a:avLst/>
                    </a:prstGeom>
                    <a:noFill/>
                  </pic:spPr>
                </pic:pic>
              </a:graphicData>
            </a:graphic>
          </wp:anchor>
        </w:drawing>
      </w:r>
    </w:p>
    <w:p>
      <w:pPr>
        <w:ind w:left="172" w:hanging="172"/>
        <w:spacing w:after="0" w:line="193" w:lineRule="auto"/>
        <w:tabs>
          <w:tab w:leader="none" w:pos="172" w:val="left"/>
        </w:tabs>
        <w:numPr>
          <w:ilvl w:val="0"/>
          <w:numId w:val="9"/>
        </w:numPr>
        <w:rPr>
          <w:rFonts w:ascii="Arial" w:cs="Arial" w:eastAsia="Arial" w:hAnsi="Arial"/>
          <w:sz w:val="21"/>
          <w:szCs w:val="21"/>
          <w:color w:val="auto"/>
          <w:vertAlign w:val="superscript"/>
        </w:rPr>
      </w:pPr>
      <w:r>
        <w:rPr>
          <w:rFonts w:ascii="Arial" w:cs="Arial" w:eastAsia="Arial" w:hAnsi="Arial"/>
          <w:sz w:val="12"/>
          <w:szCs w:val="12"/>
          <w:color w:val="auto"/>
        </w:rPr>
        <w:t>“Net Debt” is defined as debt less cash. Management believes that it provides useful information regarding our level of indebtedness by reflecting cash that could be used to repay debt.</w:t>
      </w:r>
    </w:p>
    <w:p>
      <w:pPr>
        <w:spacing w:after="0" w:line="46" w:lineRule="exact"/>
        <w:rPr>
          <w:rFonts w:ascii="Arial" w:cs="Arial" w:eastAsia="Arial" w:hAnsi="Arial"/>
          <w:sz w:val="21"/>
          <w:szCs w:val="21"/>
          <w:color w:val="auto"/>
          <w:vertAlign w:val="superscript"/>
        </w:rPr>
      </w:pPr>
    </w:p>
    <w:p>
      <w:pPr>
        <w:ind w:left="172" w:hanging="172"/>
        <w:spacing w:after="0" w:line="187" w:lineRule="auto"/>
        <w:tabs>
          <w:tab w:leader="none" w:pos="172" w:val="left"/>
        </w:tabs>
        <w:numPr>
          <w:ilvl w:val="0"/>
          <w:numId w:val="9"/>
        </w:numPr>
        <w:rPr>
          <w:rFonts w:ascii="Arial" w:cs="Arial" w:eastAsia="Arial" w:hAnsi="Arial"/>
          <w:sz w:val="19"/>
          <w:szCs w:val="19"/>
          <w:color w:val="auto"/>
          <w:vertAlign w:val="superscript"/>
        </w:rPr>
      </w:pPr>
      <w:r>
        <w:rPr>
          <w:rFonts w:ascii="Arial" w:cs="Arial" w:eastAsia="Arial" w:hAnsi="Arial"/>
          <w:sz w:val="11"/>
          <w:szCs w:val="11"/>
          <w:color w:val="auto"/>
        </w:rPr>
        <w:t>Working capital is defined as the cash changes in accounts receivable plus inventory less accounts payable.</w:t>
      </w:r>
    </w:p>
    <w:p>
      <w:pPr>
        <w:spacing w:after="0" w:line="200" w:lineRule="exact"/>
        <w:rPr>
          <w:sz w:val="20"/>
          <w:szCs w:val="20"/>
          <w:color w:val="auto"/>
        </w:rPr>
      </w:pPr>
    </w:p>
    <w:p>
      <w:pPr>
        <w:spacing w:after="0" w:line="21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12</w:t>
      </w:r>
    </w:p>
    <w:sectPr>
      <w:pgSz w:w="11900" w:h="16838" w:orient="portrait"/>
      <w:cols w:equalWidth="0" w:num="1">
        <w:col w:w="11392"/>
      </w:cols>
      <w:pgMar w:left="248" w:top="742"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lowerLetter"/>
      <w:start w:val="4"/>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2019-12-28T18:51:41Z</dcterms:created>
  <dcterms:modified xsi:type="dcterms:W3CDTF">2019-12-28T18:51:41Z</dcterms:modified>
</cp:coreProperties>
</file>