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July 10, 2017</w:t>
      </w:r>
    </w:p>
    <w:p>
      <w:pPr>
        <w:spacing w:after="0" w:line="28" w:lineRule="exact"/>
        <w:rPr>
          <w:sz w:val="24"/>
          <w:szCs w:val="24"/>
          <w:color w:val="auto"/>
        </w:rPr>
      </w:pPr>
    </w:p>
    <w:p>
      <w:pPr>
        <w:ind w:left="8800"/>
        <w:spacing w:after="0"/>
        <w:rPr>
          <w:sz w:val="20"/>
          <w:szCs w:val="20"/>
          <w:color w:val="auto"/>
        </w:rPr>
      </w:pPr>
      <w:r>
        <w:rPr>
          <w:rFonts w:ascii="Arial" w:cs="Arial" w:eastAsia="Arial" w:hAnsi="Arial"/>
          <w:sz w:val="19"/>
          <w:szCs w:val="19"/>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103505</wp:posOffset>
            </wp:positionV>
            <wp:extent cx="58572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7240" cy="17145"/>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-160020</wp:posOffset>
            </wp:positionV>
            <wp:extent cx="58572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9" w:lineRule="auto"/>
        <w:rPr>
          <w:sz w:val="20"/>
          <w:szCs w:val="20"/>
          <w:color w:val="auto"/>
        </w:rPr>
      </w:pPr>
      <w:r>
        <w:rPr>
          <w:rFonts w:ascii="Arial" w:cs="Arial" w:eastAsia="Arial" w:hAnsi="Arial"/>
          <w:sz w:val="22"/>
          <w:szCs w:val="22"/>
          <w:b w:val="1"/>
          <w:bCs w:val="1"/>
          <w:color w:val="auto"/>
        </w:rPr>
        <w:t>Washington, D.C. 20549</w:t>
      </w: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1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060" w:type="dxa"/>
        <w:tblCellMar>
          <w:top w:w="0" w:type="dxa"/>
          <w:left w:w="0" w:type="dxa"/>
          <w:bottom w:w="0" w:type="dxa"/>
          <w:right w:w="0" w:type="dxa"/>
        </w:tblCellMar>
      </w:tblPr>
      <w:tr>
        <w:trPr>
          <w:trHeight w:val="216"/>
        </w:trPr>
        <w:tc>
          <w:tcPr>
            <w:tcW w:w="4840" w:type="dxa"/>
            <w:vAlign w:val="bottom"/>
          </w:tcPr>
          <w:p>
            <w:pPr>
              <w:ind w:left="780"/>
              <w:spacing w:after="0"/>
              <w:rPr>
                <w:sz w:val="20"/>
                <w:szCs w:val="20"/>
                <w:color w:val="auto"/>
              </w:rPr>
            </w:pPr>
            <w:r>
              <w:rPr>
                <w:rFonts w:ascii="Arial" w:cs="Arial" w:eastAsia="Arial" w:hAnsi="Arial"/>
                <w:sz w:val="18"/>
                <w:szCs w:val="18"/>
                <w:b w:val="1"/>
                <w:bCs w:val="1"/>
                <w:color w:val="auto"/>
              </w:rPr>
              <w:t>Ireland</w:t>
            </w:r>
          </w:p>
        </w:tc>
        <w:tc>
          <w:tcPr>
            <w:tcW w:w="3920" w:type="dxa"/>
            <w:vAlign w:val="bottom"/>
          </w:tcPr>
          <w:p>
            <w:pPr>
              <w:jc w:val="center"/>
              <w:ind w:left="2586"/>
              <w:spacing w:after="0"/>
              <w:rPr>
                <w:sz w:val="20"/>
                <w:szCs w:val="20"/>
                <w:color w:val="auto"/>
              </w:rPr>
            </w:pPr>
            <w:r>
              <w:rPr>
                <w:rFonts w:ascii="Arial" w:cs="Arial" w:eastAsia="Arial" w:hAnsi="Arial"/>
                <w:sz w:val="18"/>
                <w:szCs w:val="18"/>
                <w:b w:val="1"/>
                <w:bCs w:val="1"/>
                <w:color w:val="auto"/>
                <w:w w:val="89"/>
              </w:rPr>
              <w:t>98-0606750</w:t>
            </w:r>
          </w:p>
        </w:tc>
      </w:tr>
      <w:tr>
        <w:trPr>
          <w:trHeight w:val="135"/>
        </w:trPr>
        <w:tc>
          <w:tcPr>
            <w:tcW w:w="4840" w:type="dxa"/>
            <w:vAlign w:val="bottom"/>
          </w:tcPr>
          <w:p>
            <w:pPr>
              <w:jc w:val="center"/>
              <w:ind w:right="2603"/>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920" w:type="dxa"/>
            <w:vAlign w:val="bottom"/>
          </w:tcPr>
          <w:p>
            <w:pPr>
              <w:jc w:val="center"/>
              <w:ind w:left="258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840" w:type="dxa"/>
            <w:vAlign w:val="bottom"/>
          </w:tcPr>
          <w:p>
            <w:pPr>
              <w:jc w:val="center"/>
              <w:ind w:right="2603"/>
              <w:spacing w:after="0"/>
              <w:rPr>
                <w:sz w:val="20"/>
                <w:szCs w:val="20"/>
                <w:color w:val="auto"/>
              </w:rPr>
            </w:pPr>
            <w:r>
              <w:rPr>
                <w:rFonts w:ascii="Arial" w:cs="Arial" w:eastAsia="Arial" w:hAnsi="Arial"/>
                <w:sz w:val="13"/>
                <w:szCs w:val="13"/>
                <w:b w:val="1"/>
                <w:bCs w:val="1"/>
                <w:color w:val="auto"/>
                <w:w w:val="88"/>
              </w:rPr>
              <w:t>incorporation or organization)</w:t>
            </w:r>
          </w:p>
        </w:tc>
        <w:tc>
          <w:tcPr>
            <w:tcW w:w="3920" w:type="dxa"/>
            <w:vAlign w:val="bottom"/>
          </w:tcPr>
          <w:p>
            <w:pPr>
              <w:jc w:val="center"/>
              <w:ind w:left="2586"/>
              <w:spacing w:after="0"/>
              <w:rPr>
                <w:sz w:val="20"/>
                <w:szCs w:val="20"/>
                <w:color w:val="auto"/>
              </w:rPr>
            </w:pPr>
            <w:r>
              <w:rPr>
                <w:rFonts w:ascii="Arial" w:cs="Arial" w:eastAsia="Arial" w:hAnsi="Arial"/>
                <w:sz w:val="13"/>
                <w:szCs w:val="13"/>
                <w:b w:val="1"/>
                <w:bCs w:val="1"/>
                <w:color w:val="auto"/>
                <w:w w:val="91"/>
              </w:rPr>
              <w:t>Identification Number)</w:t>
            </w:r>
          </w:p>
        </w:tc>
      </w:tr>
      <w:tr>
        <w:trPr>
          <w:trHeight w:val="241"/>
        </w:trPr>
        <w:tc>
          <w:tcPr>
            <w:tcW w:w="4840" w:type="dxa"/>
            <w:vAlign w:val="bottom"/>
          </w:tcPr>
          <w:p>
            <w:pPr>
              <w:jc w:val="center"/>
              <w:ind w:right="2603"/>
              <w:spacing w:after="0"/>
              <w:rPr>
                <w:sz w:val="20"/>
                <w:szCs w:val="20"/>
                <w:color w:val="auto"/>
              </w:rPr>
            </w:pPr>
            <w:r>
              <w:rPr>
                <w:rFonts w:ascii="Arial" w:cs="Arial" w:eastAsia="Arial" w:hAnsi="Arial"/>
                <w:sz w:val="18"/>
                <w:szCs w:val="18"/>
                <w:b w:val="1"/>
                <w:bCs w:val="1"/>
                <w:color w:val="auto"/>
                <w:w w:val="85"/>
              </w:rPr>
              <w:t>Weststrasse 1</w:t>
            </w:r>
          </w:p>
        </w:tc>
        <w:tc>
          <w:tcPr>
            <w:tcW w:w="3920" w:type="dxa"/>
            <w:vAlign w:val="bottom"/>
          </w:tcPr>
          <w:p>
            <w:pPr>
              <w:spacing w:after="0"/>
              <w:rPr>
                <w:sz w:val="20"/>
                <w:szCs w:val="20"/>
                <w:color w:val="auto"/>
              </w:rPr>
            </w:pPr>
          </w:p>
        </w:tc>
      </w:tr>
      <w:tr>
        <w:trPr>
          <w:trHeight w:val="216"/>
        </w:trPr>
        <w:tc>
          <w:tcPr>
            <w:tcW w:w="4840" w:type="dxa"/>
            <w:vAlign w:val="bottom"/>
          </w:tcPr>
          <w:p>
            <w:pPr>
              <w:jc w:val="center"/>
              <w:ind w:right="2583"/>
              <w:spacing w:after="0"/>
              <w:rPr>
                <w:sz w:val="20"/>
                <w:szCs w:val="20"/>
                <w:color w:val="auto"/>
              </w:rPr>
            </w:pPr>
            <w:r>
              <w:rPr>
                <w:rFonts w:ascii="Arial" w:cs="Arial" w:eastAsia="Arial" w:hAnsi="Arial"/>
                <w:sz w:val="18"/>
                <w:szCs w:val="18"/>
                <w:b w:val="1"/>
                <w:bCs w:val="1"/>
                <w:color w:val="auto"/>
                <w:w w:val="91"/>
              </w:rPr>
              <w:t>6340 Baar, Switzerland</w:t>
            </w:r>
          </w:p>
        </w:tc>
        <w:tc>
          <w:tcPr>
            <w:tcW w:w="3920" w:type="dxa"/>
            <w:vAlign w:val="bottom"/>
          </w:tcPr>
          <w:p>
            <w:pPr>
              <w:jc w:val="center"/>
              <w:ind w:left="2586"/>
              <w:spacing w:after="0"/>
              <w:rPr>
                <w:sz w:val="20"/>
                <w:szCs w:val="20"/>
                <w:color w:val="auto"/>
              </w:rPr>
            </w:pPr>
            <w:r>
              <w:rPr>
                <w:rFonts w:ascii="Arial" w:cs="Arial" w:eastAsia="Arial" w:hAnsi="Arial"/>
                <w:sz w:val="18"/>
                <w:szCs w:val="18"/>
                <w:b w:val="1"/>
                <w:bCs w:val="1"/>
                <w:color w:val="auto"/>
                <w:w w:val="92"/>
              </w:rPr>
              <w:t>CH 6340</w:t>
            </w:r>
          </w:p>
        </w:tc>
      </w:tr>
      <w:tr>
        <w:trPr>
          <w:trHeight w:val="164"/>
        </w:trPr>
        <w:tc>
          <w:tcPr>
            <w:tcW w:w="4840" w:type="dxa"/>
            <w:vAlign w:val="bottom"/>
          </w:tcPr>
          <w:p>
            <w:pPr>
              <w:jc w:val="center"/>
              <w:ind w:right="2603"/>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3920" w:type="dxa"/>
            <w:vAlign w:val="bottom"/>
          </w:tcPr>
          <w:p>
            <w:pPr>
              <w:jc w:val="center"/>
              <w:ind w:left="2586"/>
              <w:spacing w:after="0"/>
              <w:rPr>
                <w:sz w:val="20"/>
                <w:szCs w:val="20"/>
                <w:color w:val="auto"/>
              </w:rPr>
            </w:pPr>
            <w:r>
              <w:rPr>
                <w:rFonts w:ascii="Arial" w:cs="Arial" w:eastAsia="Arial" w:hAnsi="Arial"/>
                <w:sz w:val="13"/>
                <w:szCs w:val="13"/>
                <w:b w:val="1"/>
                <w:bCs w:val="1"/>
                <w:color w:val="auto"/>
                <w:w w:val="90"/>
              </w:rPr>
              <w:t>(Zip Code)</w:t>
            </w:r>
          </w:p>
        </w:tc>
      </w:tr>
    </w:tbl>
    <w:p>
      <w:pPr>
        <w:spacing w:after="0" w:line="2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plc 2010 Omnibus Incentive Plan (As Amended and Restated)</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(Full title of the plan)</w:t>
      </w:r>
    </w:p>
    <w:p>
      <w:pPr>
        <w:spacing w:after="0" w:line="28"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___________________________________________</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Christina M. Ibrahim</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plc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Executive Vice President, General Counsel and Corporate Secretary</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2000 St. James Place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Houston, Texas 77056</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(713) 836-4000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(Name, address and telephone number, including area code, of agent for service)</w:t>
      </w:r>
    </w:p>
    <w:p>
      <w:pPr>
        <w:spacing w:after="0" w:line="4"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___________________________________________</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with copy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John M. Greer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Latham &amp; Watkins LLP</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811 Main Street, Suite 3700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Houston, Texas 77002</w:t>
      </w:r>
    </w:p>
    <w:p>
      <w:pPr>
        <w:spacing w:after="0" w:line="4" w:lineRule="exact"/>
        <w:rPr>
          <w:sz w:val="24"/>
          <w:szCs w:val="24"/>
          <w:color w:val="auto"/>
        </w:rPr>
      </w:pPr>
    </w:p>
    <w:p>
      <w:pPr>
        <w:ind w:left="5560" w:hanging="521"/>
        <w:spacing w:after="0"/>
        <w:tabs>
          <w:tab w:leader="none" w:pos="55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546-5400</w:t>
      </w:r>
    </w:p>
    <w:p>
      <w:pPr>
        <w:spacing w:after="0" w:line="3" w:lineRule="exact"/>
        <w:rPr>
          <w:rFonts w:ascii="Arial" w:cs="Arial" w:eastAsia="Arial" w:hAnsi="Arial"/>
          <w:sz w:val="22"/>
          <w:szCs w:val="22"/>
          <w:b w:val="1"/>
          <w:bCs w:val="1"/>
          <w:color w:val="auto"/>
        </w:rPr>
      </w:pPr>
    </w:p>
    <w:p>
      <w:pPr>
        <w:ind w:left="34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___________________________________________</w:t>
      </w:r>
    </w:p>
    <w:p>
      <w:pPr>
        <w:spacing w:after="0" w:line="24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540" w:type="dxa"/>
        <w:tblCellMar>
          <w:top w:w="0" w:type="dxa"/>
          <w:left w:w="0" w:type="dxa"/>
          <w:bottom w:w="0" w:type="dxa"/>
          <w:right w:w="0" w:type="dxa"/>
        </w:tblCellMar>
      </w:tblPr>
      <w:tr>
        <w:trPr>
          <w:trHeight w:val="230"/>
        </w:trPr>
        <w:tc>
          <w:tcPr>
            <w:tcW w:w="194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4600" w:type="dxa"/>
            <w:vAlign w:val="bottom"/>
            <w:vMerge w:val="restart"/>
          </w:tcPr>
          <w:p>
            <w:pPr>
              <w:ind w:left="340"/>
              <w:spacing w:after="0"/>
              <w:rPr>
                <w:sz w:val="20"/>
                <w:szCs w:val="20"/>
                <w:color w:val="auto"/>
              </w:rPr>
            </w:pPr>
            <w:r>
              <w:rPr>
                <w:rFonts w:ascii="Arial" w:cs="Arial" w:eastAsia="Arial" w:hAnsi="Arial"/>
                <w:sz w:val="18"/>
                <w:szCs w:val="18"/>
                <w:color w:val="auto"/>
              </w:rPr>
              <w:t>x</w:t>
            </w:r>
          </w:p>
        </w:tc>
        <w:tc>
          <w:tcPr>
            <w:tcW w:w="3180" w:type="dxa"/>
            <w:vAlign w:val="bottom"/>
            <w:vMerge w:val="restart"/>
          </w:tcPr>
          <w:p>
            <w:pPr>
              <w:ind w:left="74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4600" w:type="dxa"/>
            <w:vAlign w:val="bottom"/>
            <w:vMerge w:val="continue"/>
          </w:tcPr>
          <w:p>
            <w:pPr>
              <w:spacing w:after="0"/>
              <w:rPr>
                <w:sz w:val="5"/>
                <w:szCs w:val="5"/>
                <w:color w:val="auto"/>
              </w:rPr>
            </w:pPr>
          </w:p>
        </w:tc>
        <w:tc>
          <w:tcPr>
            <w:tcW w:w="31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4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4600" w:type="dxa"/>
            <w:vAlign w:val="bottom"/>
          </w:tcPr>
          <w:p>
            <w:pPr>
              <w:ind w:left="340"/>
              <w:spacing w:after="0"/>
              <w:rPr>
                <w:sz w:val="20"/>
                <w:szCs w:val="20"/>
                <w:color w:val="auto"/>
              </w:rPr>
            </w:pPr>
            <w:r>
              <w:rPr>
                <w:rFonts w:ascii="Arial" w:cs="Arial" w:eastAsia="Arial" w:hAnsi="Arial"/>
                <w:sz w:val="18"/>
                <w:szCs w:val="18"/>
                <w:color w:val="auto"/>
              </w:rPr>
              <w:t>o (Do not check if a smaller reporting company)</w:t>
            </w:r>
          </w:p>
        </w:tc>
        <w:tc>
          <w:tcPr>
            <w:tcW w:w="3180" w:type="dxa"/>
            <w:vAlign w:val="bottom"/>
            <w:vMerge w:val="restart"/>
          </w:tcPr>
          <w:p>
            <w:pPr>
              <w:ind w:left="74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4600" w:type="dxa"/>
            <w:vAlign w:val="bottom"/>
          </w:tcPr>
          <w:p>
            <w:pPr>
              <w:spacing w:after="0"/>
              <w:rPr>
                <w:sz w:val="5"/>
                <w:szCs w:val="5"/>
                <w:color w:val="auto"/>
              </w:rPr>
            </w:pPr>
          </w:p>
        </w:tc>
        <w:tc>
          <w:tcPr>
            <w:tcW w:w="31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3180" w:type="dxa"/>
            <w:vAlign w:val="bottom"/>
            <w:vMerge w:val="restart"/>
          </w:tcPr>
          <w:p>
            <w:pPr>
              <w:ind w:left="74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4600" w:type="dxa"/>
            <w:vAlign w:val="bottom"/>
          </w:tcPr>
          <w:p>
            <w:pPr>
              <w:spacing w:after="0"/>
              <w:rPr>
                <w:sz w:val="5"/>
                <w:szCs w:val="5"/>
                <w:color w:val="auto"/>
              </w:rPr>
            </w:pPr>
          </w:p>
        </w:tc>
        <w:tc>
          <w:tcPr>
            <w:tcW w:w="31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Act.o</w:t>
      </w:r>
    </w:p>
    <w:p>
      <w:pPr>
        <w:sectPr>
          <w:pgSz w:w="11900" w:h="16838" w:orient="portrait"/>
          <w:cols w:equalWidth="0" w:num="1">
            <w:col w:w="11420"/>
          </w:cols>
          <w:pgMar w:left="240" w:top="69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180" w:type="dxa"/>
            <w:vAlign w:val="bottom"/>
            <w:tcBorders>
              <w:top w:val="single" w:sz="8" w:color="00000A"/>
              <w:bottom w:val="single" w:sz="8" w:color="00000A"/>
            </w:tcBorders>
          </w:tcPr>
          <w:p>
            <w:pPr>
              <w:spacing w:after="0"/>
              <w:rPr>
                <w:sz w:val="3"/>
                <w:szCs w:val="3"/>
                <w:color w:val="auto"/>
              </w:rPr>
            </w:pPr>
          </w:p>
        </w:tc>
        <w:tc>
          <w:tcPr>
            <w:tcW w:w="1960" w:type="dxa"/>
            <w:vAlign w:val="bottom"/>
            <w:tcBorders>
              <w:top w:val="single" w:sz="8" w:color="00000A"/>
              <w:bottom w:val="single" w:sz="8" w:color="00000A"/>
            </w:tcBorders>
          </w:tcPr>
          <w:p>
            <w:pPr>
              <w:spacing w:after="0"/>
              <w:rPr>
                <w:sz w:val="3"/>
                <w:szCs w:val="3"/>
                <w:color w:val="auto"/>
              </w:rPr>
            </w:pPr>
          </w:p>
        </w:tc>
        <w:tc>
          <w:tcPr>
            <w:tcW w:w="2040" w:type="dxa"/>
            <w:vAlign w:val="bottom"/>
            <w:tcBorders>
              <w:top w:val="single" w:sz="8" w:color="00000A"/>
              <w:bottom w:val="single" w:sz="8" w:color="00000A"/>
            </w:tcBorders>
          </w:tcPr>
          <w:p>
            <w:pPr>
              <w:spacing w:after="0"/>
              <w:rPr>
                <w:sz w:val="3"/>
                <w:szCs w:val="3"/>
                <w:color w:val="auto"/>
              </w:rPr>
            </w:pPr>
          </w:p>
        </w:tc>
        <w:tc>
          <w:tcPr>
            <w:tcW w:w="1960" w:type="dxa"/>
            <w:vAlign w:val="bottom"/>
            <w:tcBorders>
              <w:top w:val="single" w:sz="8" w:color="00000A"/>
              <w:bottom w:val="single" w:sz="8" w:color="00000A"/>
            </w:tcBorders>
          </w:tcPr>
          <w:p>
            <w:pPr>
              <w:spacing w:after="0"/>
              <w:rPr>
                <w:sz w:val="3"/>
                <w:szCs w:val="3"/>
                <w:color w:val="auto"/>
              </w:rPr>
            </w:pPr>
          </w:p>
        </w:tc>
        <w:tc>
          <w:tcPr>
            <w:tcW w:w="2120" w:type="dxa"/>
            <w:vAlign w:val="bottom"/>
            <w:tcBorders>
              <w:top w:val="single" w:sz="8" w:color="00000A"/>
              <w:bottom w:val="single" w:sz="8" w:color="00000A"/>
            </w:tcBorders>
          </w:tcPr>
          <w:p>
            <w:pPr>
              <w:spacing w:after="0"/>
              <w:rPr>
                <w:sz w:val="3"/>
                <w:szCs w:val="3"/>
                <w:color w:val="auto"/>
              </w:rPr>
            </w:pPr>
          </w:p>
        </w:tc>
      </w:tr>
      <w:tr>
        <w:trPr>
          <w:trHeight w:val="205"/>
        </w:trPr>
        <w:tc>
          <w:tcPr>
            <w:tcW w:w="2180" w:type="dxa"/>
            <w:vAlign w:val="bottom"/>
            <w:tcBorders>
              <w:right w:val="single" w:sz="8" w:color="00000A"/>
            </w:tcBorders>
          </w:tcPr>
          <w:p>
            <w:pPr>
              <w:spacing w:after="0"/>
              <w:rPr>
                <w:sz w:val="17"/>
                <w:szCs w:val="17"/>
                <w:color w:val="auto"/>
              </w:rPr>
            </w:pPr>
          </w:p>
        </w:tc>
        <w:tc>
          <w:tcPr>
            <w:tcW w:w="1960" w:type="dxa"/>
            <w:vAlign w:val="bottom"/>
            <w:tcBorders>
              <w:right w:val="single" w:sz="8" w:color="00000A"/>
            </w:tcBorders>
          </w:tcPr>
          <w:p>
            <w:pPr>
              <w:spacing w:after="0"/>
              <w:rPr>
                <w:sz w:val="17"/>
                <w:szCs w:val="17"/>
                <w:color w:val="auto"/>
              </w:rPr>
            </w:pPr>
          </w:p>
        </w:tc>
        <w:tc>
          <w:tcPr>
            <w:tcW w:w="2040" w:type="dxa"/>
            <w:vAlign w:val="bottom"/>
            <w:tcBorders>
              <w:right w:val="single" w:sz="8" w:color="00000A"/>
            </w:tcBorders>
          </w:tcPr>
          <w:p>
            <w:pPr>
              <w:spacing w:after="0"/>
              <w:rPr>
                <w:sz w:val="17"/>
                <w:szCs w:val="17"/>
                <w:color w:val="auto"/>
              </w:rPr>
            </w:pPr>
          </w:p>
        </w:tc>
        <w:tc>
          <w:tcPr>
            <w:tcW w:w="1960" w:type="dxa"/>
            <w:vAlign w:val="bottom"/>
            <w:tcBorders>
              <w:right w:val="single" w:sz="8" w:color="00000A"/>
            </w:tcBorders>
          </w:tcPr>
          <w:p>
            <w:pPr>
              <w:jc w:val="center"/>
              <w:spacing w:after="0" w:line="206" w:lineRule="exact"/>
              <w:rPr>
                <w:sz w:val="20"/>
                <w:szCs w:val="20"/>
                <w:color w:val="auto"/>
              </w:rPr>
            </w:pPr>
            <w:r>
              <w:rPr>
                <w:rFonts w:ascii="Arial" w:cs="Arial" w:eastAsia="Arial" w:hAnsi="Arial"/>
                <w:sz w:val="18"/>
                <w:szCs w:val="18"/>
                <w:b w:val="1"/>
                <w:bCs w:val="1"/>
                <w:color w:val="auto"/>
                <w:w w:val="89"/>
              </w:rPr>
              <w:t>Proposed maximum</w:t>
            </w:r>
          </w:p>
        </w:tc>
        <w:tc>
          <w:tcPr>
            <w:tcW w:w="2120" w:type="dxa"/>
            <w:vAlign w:val="bottom"/>
          </w:tcPr>
          <w:p>
            <w:pPr>
              <w:spacing w:after="0"/>
              <w:rPr>
                <w:sz w:val="17"/>
                <w:szCs w:val="17"/>
                <w:color w:val="auto"/>
              </w:rPr>
            </w:pPr>
          </w:p>
        </w:tc>
      </w:tr>
      <w:tr>
        <w:trPr>
          <w:trHeight w:val="216"/>
        </w:trPr>
        <w:tc>
          <w:tcPr>
            <w:tcW w:w="218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8"/>
              </w:rPr>
              <w:t>Title of securities to be</w:t>
            </w:r>
          </w:p>
        </w:tc>
        <w:tc>
          <w:tcPr>
            <w:tcW w:w="196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9"/>
              </w:rPr>
              <w:t>Proposed maximum</w:t>
            </w:r>
          </w:p>
        </w:tc>
        <w:tc>
          <w:tcPr>
            <w:tcW w:w="196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8"/>
              </w:rPr>
              <w:t>aggregate offering</w:t>
            </w:r>
          </w:p>
        </w:tc>
        <w:tc>
          <w:tcPr>
            <w:tcW w:w="2120" w:type="dxa"/>
            <w:vAlign w:val="bottom"/>
          </w:tcPr>
          <w:p>
            <w:pPr>
              <w:spacing w:after="0"/>
              <w:rPr>
                <w:sz w:val="18"/>
                <w:szCs w:val="18"/>
                <w:color w:val="auto"/>
              </w:rPr>
            </w:pPr>
          </w:p>
        </w:tc>
      </w:tr>
      <w:tr>
        <w:trPr>
          <w:trHeight w:val="261"/>
        </w:trPr>
        <w:tc>
          <w:tcPr>
            <w:tcW w:w="21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9"/>
              </w:rPr>
              <w:t>registered</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9"/>
              </w:rPr>
              <w:t>Amount to be registered</w:t>
            </w:r>
          </w:p>
        </w:tc>
        <w:tc>
          <w:tcPr>
            <w:tcW w:w="2040" w:type="dxa"/>
            <w:vAlign w:val="bottom"/>
            <w:tcBorders>
              <w:bottom w:val="single" w:sz="8" w:color="00000A"/>
              <w:right w:val="single" w:sz="8" w:color="00000A"/>
            </w:tcBorders>
          </w:tcPr>
          <w:p>
            <w:pPr>
              <w:jc w:val="center"/>
              <w:spacing w:after="0" w:line="262" w:lineRule="exact"/>
              <w:rPr>
                <w:sz w:val="20"/>
                <w:szCs w:val="20"/>
                <w:color w:val="auto"/>
              </w:rPr>
            </w:pPr>
            <w:r>
              <w:rPr>
                <w:rFonts w:ascii="Arial" w:cs="Arial" w:eastAsia="Arial" w:hAnsi="Arial"/>
                <w:sz w:val="18"/>
                <w:szCs w:val="18"/>
                <w:b w:val="1"/>
                <w:bCs w:val="1"/>
                <w:color w:val="auto"/>
                <w:w w:val="88"/>
              </w:rPr>
              <w:t>offering price per share</w:t>
            </w:r>
            <w:r>
              <w:rPr>
                <w:rFonts w:ascii="Arial" w:cs="Arial" w:eastAsia="Arial" w:hAnsi="Arial"/>
                <w:sz w:val="25"/>
                <w:szCs w:val="25"/>
                <w:b w:val="1"/>
                <w:bCs w:val="1"/>
                <w:color w:val="auto"/>
                <w:w w:val="88"/>
                <w:vertAlign w:val="superscript"/>
              </w:rPr>
              <w:t>(1)</w:t>
            </w:r>
          </w:p>
        </w:tc>
        <w:tc>
          <w:tcPr>
            <w:tcW w:w="1960" w:type="dxa"/>
            <w:vAlign w:val="bottom"/>
            <w:tcBorders>
              <w:bottom w:val="single" w:sz="8" w:color="00000A"/>
              <w:right w:val="single" w:sz="8" w:color="00000A"/>
            </w:tcBorders>
          </w:tcPr>
          <w:p>
            <w:pPr>
              <w:jc w:val="center"/>
              <w:spacing w:after="0" w:line="262" w:lineRule="exact"/>
              <w:rPr>
                <w:sz w:val="20"/>
                <w:szCs w:val="20"/>
                <w:color w:val="auto"/>
              </w:rPr>
            </w:pPr>
            <w:r>
              <w:rPr>
                <w:rFonts w:ascii="Arial" w:cs="Arial" w:eastAsia="Arial" w:hAnsi="Arial"/>
                <w:sz w:val="18"/>
                <w:szCs w:val="18"/>
                <w:b w:val="1"/>
                <w:bCs w:val="1"/>
                <w:color w:val="auto"/>
                <w:w w:val="85"/>
              </w:rPr>
              <w:t>price</w:t>
            </w:r>
            <w:r>
              <w:rPr>
                <w:rFonts w:ascii="Arial" w:cs="Arial" w:eastAsia="Arial" w:hAnsi="Arial"/>
                <w:sz w:val="25"/>
                <w:szCs w:val="25"/>
                <w:b w:val="1"/>
                <w:bCs w:val="1"/>
                <w:color w:val="auto"/>
                <w:w w:val="85"/>
                <w:vertAlign w:val="superscript"/>
              </w:rPr>
              <w:t>(1)</w:t>
            </w:r>
          </w:p>
        </w:tc>
        <w:tc>
          <w:tcPr>
            <w:tcW w:w="2120" w:type="dxa"/>
            <w:vAlign w:val="bottom"/>
            <w:tcBorders>
              <w:bottom w:val="single" w:sz="8" w:color="00000A"/>
            </w:tcBorders>
          </w:tcPr>
          <w:p>
            <w:pPr>
              <w:jc w:val="center"/>
              <w:spacing w:after="0"/>
              <w:rPr>
                <w:sz w:val="20"/>
                <w:szCs w:val="20"/>
                <w:color w:val="auto"/>
              </w:rPr>
            </w:pPr>
            <w:r>
              <w:rPr>
                <w:rFonts w:ascii="Arial" w:cs="Arial" w:eastAsia="Arial" w:hAnsi="Arial"/>
                <w:sz w:val="18"/>
                <w:szCs w:val="18"/>
                <w:b w:val="1"/>
                <w:bCs w:val="1"/>
                <w:color w:val="auto"/>
                <w:w w:val="89"/>
              </w:rPr>
              <w:t>Amount of registration fee</w:t>
            </w:r>
          </w:p>
        </w:tc>
      </w:tr>
      <w:tr>
        <w:trPr>
          <w:trHeight w:val="222"/>
        </w:trPr>
        <w:tc>
          <w:tcPr>
            <w:tcW w:w="218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w w:val="97"/>
              </w:rPr>
              <w:t>Ordinary Shares, par value</w:t>
            </w:r>
          </w:p>
        </w:tc>
        <w:tc>
          <w:tcPr>
            <w:tcW w:w="1960" w:type="dxa"/>
            <w:vAlign w:val="bottom"/>
            <w:tcBorders>
              <w:right w:val="single" w:sz="8" w:color="00000A"/>
            </w:tcBorders>
          </w:tcPr>
          <w:p>
            <w:pPr>
              <w:spacing w:after="0"/>
              <w:rPr>
                <w:sz w:val="19"/>
                <w:szCs w:val="19"/>
                <w:color w:val="auto"/>
              </w:rPr>
            </w:pPr>
          </w:p>
        </w:tc>
        <w:tc>
          <w:tcPr>
            <w:tcW w:w="2040" w:type="dxa"/>
            <w:vAlign w:val="bottom"/>
            <w:tcBorders>
              <w:right w:val="single" w:sz="8" w:color="00000A"/>
            </w:tcBorders>
          </w:tcPr>
          <w:p>
            <w:pPr>
              <w:spacing w:after="0"/>
              <w:rPr>
                <w:sz w:val="19"/>
                <w:szCs w:val="19"/>
                <w:color w:val="auto"/>
              </w:rPr>
            </w:pPr>
          </w:p>
        </w:tc>
        <w:tc>
          <w:tcPr>
            <w:tcW w:w="1960" w:type="dxa"/>
            <w:vAlign w:val="bottom"/>
            <w:tcBorders>
              <w:right w:val="single" w:sz="8" w:color="00000A"/>
            </w:tcBorders>
          </w:tcPr>
          <w:p>
            <w:pPr>
              <w:spacing w:after="0"/>
              <w:rPr>
                <w:sz w:val="19"/>
                <w:szCs w:val="19"/>
                <w:color w:val="auto"/>
              </w:rPr>
            </w:pPr>
          </w:p>
        </w:tc>
        <w:tc>
          <w:tcPr>
            <w:tcW w:w="2120" w:type="dxa"/>
            <w:vAlign w:val="bottom"/>
          </w:tcPr>
          <w:p>
            <w:pPr>
              <w:spacing w:after="0"/>
              <w:rPr>
                <w:sz w:val="19"/>
                <w:szCs w:val="19"/>
                <w:color w:val="auto"/>
              </w:rPr>
            </w:pPr>
          </w:p>
        </w:tc>
      </w:tr>
      <w:tr>
        <w:trPr>
          <w:trHeight w:val="257"/>
        </w:trPr>
        <w:tc>
          <w:tcPr>
            <w:tcW w:w="218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$0.001</w:t>
            </w:r>
          </w:p>
        </w:tc>
        <w:tc>
          <w:tcPr>
            <w:tcW w:w="1960" w:type="dxa"/>
            <w:vAlign w:val="bottom"/>
            <w:tcBorders>
              <w:bottom w:val="single" w:sz="8" w:color="00000A"/>
              <w:right w:val="single" w:sz="8" w:color="00000A"/>
            </w:tcBorders>
          </w:tcPr>
          <w:p>
            <w:pPr>
              <w:jc w:val="center"/>
              <w:ind w:right="390"/>
              <w:spacing w:after="0" w:line="257" w:lineRule="exact"/>
              <w:rPr>
                <w:sz w:val="20"/>
                <w:szCs w:val="20"/>
                <w:color w:val="auto"/>
              </w:rPr>
            </w:pPr>
            <w:r>
              <w:rPr>
                <w:rFonts w:ascii="Arial" w:cs="Arial" w:eastAsia="Arial" w:hAnsi="Arial"/>
                <w:sz w:val="18"/>
                <w:szCs w:val="18"/>
                <w:color w:val="auto"/>
              </w:rPr>
              <w:t>21,000,000</w:t>
            </w:r>
            <w:r>
              <w:rPr>
                <w:rFonts w:ascii="Arial" w:cs="Arial" w:eastAsia="Arial" w:hAnsi="Arial"/>
                <w:sz w:val="25"/>
                <w:szCs w:val="25"/>
                <w:color w:val="auto"/>
                <w:vertAlign w:val="superscript"/>
              </w:rPr>
              <w:t>(2)</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3.47</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$72,870,000</w:t>
            </w:r>
          </w:p>
        </w:tc>
        <w:tc>
          <w:tcPr>
            <w:tcW w:w="2120" w:type="dxa"/>
            <w:vAlign w:val="bottom"/>
            <w:tcBorders>
              <w:bottom w:val="single" w:sz="8" w:color="00000A"/>
            </w:tcBorders>
          </w:tcPr>
          <w:p>
            <w:pPr>
              <w:jc w:val="right"/>
              <w:ind w:right="610"/>
              <w:spacing w:after="0"/>
              <w:rPr>
                <w:sz w:val="20"/>
                <w:szCs w:val="20"/>
                <w:color w:val="auto"/>
              </w:rPr>
            </w:pPr>
            <w:r>
              <w:rPr>
                <w:rFonts w:ascii="Arial" w:cs="Arial" w:eastAsia="Arial" w:hAnsi="Arial"/>
                <w:sz w:val="18"/>
                <w:szCs w:val="18"/>
                <w:color w:val="auto"/>
              </w:rPr>
              <w:t>$8,445.63</w:t>
            </w:r>
          </w:p>
        </w:tc>
      </w:tr>
      <w:tr>
        <w:trPr>
          <w:trHeight w:val="20"/>
        </w:trPr>
        <w:tc>
          <w:tcPr>
            <w:tcW w:w="2180" w:type="dxa"/>
            <w:vAlign w:val="bottom"/>
            <w:tcBorders>
              <w:bottom w:val="single" w:sz="8" w:color="00000A"/>
            </w:tcBorders>
          </w:tcPr>
          <w:p>
            <w:pPr>
              <w:spacing w:after="0" w:line="20" w:lineRule="exact"/>
              <w:rPr>
                <w:sz w:val="1"/>
                <w:szCs w:val="1"/>
                <w:color w:val="auto"/>
              </w:rPr>
            </w:pPr>
          </w:p>
        </w:tc>
        <w:tc>
          <w:tcPr>
            <w:tcW w:w="1960" w:type="dxa"/>
            <w:vAlign w:val="bottom"/>
            <w:tcBorders>
              <w:bottom w:val="single" w:sz="8" w:color="00000A"/>
            </w:tcBorders>
          </w:tcPr>
          <w:p>
            <w:pPr>
              <w:spacing w:after="0" w:line="20" w:lineRule="exact"/>
              <w:rPr>
                <w:sz w:val="1"/>
                <w:szCs w:val="1"/>
                <w:color w:val="auto"/>
              </w:rPr>
            </w:pPr>
          </w:p>
        </w:tc>
        <w:tc>
          <w:tcPr>
            <w:tcW w:w="2040" w:type="dxa"/>
            <w:vAlign w:val="bottom"/>
            <w:tcBorders>
              <w:bottom w:val="single" w:sz="8" w:color="00000A"/>
            </w:tcBorders>
          </w:tcPr>
          <w:p>
            <w:pPr>
              <w:spacing w:after="0" w:line="20" w:lineRule="exact"/>
              <w:rPr>
                <w:sz w:val="1"/>
                <w:szCs w:val="1"/>
                <w:color w:val="auto"/>
              </w:rPr>
            </w:pPr>
          </w:p>
        </w:tc>
        <w:tc>
          <w:tcPr>
            <w:tcW w:w="1960" w:type="dxa"/>
            <w:vAlign w:val="bottom"/>
            <w:tcBorders>
              <w:bottom w:val="single" w:sz="8" w:color="00000A"/>
            </w:tcBorders>
          </w:tcPr>
          <w:p>
            <w:pPr>
              <w:spacing w:after="0" w:line="20" w:lineRule="exact"/>
              <w:rPr>
                <w:sz w:val="1"/>
                <w:szCs w:val="1"/>
                <w:color w:val="auto"/>
              </w:rPr>
            </w:pPr>
          </w:p>
        </w:tc>
        <w:tc>
          <w:tcPr>
            <w:tcW w:w="2120" w:type="dxa"/>
            <w:vAlign w:val="bottom"/>
            <w:tcBorders>
              <w:bottom w:val="single" w:sz="8" w:color="00000A"/>
            </w:tcBorders>
          </w:tcPr>
          <w:p>
            <w:pPr>
              <w:spacing w:after="0" w:line="20" w:lineRule="exact"/>
              <w:rPr>
                <w:sz w:val="1"/>
                <w:szCs w:val="1"/>
                <w:color w:val="auto"/>
              </w:rPr>
            </w:pPr>
          </w:p>
        </w:tc>
      </w:tr>
    </w:tbl>
    <w:p>
      <w:pPr>
        <w:spacing w:after="0" w:line="148" w:lineRule="exact"/>
        <w:rPr>
          <w:sz w:val="20"/>
          <w:szCs w:val="20"/>
          <w:color w:val="auto"/>
        </w:rPr>
      </w:pPr>
    </w:p>
    <w:p>
      <w:pPr>
        <w:ind w:left="460" w:right="180" w:hanging="411"/>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and 457(h) under the Securities Act of 1933, as amended (the “Securities Act”), and based upon the average of the high and low sales prices of an Ordinary Share, par value $0.001 per share, as reported by the New York Stock Exchange, Inc. on July 7, 2017.</w:t>
      </w:r>
    </w:p>
    <w:p>
      <w:pPr>
        <w:spacing w:after="0" w:line="19" w:lineRule="exact"/>
        <w:rPr>
          <w:rFonts w:ascii="Arial" w:cs="Arial" w:eastAsia="Arial" w:hAnsi="Arial"/>
          <w:sz w:val="18"/>
          <w:szCs w:val="18"/>
          <w:color w:val="auto"/>
        </w:rPr>
      </w:pPr>
    </w:p>
    <w:p>
      <w:pPr>
        <w:ind w:left="460" w:right="220" w:hanging="411"/>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Ordinary Shares of Weatherford International plc being registered hereby are related to the Weatherford International plc 2010 Omnibus Incentive Plan. Pursuant to Rule 416(a) under the Securities Act, this Registration Statement also covers an indeterminate number of additional securities as may be offered or issued as a result of the anti-dilution provisions of the Weatherford International plc 2010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649160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1605" cy="26035"/>
                    </a:xfrm>
                    <a:prstGeom prst="rect">
                      <a:avLst/>
                    </a:prstGeom>
                    <a:noFill/>
                  </pic:spPr>
                </pic:pic>
              </a:graphicData>
            </a:graphic>
          </wp:anchor>
        </w:drawing>
      </w:r>
    </w:p>
    <w:p>
      <w:pPr>
        <w:sectPr>
          <w:pgSz w:w="11900" w:h="16838" w:orient="portrait"/>
          <w:cols w:equalWidth="0" w:num="1">
            <w:col w:w="10260"/>
          </w:cols>
          <w:pgMar w:left="820" w:top="580" w:right="8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REGISTRATION OF ADDITIONAL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Registration Statement is being filed by Weatherford International plc, a public limited company organized under the laws of Ireland (the “Registrant”), pursuant to General Instruction E of Form S-8 under the Securities Act of 1933, as amended, to register an additional 21,000,000 Ordinary Shares, par value $0.001 per share (the “Ordinary Shares”), of the Registrant pursuant to the Weatherford International plc 2010 Omnibus Incentive Plan (as amended and restated, the “Plan”). The Board of Directors of the Registrant approved a Second Amendment to the Plan (the “Second Amendment”) on March 10, 2017, and the Second Amendment was approved by the Registrant’s shareholders on June 15, 2017. The Second Amendment amends the terms of the Plan to, among other things, increase the number of Ordinary Shares available for issuance under the Plan from 43,144,000 Ordinary Shares to 64,144,000 Ordinary Shares.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These Ordinary Shares are additional securities of the same class as other securities for which Registration Statements on Form S-8 (Reg. Nos. 333-167959, 333-181664 and 333-205025), were previously filed with the United States Securities and Exchange Commission on July 2, 2010, May 24, 2012 and June 17, 2015, respectively; Reg. Nos. 333-167959 and 333-181664 were amended by a Post-Effective Amendment No. 1 to the respective Registration Statements on Form S-8 on June 17, 2014 (each as amended, the “Prior Registration Statements”). The information contained in the Prior Registration Statements is incorporated herein by reference and made part of this Registration Statement, except as amended hereby.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27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10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No.</w:t>
            </w:r>
          </w:p>
        </w:tc>
        <w:tc>
          <w:tcPr>
            <w:tcW w:w="1018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10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6"/>
        </w:trPr>
        <w:tc>
          <w:tcPr>
            <w:tcW w:w="900" w:type="dxa"/>
            <w:vAlign w:val="bottom"/>
          </w:tcPr>
          <w:p>
            <w:pPr>
              <w:ind w:left="20"/>
              <w:spacing w:after="0"/>
              <w:rPr>
                <w:sz w:val="20"/>
                <w:szCs w:val="20"/>
                <w:color w:val="auto"/>
              </w:rPr>
            </w:pPr>
            <w:r>
              <w:rPr>
                <w:rFonts w:ascii="Arial" w:cs="Arial" w:eastAsia="Arial" w:hAnsi="Arial"/>
                <w:sz w:val="18"/>
                <w:szCs w:val="18"/>
                <w:color w:val="auto"/>
              </w:rPr>
              <w:t>4.1</w:t>
            </w:r>
          </w:p>
        </w:tc>
        <w:tc>
          <w:tcPr>
            <w:tcW w:w="10180" w:type="dxa"/>
            <w:vAlign w:val="bottom"/>
          </w:tcPr>
          <w:p>
            <w:pPr>
              <w:ind w:left="20"/>
              <w:spacing w:after="0"/>
              <w:rPr>
                <w:sz w:val="20"/>
                <w:szCs w:val="20"/>
                <w:color w:val="auto"/>
              </w:rPr>
            </w:pPr>
            <w:r>
              <w:rPr>
                <w:rFonts w:ascii="Arial" w:cs="Arial" w:eastAsia="Arial" w:hAnsi="Arial"/>
                <w:sz w:val="18"/>
                <w:szCs w:val="18"/>
                <w:color w:val="auto"/>
                <w:w w:val="93"/>
              </w:rPr>
              <w:t>Memorandum and Articles of Association of Weatherford International public limited company (incorporated by reference to Exhibit 3.1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Weatherford International plc’s Current Report on Form 8-K filed on June 17, 2014).</w:t>
            </w:r>
          </w:p>
        </w:tc>
        <w:tc>
          <w:tcPr>
            <w:tcW w:w="0" w:type="dxa"/>
            <w:vAlign w:val="bottom"/>
          </w:tcPr>
          <w:p>
            <w:pPr>
              <w:spacing w:after="0"/>
              <w:rPr>
                <w:sz w:val="1"/>
                <w:szCs w:val="1"/>
                <w:color w:val="auto"/>
              </w:rPr>
            </w:pPr>
          </w:p>
        </w:tc>
      </w:tr>
      <w:tr>
        <w:trPr>
          <w:trHeight w:val="377"/>
        </w:trPr>
        <w:tc>
          <w:tcPr>
            <w:tcW w:w="900" w:type="dxa"/>
            <w:vAlign w:val="bottom"/>
          </w:tcPr>
          <w:p>
            <w:pPr>
              <w:ind w:left="20"/>
              <w:spacing w:after="0"/>
              <w:rPr>
                <w:sz w:val="20"/>
                <w:szCs w:val="20"/>
                <w:color w:val="auto"/>
              </w:rPr>
            </w:pPr>
            <w:r>
              <w:rPr>
                <w:rFonts w:ascii="Arial" w:cs="Arial" w:eastAsia="Arial" w:hAnsi="Arial"/>
                <w:sz w:val="18"/>
                <w:szCs w:val="18"/>
                <w:color w:val="auto"/>
              </w:rPr>
              <w:t>4.2</w:t>
            </w:r>
          </w:p>
        </w:tc>
        <w:tc>
          <w:tcPr>
            <w:tcW w:w="10180" w:type="dxa"/>
            <w:vAlign w:val="bottom"/>
          </w:tcPr>
          <w:p>
            <w:pPr>
              <w:ind w:left="20"/>
              <w:spacing w:after="0"/>
              <w:rPr>
                <w:sz w:val="20"/>
                <w:szCs w:val="20"/>
                <w:color w:val="auto"/>
              </w:rPr>
            </w:pPr>
            <w:r>
              <w:rPr>
                <w:rFonts w:ascii="Arial" w:cs="Arial" w:eastAsia="Arial" w:hAnsi="Arial"/>
                <w:sz w:val="18"/>
                <w:szCs w:val="18"/>
                <w:color w:val="auto"/>
                <w:w w:val="95"/>
              </w:rPr>
              <w:t>Weatherford International plc 2010 Omnibus Incentive Plan (as Amended and Restated) (incorporated by reference to Exhibit 10.6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Weatherford International plc’s Current Report on Form 8-K filed on June 17, 2014).</w:t>
            </w:r>
          </w:p>
        </w:tc>
        <w:tc>
          <w:tcPr>
            <w:tcW w:w="0" w:type="dxa"/>
            <w:vAlign w:val="bottom"/>
          </w:tcPr>
          <w:p>
            <w:pPr>
              <w:spacing w:after="0"/>
              <w:rPr>
                <w:sz w:val="1"/>
                <w:szCs w:val="1"/>
                <w:color w:val="auto"/>
              </w:rPr>
            </w:pPr>
          </w:p>
        </w:tc>
      </w:tr>
      <w:tr>
        <w:trPr>
          <w:trHeight w:val="418"/>
        </w:trPr>
        <w:tc>
          <w:tcPr>
            <w:tcW w:w="900" w:type="dxa"/>
            <w:vAlign w:val="bottom"/>
          </w:tcPr>
          <w:p>
            <w:pPr>
              <w:ind w:left="20"/>
              <w:spacing w:after="0"/>
              <w:rPr>
                <w:sz w:val="20"/>
                <w:szCs w:val="20"/>
                <w:color w:val="auto"/>
              </w:rPr>
            </w:pPr>
            <w:r>
              <w:rPr>
                <w:rFonts w:ascii="Arial" w:cs="Arial" w:eastAsia="Arial" w:hAnsi="Arial"/>
                <w:sz w:val="18"/>
                <w:szCs w:val="18"/>
                <w:color w:val="auto"/>
              </w:rPr>
              <w:t>4.3</w:t>
            </w:r>
          </w:p>
        </w:tc>
        <w:tc>
          <w:tcPr>
            <w:tcW w:w="10180" w:type="dxa"/>
            <w:vAlign w:val="bottom"/>
          </w:tcPr>
          <w:p>
            <w:pPr>
              <w:ind w:left="20"/>
              <w:spacing w:after="0"/>
              <w:rPr>
                <w:sz w:val="20"/>
                <w:szCs w:val="20"/>
                <w:color w:val="auto"/>
              </w:rPr>
            </w:pPr>
            <w:r>
              <w:rPr>
                <w:rFonts w:ascii="Arial" w:cs="Arial" w:eastAsia="Arial" w:hAnsi="Arial"/>
                <w:sz w:val="18"/>
                <w:szCs w:val="18"/>
                <w:color w:val="auto"/>
                <w:w w:val="95"/>
              </w:rPr>
              <w:t>First Amendment to Weatherford International plc 2010 Omnibus Incentive Plan (incorporated by reference to Annex A of Weatherford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International plc’s Definitive Proxy Statement on Schedule 14A filed on April 29, 2015).</w:t>
            </w:r>
          </w:p>
        </w:tc>
        <w:tc>
          <w:tcPr>
            <w:tcW w:w="0" w:type="dxa"/>
            <w:vAlign w:val="bottom"/>
          </w:tcPr>
          <w:p>
            <w:pPr>
              <w:spacing w:after="0"/>
              <w:rPr>
                <w:sz w:val="1"/>
                <w:szCs w:val="1"/>
                <w:color w:val="auto"/>
              </w:rPr>
            </w:pPr>
          </w:p>
        </w:tc>
      </w:tr>
      <w:tr>
        <w:trPr>
          <w:trHeight w:val="377"/>
        </w:trPr>
        <w:tc>
          <w:tcPr>
            <w:tcW w:w="900" w:type="dxa"/>
            <w:vAlign w:val="bottom"/>
          </w:tcPr>
          <w:p>
            <w:pPr>
              <w:ind w:left="20"/>
              <w:spacing w:after="0"/>
              <w:rPr>
                <w:sz w:val="20"/>
                <w:szCs w:val="20"/>
                <w:color w:val="auto"/>
              </w:rPr>
            </w:pPr>
            <w:r>
              <w:rPr>
                <w:rFonts w:ascii="Arial" w:cs="Arial" w:eastAsia="Arial" w:hAnsi="Arial"/>
                <w:sz w:val="18"/>
                <w:szCs w:val="18"/>
                <w:color w:val="auto"/>
              </w:rPr>
              <w:t>4.4</w:t>
            </w:r>
          </w:p>
        </w:tc>
        <w:tc>
          <w:tcPr>
            <w:tcW w:w="10180" w:type="dxa"/>
            <w:vAlign w:val="bottom"/>
          </w:tcPr>
          <w:p>
            <w:pPr>
              <w:ind w:left="20"/>
              <w:spacing w:after="0"/>
              <w:rPr>
                <w:sz w:val="20"/>
                <w:szCs w:val="20"/>
                <w:color w:val="auto"/>
              </w:rPr>
            </w:pPr>
            <w:r>
              <w:rPr>
                <w:rFonts w:ascii="Arial" w:cs="Arial" w:eastAsia="Arial" w:hAnsi="Arial"/>
                <w:sz w:val="18"/>
                <w:szCs w:val="18"/>
                <w:color w:val="auto"/>
                <w:w w:val="92"/>
              </w:rPr>
              <w:t>Second Amendment to Weatherford International plc 2010 Omnibus Incentive Plan (incorporated by reference to Annex A of Weatherford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International plc’s Definitive Proxy Statement on Schedule 14A filed on April 25, 2017).</w:t>
            </w:r>
          </w:p>
        </w:tc>
        <w:tc>
          <w:tcPr>
            <w:tcW w:w="0" w:type="dxa"/>
            <w:vAlign w:val="bottom"/>
          </w:tcPr>
          <w:p>
            <w:pPr>
              <w:spacing w:after="0"/>
              <w:rPr>
                <w:sz w:val="1"/>
                <w:szCs w:val="1"/>
                <w:color w:val="auto"/>
              </w:rPr>
            </w:pPr>
          </w:p>
        </w:tc>
      </w:tr>
      <w:tr>
        <w:trPr>
          <w:trHeight w:val="405"/>
        </w:trPr>
        <w:tc>
          <w:tcPr>
            <w:tcW w:w="900" w:type="dxa"/>
            <w:vAlign w:val="bottom"/>
          </w:tcPr>
          <w:p>
            <w:pPr>
              <w:ind w:left="20"/>
              <w:spacing w:after="0"/>
              <w:rPr>
                <w:sz w:val="20"/>
                <w:szCs w:val="20"/>
                <w:color w:val="auto"/>
              </w:rPr>
            </w:pPr>
            <w:r>
              <w:rPr>
                <w:rFonts w:ascii="Arial" w:cs="Arial" w:eastAsia="Arial" w:hAnsi="Arial"/>
                <w:sz w:val="18"/>
                <w:szCs w:val="18"/>
                <w:color w:val="auto"/>
              </w:rPr>
              <w:t>5.1*</w:t>
            </w:r>
          </w:p>
        </w:tc>
        <w:tc>
          <w:tcPr>
            <w:tcW w:w="10180" w:type="dxa"/>
            <w:vAlign w:val="bottom"/>
            <w:vMerge w:val="restart"/>
          </w:tcPr>
          <w:p>
            <w:pPr>
              <w:ind w:left="20"/>
              <w:spacing w:after="0"/>
              <w:rPr>
                <w:sz w:val="20"/>
                <w:szCs w:val="20"/>
                <w:color w:val="auto"/>
              </w:rPr>
            </w:pPr>
            <w:r>
              <w:rPr>
                <w:rFonts w:ascii="Arial" w:cs="Arial" w:eastAsia="Arial" w:hAnsi="Arial"/>
                <w:sz w:val="18"/>
                <w:szCs w:val="18"/>
                <w:color w:val="auto"/>
              </w:rPr>
              <w:t>Opinion of Matheson regarding the legality of securities being registered.</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0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900" w:type="dxa"/>
            <w:vAlign w:val="bottom"/>
          </w:tcPr>
          <w:p>
            <w:pPr>
              <w:ind w:left="20"/>
              <w:spacing w:after="0"/>
              <w:rPr>
                <w:sz w:val="20"/>
                <w:szCs w:val="20"/>
                <w:color w:val="auto"/>
              </w:rPr>
            </w:pPr>
            <w:r>
              <w:rPr>
                <w:rFonts w:ascii="Arial" w:cs="Arial" w:eastAsia="Arial" w:hAnsi="Arial"/>
                <w:sz w:val="18"/>
                <w:szCs w:val="18"/>
                <w:color w:val="auto"/>
              </w:rPr>
              <w:t>23.1*</w:t>
            </w:r>
          </w:p>
        </w:tc>
        <w:tc>
          <w:tcPr>
            <w:tcW w:w="10180" w:type="dxa"/>
            <w:vAlign w:val="bottom"/>
          </w:tcPr>
          <w:p>
            <w:pPr>
              <w:ind w:left="20"/>
              <w:spacing w:after="0"/>
              <w:rPr>
                <w:sz w:val="20"/>
                <w:szCs w:val="20"/>
                <w:color w:val="auto"/>
              </w:rPr>
            </w:pPr>
            <w:r>
              <w:rPr>
                <w:rFonts w:ascii="Arial" w:cs="Arial" w:eastAsia="Arial" w:hAnsi="Arial"/>
                <w:sz w:val="18"/>
                <w:szCs w:val="18"/>
                <w:color w:val="auto"/>
              </w:rPr>
              <w:t>Consent of KPMG LLP.</w:t>
            </w:r>
          </w:p>
        </w:tc>
        <w:tc>
          <w:tcPr>
            <w:tcW w:w="0" w:type="dxa"/>
            <w:vAlign w:val="bottom"/>
          </w:tcPr>
          <w:p>
            <w:pPr>
              <w:spacing w:after="0"/>
              <w:rPr>
                <w:sz w:val="1"/>
                <w:szCs w:val="1"/>
                <w:color w:val="auto"/>
              </w:rPr>
            </w:pPr>
          </w:p>
        </w:tc>
      </w:tr>
      <w:tr>
        <w:trPr>
          <w:trHeight w:val="500"/>
        </w:trPr>
        <w:tc>
          <w:tcPr>
            <w:tcW w:w="900" w:type="dxa"/>
            <w:vAlign w:val="bottom"/>
          </w:tcPr>
          <w:p>
            <w:pPr>
              <w:ind w:left="20"/>
              <w:spacing w:after="0"/>
              <w:rPr>
                <w:sz w:val="20"/>
                <w:szCs w:val="20"/>
                <w:color w:val="auto"/>
              </w:rPr>
            </w:pPr>
            <w:r>
              <w:rPr>
                <w:rFonts w:ascii="Arial" w:cs="Arial" w:eastAsia="Arial" w:hAnsi="Arial"/>
                <w:sz w:val="18"/>
                <w:szCs w:val="18"/>
                <w:color w:val="auto"/>
              </w:rPr>
              <w:t>23.3*</w:t>
            </w:r>
          </w:p>
        </w:tc>
        <w:tc>
          <w:tcPr>
            <w:tcW w:w="10180" w:type="dxa"/>
            <w:vAlign w:val="bottom"/>
          </w:tcPr>
          <w:p>
            <w:pPr>
              <w:ind w:left="20"/>
              <w:spacing w:after="0"/>
              <w:rPr>
                <w:sz w:val="20"/>
                <w:szCs w:val="20"/>
                <w:color w:val="auto"/>
              </w:rPr>
            </w:pPr>
            <w:r>
              <w:rPr>
                <w:rFonts w:ascii="Arial" w:cs="Arial" w:eastAsia="Arial" w:hAnsi="Arial"/>
                <w:sz w:val="18"/>
                <w:szCs w:val="18"/>
                <w:color w:val="auto"/>
              </w:rPr>
              <w:t>Consent of Matheson (included in Exhibit 5.1).</w:t>
            </w:r>
          </w:p>
        </w:tc>
        <w:tc>
          <w:tcPr>
            <w:tcW w:w="0" w:type="dxa"/>
            <w:vAlign w:val="bottom"/>
          </w:tcPr>
          <w:p>
            <w:pPr>
              <w:spacing w:after="0"/>
              <w:rPr>
                <w:sz w:val="1"/>
                <w:szCs w:val="1"/>
                <w:color w:val="auto"/>
              </w:rPr>
            </w:pPr>
          </w:p>
        </w:tc>
      </w:tr>
      <w:tr>
        <w:trPr>
          <w:trHeight w:val="500"/>
        </w:trPr>
        <w:tc>
          <w:tcPr>
            <w:tcW w:w="900" w:type="dxa"/>
            <w:vAlign w:val="bottom"/>
          </w:tcPr>
          <w:p>
            <w:pPr>
              <w:ind w:left="20"/>
              <w:spacing w:after="0"/>
              <w:rPr>
                <w:sz w:val="20"/>
                <w:szCs w:val="20"/>
                <w:color w:val="auto"/>
              </w:rPr>
            </w:pPr>
            <w:r>
              <w:rPr>
                <w:rFonts w:ascii="Arial" w:cs="Arial" w:eastAsia="Arial" w:hAnsi="Arial"/>
                <w:sz w:val="18"/>
                <w:szCs w:val="18"/>
                <w:color w:val="auto"/>
              </w:rPr>
              <w:t>24.1*</w:t>
            </w:r>
          </w:p>
        </w:tc>
        <w:tc>
          <w:tcPr>
            <w:tcW w:w="10180" w:type="dxa"/>
            <w:vAlign w:val="bottom"/>
          </w:tcPr>
          <w:p>
            <w:pPr>
              <w:ind w:left="20"/>
              <w:spacing w:after="0"/>
              <w:rPr>
                <w:sz w:val="20"/>
                <w:szCs w:val="20"/>
                <w:color w:val="auto"/>
              </w:rPr>
            </w:pPr>
            <w:r>
              <w:rPr>
                <w:rFonts w:ascii="Arial" w:cs="Arial" w:eastAsia="Arial" w:hAnsi="Arial"/>
                <w:sz w:val="18"/>
                <w:szCs w:val="18"/>
                <w:color w:val="auto"/>
              </w:rPr>
              <w:t>Power of Attorney (included on the signature page to the Registration Statement).</w:t>
            </w:r>
          </w:p>
        </w:tc>
        <w:tc>
          <w:tcPr>
            <w:tcW w:w="0" w:type="dxa"/>
            <w:vAlign w:val="bottom"/>
          </w:tcPr>
          <w:p>
            <w:pPr>
              <w:spacing w:after="0"/>
              <w:rPr>
                <w:sz w:val="1"/>
                <w:szCs w:val="1"/>
                <w:color w:val="auto"/>
              </w:rPr>
            </w:pPr>
          </w:p>
        </w:tc>
      </w:tr>
      <w:tr>
        <w:trPr>
          <w:trHeight w:val="257"/>
        </w:trPr>
        <w:tc>
          <w:tcPr>
            <w:tcW w:w="900" w:type="dxa"/>
            <w:vAlign w:val="bottom"/>
            <w:tcBorders>
              <w:bottom w:val="single" w:sz="8" w:color="auto"/>
            </w:tcBorders>
          </w:tcPr>
          <w:p>
            <w:pPr>
              <w:spacing w:after="0"/>
              <w:rPr>
                <w:sz w:val="22"/>
                <w:szCs w:val="22"/>
                <w:color w:val="auto"/>
              </w:rPr>
            </w:pPr>
          </w:p>
        </w:tc>
        <w:tc>
          <w:tcPr>
            <w:tcW w:w="10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Baar, Switzerland on July 10, 2017.</w:t>
      </w:r>
    </w:p>
    <w:p>
      <w:pPr>
        <w:spacing w:after="0" w:line="339"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31750</wp:posOffset>
            </wp:positionV>
            <wp:extent cx="24098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5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Mark A. McCollum</w:t>
      </w:r>
    </w:p>
    <w:p>
      <w:pPr>
        <w:spacing w:after="0" w:line="6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President, Chief Executive Officer and Director</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Mark A. McCollum, Christina M. Ibrahim and Charity R. Kohl, and each of them (with full power to act alone), as his or her true and lawful attorneys-in-fact and agents, with full power of substitution and re-substitution, for him or her in his or her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indicated below on July 10,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7"/>
          </w:tcPr>
          <w:p>
            <w:pPr>
              <w:jc w:val="center"/>
              <w:ind w:right="1120"/>
              <w:spacing w:after="0"/>
              <w:rPr>
                <w:sz w:val="20"/>
                <w:szCs w:val="20"/>
                <w:color w:val="auto"/>
              </w:rPr>
            </w:pPr>
            <w:r>
              <w:rPr>
                <w:rFonts w:ascii="Arial" w:cs="Arial" w:eastAsia="Arial" w:hAnsi="Arial"/>
                <w:sz w:val="18"/>
                <w:szCs w:val="18"/>
                <w:b w:val="1"/>
                <w:bCs w:val="1"/>
                <w:color w:val="auto"/>
                <w:w w:val="89"/>
              </w:rPr>
              <w:t>Signature</w:t>
            </w:r>
          </w:p>
        </w:tc>
        <w:tc>
          <w:tcPr>
            <w:tcW w:w="6800" w:type="dxa"/>
            <w:vAlign w:val="bottom"/>
          </w:tcPr>
          <w:p>
            <w:pPr>
              <w:ind w:left="356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460" w:type="dxa"/>
            <w:vAlign w:val="bottom"/>
            <w:gridSpan w:val="12"/>
          </w:tcPr>
          <w:p>
            <w:pPr>
              <w:ind w:left="20"/>
              <w:spacing w:after="0" w:line="196" w:lineRule="exact"/>
              <w:rPr>
                <w:sz w:val="20"/>
                <w:szCs w:val="20"/>
                <w:color w:val="auto"/>
              </w:rPr>
            </w:pPr>
            <w:r>
              <w:rPr>
                <w:rFonts w:ascii="Arial" w:cs="Arial" w:eastAsia="Arial" w:hAnsi="Arial"/>
                <w:sz w:val="18"/>
                <w:szCs w:val="18"/>
                <w:color w:val="auto"/>
              </w:rPr>
              <w:t>/s/ Mark A. McCollum</w:t>
            </w:r>
          </w:p>
        </w:tc>
        <w:tc>
          <w:tcPr>
            <w:tcW w:w="6800" w:type="dxa"/>
            <w:vAlign w:val="bottom"/>
          </w:tcPr>
          <w:p>
            <w:pPr>
              <w:ind w:left="720"/>
              <w:spacing w:after="0" w:line="196" w:lineRule="exact"/>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7"/>
              </w:rPr>
              <w:t>Mark A. McCollum</w:t>
            </w:r>
          </w:p>
        </w:tc>
        <w:tc>
          <w:tcPr>
            <w:tcW w:w="800" w:type="dxa"/>
            <w:vAlign w:val="bottom"/>
            <w:gridSpan w:val="4"/>
          </w:tcPr>
          <w:p>
            <w:pPr>
              <w:spacing w:after="0"/>
              <w:rPr>
                <w:sz w:val="20"/>
                <w:szCs w:val="20"/>
                <w:color w:val="auto"/>
              </w:rPr>
            </w:pPr>
          </w:p>
        </w:tc>
        <w:tc>
          <w:tcPr>
            <w:tcW w:w="6800" w:type="dxa"/>
            <w:vAlign w:val="bottom"/>
          </w:tcPr>
          <w:p>
            <w:pPr>
              <w:ind w:left="7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364"/>
        </w:trPr>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7"/>
            <w:vMerge w:val="restart"/>
          </w:tcPr>
          <w:p>
            <w:pPr>
              <w:jc w:val="center"/>
              <w:ind w:right="20"/>
              <w:spacing w:after="0"/>
              <w:rPr>
                <w:sz w:val="20"/>
                <w:szCs w:val="20"/>
                <w:color w:val="auto"/>
              </w:rPr>
            </w:pPr>
            <w:r>
              <w:rPr>
                <w:rFonts w:ascii="Arial" w:cs="Arial" w:eastAsia="Arial" w:hAnsi="Arial"/>
                <w:sz w:val="18"/>
                <w:szCs w:val="18"/>
                <w:color w:val="auto"/>
                <w:w w:val="90"/>
              </w:rPr>
              <w:t>/s/ Christoph Bausch</w:t>
            </w:r>
          </w:p>
        </w:tc>
        <w:tc>
          <w:tcPr>
            <w:tcW w:w="760" w:type="dxa"/>
            <w:vAlign w:val="bottom"/>
            <w:gridSpan w:val="2"/>
            <w:vMerge w:val="restart"/>
          </w:tcPr>
          <w:p>
            <w:pPr>
              <w:spacing w:after="0"/>
              <w:rPr>
                <w:sz w:val="24"/>
                <w:szCs w:val="24"/>
                <w:color w:val="auto"/>
              </w:rPr>
            </w:pPr>
          </w:p>
        </w:tc>
        <w:tc>
          <w:tcPr>
            <w:tcW w:w="6800" w:type="dxa"/>
            <w:vAlign w:val="bottom"/>
          </w:tcPr>
          <w:p>
            <w:pPr>
              <w:ind w:left="72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87"/>
        </w:trPr>
        <w:tc>
          <w:tcPr>
            <w:tcW w:w="14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Borders>
              <w:bottom w:val="single" w:sz="8" w:color="auto"/>
            </w:tcBorders>
            <w:gridSpan w:val="7"/>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800" w:type="dxa"/>
            <w:vAlign w:val="bottom"/>
            <w:vMerge w:val="restart"/>
          </w:tcPr>
          <w:p>
            <w:pPr>
              <w:ind w:left="7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60" w:type="dxa"/>
            <w:vAlign w:val="bottom"/>
            <w:gridSpan w:val="8"/>
            <w:vMerge w:val="restart"/>
          </w:tcPr>
          <w:p>
            <w:pPr>
              <w:jc w:val="center"/>
              <w:ind w:right="820"/>
              <w:spacing w:after="0"/>
              <w:rPr>
                <w:sz w:val="20"/>
                <w:szCs w:val="20"/>
                <w:color w:val="auto"/>
              </w:rPr>
            </w:pPr>
            <w:r>
              <w:rPr>
                <w:rFonts w:ascii="Arial" w:cs="Arial" w:eastAsia="Arial" w:hAnsi="Arial"/>
                <w:sz w:val="18"/>
                <w:szCs w:val="18"/>
                <w:color w:val="auto"/>
                <w:w w:val="90"/>
              </w:rPr>
              <w:t>Christoph Bausch</w:t>
            </w:r>
          </w:p>
        </w:tc>
        <w:tc>
          <w:tcPr>
            <w:tcW w:w="6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gridSpan w:val="8"/>
            <w:vMerge w:val="continue"/>
          </w:tcPr>
          <w:p>
            <w:pPr>
              <w:spacing w:after="0"/>
              <w:rPr>
                <w:sz w:val="9"/>
                <w:szCs w:val="9"/>
                <w:color w:val="auto"/>
              </w:rPr>
            </w:pPr>
          </w:p>
        </w:tc>
        <w:tc>
          <w:tcPr>
            <w:tcW w:w="6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4"/>
        </w:trPr>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8"/>
            <w:vMerge w:val="restart"/>
          </w:tcPr>
          <w:p>
            <w:pPr>
              <w:jc w:val="center"/>
              <w:ind w:right="780"/>
              <w:spacing w:after="0"/>
              <w:rPr>
                <w:sz w:val="20"/>
                <w:szCs w:val="20"/>
                <w:color w:val="auto"/>
              </w:rPr>
            </w:pPr>
            <w:r>
              <w:rPr>
                <w:rFonts w:ascii="Arial" w:cs="Arial" w:eastAsia="Arial" w:hAnsi="Arial"/>
                <w:sz w:val="18"/>
                <w:szCs w:val="18"/>
                <w:color w:val="auto"/>
                <w:w w:val="94"/>
              </w:rPr>
              <w:t>/s/ Douglas M. Mills</w:t>
            </w:r>
          </w:p>
        </w:tc>
        <w:tc>
          <w:tcPr>
            <w:tcW w:w="6800" w:type="dxa"/>
            <w:vAlign w:val="bottom"/>
          </w:tcPr>
          <w:p>
            <w:pPr>
              <w:ind w:left="720"/>
              <w:spacing w:after="0"/>
              <w:rPr>
                <w:sz w:val="20"/>
                <w:szCs w:val="20"/>
                <w:color w:val="auto"/>
              </w:rPr>
            </w:pPr>
            <w:r>
              <w:rPr>
                <w:rFonts w:ascii="Arial" w:cs="Arial" w:eastAsia="Arial" w:hAnsi="Arial"/>
                <w:sz w:val="18"/>
                <w:szCs w:val="18"/>
                <w:color w:val="auto"/>
              </w:rPr>
              <w:t>Vice President and Chief Accounting Officer</w:t>
            </w:r>
          </w:p>
        </w:tc>
        <w:tc>
          <w:tcPr>
            <w:tcW w:w="0" w:type="dxa"/>
            <w:vAlign w:val="bottom"/>
          </w:tcPr>
          <w:p>
            <w:pPr>
              <w:spacing w:after="0"/>
              <w:rPr>
                <w:sz w:val="1"/>
                <w:szCs w:val="1"/>
                <w:color w:val="auto"/>
              </w:rPr>
            </w:pPr>
          </w:p>
        </w:tc>
      </w:tr>
      <w:tr>
        <w:trPr>
          <w:trHeight w:val="82"/>
        </w:trPr>
        <w:tc>
          <w:tcPr>
            <w:tcW w:w="14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60" w:type="dxa"/>
            <w:vAlign w:val="bottom"/>
            <w:gridSpan w:val="8"/>
            <w:vMerge w:val="continue"/>
          </w:tcPr>
          <w:p>
            <w:pPr>
              <w:spacing w:after="0"/>
              <w:rPr>
                <w:sz w:val="7"/>
                <w:szCs w:val="7"/>
                <w:color w:val="auto"/>
              </w:rPr>
            </w:pPr>
          </w:p>
        </w:tc>
        <w:tc>
          <w:tcPr>
            <w:tcW w:w="6800" w:type="dxa"/>
            <w:vAlign w:val="bottom"/>
            <w:vMerge w:val="restart"/>
          </w:tcPr>
          <w:p>
            <w:pPr>
              <w:ind w:left="7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tcBorders>
              <w:top w:val="single" w:sz="8" w:color="auto"/>
            </w:tcBorders>
            <w:gridSpan w:val="5"/>
            <w:vMerge w:val="restart"/>
          </w:tcPr>
          <w:p>
            <w:pPr>
              <w:jc w:val="center"/>
              <w:ind w:right="40"/>
              <w:spacing w:after="0"/>
              <w:rPr>
                <w:sz w:val="20"/>
                <w:szCs w:val="20"/>
                <w:color w:val="auto"/>
              </w:rPr>
            </w:pPr>
            <w:r>
              <w:rPr>
                <w:rFonts w:ascii="Arial" w:cs="Arial" w:eastAsia="Arial" w:hAnsi="Arial"/>
                <w:sz w:val="18"/>
                <w:szCs w:val="18"/>
                <w:color w:val="auto"/>
                <w:w w:val="96"/>
              </w:rPr>
              <w:t>Douglas M. Mills</w:t>
            </w:r>
          </w:p>
        </w:tc>
        <w:tc>
          <w:tcPr>
            <w:tcW w:w="780" w:type="dxa"/>
            <w:vAlign w:val="bottom"/>
            <w:gridSpan w:val="3"/>
            <w:vMerge w:val="restart"/>
          </w:tcPr>
          <w:p>
            <w:pPr>
              <w:spacing w:after="0"/>
              <w:rPr>
                <w:sz w:val="11"/>
                <w:szCs w:val="11"/>
                <w:color w:val="auto"/>
              </w:rPr>
            </w:pPr>
          </w:p>
        </w:tc>
        <w:tc>
          <w:tcPr>
            <w:tcW w:w="6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gridSpan w:val="5"/>
            <w:vMerge w:val="continue"/>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6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6"/>
        </w:trPr>
        <w:tc>
          <w:tcPr>
            <w:tcW w:w="1460" w:type="dxa"/>
            <w:vAlign w:val="bottom"/>
          </w:tcPr>
          <w:p>
            <w:pPr>
              <w:spacing w:after="0"/>
              <w:rPr>
                <w:sz w:val="24"/>
                <w:szCs w:val="24"/>
                <w:color w:val="auto"/>
              </w:rPr>
            </w:pPr>
          </w:p>
        </w:tc>
        <w:tc>
          <w:tcPr>
            <w:tcW w:w="2460" w:type="dxa"/>
            <w:vAlign w:val="bottom"/>
            <w:gridSpan w:val="12"/>
          </w:tcPr>
          <w:p>
            <w:pPr>
              <w:spacing w:after="0"/>
              <w:rPr>
                <w:sz w:val="20"/>
                <w:szCs w:val="20"/>
                <w:color w:val="auto"/>
              </w:rPr>
            </w:pPr>
            <w:r>
              <w:rPr>
                <w:rFonts w:ascii="Arial" w:cs="Arial" w:eastAsia="Arial" w:hAnsi="Arial"/>
                <w:sz w:val="18"/>
                <w:szCs w:val="18"/>
                <w:color w:val="auto"/>
              </w:rPr>
              <w:t>/s/ William E. Macaulay</w:t>
            </w:r>
          </w:p>
        </w:tc>
        <w:tc>
          <w:tcPr>
            <w:tcW w:w="6800" w:type="dxa"/>
            <w:vAlign w:val="bottom"/>
          </w:tcPr>
          <w:p>
            <w:pPr>
              <w:ind w:left="720"/>
              <w:spacing w:after="0"/>
              <w:rPr>
                <w:sz w:val="20"/>
                <w:szCs w:val="20"/>
                <w:color w:val="auto"/>
              </w:rPr>
            </w:pPr>
            <w:r>
              <w:rPr>
                <w:rFonts w:ascii="Arial" w:cs="Arial" w:eastAsia="Arial" w:hAnsi="Arial"/>
                <w:sz w:val="18"/>
                <w:szCs w:val="18"/>
                <w:color w:val="auto"/>
              </w:rPr>
              <w:t>Chairman of the Board and Director</w:t>
            </w: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9"/>
          </w:tcPr>
          <w:p>
            <w:pPr>
              <w:jc w:val="center"/>
              <w:spacing w:after="0"/>
              <w:rPr>
                <w:sz w:val="20"/>
                <w:szCs w:val="20"/>
                <w:color w:val="auto"/>
              </w:rPr>
            </w:pPr>
            <w:r>
              <w:rPr>
                <w:rFonts w:ascii="Arial" w:cs="Arial" w:eastAsia="Arial" w:hAnsi="Arial"/>
                <w:sz w:val="18"/>
                <w:szCs w:val="18"/>
                <w:color w:val="auto"/>
                <w:w w:val="95"/>
              </w:rPr>
              <w:t>William E. Macaulay</w:t>
            </w:r>
          </w:p>
        </w:tc>
        <w:tc>
          <w:tcPr>
            <w:tcW w:w="7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gridSpan w:val="10"/>
          </w:tcPr>
          <w:p>
            <w:pPr>
              <w:jc w:val="center"/>
              <w:ind w:right="780"/>
              <w:spacing w:after="0"/>
              <w:rPr>
                <w:sz w:val="20"/>
                <w:szCs w:val="20"/>
                <w:color w:val="auto"/>
              </w:rPr>
            </w:pPr>
            <w:r>
              <w:rPr>
                <w:rFonts w:ascii="Arial" w:cs="Arial" w:eastAsia="Arial" w:hAnsi="Arial"/>
                <w:sz w:val="18"/>
                <w:szCs w:val="18"/>
                <w:color w:val="auto"/>
                <w:w w:val="91"/>
              </w:rPr>
              <w:t>/s/ Mohamed A. Awad</w:t>
            </w:r>
          </w:p>
        </w:tc>
        <w:tc>
          <w:tcPr>
            <w:tcW w:w="6800" w:type="dxa"/>
            <w:vAlign w:val="bottom"/>
          </w:tcPr>
          <w:p>
            <w:pPr>
              <w:ind w:left="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auto"/>
            </w:tcBorders>
            <w:gridSpan w:val="7"/>
          </w:tcPr>
          <w:p>
            <w:pPr>
              <w:jc w:val="center"/>
              <w:ind w:right="60"/>
              <w:spacing w:after="0"/>
              <w:rPr>
                <w:sz w:val="20"/>
                <w:szCs w:val="20"/>
                <w:color w:val="auto"/>
              </w:rPr>
            </w:pPr>
            <w:r>
              <w:rPr>
                <w:rFonts w:ascii="Arial" w:cs="Arial" w:eastAsia="Arial" w:hAnsi="Arial"/>
                <w:sz w:val="18"/>
                <w:szCs w:val="18"/>
                <w:color w:val="auto"/>
                <w:w w:val="92"/>
              </w:rPr>
              <w:t>Mohamed A. Awad</w:t>
            </w:r>
          </w:p>
        </w:tc>
        <w:tc>
          <w:tcPr>
            <w:tcW w:w="780" w:type="dxa"/>
            <w:vAlign w:val="bottom"/>
            <w:gridSpan w:val="3"/>
          </w:tcPr>
          <w:p>
            <w:pPr>
              <w:spacing w:after="0"/>
              <w:rPr>
                <w:sz w:val="20"/>
                <w:szCs w:val="20"/>
                <w:color w:val="auto"/>
              </w:rPr>
            </w:pPr>
          </w:p>
        </w:tc>
        <w:tc>
          <w:tcPr>
            <w:tcW w:w="6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9"/>
          </w:tcPr>
          <w:p>
            <w:pPr>
              <w:jc w:val="center"/>
              <w:ind w:right="900"/>
              <w:spacing w:after="0"/>
              <w:rPr>
                <w:sz w:val="20"/>
                <w:szCs w:val="20"/>
                <w:color w:val="auto"/>
              </w:rPr>
            </w:pPr>
            <w:r>
              <w:rPr>
                <w:rFonts w:ascii="Arial" w:cs="Arial" w:eastAsia="Arial" w:hAnsi="Arial"/>
                <w:sz w:val="18"/>
                <w:szCs w:val="18"/>
                <w:color w:val="auto"/>
                <w:w w:val="91"/>
              </w:rPr>
              <w:t>/s/ David J. Butters</w:t>
            </w:r>
          </w:p>
        </w:tc>
        <w:tc>
          <w:tcPr>
            <w:tcW w:w="6800" w:type="dxa"/>
            <w:vAlign w:val="bottom"/>
          </w:tcPr>
          <w:p>
            <w:pPr>
              <w:ind w:left="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1"/>
              </w:rPr>
              <w:t>David J. Butters</w:t>
            </w:r>
          </w:p>
        </w:tc>
        <w:tc>
          <w:tcPr>
            <w:tcW w:w="900" w:type="dxa"/>
            <w:vAlign w:val="bottom"/>
            <w:gridSpan w:val="5"/>
          </w:tcPr>
          <w:p>
            <w:pPr>
              <w:spacing w:after="0"/>
              <w:rPr>
                <w:sz w:val="20"/>
                <w:szCs w:val="20"/>
                <w:color w:val="auto"/>
              </w:rPr>
            </w:pPr>
          </w:p>
        </w:tc>
        <w:tc>
          <w:tcPr>
            <w:tcW w:w="6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7"/>
          </w:tcPr>
          <w:p>
            <w:pPr>
              <w:jc w:val="center"/>
              <w:ind w:right="940"/>
              <w:spacing w:after="0"/>
              <w:rPr>
                <w:sz w:val="20"/>
                <w:szCs w:val="20"/>
                <w:color w:val="auto"/>
              </w:rPr>
            </w:pPr>
            <w:r>
              <w:rPr>
                <w:rFonts w:ascii="Arial" w:cs="Arial" w:eastAsia="Arial" w:hAnsi="Arial"/>
                <w:sz w:val="18"/>
                <w:szCs w:val="18"/>
                <w:color w:val="auto"/>
                <w:w w:val="87"/>
              </w:rPr>
              <w:t>/s/ John D. Gass</w:t>
            </w:r>
          </w:p>
        </w:tc>
        <w:tc>
          <w:tcPr>
            <w:tcW w:w="6800" w:type="dxa"/>
            <w:vAlign w:val="bottom"/>
          </w:tcPr>
          <w:p>
            <w:pPr>
              <w:ind w:left="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John D. Gass</w:t>
            </w:r>
          </w:p>
        </w:tc>
        <w:tc>
          <w:tcPr>
            <w:tcW w:w="940" w:type="dxa"/>
            <w:vAlign w:val="bottom"/>
            <w:gridSpan w:val="6"/>
          </w:tcPr>
          <w:p>
            <w:pPr>
              <w:spacing w:after="0"/>
              <w:rPr>
                <w:sz w:val="20"/>
                <w:szCs w:val="20"/>
                <w:color w:val="auto"/>
              </w:rPr>
            </w:pPr>
          </w:p>
        </w:tc>
        <w:tc>
          <w:tcPr>
            <w:tcW w:w="6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ind w:left="740"/>
        <w:spacing w:after="0"/>
        <w:tabs>
          <w:tab w:leader="none" w:pos="6260" w:val="left"/>
        </w:tabs>
        <w:rPr>
          <w:sz w:val="20"/>
          <w:szCs w:val="20"/>
          <w:color w:val="auto"/>
        </w:rPr>
      </w:pPr>
      <w:r>
        <w:rPr>
          <w:rFonts w:ascii="Arial" w:cs="Arial" w:eastAsia="Arial" w:hAnsi="Arial"/>
          <w:sz w:val="17"/>
          <w:szCs w:val="17"/>
          <w:b w:val="1"/>
          <w:bCs w:val="1"/>
          <w:color w:val="auto"/>
        </w:rPr>
        <w:t>Signature</w:t>
      </w:r>
      <w:r>
        <w:rPr>
          <w:sz w:val="20"/>
          <w:szCs w:val="20"/>
          <w:color w:val="auto"/>
        </w:rPr>
        <w:tab/>
      </w:r>
      <w:r>
        <w:rPr>
          <w:rFonts w:ascii="Arial" w:cs="Arial" w:eastAsia="Arial" w:hAnsi="Arial"/>
          <w:sz w:val="17"/>
          <w:szCs w:val="17"/>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41910</wp:posOffset>
            </wp:positionV>
            <wp:extent cx="6800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p>
      <w:pPr>
        <w:spacing w:after="0" w:line="308" w:lineRule="exact"/>
        <w:rPr>
          <w:sz w:val="20"/>
          <w:szCs w:val="20"/>
          <w:color w:val="auto"/>
        </w:rPr>
      </w:pPr>
    </w:p>
    <w:p>
      <w:pPr>
        <w:jc w:val="right"/>
        <w:ind w:left="320" w:right="640"/>
        <w:spacing w:after="0" w:line="342" w:lineRule="auto"/>
        <w:rPr>
          <w:sz w:val="20"/>
          <w:szCs w:val="20"/>
          <w:color w:val="auto"/>
        </w:rPr>
      </w:pPr>
      <w:r>
        <w:rPr>
          <w:rFonts w:ascii="Arial" w:cs="Arial" w:eastAsia="Arial" w:hAnsi="Arial"/>
          <w:sz w:val="16"/>
          <w:szCs w:val="16"/>
          <w:u w:val="single" w:color="auto"/>
          <w:color w:val="auto"/>
        </w:rPr>
        <w:t xml:space="preserve">/s/ Sir Emyr Jones Parry </w:t>
      </w:r>
      <w:r>
        <w:rPr>
          <w:rFonts w:ascii="Arial" w:cs="Arial" w:eastAsia="Arial" w:hAnsi="Arial"/>
          <w:sz w:val="16"/>
          <w:szCs w:val="16"/>
          <w:color w:val="auto"/>
        </w:rPr>
        <w:t>Sir Emyr Jones Parry</w:t>
      </w:r>
    </w:p>
    <w:p>
      <w:pPr>
        <w:spacing w:after="0" w:line="178" w:lineRule="exact"/>
        <w:rPr>
          <w:sz w:val="20"/>
          <w:szCs w:val="20"/>
          <w:color w:val="auto"/>
        </w:rPr>
      </w:pPr>
    </w:p>
    <w:p>
      <w:pPr>
        <w:jc w:val="right"/>
        <w:ind w:right="740"/>
        <w:spacing w:after="0"/>
        <w:rPr>
          <w:sz w:val="20"/>
          <w:szCs w:val="20"/>
          <w:color w:val="auto"/>
        </w:rPr>
      </w:pPr>
      <w:r>
        <w:rPr>
          <w:rFonts w:ascii="Arial" w:cs="Arial" w:eastAsia="Arial" w:hAnsi="Arial"/>
          <w:sz w:val="17"/>
          <w:szCs w:val="17"/>
          <w:u w:val="single" w:color="auto"/>
          <w:color w:val="auto"/>
        </w:rPr>
        <w:t>/s/ Francis S. Kalman</w:t>
      </w:r>
    </w:p>
    <w:p>
      <w:pPr>
        <w:spacing w:after="0" w:line="35" w:lineRule="exact"/>
        <w:rPr>
          <w:sz w:val="20"/>
          <w:szCs w:val="20"/>
          <w:color w:val="auto"/>
        </w:rPr>
      </w:pPr>
    </w:p>
    <w:p>
      <w:pPr>
        <w:jc w:val="right"/>
        <w:ind w:right="780"/>
        <w:spacing w:after="0"/>
        <w:rPr>
          <w:sz w:val="20"/>
          <w:szCs w:val="20"/>
          <w:color w:val="auto"/>
        </w:rPr>
      </w:pPr>
      <w:r>
        <w:rPr>
          <w:rFonts w:ascii="Arial" w:cs="Arial" w:eastAsia="Arial" w:hAnsi="Arial"/>
          <w:sz w:val="18"/>
          <w:szCs w:val="18"/>
          <w:color w:val="auto"/>
        </w:rPr>
        <w:t>Francis S. Kalman</w:t>
      </w:r>
    </w:p>
    <w:p>
      <w:pPr>
        <w:spacing w:after="0" w:line="265" w:lineRule="exact"/>
        <w:rPr>
          <w:sz w:val="20"/>
          <w:szCs w:val="20"/>
          <w:color w:val="auto"/>
        </w:rPr>
      </w:pPr>
    </w:p>
    <w:p>
      <w:pPr>
        <w:jc w:val="right"/>
        <w:ind w:right="680"/>
        <w:spacing w:after="0"/>
        <w:rPr>
          <w:sz w:val="20"/>
          <w:szCs w:val="20"/>
          <w:color w:val="auto"/>
        </w:rPr>
      </w:pPr>
      <w:r>
        <w:rPr>
          <w:rFonts w:ascii="Arial" w:cs="Arial" w:eastAsia="Arial" w:hAnsi="Arial"/>
          <w:sz w:val="16"/>
          <w:szCs w:val="16"/>
          <w:u w:val="single" w:color="auto"/>
          <w:color w:val="auto"/>
        </w:rPr>
        <w:t>/s/ Robert K. Moses, Jr.</w:t>
      </w:r>
    </w:p>
    <w:p>
      <w:pPr>
        <w:spacing w:after="0" w:line="46"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Robert K. Moses, Jr.</w:t>
      </w:r>
    </w:p>
    <w:p>
      <w:pPr>
        <w:spacing w:after="0" w:line="265" w:lineRule="exact"/>
        <w:rPr>
          <w:sz w:val="20"/>
          <w:szCs w:val="20"/>
          <w:color w:val="auto"/>
        </w:rPr>
      </w:pPr>
    </w:p>
    <w:p>
      <w:pPr>
        <w:jc w:val="right"/>
        <w:ind w:right="700"/>
        <w:spacing w:after="0"/>
        <w:rPr>
          <w:sz w:val="20"/>
          <w:szCs w:val="20"/>
          <w:color w:val="auto"/>
        </w:rPr>
      </w:pPr>
      <w:r>
        <w:rPr>
          <w:rFonts w:ascii="Arial" w:cs="Arial" w:eastAsia="Arial" w:hAnsi="Arial"/>
          <w:sz w:val="17"/>
          <w:szCs w:val="17"/>
          <w:u w:val="single" w:color="auto"/>
          <w:color w:val="auto"/>
        </w:rPr>
        <w:t>/s/ Dr. Guillermo Ortiz</w:t>
      </w:r>
    </w:p>
    <w:p>
      <w:pPr>
        <w:spacing w:after="0" w:line="35" w:lineRule="exact"/>
        <w:rPr>
          <w:sz w:val="20"/>
          <w:szCs w:val="20"/>
          <w:color w:val="auto"/>
        </w:rPr>
      </w:pPr>
    </w:p>
    <w:p>
      <w:pPr>
        <w:jc w:val="right"/>
        <w:ind w:right="740"/>
        <w:spacing w:after="0"/>
        <w:rPr>
          <w:sz w:val="20"/>
          <w:szCs w:val="20"/>
          <w:color w:val="auto"/>
        </w:rPr>
      </w:pPr>
      <w:r>
        <w:rPr>
          <w:rFonts w:ascii="Arial" w:cs="Arial" w:eastAsia="Arial" w:hAnsi="Arial"/>
          <w:sz w:val="18"/>
          <w:szCs w:val="18"/>
          <w:color w:val="auto"/>
        </w:rPr>
        <w:t>Dr. Guillermo Ortiz</w:t>
      </w:r>
    </w:p>
    <w:p>
      <w:pPr>
        <w:spacing w:after="0" w:line="265" w:lineRule="exact"/>
        <w:rPr>
          <w:sz w:val="20"/>
          <w:szCs w:val="20"/>
          <w:color w:val="auto"/>
        </w:rPr>
      </w:pPr>
    </w:p>
    <w:p>
      <w:pPr>
        <w:ind w:left="480" w:right="660" w:hanging="152"/>
        <w:spacing w:after="0" w:line="342" w:lineRule="auto"/>
        <w:rPr>
          <w:sz w:val="20"/>
          <w:szCs w:val="20"/>
          <w:color w:val="auto"/>
        </w:rPr>
      </w:pPr>
      <w:r>
        <w:rPr>
          <w:rFonts w:ascii="Arial" w:cs="Arial" w:eastAsia="Arial" w:hAnsi="Arial"/>
          <w:sz w:val="16"/>
          <w:szCs w:val="16"/>
          <w:u w:val="single" w:color="auto"/>
          <w:color w:val="auto"/>
        </w:rPr>
        <w:t xml:space="preserve">/s/ Christina M. Ibrahim </w:t>
      </w:r>
      <w:r>
        <w:rPr>
          <w:rFonts w:ascii="Arial" w:cs="Arial" w:eastAsia="Arial" w:hAnsi="Arial"/>
          <w:sz w:val="16"/>
          <w:szCs w:val="16"/>
          <w:color w:val="auto"/>
        </w:rPr>
        <w:t>Christina M. Ibrahim</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Authorized U.S. Representative</w:t>
      </w:r>
    </w:p>
    <w:p>
      <w:pPr>
        <w:sectPr>
          <w:pgSz w:w="11900" w:h="16838" w:orient="portrait"/>
          <w:cols w:equalWidth="0" w:num="2">
            <w:col w:w="2720" w:space="720"/>
            <w:col w:w="5579"/>
          </w:cols>
          <w:pgMar w:left="1440" w:top="742"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8600" w:type="dxa"/>
            <w:vAlign w:val="bottom"/>
          </w:tcPr>
          <w:p>
            <w:pPr>
              <w:ind w:left="2200"/>
              <w:spacing w:after="0"/>
              <w:rPr>
                <w:sz w:val="20"/>
                <w:szCs w:val="20"/>
                <w:color w:val="auto"/>
              </w:rPr>
            </w:pPr>
            <w:r>
              <w:rPr>
                <w:rFonts w:ascii="Arial" w:cs="Arial" w:eastAsia="Arial" w:hAnsi="Arial"/>
                <w:sz w:val="18"/>
                <w:szCs w:val="18"/>
                <w:b w:val="1"/>
                <w:bCs w:val="1"/>
                <w:color w:val="auto"/>
              </w:rPr>
              <w:t>EXHIBIT INDEX</w:t>
            </w:r>
          </w:p>
        </w:tc>
      </w:tr>
      <w:tr>
        <w:trPr>
          <w:trHeight w:val="576"/>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8600" w:type="dxa"/>
            <w:vAlign w:val="bottom"/>
          </w:tcPr>
          <w:p>
            <w:pPr>
              <w:spacing w:after="0"/>
              <w:rPr>
                <w:sz w:val="24"/>
                <w:szCs w:val="24"/>
                <w:color w:val="auto"/>
              </w:rPr>
            </w:pPr>
          </w:p>
        </w:tc>
      </w:tr>
      <w:tr>
        <w:trPr>
          <w:trHeight w:val="234"/>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8600" w:type="dxa"/>
            <w:vAlign w:val="bottom"/>
          </w:tcPr>
          <w:p>
            <w:pPr>
              <w:ind w:left="29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820" w:type="dxa"/>
            <w:vAlign w:val="bottom"/>
            <w:tcBorders>
              <w:bottom w:val="single" w:sz="8" w:color="auto"/>
            </w:tcBorders>
          </w:tcPr>
          <w:p>
            <w:pPr>
              <w:spacing w:after="0"/>
              <w:rPr>
                <w:sz w:val="2"/>
                <w:szCs w:val="2"/>
                <w:color w:val="auto"/>
              </w:rPr>
            </w:pPr>
          </w:p>
        </w:tc>
        <w:tc>
          <w:tcPr>
            <w:tcW w:w="8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Memorandum and Articles of Association of Weatherford International public limited company (incorporated by reference to Exhibit 3.1 to Weatherford International plc’s Current Report on Form 8-K filed on June 17, 2014).</w:t>
      </w:r>
    </w:p>
    <w:p>
      <w:pPr>
        <w:spacing w:after="0" w:line="22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Weatherford International plc 2010 Omnibus Incentive Plan (as Amended and Restated) (incorporated by reference to Exhibit 10.6 to Weatherford International plc’s Current Report on Form 8-K filed on June 17, 2014).</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First Amendment to Weatherford International plc 2010 Omnibus Incentive Plan (incorporated by reference to Annex A of Weatherford International plc’s Definitive Proxy Statement on Schedule 14A filed on April 29, 2015).</w:t>
      </w:r>
    </w:p>
    <w:p>
      <w:pPr>
        <w:spacing w:after="0" w:line="2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Second Amendment to Weatherford International plc 2010 Omnibus Incentive Plan (incorporated by reference to Annex A of Weatherford International plc’s Definitive Proxy Statement on Schedule 14A filed on April 25,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Opinion of Matheson regarding the legality of securities being registered.</w:t>
      </w:r>
    </w:p>
    <w:p>
      <w:pPr>
        <w:spacing w:after="0" w:line="200" w:lineRule="exact"/>
        <w:rPr>
          <w:sz w:val="20"/>
          <w:szCs w:val="20"/>
          <w:color w:val="auto"/>
        </w:rPr>
      </w:pPr>
    </w:p>
    <w:p>
      <w:pPr>
        <w:sectPr>
          <w:pgSz w:w="11900" w:h="16838" w:orient="portrait"/>
          <w:cols w:equalWidth="0" w:num="2">
            <w:col w:w="360" w:space="600"/>
            <w:col w:w="10460"/>
          </w:cols>
          <w:pgMar w:left="240" w:top="580" w:right="239" w:bottom="1440" w:gutter="0" w:footer="0" w:header="0"/>
          <w:type w:val="continuous"/>
        </w:sectPr>
      </w:pPr>
    </w:p>
    <w:p>
      <w:pPr>
        <w:spacing w:after="0" w:line="187"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Matheson (included in Exhibit 5.1).</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the signature page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582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ectPr>
          <w:pgSz w:w="11900" w:h="16838" w:orient="portrait"/>
          <w:cols w:equalWidth="0" w:num="1">
            <w:col w:w="11420"/>
          </w:cols>
          <w:pgMar w:left="240" w:top="580" w:right="2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306070</wp:posOffset>
            </wp:positionV>
            <wp:extent cx="2967355" cy="1046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Weatherford International plc</w:t>
      </w:r>
    </w:p>
    <w:p>
      <w:pPr>
        <w:ind w:left="40"/>
        <w:spacing w:after="0" w:line="234" w:lineRule="auto"/>
        <w:rPr>
          <w:sz w:val="20"/>
          <w:szCs w:val="20"/>
          <w:color w:val="auto"/>
        </w:rPr>
      </w:pPr>
      <w:r>
        <w:rPr>
          <w:rFonts w:ascii="Arial" w:cs="Arial" w:eastAsia="Arial" w:hAnsi="Arial"/>
          <w:sz w:val="18"/>
          <w:szCs w:val="18"/>
          <w:color w:val="auto"/>
        </w:rPr>
        <w:t>Weststrasse 1</w:t>
      </w:r>
    </w:p>
    <w:p>
      <w:pPr>
        <w:ind w:left="40"/>
        <w:spacing w:after="0" w:line="235" w:lineRule="auto"/>
        <w:rPr>
          <w:sz w:val="20"/>
          <w:szCs w:val="20"/>
          <w:color w:val="auto"/>
        </w:rPr>
      </w:pPr>
      <w:r>
        <w:rPr>
          <w:rFonts w:ascii="Arial" w:cs="Arial" w:eastAsia="Arial" w:hAnsi="Arial"/>
          <w:sz w:val="18"/>
          <w:szCs w:val="18"/>
          <w:color w:val="auto"/>
        </w:rPr>
        <w:t>6340 Baar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Switzerland</w:t>
      </w: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3900" w:val="left"/>
          <w:tab w:leader="none" w:pos="10360" w:val="left"/>
        </w:tabs>
        <w:rPr>
          <w:sz w:val="20"/>
          <w:szCs w:val="20"/>
          <w:color w:val="auto"/>
        </w:rPr>
      </w:pPr>
      <w:r>
        <w:rPr>
          <w:rFonts w:ascii="Arial" w:cs="Arial" w:eastAsia="Arial" w:hAnsi="Arial"/>
          <w:sz w:val="14"/>
          <w:szCs w:val="14"/>
          <w:color w:val="auto"/>
        </w:rPr>
        <w:t>Our Ref</w:t>
      </w:r>
      <w:r>
        <w:rPr>
          <w:sz w:val="20"/>
          <w:szCs w:val="20"/>
          <w:color w:val="auto"/>
        </w:rPr>
        <w:tab/>
      </w:r>
      <w:r>
        <w:rPr>
          <w:rFonts w:ascii="Arial" w:cs="Arial" w:eastAsia="Arial" w:hAnsi="Arial"/>
          <w:sz w:val="14"/>
          <w:szCs w:val="14"/>
          <w:color w:val="auto"/>
        </w:rPr>
        <w:t>Your Ref</w:t>
      </w:r>
      <w:r>
        <w:rPr>
          <w:sz w:val="20"/>
          <w:szCs w:val="20"/>
          <w:color w:val="auto"/>
        </w:rPr>
        <w:tab/>
      </w:r>
      <w:r>
        <w:rPr>
          <w:rFonts w:ascii="Arial" w:cs="Arial" w:eastAsia="Arial" w:hAnsi="Arial"/>
          <w:sz w:val="17"/>
          <w:szCs w:val="17"/>
          <w:color w:val="auto"/>
        </w:rPr>
        <w:t>10 July 2017</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FBO 661725.30</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Weatherford International public limited company</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Statement on Form S-8</w:t>
      </w:r>
    </w:p>
    <w:p>
      <w:pPr>
        <w:spacing w:after="0" w:line="259"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We have acted on behalf of Weatherford International public limited company, a public limited company incorporated under the laws of Ireland with company number 540406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be filed by the Company, pursuant to the Securities Act of 1933 of the United States of America,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with the Securities and Exchange Commission of the United States of America (the “</w:t>
      </w:r>
      <w:r>
        <w:rPr>
          <w:rFonts w:ascii="Arial" w:cs="Arial" w:eastAsia="Arial" w:hAnsi="Arial"/>
          <w:sz w:val="18"/>
          <w:szCs w:val="18"/>
          <w:b w:val="1"/>
          <w:bCs w:val="1"/>
          <w:color w:val="auto"/>
        </w:rPr>
        <w:t>SEC</w:t>
      </w:r>
      <w:r>
        <w:rPr>
          <w:rFonts w:ascii="Arial" w:cs="Arial" w:eastAsia="Arial" w:hAnsi="Arial"/>
          <w:sz w:val="18"/>
          <w:szCs w:val="18"/>
          <w:color w:val="auto"/>
        </w:rPr>
        <w:t>”) with respect to the registration by the Company of 21,000,000 ordinary shares (nominal value of US$0.001 per share) (the “</w:t>
      </w:r>
      <w:r>
        <w:rPr>
          <w:rFonts w:ascii="Arial" w:cs="Arial" w:eastAsia="Arial" w:hAnsi="Arial"/>
          <w:sz w:val="18"/>
          <w:szCs w:val="18"/>
          <w:b w:val="1"/>
          <w:bCs w:val="1"/>
          <w:color w:val="auto"/>
        </w:rPr>
        <w:t>Shares</w:t>
      </w:r>
      <w:r>
        <w:rPr>
          <w:rFonts w:ascii="Arial" w:cs="Arial" w:eastAsia="Arial" w:hAnsi="Arial"/>
          <w:sz w:val="18"/>
          <w:szCs w:val="18"/>
          <w:color w:val="auto"/>
        </w:rPr>
        <w:t>”) which may be issued and delivered under the Weatherford International plc 2010 Omnibus Incentive Plan (as amended and restated) (the “</w:t>
      </w:r>
      <w:r>
        <w:rPr>
          <w:rFonts w:ascii="Arial" w:cs="Arial" w:eastAsia="Arial" w:hAnsi="Arial"/>
          <w:sz w:val="18"/>
          <w:szCs w:val="18"/>
          <w:b w:val="1"/>
          <w:bCs w:val="1"/>
          <w:color w:val="auto"/>
        </w:rPr>
        <w:t>Plan</w:t>
      </w:r>
      <w:r>
        <w:rPr>
          <w:rFonts w:ascii="Arial" w:cs="Arial" w:eastAsia="Arial" w:hAnsi="Arial"/>
          <w:sz w:val="18"/>
          <w:szCs w:val="18"/>
          <w:color w:val="auto"/>
        </w:rPr>
        <w:t>”). A Second Amendment to the Plan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was approved by the board of directors of the Company on 10 March 2017 and by the Company’s shareholders on 15 June</w:t>
      </w:r>
      <w:r>
        <w:rPr>
          <w:rFonts w:ascii="Arial" w:cs="Arial" w:eastAsia="Arial" w:hAnsi="Arial"/>
          <w:sz w:val="18"/>
          <w:szCs w:val="18"/>
          <w:b w:val="1"/>
          <w:bCs w:val="1"/>
          <w:color w:val="auto"/>
        </w:rPr>
        <w:t xml:space="preserve"> </w:t>
      </w:r>
      <w:r>
        <w:rPr>
          <w:rFonts w:ascii="Arial" w:cs="Arial" w:eastAsia="Arial" w:hAnsi="Arial"/>
          <w:sz w:val="18"/>
          <w:szCs w:val="18"/>
          <w:color w:val="auto"/>
        </w:rPr>
        <w:t>2017.</w:t>
      </w:r>
    </w:p>
    <w:p>
      <w:pPr>
        <w:spacing w:after="0" w:line="179" w:lineRule="exact"/>
        <w:rPr>
          <w:sz w:val="20"/>
          <w:szCs w:val="20"/>
          <w:color w:val="auto"/>
        </w:rPr>
      </w:pPr>
    </w:p>
    <w:p>
      <w:pPr>
        <w:ind w:left="620" w:hanging="612"/>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Scope of appointment and basis of opinion</w:t>
      </w:r>
    </w:p>
    <w:p>
      <w:pPr>
        <w:spacing w:after="0" w:line="29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We have been requested by the Company to provide this opinion.</w:t>
      </w:r>
    </w:p>
    <w:p>
      <w:pPr>
        <w:spacing w:after="0" w:line="26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For the purpose of giving this opinion, we have examined:</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(a)the final form of the Registration Statement to be filed by the Company with the SEC;</w:t>
      </w:r>
    </w:p>
    <w:p>
      <w:pPr>
        <w:spacing w:after="0" w:line="266" w:lineRule="exact"/>
        <w:rPr>
          <w:sz w:val="20"/>
          <w:szCs w:val="20"/>
          <w:color w:val="auto"/>
        </w:rPr>
      </w:pPr>
    </w:p>
    <w:p>
      <w:pPr>
        <w:ind w:left="1400" w:right="20" w:hanging="751"/>
        <w:spacing w:after="0" w:line="309" w:lineRule="auto"/>
        <w:rPr>
          <w:sz w:val="20"/>
          <w:szCs w:val="20"/>
          <w:color w:val="auto"/>
        </w:rPr>
      </w:pPr>
      <w:r>
        <w:rPr>
          <w:rFonts w:ascii="Arial" w:cs="Arial" w:eastAsia="Arial" w:hAnsi="Arial"/>
          <w:sz w:val="18"/>
          <w:szCs w:val="18"/>
          <w:color w:val="auto"/>
        </w:rPr>
        <w:t>(b)a copy of the Memorandum and Articles of Association of the Company (as set out in Exhibit 3.1 to the Company’s Current Report on Form 8-K filed with the SEC on 17 June 2014);</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 copy of the Plan (as set out in Exhibit 10.6 to the Company’s Current Report on Form 8-K filed with the SEC on 17 June 2014);</w:t>
      </w:r>
    </w:p>
    <w:p>
      <w:pPr>
        <w:spacing w:after="0" w:line="266" w:lineRule="exact"/>
        <w:rPr>
          <w:sz w:val="20"/>
          <w:szCs w:val="20"/>
          <w:color w:val="auto"/>
        </w:rPr>
      </w:pPr>
    </w:p>
    <w:p>
      <w:pPr>
        <w:ind w:left="1400" w:hanging="751"/>
        <w:spacing w:after="0" w:line="309" w:lineRule="auto"/>
        <w:rPr>
          <w:sz w:val="20"/>
          <w:szCs w:val="20"/>
          <w:color w:val="auto"/>
        </w:rPr>
      </w:pPr>
      <w:r>
        <w:rPr>
          <w:rFonts w:ascii="Arial" w:cs="Arial" w:eastAsia="Arial" w:hAnsi="Arial"/>
          <w:sz w:val="18"/>
          <w:szCs w:val="18"/>
          <w:color w:val="auto"/>
        </w:rPr>
        <w:t>(d)a copy of the Second Amendment (as set out in Annex A of the Company’s Definitive Proxy Statement on Schedule 14A filed with the SEC on 25 April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5179695"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79695" cy="53149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7" w:name="page8"/>
    <w:bookmarkEnd w:id="7"/>
    <w:p>
      <w:pPr>
        <w:ind w:left="1400" w:hanging="751"/>
        <w:spacing w:after="0" w:line="30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88900</wp:posOffset>
            </wp:positionV>
            <wp:extent cx="128651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(e)copy extract of resolutions of the board of directors’ of the Company passed on 10 March 2017, certified by the secretary to be a true and complete copy of same;</w:t>
      </w:r>
    </w:p>
    <w:p>
      <w:pPr>
        <w:spacing w:after="0" w:line="196" w:lineRule="exact"/>
        <w:rPr>
          <w:sz w:val="20"/>
          <w:szCs w:val="20"/>
          <w:color w:val="auto"/>
        </w:rPr>
      </w:pPr>
    </w:p>
    <w:p>
      <w:pPr>
        <w:ind w:left="1360" w:hanging="697"/>
        <w:spacing w:after="0" w:line="309" w:lineRule="auto"/>
        <w:rPr>
          <w:sz w:val="20"/>
          <w:szCs w:val="20"/>
          <w:color w:val="auto"/>
        </w:rPr>
      </w:pPr>
      <w:r>
        <w:rPr>
          <w:rFonts w:ascii="Arial" w:cs="Arial" w:eastAsia="Arial" w:hAnsi="Arial"/>
          <w:sz w:val="18"/>
          <w:szCs w:val="18"/>
          <w:color w:val="auto"/>
        </w:rPr>
        <w:t>(f)copy extract of a resolution of the shareholders of Company passed at the annual general meeting of the Company held on 15 June 2017 (the “</w:t>
      </w:r>
      <w:r>
        <w:rPr>
          <w:rFonts w:ascii="Arial" w:cs="Arial" w:eastAsia="Arial" w:hAnsi="Arial"/>
          <w:sz w:val="18"/>
          <w:szCs w:val="18"/>
          <w:b w:val="1"/>
          <w:bCs w:val="1"/>
          <w:color w:val="auto"/>
        </w:rPr>
        <w:t>AGM</w:t>
      </w:r>
      <w:r>
        <w:rPr>
          <w:rFonts w:ascii="Arial" w:cs="Arial" w:eastAsia="Arial" w:hAnsi="Arial"/>
          <w:sz w:val="18"/>
          <w:szCs w:val="18"/>
          <w:color w:val="auto"/>
        </w:rPr>
        <w:t>”), certified by the secretary to be a true and complete copy of same;</w:t>
      </w:r>
    </w:p>
    <w:p>
      <w:pPr>
        <w:spacing w:after="0" w:line="174" w:lineRule="exact"/>
        <w:rPr>
          <w:sz w:val="20"/>
          <w:szCs w:val="20"/>
          <w:color w:val="auto"/>
        </w:rPr>
      </w:pPr>
    </w:p>
    <w:p>
      <w:pPr>
        <w:ind w:left="1400" w:right="20" w:hanging="751"/>
        <w:spacing w:after="0" w:line="334" w:lineRule="auto"/>
        <w:rPr>
          <w:sz w:val="20"/>
          <w:szCs w:val="20"/>
          <w:color w:val="auto"/>
        </w:rPr>
      </w:pPr>
      <w:r>
        <w:rPr>
          <w:rFonts w:ascii="Arial" w:cs="Arial" w:eastAsia="Arial" w:hAnsi="Arial"/>
          <w:sz w:val="18"/>
          <w:szCs w:val="18"/>
          <w:color w:val="auto"/>
        </w:rPr>
        <w:t>(g)a certificate of the assistant secretary of the Company (the “</w:t>
      </w:r>
      <w:r>
        <w:rPr>
          <w:rFonts w:ascii="Arial" w:cs="Arial" w:eastAsia="Arial" w:hAnsi="Arial"/>
          <w:sz w:val="18"/>
          <w:szCs w:val="18"/>
          <w:b w:val="1"/>
          <w:bCs w:val="1"/>
          <w:color w:val="auto"/>
        </w:rPr>
        <w:t>Certificate</w:t>
      </w:r>
      <w:r>
        <w:rPr>
          <w:rFonts w:ascii="Arial" w:cs="Arial" w:eastAsia="Arial" w:hAnsi="Arial"/>
          <w:sz w:val="18"/>
          <w:szCs w:val="18"/>
          <w:color w:val="auto"/>
        </w:rPr>
        <w:t>”), certifying the matters referred to in the preceding sub-paragraphs (e) and (f); and</w:t>
      </w:r>
    </w:p>
    <w:p>
      <w:pPr>
        <w:spacing w:after="0" w:line="175" w:lineRule="exact"/>
        <w:rPr>
          <w:sz w:val="20"/>
          <w:szCs w:val="20"/>
          <w:color w:val="auto"/>
        </w:rPr>
      </w:pPr>
    </w:p>
    <w:p>
      <w:pPr>
        <w:ind w:left="1260" w:hanging="604"/>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facsimile copy of the results of searches made on 10 July 2017 at the Irish Companies Registration Office, in the Register of</w:t>
      </w:r>
    </w:p>
    <w:p>
      <w:pPr>
        <w:spacing w:after="0" w:line="49" w:lineRule="exact"/>
        <w:rPr>
          <w:rFonts w:ascii="Arial" w:cs="Arial" w:eastAsia="Arial" w:hAnsi="Arial"/>
          <w:sz w:val="18"/>
          <w:szCs w:val="18"/>
          <w:color w:val="auto"/>
        </w:rPr>
      </w:pPr>
    </w:p>
    <w:p>
      <w:pPr>
        <w:ind w:left="1280" w:right="20"/>
        <w:spacing w:after="0" w:line="309" w:lineRule="auto"/>
        <w:rPr>
          <w:rFonts w:ascii="Arial" w:cs="Arial" w:eastAsia="Arial" w:hAnsi="Arial"/>
          <w:sz w:val="18"/>
          <w:szCs w:val="18"/>
          <w:color w:val="auto"/>
        </w:rPr>
      </w:pPr>
      <w:r>
        <w:rPr>
          <w:rFonts w:ascii="Arial" w:cs="Arial" w:eastAsia="Arial" w:hAnsi="Arial"/>
          <w:sz w:val="18"/>
          <w:szCs w:val="18"/>
          <w:color w:val="auto"/>
        </w:rPr>
        <w:t>Winding Up Petitions at the Central Office of the High Court of Ireland and at the Judgments’ Office in the Central Office of the High Court of Ireland against the Company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196" w:lineRule="exact"/>
        <w:rPr>
          <w:sz w:val="20"/>
          <w:szCs w:val="20"/>
          <w:color w:val="auto"/>
        </w:rPr>
      </w:pPr>
    </w:p>
    <w:p>
      <w:pPr>
        <w:jc w:val="both"/>
        <w:ind w:left="620" w:hanging="620"/>
        <w:spacing w:after="0" w:line="303" w:lineRule="auto"/>
        <w:tabs>
          <w:tab w:leader="none" w:pos="6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202" w:lineRule="exact"/>
        <w:rPr>
          <w:sz w:val="20"/>
          <w:szCs w:val="20"/>
          <w:color w:val="auto"/>
        </w:rPr>
      </w:pPr>
    </w:p>
    <w:p>
      <w:pPr>
        <w:jc w:val="both"/>
        <w:ind w:left="620" w:hanging="620"/>
        <w:spacing w:after="0" w:line="301" w:lineRule="auto"/>
        <w:tabs>
          <w:tab w:leader="none" w:pos="6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the Registration Statement, the Plan or the Second Amendment nor have we attempted to determine whether any material facts have been omitted therefrom.</w:t>
      </w:r>
    </w:p>
    <w:p>
      <w:pPr>
        <w:spacing w:after="0" w:line="204" w:lineRule="exact"/>
        <w:rPr>
          <w:sz w:val="20"/>
          <w:szCs w:val="20"/>
          <w:color w:val="auto"/>
        </w:rPr>
      </w:pPr>
    </w:p>
    <w:p>
      <w:pPr>
        <w:jc w:val="both"/>
        <w:ind w:left="620" w:hanging="620"/>
        <w:spacing w:after="0" w:line="303" w:lineRule="auto"/>
        <w:tabs>
          <w:tab w:leader="none" w:pos="6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188" w:lineRule="exact"/>
        <w:rPr>
          <w:sz w:val="20"/>
          <w:szCs w:val="20"/>
          <w:color w:val="auto"/>
        </w:rPr>
      </w:pPr>
    </w:p>
    <w:p>
      <w:pPr>
        <w:jc w:val="both"/>
        <w:ind w:left="620" w:hanging="620"/>
        <w:spacing w:after="0" w:line="311" w:lineRule="auto"/>
        <w:tabs>
          <w:tab w:leader="none" w:pos="6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195" w:lineRule="exact"/>
        <w:rPr>
          <w:sz w:val="20"/>
          <w:szCs w:val="20"/>
          <w:color w:val="auto"/>
        </w:rPr>
      </w:pPr>
    </w:p>
    <w:p>
      <w:pPr>
        <w:jc w:val="both"/>
        <w:ind w:left="620" w:hanging="620"/>
        <w:spacing w:after="0" w:line="299" w:lineRule="auto"/>
        <w:tabs>
          <w:tab w:leader="none" w:pos="6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This opinion is delivered in connection with the filing of the Registration Statement with the SEC and is strictly limited to the matters stated herein and does not extend to, and is not to be read as extending by implication to, any other matter. We hereby consent to the filing of this opinion as an exhibit to the Registration Statement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Registration Statement and is not to be use, circulated, quoted or otherwise referred to for any other purpose without our express written consent.</w:t>
      </w:r>
    </w:p>
    <w:p>
      <w:pPr>
        <w:spacing w:after="0" w:line="20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We assume no obligation to update the opinions set forth in this letter.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40724096.3</w:t>
      </w:r>
    </w:p>
    <w:p>
      <w:pPr>
        <w:sectPr>
          <w:pgSz w:w="11900" w:h="16838" w:orient="portrait"/>
          <w:cols w:equalWidth="0" w:num="1">
            <w:col w:w="11420"/>
          </w:cols>
          <w:pgMar w:left="240" w:top="706" w:right="239" w:bottom="1440" w:gutter="0" w:footer="0" w:header="0"/>
        </w:sectPr>
      </w:pPr>
    </w:p>
    <w:bookmarkStart w:id="8" w:name="page9"/>
    <w:bookmarkEnd w:id="8"/>
    <w:p>
      <w:pPr>
        <w:ind w:left="620" w:hanging="612"/>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6117590</wp:posOffset>
            </wp:positionH>
            <wp:positionV relativeFrom="page">
              <wp:posOffset>88900</wp:posOffset>
            </wp:positionV>
            <wp:extent cx="128651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Assumptions</w:t>
      </w:r>
    </w:p>
    <w:p>
      <w:pPr>
        <w:spacing w:after="0" w:line="296"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18"/>
          <w:szCs w:val="18"/>
          <w:color w:val="auto"/>
        </w:rPr>
        <w:t>For the purpose of giving this opinion we have assumed:</w:t>
      </w:r>
    </w:p>
    <w:p>
      <w:pPr>
        <w:spacing w:after="0" w:line="265" w:lineRule="exact"/>
        <w:rPr>
          <w:rFonts w:ascii="Arial" w:cs="Arial" w:eastAsia="Arial" w:hAnsi="Arial"/>
          <w:sz w:val="20"/>
          <w:szCs w:val="20"/>
          <w:color w:val="auto"/>
        </w:rPr>
      </w:pPr>
    </w:p>
    <w:p>
      <w:pPr>
        <w:ind w:left="1260" w:hanging="604"/>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265" w:lineRule="exact"/>
        <w:rPr>
          <w:rFonts w:ascii="Arial" w:cs="Arial" w:eastAsia="Arial" w:hAnsi="Arial"/>
          <w:sz w:val="18"/>
          <w:szCs w:val="18"/>
          <w:color w:val="auto"/>
        </w:rPr>
      </w:pPr>
    </w:p>
    <w:p>
      <w:pPr>
        <w:ind w:left="1280" w:hanging="624"/>
        <w:spacing w:after="0" w:line="309" w:lineRule="auto"/>
        <w:tabs>
          <w:tab w:leader="none" w:pos="126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196" w:lineRule="exact"/>
        <w:rPr>
          <w:rFonts w:ascii="Arial" w:cs="Arial" w:eastAsia="Arial" w:hAnsi="Arial"/>
          <w:sz w:val="18"/>
          <w:szCs w:val="18"/>
          <w:color w:val="auto"/>
        </w:rPr>
      </w:pPr>
    </w:p>
    <w:p>
      <w:pPr>
        <w:ind w:left="1260" w:hanging="604"/>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genuineness of the signatures and seals on all original and copy documents which we have examined;</w:t>
      </w:r>
    </w:p>
    <w:p>
      <w:pPr>
        <w:spacing w:after="0" w:line="265" w:lineRule="exact"/>
        <w:rPr>
          <w:rFonts w:ascii="Arial" w:cs="Arial" w:eastAsia="Arial" w:hAnsi="Arial"/>
          <w:sz w:val="18"/>
          <w:szCs w:val="18"/>
          <w:color w:val="auto"/>
        </w:rPr>
      </w:pPr>
    </w:p>
    <w:p>
      <w:pPr>
        <w:jc w:val="both"/>
        <w:ind w:left="1280" w:right="20" w:hanging="624"/>
        <w:spacing w:after="0" w:line="303" w:lineRule="auto"/>
        <w:tabs>
          <w:tab w:leader="none" w:pos="126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the resolutions passed by the board of directors of the Company described in the extracts referred to above, and examined for the purposes of this opinion, were passed at meetings of the said board of directors, those meetings were properly convened, constituted and held and that the said resolutions have not since been amended or rescinded;</w:t>
      </w:r>
    </w:p>
    <w:p>
      <w:pPr>
        <w:spacing w:after="0" w:line="201" w:lineRule="exact"/>
        <w:rPr>
          <w:rFonts w:ascii="Arial" w:cs="Arial" w:eastAsia="Arial" w:hAnsi="Arial"/>
          <w:sz w:val="18"/>
          <w:szCs w:val="18"/>
          <w:color w:val="auto"/>
        </w:rPr>
      </w:pPr>
    </w:p>
    <w:p>
      <w:pPr>
        <w:jc w:val="both"/>
        <w:ind w:left="1280" w:hanging="624"/>
        <w:spacing w:after="0" w:line="303" w:lineRule="auto"/>
        <w:tabs>
          <w:tab w:leader="none" w:pos="126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the resolution passed by the shareholders of the Company described in the extract referred to above, and examined for the purposes of this opinion, was passed at the AGM, that the AGM was properly convened, constituted and held and that the said resolution has not since been amended or rescinded;</w:t>
      </w:r>
    </w:p>
    <w:p>
      <w:pPr>
        <w:spacing w:after="0" w:line="201" w:lineRule="exact"/>
        <w:rPr>
          <w:rFonts w:ascii="Arial" w:cs="Arial" w:eastAsia="Arial" w:hAnsi="Arial"/>
          <w:sz w:val="18"/>
          <w:szCs w:val="18"/>
          <w:color w:val="auto"/>
        </w:rPr>
      </w:pPr>
    </w:p>
    <w:p>
      <w:pPr>
        <w:ind w:left="1260" w:hanging="604"/>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at the time of the allotment of any Shares: (i) the Company will have a sufficient number of authorised but unissued Shares</w:t>
      </w:r>
    </w:p>
    <w:p>
      <w:pPr>
        <w:spacing w:after="0" w:line="49" w:lineRule="exact"/>
        <w:rPr>
          <w:rFonts w:ascii="Arial" w:cs="Arial" w:eastAsia="Arial" w:hAnsi="Arial"/>
          <w:sz w:val="18"/>
          <w:szCs w:val="18"/>
          <w:color w:val="auto"/>
        </w:rPr>
      </w:pPr>
    </w:p>
    <w:p>
      <w:pPr>
        <w:jc w:val="both"/>
        <w:ind w:left="1280"/>
        <w:spacing w:after="0" w:line="299" w:lineRule="auto"/>
        <w:rPr>
          <w:rFonts w:ascii="Arial" w:cs="Arial" w:eastAsia="Arial" w:hAnsi="Arial"/>
          <w:sz w:val="18"/>
          <w:szCs w:val="18"/>
          <w:color w:val="auto"/>
        </w:rPr>
      </w:pPr>
      <w:r>
        <w:rPr>
          <w:rFonts w:ascii="Arial" w:cs="Arial" w:eastAsia="Arial" w:hAnsi="Arial"/>
          <w:sz w:val="18"/>
          <w:szCs w:val="18"/>
          <w:color w:val="auto"/>
        </w:rPr>
        <w:t>in its capital (at least equal to the number of Shares to be allotted and issued); (ii) the directors of the Company will have been generally and unconditionally authorised, as required by clause 1021(1) of the Companies Act 2014 (the “</w:t>
      </w:r>
      <w:r>
        <w:rPr>
          <w:rFonts w:ascii="Arial" w:cs="Arial" w:eastAsia="Arial" w:hAnsi="Arial"/>
          <w:sz w:val="18"/>
          <w:szCs w:val="18"/>
          <w:b w:val="1"/>
          <w:bCs w:val="1"/>
          <w:color w:val="auto"/>
        </w:rPr>
        <w:t>2014 Act</w:t>
      </w:r>
      <w:r>
        <w:rPr>
          <w:rFonts w:ascii="Arial" w:cs="Arial" w:eastAsia="Arial" w:hAnsi="Arial"/>
          <w:sz w:val="18"/>
          <w:szCs w:val="18"/>
          <w:color w:val="auto"/>
        </w:rPr>
        <w:t>”), by the Company’s articles of association or by ordinary resolution of the Company’s shareholders to allot a sufficient number of Shares (at least equal to the number of Shares to be allotted and issued); and (iii) if issued for cash consideration, such Shares will be allotted and issued in accordance with section 1022(1) of the 2014 Act or the directors will have been empowered, by the Company’s articles of association or by a special resolution of the Company’s shareholders, passed in accordance with section 1023(3) of the 2014 Act (or as appropriate under the provisions of any former enactment relating to companies), to allot and issue such Shares as of the said section 1022(1) did not apply to such allotment and issue;</w:t>
      </w:r>
    </w:p>
    <w:p>
      <w:pPr>
        <w:spacing w:after="0" w:line="192" w:lineRule="exact"/>
        <w:rPr>
          <w:rFonts w:ascii="Arial" w:cs="Arial" w:eastAsia="Arial" w:hAnsi="Arial"/>
          <w:sz w:val="18"/>
          <w:szCs w:val="18"/>
          <w:color w:val="auto"/>
        </w:rPr>
      </w:pPr>
    </w:p>
    <w:p>
      <w:pPr>
        <w:ind w:left="1260" w:hanging="604"/>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at the time of the allotment of any Shares, the Registration Statement will be effective and continue to be effective;</w:t>
      </w:r>
    </w:p>
    <w:p>
      <w:pPr>
        <w:spacing w:after="0" w:line="279" w:lineRule="exact"/>
        <w:rPr>
          <w:rFonts w:ascii="Arial" w:cs="Arial" w:eastAsia="Arial" w:hAnsi="Arial"/>
          <w:sz w:val="18"/>
          <w:szCs w:val="18"/>
          <w:color w:val="auto"/>
        </w:rPr>
      </w:pPr>
    </w:p>
    <w:p>
      <w:pPr>
        <w:jc w:val="both"/>
        <w:ind w:left="1280" w:hanging="624"/>
        <w:spacing w:after="0" w:line="300" w:lineRule="auto"/>
        <w:tabs>
          <w:tab w:leader="none" w:pos="126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any Shares allotted and issued in accordance with the Registration Statement will be paid-up in consideration of the receipt by the Company from the party to whom the Shares are to be issued, prior to, or simultaneously with the issue of such Shares, of cash and other consideration at least equal to the nominal value of such Shares and, to the extent that any of the consideration for such Shares is payable otherwise than in cash, that the provisions of sections 1028 to 1035 of the 2014 Act have been complied with;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40724096.3</w:t>
      </w:r>
    </w:p>
    <w:p>
      <w:pPr>
        <w:sectPr>
          <w:pgSz w:w="11900" w:h="16838" w:orient="portrait"/>
          <w:cols w:equalWidth="0" w:num="1">
            <w:col w:w="11420"/>
          </w:cols>
          <w:pgMar w:left="240" w:top="679" w:right="239" w:bottom="1440" w:gutter="0" w:footer="0" w:header="0"/>
        </w:sectPr>
      </w:pPr>
    </w:p>
    <w:bookmarkStart w:id="9" w:name="page10"/>
    <w:bookmarkEnd w:id="9"/>
    <w:p>
      <w:pPr>
        <w:jc w:val="both"/>
        <w:ind w:left="1280" w:hanging="624"/>
        <w:spacing w:after="0" w:line="301" w:lineRule="auto"/>
        <w:tabs>
          <w:tab w:leader="none" w:pos="1262"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88900</wp:posOffset>
            </wp:positionV>
            <wp:extent cx="128651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that no Shares will be allotted and issued: (i) for consideration of an undertaking from an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204" w:lineRule="exact"/>
        <w:rPr>
          <w:rFonts w:ascii="Arial" w:cs="Arial" w:eastAsia="Arial" w:hAnsi="Arial"/>
          <w:sz w:val="18"/>
          <w:szCs w:val="18"/>
          <w:color w:val="auto"/>
        </w:rPr>
      </w:pPr>
    </w:p>
    <w:p>
      <w:pPr>
        <w:jc w:val="both"/>
        <w:ind w:left="1280" w:hanging="624"/>
        <w:spacing w:after="0" w:line="303" w:lineRule="auto"/>
        <w:tabs>
          <w:tab w:leader="none" w:pos="1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no Shares will be allotted and issued other than pursuant to a resolution of the board of directors of the Company (or duly authorised committee thereof) that has been validly and sufficiently proposed and passed in accordance with the articles of association of the Company;</w:t>
      </w:r>
    </w:p>
    <w:p>
      <w:pPr>
        <w:spacing w:after="0" w:line="201" w:lineRule="exact"/>
        <w:rPr>
          <w:rFonts w:ascii="Arial" w:cs="Arial" w:eastAsia="Arial" w:hAnsi="Arial"/>
          <w:sz w:val="18"/>
          <w:szCs w:val="18"/>
          <w:color w:val="auto"/>
        </w:rPr>
      </w:pPr>
    </w:p>
    <w:p>
      <w:pPr>
        <w:jc w:val="both"/>
        <w:ind w:left="1280" w:hanging="624"/>
        <w:spacing w:after="0" w:line="299" w:lineRule="auto"/>
        <w:tabs>
          <w:tab w:leader="none" w:pos="1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the offering or sale (including the marketing) of any Shares will be made, effected and conducted in accordance with and will not violate: (i) the memorandum or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any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205" w:lineRule="exact"/>
        <w:rPr>
          <w:rFonts w:ascii="Arial" w:cs="Arial" w:eastAsia="Arial" w:hAnsi="Arial"/>
          <w:sz w:val="18"/>
          <w:szCs w:val="18"/>
          <w:color w:val="auto"/>
        </w:rPr>
      </w:pPr>
    </w:p>
    <w:p>
      <w:pPr>
        <w:jc w:val="both"/>
        <w:ind w:left="1280" w:hanging="624"/>
        <w:spacing w:after="0" w:line="301" w:lineRule="auto"/>
        <w:tabs>
          <w:tab w:leader="none" w:pos="1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the Company has not given, nor shall it give, directly or indirectly, and whether by means of a loan, guarantee, the provision of security or otherwise, any financial assistance, as contemplated by section 82 of the 2014 Act, for the purpose of, or in connection with, the purchase or subscription by any person of or for any Shares save as permitted by, or pursuant to an exemption to, the said section 82;</w:t>
      </w:r>
    </w:p>
    <w:p>
      <w:pPr>
        <w:spacing w:after="0" w:line="204" w:lineRule="exact"/>
        <w:rPr>
          <w:rFonts w:ascii="Arial" w:cs="Arial" w:eastAsia="Arial" w:hAnsi="Arial"/>
          <w:sz w:val="18"/>
          <w:szCs w:val="18"/>
          <w:color w:val="auto"/>
        </w:rPr>
      </w:pPr>
    </w:p>
    <w:p>
      <w:pPr>
        <w:ind w:left="1280" w:hanging="624"/>
        <w:spacing w:after="0" w:line="309" w:lineRule="auto"/>
        <w:tabs>
          <w:tab w:leader="none" w:pos="1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accuracy and completeness as to factual matters of the representations and warranties of the Company contained in the Registration Statement and the accuracy of the Certificate;</w:t>
      </w:r>
    </w:p>
    <w:p>
      <w:pPr>
        <w:spacing w:after="0" w:line="196" w:lineRule="exact"/>
        <w:rPr>
          <w:rFonts w:ascii="Arial" w:cs="Arial" w:eastAsia="Arial" w:hAnsi="Arial"/>
          <w:sz w:val="18"/>
          <w:szCs w:val="18"/>
          <w:color w:val="auto"/>
        </w:rPr>
      </w:pPr>
    </w:p>
    <w:p>
      <w:pPr>
        <w:jc w:val="both"/>
        <w:ind w:left="1280" w:right="20" w:hanging="624"/>
        <w:spacing w:after="0" w:line="303" w:lineRule="auto"/>
        <w:tabs>
          <w:tab w:leader="none" w:pos="1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there are no agreements or arrangements in existence which in any way amend or vary or are inconsistent with the terms of the Registration Statement, the Plan or the Second Amendment or in any way bear upon, or are inconsistent with, the contents of this opinion;</w:t>
      </w:r>
    </w:p>
    <w:p>
      <w:pPr>
        <w:spacing w:after="0" w:line="201" w:lineRule="exact"/>
        <w:rPr>
          <w:rFonts w:ascii="Arial" w:cs="Arial" w:eastAsia="Arial" w:hAnsi="Arial"/>
          <w:sz w:val="18"/>
          <w:szCs w:val="18"/>
          <w:color w:val="auto"/>
        </w:rPr>
      </w:pPr>
    </w:p>
    <w:p>
      <w:pPr>
        <w:jc w:val="both"/>
        <w:ind w:left="1280" w:hanging="624"/>
        <w:spacing w:after="0" w:line="303" w:lineRule="auto"/>
        <w:tabs>
          <w:tab w:leader="none" w:pos="1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in approving the filing by the Company of the Registration Statement, the directors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201" w:lineRule="exact"/>
        <w:rPr>
          <w:rFonts w:ascii="Arial" w:cs="Arial" w:eastAsia="Arial" w:hAnsi="Arial"/>
          <w:sz w:val="18"/>
          <w:szCs w:val="18"/>
          <w:color w:val="auto"/>
        </w:rPr>
      </w:pPr>
    </w:p>
    <w:p>
      <w:pPr>
        <w:jc w:val="both"/>
        <w:ind w:left="1280" w:hanging="624"/>
        <w:spacing w:after="0" w:line="303" w:lineRule="auto"/>
        <w:tabs>
          <w:tab w:leader="none" w:pos="1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40724096.3</w:t>
      </w:r>
    </w:p>
    <w:p>
      <w:pPr>
        <w:sectPr>
          <w:pgSz w:w="11900" w:h="16838" w:orient="portrait"/>
          <w:cols w:equalWidth="0" w:num="1">
            <w:col w:w="11420"/>
          </w:cols>
          <w:pgMar w:left="240" w:top="706" w:right="239" w:bottom="1440" w:gutter="0" w:footer="0" w:header="0"/>
        </w:sectPr>
      </w:pPr>
    </w:p>
    <w:bookmarkStart w:id="10" w:name="page11"/>
    <w:bookmarkEnd w:id="10"/>
    <w:p>
      <w:pPr>
        <w:ind w:left="1280"/>
        <w:spacing w:after="0" w:line="3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88900</wp:posOffset>
            </wp:positionV>
            <wp:extent cx="128651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delivered for registration at that time but had not been so delivered and that no additional matters would have been disclosed by searches carried out since that time;</w:t>
      </w:r>
    </w:p>
    <w:p>
      <w:pPr>
        <w:spacing w:after="0" w:line="170" w:lineRule="exact"/>
        <w:rPr>
          <w:sz w:val="20"/>
          <w:szCs w:val="20"/>
          <w:color w:val="auto"/>
        </w:rPr>
      </w:pPr>
    </w:p>
    <w:p>
      <w:pPr>
        <w:jc w:val="both"/>
        <w:ind w:left="1280" w:hanging="624"/>
        <w:spacing w:after="0" w:line="299" w:lineRule="auto"/>
        <w:tabs>
          <w:tab w:leader="none" w:pos="126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(i) the Company was, or will be, fully solvent (A) at the time of, and immediately after, the filing of the Registration Statement and (B) at the date hereof; (ii) the Company would not, as a consequence of doing any act or thing which the Registration Statement contemplates, permits or requires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208" w:lineRule="exact"/>
        <w:rPr>
          <w:rFonts w:ascii="Arial" w:cs="Arial" w:eastAsia="Arial" w:hAnsi="Arial"/>
          <w:sz w:val="18"/>
          <w:szCs w:val="18"/>
          <w:color w:val="auto"/>
        </w:rPr>
      </w:pPr>
    </w:p>
    <w:p>
      <w:pPr>
        <w:ind w:left="1280" w:hanging="624"/>
        <w:spacing w:after="0" w:line="309" w:lineRule="auto"/>
        <w:tabs>
          <w:tab w:leader="none" w:pos="126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truth of all representations and information given to us in reply to any queries we have made which we have considered necessary for the purposes of giving this opinion.</w:t>
      </w:r>
    </w:p>
    <w:p>
      <w:pPr>
        <w:spacing w:after="0" w:line="170" w:lineRule="exact"/>
        <w:rPr>
          <w:sz w:val="20"/>
          <w:szCs w:val="20"/>
          <w:color w:val="auto"/>
        </w:rPr>
      </w:pPr>
    </w:p>
    <w:p>
      <w:pPr>
        <w:ind w:left="620" w:hanging="612"/>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Opinion</w:t>
      </w:r>
    </w:p>
    <w:p>
      <w:pPr>
        <w:spacing w:after="0" w:line="296" w:lineRule="exact"/>
        <w:rPr>
          <w:rFonts w:ascii="Arial" w:cs="Arial" w:eastAsia="Arial" w:hAnsi="Arial"/>
          <w:sz w:val="20"/>
          <w:szCs w:val="20"/>
          <w:color w:val="auto"/>
        </w:rPr>
      </w:pPr>
    </w:p>
    <w:p>
      <w:pPr>
        <w:jc w:val="both"/>
        <w:ind w:left="620"/>
        <w:spacing w:after="0" w:line="299" w:lineRule="auto"/>
        <w:rPr>
          <w:rFonts w:ascii="Arial" w:cs="Arial" w:eastAsia="Arial" w:hAnsi="Arial"/>
          <w:sz w:val="20"/>
          <w:szCs w:val="20"/>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 upon the issuance of Shares in accordance with, and subject to any conditions contained in, the terms of the Plan and / or the Second Amendment (including any applicable duly authorised award agreement or other document accompanying the award, issuance or sale of any Shares), subject to receipt by the Company of the full consideration payable in respect thereof, such Shares will be legally issued, fully-paid and non-assessable (which term means that no shareholder shall be obliged to pay or contribute further amounts to the capital of the Company in connection with the issue of such shares).</w:t>
      </w:r>
    </w:p>
    <w:p>
      <w:pPr>
        <w:spacing w:after="0" w:line="180" w:lineRule="exact"/>
        <w:rPr>
          <w:sz w:val="20"/>
          <w:szCs w:val="20"/>
          <w:color w:val="auto"/>
        </w:rPr>
      </w:pPr>
    </w:p>
    <w:p>
      <w:pPr>
        <w:ind w:left="620" w:hanging="612"/>
        <w:spacing w:after="0"/>
        <w:tabs>
          <w:tab w:leader="none" w:pos="62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Qualifications</w:t>
      </w:r>
    </w:p>
    <w:p>
      <w:pPr>
        <w:spacing w:after="0" w:line="323"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18"/>
          <w:szCs w:val="18"/>
          <w:color w:val="auto"/>
        </w:rPr>
        <w:t>The opinions set forth in this opinion letter are given subject to the following qualifications:</w:t>
      </w:r>
    </w:p>
    <w:p>
      <w:pPr>
        <w:spacing w:after="0" w:line="292" w:lineRule="exact"/>
        <w:rPr>
          <w:rFonts w:ascii="Arial" w:cs="Arial" w:eastAsia="Arial" w:hAnsi="Arial"/>
          <w:sz w:val="20"/>
          <w:szCs w:val="20"/>
          <w:color w:val="auto"/>
        </w:rPr>
      </w:pPr>
    </w:p>
    <w:p>
      <w:pPr>
        <w:ind w:left="1540" w:hanging="911"/>
        <w:spacing w:after="0" w:line="309"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search at the Companies Registration Office is not capable of revealing whether or not a winding up petition or a petition for the appointment of an examiner has been presented; and</w:t>
      </w:r>
    </w:p>
    <w:p>
      <w:pPr>
        <w:spacing w:after="0" w:line="196" w:lineRule="exact"/>
        <w:rPr>
          <w:rFonts w:ascii="Arial" w:cs="Arial" w:eastAsia="Arial" w:hAnsi="Arial"/>
          <w:sz w:val="18"/>
          <w:szCs w:val="18"/>
          <w:color w:val="auto"/>
        </w:rPr>
      </w:pPr>
    </w:p>
    <w:p>
      <w:pPr>
        <w:ind w:left="1540" w:hanging="911"/>
        <w:spacing w:after="0" w:line="309"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search at the Registry of Winding up Petitions at the Central Office of the High Court is not capable of revealing whether or not a receiver has been appointed.</w:t>
      </w:r>
    </w:p>
    <w:p>
      <w:pPr>
        <w:spacing w:after="0" w:line="196"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 MATHESON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40724096.3</w:t>
      </w:r>
    </w:p>
    <w:p>
      <w:pPr>
        <w:sectPr>
          <w:pgSz w:w="11900" w:h="16838" w:orient="portrait"/>
          <w:cols w:equalWidth="0" w:num="1">
            <w:col w:w="11420"/>
          </w:cols>
          <w:pgMar w:left="240" w:top="733"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Weatherford International plc:</w:t>
      </w:r>
    </w:p>
    <w:p>
      <w:pPr>
        <w:spacing w:after="0" w:line="308"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color w:val="auto"/>
        </w:rPr>
        <w:t>We consent to the incorporation by reference in the registration statement on Form S-8 of Weatherford International plc, relating to the Weatherford International plc 2010 Omnibus Incentive Plan, of our reports dated February 14, 2017, with respect to the consolidated balance sheets of Weatherford International plc as of December 31, 2016 and 2015, and the related consolidated statements of operations, comprehensive loss, shareholders' equity, and cash flows for each of the years in the three-year period ended December 31, 2016, and the related financial statement schedule for each of the years in the three-year period ended December 31, 2016, and the effectiveness of internal control over financial reporting as of December 31, 2016, which reports appear in the December 31, 2016 annual report on Form 10-K of Weatherford International plc. Our report dated February 14, 2017 with respect to the consolidated financial statements refers to changes in accounting for deferred income taxes and accounting for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KPMG LLP</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July 10, 2017</w:t>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713"/>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1)"/>
      <w:numFmt w:val="lowerLetter"/>
      <w:start w:val="8"/>
    </w:lvl>
  </w:abstractNum>
  <w:abstractNum w:abstractNumId="4">
    <w:nsid w:val="41B71EFB"/>
    <w:multiLevelType w:val="hybridMultilevel"/>
    <w:lvl w:ilvl="0">
      <w:lvlJc w:val="left"/>
      <w:lvlText w:val="2"/>
      <w:numFmt w:val="bullet"/>
      <w:start w:val="1"/>
    </w:lvl>
    <w:lvl w:ilvl="1">
      <w:lvlJc w:val="left"/>
      <w:lvlText w:val="(%2)"/>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7"/>
    </w:lvl>
  </w:abstractNum>
  <w:abstractNum w:abstractNumId="7">
    <w:nsid w:val="515F007C"/>
    <w:multiLevelType w:val="hybridMultilevel"/>
    <w:lvl w:ilvl="0">
      <w:lvlJc w:val="left"/>
      <w:lvlText w:val="3"/>
      <w:numFmt w:val="bullet"/>
      <w:start w:val="1"/>
    </w:lvl>
  </w:abstractNum>
  <w:abstractNum w:abstractNumId="8">
    <w:nsid w:val="5BD062C2"/>
    <w:multiLevelType w:val="hybridMultilevel"/>
    <w:lvl w:ilvl="0">
      <w:lvlJc w:val="left"/>
      <w:lvlText w:val="4"/>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2019-12-07T23:17:28Z</dcterms:created>
  <dcterms:modified xsi:type="dcterms:W3CDTF">2019-12-07T23:17:28Z</dcterms:modified>
</cp:coreProperties>
</file>