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-224155</wp:posOffset>
            </wp:positionV>
            <wp:extent cx="6980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18, 2018</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Ireland</w:t>
            </w:r>
          </w:p>
        </w:tc>
        <w:tc>
          <w:tcPr>
            <w:tcW w:w="350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2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5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37"/>
        </w:trPr>
        <w:tc>
          <w:tcPr>
            <w:tcW w:w="37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37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4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26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37"/>
        </w:trPr>
        <w:tc>
          <w:tcPr>
            <w:tcW w:w="748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51435</wp:posOffset>
            </wp:positionV>
            <wp:extent cx="6217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9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142875</wp:posOffset>
            </wp:positionV>
            <wp:extent cx="6980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 w:name="page2"/>
    <w:bookmarkEnd w:id="1"/>
    <w:p>
      <w:pPr>
        <w:spacing w:after="0"/>
        <w:tabs>
          <w:tab w:leader="none" w:pos="15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left="100" w:firstLine="324"/>
        <w:spacing w:after="0" w:line="291" w:lineRule="auto"/>
        <w:rPr>
          <w:sz w:val="20"/>
          <w:szCs w:val="20"/>
          <w:color w:val="auto"/>
        </w:rPr>
      </w:pPr>
      <w:r>
        <w:rPr>
          <w:rFonts w:ascii="Arial" w:cs="Arial" w:eastAsia="Arial" w:hAnsi="Arial"/>
          <w:sz w:val="16"/>
          <w:szCs w:val="16"/>
          <w:color w:val="auto"/>
        </w:rPr>
        <w:t>On October 18, 2018, Weatherford Worldwide Holdings GmbH (“WWH”), a wholly-owned subsidiary of Weatherford International plc (“Weatherford”), entered into a sale and purchase agreement (the “Agreement”), to sell Weatherford’s laboratory services business (the “Business”) to Oil</w:t>
      </w:r>
    </w:p>
    <w:p>
      <w:pPr>
        <w:jc w:val="both"/>
        <w:ind w:left="100" w:hanging="10"/>
        <w:spacing w:after="0" w:line="254" w:lineRule="auto"/>
        <w:tabs>
          <w:tab w:leader="none" w:pos="302"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 Labs, LLC (“OGL”), an affiliate of CSL Capital Management, L.P. (“CSL”), for an aggregate purchase price of $205 million in cash, subject to customary post-closing working capital adjustments. CSL partnered with Carlyle Energy Mezzanine Opportunities Fund II, L.P., who will provide minority common equity and growth capital. The Business to be sold includes Weatherford’s laboratory and geological analysis business, including substantially all employees, personnel and associated contracts related to the Business.</w:t>
      </w:r>
    </w:p>
    <w:p>
      <w:pPr>
        <w:spacing w:after="0" w:line="190" w:lineRule="exact"/>
        <w:rPr>
          <w:sz w:val="20"/>
          <w:szCs w:val="20"/>
          <w:color w:val="auto"/>
        </w:rPr>
      </w:pPr>
    </w:p>
    <w:p>
      <w:pPr>
        <w:jc w:val="both"/>
        <w:ind w:left="100" w:firstLine="324"/>
        <w:spacing w:after="0" w:line="264" w:lineRule="auto"/>
        <w:rPr>
          <w:sz w:val="20"/>
          <w:szCs w:val="20"/>
          <w:color w:val="auto"/>
        </w:rPr>
      </w:pPr>
      <w:r>
        <w:rPr>
          <w:rFonts w:ascii="Arial" w:cs="Arial" w:eastAsia="Arial" w:hAnsi="Arial"/>
          <w:sz w:val="18"/>
          <w:szCs w:val="18"/>
          <w:color w:val="auto"/>
        </w:rPr>
        <w:t>The transaction is expected to close before year-end, subject to receipt of regulatory approvals and third-party consents, as well as other customary closing conditions. The Agreement also contains various representations, covenants, warranties and indemnity obligations of WHH and OGL, which we also consider customary for a transaction of this type.</w:t>
      </w:r>
    </w:p>
    <w:p>
      <w:pPr>
        <w:spacing w:after="0" w:line="181" w:lineRule="exact"/>
        <w:rPr>
          <w:sz w:val="20"/>
          <w:szCs w:val="20"/>
          <w:color w:val="auto"/>
        </w:rPr>
      </w:pPr>
    </w:p>
    <w:p>
      <w:pPr>
        <w:jc w:val="both"/>
        <w:ind w:left="100" w:right="20" w:firstLine="324"/>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Agreement, copies of which will be filed with Weatherford’s Annual Report on Form 10-K for the period ended December 31, 2018.</w:t>
      </w:r>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100" w:firstLine="324"/>
        <w:spacing w:after="0" w:line="253" w:lineRule="auto"/>
        <w:rPr>
          <w:sz w:val="20"/>
          <w:szCs w:val="20"/>
          <w:color w:val="auto"/>
        </w:rPr>
      </w:pPr>
      <w:r>
        <w:rPr>
          <w:rFonts w:ascii="Arial" w:cs="Arial" w:eastAsia="Arial" w:hAnsi="Arial"/>
          <w:sz w:val="18"/>
          <w:szCs w:val="18"/>
          <w:color w:val="auto"/>
        </w:rPr>
        <w:t>The above statements and attached press release includes forward-looking statements as defined under federal law, including, but not limited to, those related to the sale transactions described herein and the use of proceeds therefrom.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Weatherford’s actual results to differ materially from the results contemplated by such forward-looking statements are described in the forward looking statements and risk factors in Weatherford’s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371"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copy of the press release announcing the sale of the Business is attached hereto as Exhibit 99.1 and incorporated herein by reference.</w:t>
      </w:r>
    </w:p>
    <w:p>
      <w:pPr>
        <w:spacing w:after="0" w:line="38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568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27"/>
        </w:trPr>
        <w:tc>
          <w:tcPr>
            <w:tcW w:w="1260" w:type="dxa"/>
            <w:vAlign w:val="bottom"/>
            <w:gridSpan w:val="3"/>
          </w:tcPr>
          <w:p>
            <w:pPr>
              <w:ind w:left="80"/>
              <w:spacing w:after="0"/>
              <w:rPr>
                <w:sz w:val="20"/>
                <w:szCs w:val="20"/>
                <w:color w:val="auto"/>
              </w:rPr>
            </w:pPr>
            <w:r>
              <w:rPr>
                <w:rFonts w:ascii="Arial" w:cs="Arial" w:eastAsia="Arial" w:hAnsi="Arial"/>
                <w:sz w:val="18"/>
                <w:szCs w:val="18"/>
                <w:color w:val="auto"/>
              </w:rPr>
              <w:t>(d)  Exhibits</w:t>
            </w:r>
          </w:p>
        </w:tc>
        <w:tc>
          <w:tcPr>
            <w:tcW w:w="5680" w:type="dxa"/>
            <w:vAlign w:val="bottom"/>
          </w:tcPr>
          <w:p>
            <w:pPr>
              <w:spacing w:after="0"/>
              <w:rPr>
                <w:sz w:val="24"/>
                <w:szCs w:val="24"/>
                <w:color w:val="auto"/>
              </w:rPr>
            </w:pPr>
          </w:p>
        </w:tc>
      </w:tr>
      <w:tr>
        <w:trPr>
          <w:trHeight w:val="648"/>
        </w:trPr>
        <w:tc>
          <w:tcPr>
            <w:tcW w:w="12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820" w:type="dxa"/>
            <w:vAlign w:val="bottom"/>
          </w:tcPr>
          <w:p>
            <w:pPr>
              <w:spacing w:after="0"/>
              <w:rPr>
                <w:sz w:val="24"/>
                <w:szCs w:val="24"/>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w w:val="87"/>
              </w:rPr>
              <w:t>Press release dated October 22, 2018 announcing the sale of the Business.</w:t>
            </w:r>
          </w:p>
        </w:tc>
      </w:tr>
    </w:tbl>
    <w:p>
      <w:pPr>
        <w:sectPr>
          <w:pgSz w:w="11900" w:h="16838" w:orient="portrait"/>
          <w:cols w:equalWidth="0" w:num="1">
            <w:col w:w="11340"/>
          </w:cols>
          <w:pgMar w:left="32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October 22, 2018</w:t>
      </w:r>
    </w:p>
    <w:p>
      <w:pPr>
        <w:spacing w:after="0" w:line="77"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48895</wp:posOffset>
            </wp:positionV>
            <wp:extent cx="3738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84"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Christoph Bausch</w:t>
      </w:r>
    </w:p>
    <w:p>
      <w:pPr>
        <w:spacing w:after="0" w:line="252"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648"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7240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40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Press Release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Sale of Laboratory Services Business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BAAR, SWITZERLAND, October 22, 2018 </w:t>
      </w:r>
      <w:r>
        <w:rPr>
          <w:rFonts w:ascii="Arial" w:cs="Arial" w:eastAsia="Arial" w:hAnsi="Arial"/>
          <w:sz w:val="18"/>
          <w:szCs w:val="18"/>
          <w:color w:val="auto"/>
        </w:rPr>
        <w:t>– Weatherford International plc (NYSE: WFT) (the “Company” or “Weatherford”) today announced it has</w:t>
      </w:r>
      <w:r>
        <w:rPr>
          <w:rFonts w:ascii="Arial" w:cs="Arial" w:eastAsia="Arial" w:hAnsi="Arial"/>
          <w:sz w:val="18"/>
          <w:szCs w:val="18"/>
          <w:b w:val="1"/>
          <w:bCs w:val="1"/>
          <w:color w:val="auto"/>
        </w:rPr>
        <w:t xml:space="preserve"> </w:t>
      </w:r>
      <w:r>
        <w:rPr>
          <w:rFonts w:ascii="Arial" w:cs="Arial" w:eastAsia="Arial" w:hAnsi="Arial"/>
          <w:sz w:val="18"/>
          <w:szCs w:val="18"/>
          <w:color w:val="auto"/>
        </w:rPr>
        <w:t>signed a definitive agreement to sell its laboratory services business to a group led by CSL Capital Management, L.P. ("CSL Capital") for $205 million in cash.</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the agreement, Weatherford will divest its laboratory and geological analysis business, including personnel and associated contracts. After exiting the laboratory business, Weatherford will continue to maintain a close, collaborative relationship with CSL Capital that will enable it to continue to provide services to their joint customers.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transaction is expected to close before year-end, subject to regulatory approvals, consents and other customary closing conditions. The transaction is subject to a customary post-closing working capital adjustment. Upon closing, Weatherford will use the proceeds to reduce its debt.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happy to have signed an agreement with a group led by CSL Capital Management, who has a strong track record of investing in upstream oilfield services and who recognizes the importance of continuing our commitment to providing the highest level of service to our customers,” said Mark A. McCollum, President and Chief Executive Officer of Weatherford. “Weatherford’s laboratory business is a leader in the industry and its state of the art equipment and its highly qualified workforce are well recognized in the industry. We believe that this transaction will unlock the full potential of this business for its customers and its employees.”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pleased to enter in to this transaction with Weatherford and we are excited to work with the talented employees of Weatherford Laboratories. Our intention is to invest in and grow this business to extend the leadership of this world-class laboratory and reservoir description company to serve the developing needs of the energy industry,” said Charlie Leykum, Founding Partner of CSL Capital. “CSL Capital will work closely with Weatherford over the next few months to ensure a seamless transition of the operations of the business to minimize any impact to customers, employees and suppliers.”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transaction is one in a series of planned divestitures intended to maximize Weatherford shareholder value by refocusing the Company’s portfolio on core businesses most closely aligned with its long-term strategy and to reduce its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CSL Capital partnered with the Carlyle Energy Mezzanine Opportunities Fund II, L.P. ("Carlyle") to complete this acquisition. Carlyle will provide minority common equity and growth capital.</w:t>
      </w:r>
    </w:p>
    <w:p>
      <w:pPr>
        <w:sectPr>
          <w:pgSz w:w="11900" w:h="16838" w:orient="portrait"/>
          <w:cols w:equalWidth="0" w:num="1">
            <w:col w:w="11420"/>
          </w:cols>
          <w:pgMar w:left="240" w:top="131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Weatherford</w:t>
      </w:r>
    </w:p>
    <w:p>
      <w:pPr>
        <w:spacing w:after="0" w:line="2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1D1D1A"/>
        </w:rPr>
        <w:t>Weatherford is one of the largest multinational oilfield service companies providing innovative solutions, technology and services to the oil and gas industry. The Company operates in over 90 countries and has a network of approximately 740 locations, including manufacturing, service, research and development, and training facilities and employs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D1D1A"/>
        </w:rPr>
        <w:t>28,450 people. For more information, visi</w:t>
      </w:r>
      <w:r>
        <w:rPr>
          <w:rFonts w:ascii="Arial" w:cs="Arial" w:eastAsia="Arial" w:hAnsi="Arial"/>
          <w:sz w:val="18"/>
          <w:szCs w:val="18"/>
          <w:color w:val="000000"/>
        </w:rPr>
        <w:t>t</w:t>
      </w:r>
      <w:r>
        <w:rPr>
          <w:rFonts w:ascii="Arial" w:cs="Arial" w:eastAsia="Arial" w:hAnsi="Arial"/>
          <w:sz w:val="18"/>
          <w:szCs w:val="18"/>
          <w:color w:val="1D1D1A"/>
        </w:rPr>
        <w:t xml:space="preserve"> </w:t>
      </w:r>
      <w:r>
        <w:rPr>
          <w:rFonts w:ascii="Arial" w:cs="Arial" w:eastAsia="Arial" w:hAnsi="Arial"/>
          <w:sz w:val="18"/>
          <w:szCs w:val="18"/>
          <w:u w:val="single" w:color="auto"/>
          <w:color w:val="000000"/>
        </w:rPr>
        <w:t>www.weatherford.com</w:t>
      </w:r>
      <w:r>
        <w:rPr>
          <w:rFonts w:ascii="Arial" w:cs="Arial" w:eastAsia="Arial" w:hAnsi="Arial"/>
          <w:sz w:val="18"/>
          <w:szCs w:val="18"/>
          <w:color w:val="1D1D1A"/>
        </w:rPr>
        <w:t xml:space="preserve"> </w:t>
      </w:r>
      <w:r>
        <w:rPr>
          <w:rFonts w:ascii="Arial" w:cs="Arial" w:eastAsia="Arial" w:hAnsi="Arial"/>
          <w:sz w:val="18"/>
          <w:szCs w:val="18"/>
          <w:color w:val="000000"/>
        </w:rPr>
        <w:t>an</w:t>
      </w:r>
      <w:r>
        <w:rPr>
          <w:rFonts w:ascii="Arial" w:cs="Arial" w:eastAsia="Arial" w:hAnsi="Arial"/>
          <w:sz w:val="18"/>
          <w:szCs w:val="18"/>
          <w:color w:val="1D1D1A"/>
        </w:rPr>
        <w:t xml:space="preserve">d connect with Weatherford on </w:t>
      </w:r>
      <w:r>
        <w:rPr>
          <w:rFonts w:ascii="Arial" w:cs="Arial" w:eastAsia="Arial" w:hAnsi="Arial"/>
          <w:sz w:val="18"/>
          <w:szCs w:val="18"/>
          <w:u w:val="single" w:color="auto"/>
          <w:color w:val="1D1D1A"/>
        </w:rPr>
        <w:t>LinkedIn</w:t>
      </w:r>
      <w:r>
        <w:rPr>
          <w:rFonts w:ascii="Arial" w:cs="Arial" w:eastAsia="Arial" w:hAnsi="Arial"/>
          <w:sz w:val="18"/>
          <w:szCs w:val="18"/>
          <w:color w:val="1D1D1A"/>
        </w:rPr>
        <w:t xml:space="preserve">, </w:t>
      </w:r>
      <w:r>
        <w:rPr>
          <w:rFonts w:ascii="Arial" w:cs="Arial" w:eastAsia="Arial" w:hAnsi="Arial"/>
          <w:sz w:val="18"/>
          <w:szCs w:val="18"/>
          <w:u w:val="single" w:color="auto"/>
          <w:color w:val="1D1D1A"/>
        </w:rPr>
        <w:t>Facebook</w:t>
      </w:r>
      <w:r>
        <w:rPr>
          <w:rFonts w:ascii="Arial" w:cs="Arial" w:eastAsia="Arial" w:hAnsi="Arial"/>
          <w:sz w:val="18"/>
          <w:szCs w:val="18"/>
          <w:color w:val="1D1D1A"/>
        </w:rPr>
        <w:t xml:space="preserve">, </w:t>
      </w:r>
      <w:r>
        <w:rPr>
          <w:rFonts w:ascii="Arial" w:cs="Arial" w:eastAsia="Arial" w:hAnsi="Arial"/>
          <w:sz w:val="18"/>
          <w:szCs w:val="18"/>
          <w:u w:val="single" w:color="auto"/>
          <w:color w:val="1D1D1A"/>
        </w:rPr>
        <w:t>Twitter</w:t>
      </w:r>
      <w:r>
        <w:rPr>
          <w:rFonts w:ascii="Arial" w:cs="Arial" w:eastAsia="Arial" w:hAnsi="Arial"/>
          <w:sz w:val="18"/>
          <w:szCs w:val="18"/>
          <w:color w:val="1D1D1A"/>
        </w:rPr>
        <w:t xml:space="preserve"> and </w:t>
      </w:r>
      <w:r>
        <w:rPr>
          <w:rFonts w:ascii="Arial" w:cs="Arial" w:eastAsia="Arial" w:hAnsi="Arial"/>
          <w:sz w:val="18"/>
          <w:szCs w:val="18"/>
          <w:u w:val="single" w:color="auto"/>
          <w:color w:val="1D1D1A"/>
        </w:rPr>
        <w:t>YouTube</w:t>
      </w:r>
      <w:r>
        <w:rPr>
          <w:rFonts w:ascii="Arial" w:cs="Arial" w:eastAsia="Arial" w:hAnsi="Arial"/>
          <w:sz w:val="18"/>
          <w:szCs w:val="18"/>
          <w:color w:val="1D1D1A"/>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CSL Capital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CSL Capital is a SEC-registered investment firm focused on energy services and equipment businesses in the U.S. Headquartered in Houston, Texas, CSL Capital was founded in early 2008. The current CSL Capital portfolio includes several de novo, growth, recapitalization, and other investments. CSL Capital’s partners include financial institutions, endowments, foundations, and family offices, among other institutional groups. Since its 2008 inception, CSL Capital has raised in excess of $1.5 billion in equity capital and commitments across various investment vehicles. For more information, please visit </w:t>
      </w:r>
      <w:r>
        <w:rPr>
          <w:rFonts w:ascii="Arial" w:cs="Arial" w:eastAsia="Arial" w:hAnsi="Arial"/>
          <w:sz w:val="18"/>
          <w:szCs w:val="18"/>
          <w:u w:val="single" w:color="auto"/>
          <w:color w:val="auto"/>
        </w:rPr>
        <w:t>www.cslenergy.com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Carlyle Group</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Carlyle Group (NASDAQ: CG) is a global alternative asset manager with $210 billion of assets under management across 335 investment vehicles as of June 30, 2018. Carlyle’s purpose is to invest wisely and create value on behalf of its investors, many of whom are public pensions. Carlyle invests across four segments - Corporate Private Equity, Real Assets, Global Credit and Investment Solutions - in Africa, Asia, Australia, Europe, the Middle East, North America and South America. Carlyle has expertise in various industries, including: aerospace, defense &amp; government services, consumer &amp; retail, energy, financial services, healthcare, industrial, real estate, technology &amp; business services, telecommunications &amp; media and transportation. The Carlyle Group employs more than 1,625 people in 31 offices across six continents. </w:t>
      </w:r>
      <w:r>
        <w:rPr>
          <w:rFonts w:ascii="Arial" w:cs="Arial" w:eastAsia="Arial" w:hAnsi="Arial"/>
          <w:sz w:val="17"/>
          <w:szCs w:val="17"/>
          <w:u w:val="single" w:color="auto"/>
          <w:color w:val="auto"/>
        </w:rPr>
        <w:t>www.carlyle.com</w:t>
      </w:r>
      <w:r>
        <w:rPr>
          <w:rFonts w:ascii="Arial" w:cs="Arial" w:eastAsia="Arial" w:hAnsi="Arial"/>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Contacts:</w:t>
            </w:r>
          </w:p>
        </w:tc>
        <w:tc>
          <w:tcPr>
            <w:tcW w:w="1700" w:type="dxa"/>
            <w:vAlign w:val="bottom"/>
          </w:tcPr>
          <w:p>
            <w:pPr>
              <w:spacing w:after="0"/>
              <w:rPr>
                <w:sz w:val="20"/>
                <w:szCs w:val="20"/>
                <w:color w:val="auto"/>
              </w:rPr>
            </w:pPr>
          </w:p>
        </w:tc>
      </w:tr>
      <w:tr>
        <w:trPr>
          <w:trHeight w:val="594"/>
        </w:trPr>
        <w:tc>
          <w:tcPr>
            <w:tcW w:w="7000" w:type="dxa"/>
            <w:vAlign w:val="bottom"/>
          </w:tcPr>
          <w:p>
            <w:pPr>
              <w:spacing w:after="0"/>
              <w:rPr>
                <w:sz w:val="20"/>
                <w:szCs w:val="20"/>
                <w:color w:val="auto"/>
              </w:rPr>
            </w:pPr>
            <w:r>
              <w:rPr>
                <w:rFonts w:ascii="Arial" w:cs="Arial" w:eastAsia="Arial" w:hAnsi="Arial"/>
                <w:sz w:val="18"/>
                <w:szCs w:val="18"/>
                <w:color w:val="auto"/>
              </w:rPr>
              <w:t>Christoph Bausch</w:t>
            </w:r>
          </w:p>
        </w:tc>
        <w:tc>
          <w:tcPr>
            <w:tcW w:w="170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70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Weatherford</w:t>
            </w:r>
          </w:p>
        </w:tc>
        <w:tc>
          <w:tcPr>
            <w:tcW w:w="1700" w:type="dxa"/>
            <w:vAlign w:val="bottom"/>
          </w:tcPr>
          <w:p>
            <w:pPr>
              <w:spacing w:after="0"/>
              <w:rPr>
                <w:sz w:val="23"/>
                <w:szCs w:val="23"/>
                <w:color w:val="auto"/>
              </w:rPr>
            </w:pPr>
          </w:p>
        </w:tc>
      </w:tr>
      <w:tr>
        <w:trPr>
          <w:trHeight w:val="540"/>
        </w:trPr>
        <w:tc>
          <w:tcPr>
            <w:tcW w:w="7000" w:type="dxa"/>
            <w:vAlign w:val="bottom"/>
          </w:tcPr>
          <w:p>
            <w:pPr>
              <w:spacing w:after="0"/>
              <w:rPr>
                <w:sz w:val="20"/>
                <w:szCs w:val="20"/>
                <w:color w:val="auto"/>
              </w:rPr>
            </w:pPr>
            <w:r>
              <w:rPr>
                <w:rFonts w:ascii="Arial" w:cs="Arial" w:eastAsia="Arial" w:hAnsi="Arial"/>
                <w:sz w:val="18"/>
                <w:szCs w:val="18"/>
                <w:color w:val="auto"/>
              </w:rPr>
              <w:t>Karen David-Green</w:t>
            </w:r>
          </w:p>
        </w:tc>
        <w:tc>
          <w:tcPr>
            <w:tcW w:w="170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000" w:type="dxa"/>
            <w:vAlign w:val="bottom"/>
          </w:tcPr>
          <w:p>
            <w:pPr>
              <w:spacing w:after="0"/>
              <w:rPr>
                <w:sz w:val="20"/>
                <w:szCs w:val="20"/>
                <w:color w:val="auto"/>
              </w:rPr>
            </w:pPr>
            <w:r>
              <w:rPr>
                <w:rFonts w:ascii="Arial" w:cs="Arial" w:eastAsia="Arial" w:hAnsi="Arial"/>
                <w:sz w:val="18"/>
                <w:szCs w:val="18"/>
                <w:color w:val="auto"/>
                <w:w w:val="97"/>
              </w:rPr>
              <w:t>Senior Vice President, Stakeholder Engagement and Chief Marketing Officer, Weatherford</w:t>
            </w:r>
          </w:p>
        </w:tc>
        <w:tc>
          <w:tcPr>
            <w:tcW w:w="1700" w:type="dxa"/>
            <w:vAlign w:val="bottom"/>
          </w:tcPr>
          <w:p>
            <w:pPr>
              <w:spacing w:after="0"/>
              <w:rPr>
                <w:sz w:val="23"/>
                <w:szCs w:val="23"/>
                <w:color w:val="auto"/>
              </w:rPr>
            </w:pPr>
          </w:p>
        </w:tc>
      </w:tr>
      <w:tr>
        <w:trPr>
          <w:trHeight w:val="594"/>
        </w:trPr>
        <w:tc>
          <w:tcPr>
            <w:tcW w:w="7000" w:type="dxa"/>
            <w:vAlign w:val="bottom"/>
          </w:tcPr>
          <w:p>
            <w:pPr>
              <w:spacing w:after="0"/>
              <w:rPr>
                <w:sz w:val="20"/>
                <w:szCs w:val="20"/>
                <w:color w:val="auto"/>
              </w:rPr>
            </w:pPr>
            <w:r>
              <w:rPr>
                <w:rFonts w:ascii="Arial" w:cs="Arial" w:eastAsia="Arial" w:hAnsi="Arial"/>
                <w:sz w:val="18"/>
                <w:szCs w:val="18"/>
                <w:color w:val="auto"/>
              </w:rPr>
              <w:t>Kent Jamison</w:t>
            </w:r>
          </w:p>
        </w:tc>
        <w:tc>
          <w:tcPr>
            <w:tcW w:w="1700" w:type="dxa"/>
            <w:vAlign w:val="bottom"/>
          </w:tcPr>
          <w:p>
            <w:pPr>
              <w:jc w:val="right"/>
              <w:spacing w:after="0"/>
              <w:rPr>
                <w:sz w:val="20"/>
                <w:szCs w:val="20"/>
                <w:color w:val="auto"/>
              </w:rPr>
            </w:pPr>
            <w:r>
              <w:rPr>
                <w:rFonts w:ascii="Arial" w:cs="Arial" w:eastAsia="Arial" w:hAnsi="Arial"/>
                <w:sz w:val="18"/>
                <w:szCs w:val="18"/>
                <w:color w:val="auto"/>
              </w:rPr>
              <w:t>+1.281.407.0693</w:t>
            </w:r>
          </w:p>
        </w:tc>
      </w:tr>
      <w:tr>
        <w:trPr>
          <w:trHeight w:val="270"/>
        </w:trPr>
        <w:tc>
          <w:tcPr>
            <w:tcW w:w="7000" w:type="dxa"/>
            <w:vAlign w:val="bottom"/>
          </w:tcPr>
          <w:p>
            <w:pPr>
              <w:spacing w:after="0"/>
              <w:rPr>
                <w:sz w:val="20"/>
                <w:szCs w:val="20"/>
                <w:color w:val="auto"/>
              </w:rPr>
            </w:pPr>
            <w:r>
              <w:rPr>
                <w:rFonts w:ascii="Arial" w:cs="Arial" w:eastAsia="Arial" w:hAnsi="Arial"/>
                <w:sz w:val="18"/>
                <w:szCs w:val="18"/>
                <w:color w:val="auto"/>
              </w:rPr>
              <w:t>General Counsel, CSL Capital Management</w:t>
            </w:r>
          </w:p>
        </w:tc>
        <w:tc>
          <w:tcPr>
            <w:tcW w:w="17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10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2019-12-28T19:06:27Z</dcterms:created>
  <dcterms:modified xsi:type="dcterms:W3CDTF">2019-12-28T19:06:27Z</dcterms:modified>
</cp:coreProperties>
</file>