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568960</wp:posOffset>
            </wp:positionH>
            <wp:positionV relativeFrom="page">
              <wp:posOffset>612140</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1, 2016</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8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On November 1, 2016, we issued a news release announcing our revolving and term loan credit facility covenant calculations.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news release contains forward-looking statements. These forward-looking statements include, among other things, the Company’s forecasts and expectations regarding business outlook and performance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Forward-looking statements are also affected by the risk factors described in the Company’s Annual Report on Form 10-K for the year ended December 31, 2015,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November 1, 2016, announcing our revolving and term loan credit facility covenant calculations.</w:t>
            </w:r>
          </w:p>
        </w:tc>
      </w:tr>
    </w:tbl>
    <w:p>
      <w:pPr>
        <w:sectPr>
          <w:pgSz w:w="11900" w:h="16838" w:orient="portrait"/>
          <w:cols w:equalWidth="0" w:num="1">
            <w:col w:w="11420"/>
          </w:cols>
          <w:pgMar w:left="240" w:top="742"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firstLine="324"/>
        <w:spacing w:after="0" w:line="3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 November 1, 2016</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Krishna Shivram</w:t>
      </w:r>
    </w:p>
    <w:p>
      <w:pPr>
        <w:spacing w:after="0" w:line="9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600"/>
          </w:cols>
          <w:pgMar w:left="240" w:top="634" w:right="10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680720</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Weatherford Confirms it Remains within Debt Covenants</w:t>
      </w:r>
    </w:p>
    <w:p>
      <w:pPr>
        <w:spacing w:after="0" w:line="200" w:lineRule="exact"/>
        <w:rPr>
          <w:sz w:val="20"/>
          <w:szCs w:val="20"/>
          <w:color w:val="auto"/>
        </w:rPr>
      </w:pPr>
    </w:p>
    <w:p>
      <w:pPr>
        <w:spacing w:after="0" w:line="261"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BAAR, Switzerland, November 1, 2016 - As of September 30, 2016 Weatherford International plc (NYSE: WFT) revolving and term loan credit facility covenant calculations are as follows:</w:t>
      </w:r>
    </w:p>
    <w:p>
      <w:pPr>
        <w:spacing w:after="0" w:line="17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Specified Senior Leverage Ratio of 1.94x (versus a maximum ratio of 3.0x)</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Specified Senior Leverage and Letters of Credit ratio 3.67x (versus a maximum ratio of 4.0x)</w:t>
      </w:r>
    </w:p>
    <w:p>
      <w:pPr>
        <w:ind w:left="660" w:hanging="328"/>
        <w:spacing w:after="0" w:line="23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Specified Asset Coverage Ratio of 12.7x (versus a minimum ratio of 4.0x)</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Based on our current fourth quarter 2016 forecast, we expect to meet all covenants at the end of the year. The relative tightness that we are currently experiencing on the Specified Senior Leverage and Letters of Credit ratio is expected to be alleviated by improving EBITDA and a declining balance of Letters of Credit. Additionally, given our growing order book, increasing tender flow and the recovering levels of customer activity, we expect to continue to meet all applicable revolving and term loan revolving and credit facility covenants through the remainder of 2017.</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Weatherford</w:t>
      </w:r>
    </w:p>
    <w:p>
      <w:pPr>
        <w:spacing w:after="0" w:line="24"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 xml:space="preserve">Weatherford is one of the largest multinational oilfield service companies providing innovative solutions, technology and services to the oil and gas industry. The Company operates in over 100 countries and has a network of approximately 1,000 locations, including manufacturing, service, research and development, and training facilities and employs approximately 31,000 people. For more information, visit </w:t>
      </w:r>
      <w:r>
        <w:rPr>
          <w:rFonts w:ascii="Arial" w:cs="Arial" w:eastAsia="Arial" w:hAnsi="Arial"/>
          <w:sz w:val="20"/>
          <w:szCs w:val="20"/>
          <w:u w:val="single" w:color="auto"/>
          <w:color w:val="auto"/>
        </w:rPr>
        <w:t>www.weatherford.com</w:t>
      </w:r>
      <w:r>
        <w:rPr>
          <w:rFonts w:ascii="Arial" w:cs="Arial" w:eastAsia="Arial" w:hAnsi="Arial"/>
          <w:sz w:val="20"/>
          <w:szCs w:val="20"/>
          <w:color w:val="auto"/>
        </w:rPr>
        <w:t xml:space="preserve"> and connect with Weatherford on </w:t>
      </w:r>
      <w:r>
        <w:rPr>
          <w:rFonts w:ascii="Arial" w:cs="Arial" w:eastAsia="Arial" w:hAnsi="Arial"/>
          <w:sz w:val="20"/>
          <w:szCs w:val="20"/>
          <w:u w:val="single" w:color="auto"/>
          <w:color w:val="auto"/>
        </w:rPr>
        <w:t>LinkedIn</w:t>
      </w:r>
      <w:r>
        <w:rPr>
          <w:rFonts w:ascii="Arial" w:cs="Arial" w:eastAsia="Arial" w:hAnsi="Arial"/>
          <w:sz w:val="20"/>
          <w:szCs w:val="20"/>
          <w:color w:val="auto"/>
        </w:rPr>
        <w:t xml:space="preserve">, </w:t>
      </w:r>
      <w:r>
        <w:rPr>
          <w:rFonts w:ascii="Arial" w:cs="Arial" w:eastAsia="Arial" w:hAnsi="Arial"/>
          <w:sz w:val="20"/>
          <w:szCs w:val="20"/>
          <w:u w:val="single" w:color="auto"/>
          <w:color w:val="auto"/>
        </w:rPr>
        <w:t>Twitter, YouTube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Facebook</w:t>
      </w:r>
      <w:r>
        <w:rPr>
          <w:rFonts w:ascii="Arial" w:cs="Arial" w:eastAsia="Arial" w:hAnsi="Arial"/>
          <w:sz w:val="20"/>
          <w:szCs w:val="20"/>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This news release contains forward-looking statements. These forward-looking statements include, among other things, the Company’s forecasts and expectations regarding business outlook and performance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Forward-looking statements are also affected by the risk factors described in the Company’s Annual Report on Form 10-K for the year ended December 31, 2015,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ectPr>
          <w:pgSz w:w="11900" w:h="16838" w:orient="portrait"/>
          <w:cols w:equalWidth="0" w:num="1">
            <w:col w:w="11420"/>
          </w:cols>
          <w:pgMar w:left="240" w:top="1440"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Weatherford Contacts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Krishna Shivram</w:t>
      </w:r>
    </w:p>
    <w:p>
      <w:pPr>
        <w:spacing w:after="0"/>
        <w:rPr>
          <w:sz w:val="20"/>
          <w:szCs w:val="20"/>
          <w:color w:val="auto"/>
        </w:rPr>
      </w:pPr>
      <w:r>
        <w:rPr>
          <w:rFonts w:ascii="Arial" w:cs="Arial" w:eastAsia="Arial" w:hAnsi="Arial"/>
          <w:sz w:val="20"/>
          <w:szCs w:val="20"/>
          <w:color w:val="auto"/>
        </w:rPr>
        <w:t>Executive Vice President and Chief Financial Officer</w:t>
      </w:r>
    </w:p>
    <w:p>
      <w:pPr>
        <w:spacing w:after="0"/>
        <w:rPr>
          <w:sz w:val="20"/>
          <w:szCs w:val="20"/>
          <w:color w:val="auto"/>
        </w:rPr>
      </w:pPr>
      <w:r>
        <w:rPr>
          <w:rFonts w:ascii="Arial" w:cs="Arial" w:eastAsia="Arial" w:hAnsi="Arial"/>
          <w:sz w:val="20"/>
          <w:szCs w:val="20"/>
          <w:color w:val="auto"/>
        </w:rPr>
        <w:t>+1.713.836.4610</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Karen David-Green</w:t>
      </w:r>
    </w:p>
    <w:p>
      <w:pPr>
        <w:ind w:right="3359"/>
        <w:spacing w:after="0" w:line="247" w:lineRule="auto"/>
        <w:rPr>
          <w:sz w:val="20"/>
          <w:szCs w:val="20"/>
          <w:color w:val="auto"/>
        </w:rPr>
      </w:pPr>
      <w:r>
        <w:rPr>
          <w:rFonts w:ascii="Arial" w:cs="Arial" w:eastAsia="Arial" w:hAnsi="Arial"/>
          <w:sz w:val="20"/>
          <w:szCs w:val="20"/>
          <w:color w:val="auto"/>
        </w:rPr>
        <w:t>Vice President - Investor Relations, Corporate Marketing and Communications +1.713.836.7430</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2019-12-09T00:48:27Z</dcterms:created>
  <dcterms:modified xsi:type="dcterms:W3CDTF">2019-12-09T00:48:27Z</dcterms:modified>
</cp:coreProperties>
</file>