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SCHEDULE 13G</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(Amendment No. )*</w:t>
      </w:r>
    </w:p>
    <w:p>
      <w:pPr>
        <w:spacing w:after="0" w:line="21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Ordinary Shares,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G48833118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ind w:left="1000" w:hanging="360"/>
        <w:spacing w:after="0"/>
        <w:tabs>
          <w:tab w:leader="none" w:pos="100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13d-1(b)</w:t>
      </w:r>
    </w:p>
    <w:p>
      <w:pPr>
        <w:spacing w:after="0" w:line="29" w:lineRule="exact"/>
        <w:rPr>
          <w:rFonts w:ascii="MS PGothic" w:cs="MS PGothic" w:eastAsia="MS PGothic" w:hAnsi="MS PGothic"/>
          <w:sz w:val="20"/>
          <w:szCs w:val="20"/>
          <w:color w:val="auto"/>
        </w:rPr>
      </w:pPr>
    </w:p>
    <w:p>
      <w:pPr>
        <w:jc w:val="both"/>
        <w:ind w:left="640" w:right="8840"/>
        <w:spacing w:after="0" w:line="257" w:lineRule="exact"/>
        <w:tabs>
          <w:tab w:leader="none" w:pos="101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Rule 13d-1(c)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187"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(Page 1 of 6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jc w:val="both"/>
        <w:ind w:right="80" w:firstLine="648"/>
        <w:spacing w:after="0" w:line="241" w:lineRule="auto"/>
        <w:rPr>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5" w:lineRule="exact"/>
        <w:rPr>
          <w:sz w:val="24"/>
          <w:szCs w:val="24"/>
          <w:color w:val="auto"/>
        </w:rPr>
      </w:pPr>
    </w:p>
    <w:p>
      <w:pPr>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0960"/>
          </w:cols>
          <w:pgMar w:left="320" w:top="312" w:right="6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84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G48833118</w:t>
            </w:r>
          </w:p>
        </w:tc>
        <w:tc>
          <w:tcPr>
            <w:tcW w:w="6320" w:type="dxa"/>
            <w:vAlign w:val="bottom"/>
          </w:tcPr>
          <w:p>
            <w:pPr>
              <w:ind w:left="3640"/>
              <w:spacing w:after="0"/>
              <w:rPr>
                <w:sz w:val="20"/>
                <w:szCs w:val="20"/>
                <w:color w:val="auto"/>
              </w:rPr>
            </w:pPr>
            <w:r>
              <w:rPr>
                <w:rFonts w:ascii="Arial" w:cs="Arial" w:eastAsia="Arial" w:hAnsi="Arial"/>
                <w:sz w:val="18"/>
                <w:szCs w:val="18"/>
                <w:b w:val="1"/>
                <w:bCs w:val="1"/>
                <w:color w:val="auto"/>
              </w:rPr>
              <w:t>13G</w:t>
            </w:r>
          </w:p>
        </w:tc>
        <w:tc>
          <w:tcPr>
            <w:tcW w:w="3080" w:type="dxa"/>
            <w:vAlign w:val="bottom"/>
          </w:tcPr>
          <w:p>
            <w:pPr>
              <w:ind w:left="1760"/>
              <w:spacing w:after="0"/>
              <w:rPr>
                <w:sz w:val="20"/>
                <w:szCs w:val="20"/>
                <w:color w:val="auto"/>
              </w:rPr>
            </w:pPr>
            <w:r>
              <w:rPr>
                <w:rFonts w:ascii="Arial" w:cs="Arial" w:eastAsia="Arial" w:hAnsi="Arial"/>
                <w:sz w:val="18"/>
                <w:szCs w:val="18"/>
                <w:b w:val="1"/>
                <w:bCs w:val="1"/>
                <w:color w:val="auto"/>
                <w:w w:val="84"/>
              </w:rPr>
              <w:t>Page 2 of 6 Pages</w:t>
            </w:r>
          </w:p>
        </w:tc>
        <w:tc>
          <w:tcPr>
            <w:tcW w:w="0" w:type="dxa"/>
            <w:vAlign w:val="bottom"/>
          </w:tcPr>
          <w:p>
            <w:pPr>
              <w:spacing w:after="0"/>
              <w:rPr>
                <w:sz w:val="1"/>
                <w:szCs w:val="1"/>
                <w:color w:val="auto"/>
              </w:rPr>
            </w:pPr>
          </w:p>
        </w:tc>
      </w:tr>
      <w:tr>
        <w:trPr>
          <w:trHeight w:val="338"/>
        </w:trPr>
        <w:tc>
          <w:tcPr>
            <w:tcW w:w="184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right"/>
              <w:ind w:right="734"/>
              <w:spacing w:after="0"/>
              <w:rPr>
                <w:sz w:val="20"/>
                <w:szCs w:val="20"/>
                <w:color w:val="auto"/>
              </w:rPr>
            </w:pPr>
            <w:r>
              <w:rPr>
                <w:rFonts w:ascii="Arial" w:cs="Arial" w:eastAsia="Arial" w:hAnsi="Arial"/>
                <w:sz w:val="29"/>
                <w:szCs w:val="29"/>
                <w:b w:val="1"/>
                <w:bCs w:val="1"/>
                <w:color w:val="auto"/>
              </w:rPr>
              <w:t>1</w:t>
            </w:r>
          </w:p>
        </w:tc>
        <w:tc>
          <w:tcPr>
            <w:tcW w:w="6320" w:type="dxa"/>
            <w:vAlign w:val="bottom"/>
          </w:tcPr>
          <w:p>
            <w:pPr>
              <w:ind w:left="80"/>
              <w:spacing w:after="0"/>
              <w:rPr>
                <w:sz w:val="20"/>
                <w:szCs w:val="20"/>
                <w:color w:val="auto"/>
              </w:rPr>
            </w:pPr>
            <w:r>
              <w:rPr>
                <w:rFonts w:ascii="Arial" w:cs="Arial" w:eastAsia="Arial" w:hAnsi="Arial"/>
                <w:sz w:val="16"/>
                <w:szCs w:val="16"/>
                <w:color w:val="auto"/>
              </w:rPr>
              <w:t>NAME OF REPORTING PERSON</w:t>
            </w: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6320" w:type="dxa"/>
            <w:vAlign w:val="bottom"/>
            <w:vMerge w:val="restart"/>
          </w:tcPr>
          <w:p>
            <w:pPr>
              <w:ind w:left="400"/>
              <w:spacing w:after="0"/>
              <w:rPr>
                <w:sz w:val="20"/>
                <w:szCs w:val="20"/>
                <w:color w:val="auto"/>
              </w:rPr>
            </w:pPr>
            <w:r>
              <w:rPr>
                <w:rFonts w:ascii="Arial" w:cs="Arial" w:eastAsia="Arial" w:hAnsi="Arial"/>
                <w:sz w:val="20"/>
                <w:szCs w:val="20"/>
                <w:color w:val="auto"/>
              </w:rPr>
              <w:t>Oak Hill Advisors, L.P.</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320" w:type="dxa"/>
            <w:vAlign w:val="bottom"/>
            <w:vMerge w:val="continue"/>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6320" w:type="dxa"/>
            <w:vAlign w:val="bottom"/>
            <w:tcBorders>
              <w:bottom w:val="single" w:sz="8" w:color="auto"/>
            </w:tcBorders>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right"/>
              <w:ind w:right="734"/>
              <w:spacing w:after="0"/>
              <w:rPr>
                <w:sz w:val="20"/>
                <w:szCs w:val="20"/>
                <w:color w:val="auto"/>
              </w:rPr>
            </w:pPr>
            <w:r>
              <w:rPr>
                <w:rFonts w:ascii="Arial" w:cs="Arial" w:eastAsia="Arial" w:hAnsi="Arial"/>
                <w:sz w:val="29"/>
                <w:szCs w:val="29"/>
                <w:b w:val="1"/>
                <w:bCs w:val="1"/>
                <w:color w:val="auto"/>
              </w:rPr>
              <w:t>2</w:t>
            </w:r>
          </w:p>
        </w:tc>
        <w:tc>
          <w:tcPr>
            <w:tcW w:w="6320" w:type="dxa"/>
            <w:vAlign w:val="bottom"/>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3080" w:type="dxa"/>
            <w:vAlign w:val="bottom"/>
            <w:vMerge w:val="restart"/>
          </w:tcPr>
          <w:p>
            <w:pPr>
              <w:ind w:left="184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40" w:type="dxa"/>
            <w:vAlign w:val="bottom"/>
            <w:vMerge w:val="continue"/>
          </w:tcPr>
          <w:p>
            <w:pPr>
              <w:spacing w:after="0"/>
              <w:rPr>
                <w:sz w:val="7"/>
                <w:szCs w:val="7"/>
                <w:color w:val="auto"/>
              </w:rPr>
            </w:pPr>
          </w:p>
        </w:tc>
        <w:tc>
          <w:tcPr>
            <w:tcW w:w="632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080" w:type="dxa"/>
            <w:vAlign w:val="bottom"/>
          </w:tcPr>
          <w:p>
            <w:pPr>
              <w:ind w:left="184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4637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ind w:left="1920" w:hanging="1079"/>
        <w:spacing w:after="0" w:line="189" w:lineRule="auto"/>
        <w:tabs>
          <w:tab w:leader="none" w:pos="1920" w:val="left"/>
        </w:tabs>
        <w:numPr>
          <w:ilvl w:val="0"/>
          <w:numId w:val="2"/>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Delaware</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0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5,750,407 Ordinary Shares</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5,750,407 Ordinary Shares</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7400" w:type="dxa"/>
            <w:vAlign w:val="bottom"/>
            <w:gridSpan w:val="2"/>
            <w:vMerge w:val="restart"/>
          </w:tcPr>
          <w:p>
            <w:pPr>
              <w:ind w:left="440"/>
              <w:spacing w:after="0"/>
              <w:rPr>
                <w:sz w:val="20"/>
                <w:szCs w:val="20"/>
                <w:color w:val="auto"/>
              </w:rPr>
            </w:pPr>
            <w:r>
              <w:rPr>
                <w:rFonts w:ascii="Arial" w:cs="Arial" w:eastAsia="Arial" w:hAnsi="Arial"/>
                <w:sz w:val="20"/>
                <w:szCs w:val="20"/>
                <w:color w:val="auto"/>
              </w:rPr>
              <w:t>5,750,407 Ordinary Shares</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7400" w:type="dxa"/>
            <w:vAlign w:val="bottom"/>
            <w:gridSpan w:val="2"/>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8.20%</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PN, IA</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 w:name="page3"/>
    <w:bookmarkEnd w:id="2"/>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G48833118</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3 of 6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9740" w:type="dxa"/>
            <w:vAlign w:val="bottom"/>
            <w:gridSpan w:val="13"/>
          </w:tcPr>
          <w:p>
            <w:pPr>
              <w:ind w:left="420"/>
              <w:spacing w:after="0"/>
              <w:rPr>
                <w:sz w:val="20"/>
                <w:szCs w:val="20"/>
                <w:color w:val="auto"/>
              </w:rPr>
            </w:pPr>
            <w:r>
              <w:rPr>
                <w:rFonts w:ascii="Arial" w:cs="Arial" w:eastAsia="Arial" w:hAnsi="Arial"/>
                <w:sz w:val="20"/>
                <w:szCs w:val="20"/>
                <w:b w:val="1"/>
                <w:bCs w:val="1"/>
                <w:color w:val="auto"/>
              </w:rPr>
              <w:t>NAME OF ISSUER</w:t>
            </w:r>
          </w:p>
        </w:tc>
      </w:tr>
      <w:tr>
        <w:trPr>
          <w:trHeight w:val="414"/>
        </w:trPr>
        <w:tc>
          <w:tcPr>
            <w:tcW w:w="1260" w:type="dxa"/>
            <w:vAlign w:val="bottom"/>
          </w:tcPr>
          <w:p>
            <w:pPr>
              <w:spacing w:after="0"/>
              <w:rPr>
                <w:sz w:val="24"/>
                <w:szCs w:val="24"/>
                <w:color w:val="auto"/>
              </w:rPr>
            </w:pPr>
          </w:p>
        </w:tc>
        <w:tc>
          <w:tcPr>
            <w:tcW w:w="9740" w:type="dxa"/>
            <w:vAlign w:val="bottom"/>
            <w:gridSpan w:val="13"/>
          </w:tcPr>
          <w:p>
            <w:pPr>
              <w:ind w:left="420"/>
              <w:spacing w:after="0"/>
              <w:rPr>
                <w:sz w:val="20"/>
                <w:szCs w:val="20"/>
                <w:color w:val="auto"/>
              </w:rPr>
            </w:pPr>
            <w:r>
              <w:rPr>
                <w:rFonts w:ascii="Arial" w:cs="Arial" w:eastAsia="Arial" w:hAnsi="Arial"/>
                <w:sz w:val="20"/>
                <w:szCs w:val="20"/>
                <w:color w:val="auto"/>
              </w:rPr>
              <w:t>Weatherford International plc (the "Company")</w:t>
            </w:r>
          </w:p>
        </w:tc>
      </w:tr>
      <w:tr>
        <w:trPr>
          <w:trHeight w:val="20"/>
        </w:trPr>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4"/>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9740" w:type="dxa"/>
            <w:vAlign w:val="bottom"/>
            <w:gridSpan w:val="13"/>
          </w:tcPr>
          <w:p>
            <w:pPr>
              <w:ind w:left="42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459"/>
        </w:trPr>
        <w:tc>
          <w:tcPr>
            <w:tcW w:w="1260" w:type="dxa"/>
            <w:vAlign w:val="bottom"/>
          </w:tcPr>
          <w:p>
            <w:pPr>
              <w:spacing w:after="0"/>
              <w:rPr>
                <w:sz w:val="24"/>
                <w:szCs w:val="24"/>
                <w:color w:val="auto"/>
              </w:rPr>
            </w:pPr>
          </w:p>
        </w:tc>
        <w:tc>
          <w:tcPr>
            <w:tcW w:w="9740" w:type="dxa"/>
            <w:vAlign w:val="bottom"/>
            <w:gridSpan w:val="13"/>
          </w:tcPr>
          <w:p>
            <w:pPr>
              <w:ind w:left="420"/>
              <w:spacing w:after="0"/>
              <w:rPr>
                <w:sz w:val="20"/>
                <w:szCs w:val="20"/>
                <w:color w:val="auto"/>
              </w:rPr>
            </w:pPr>
            <w:r>
              <w:rPr>
                <w:rFonts w:ascii="Arial" w:cs="Arial" w:eastAsia="Arial" w:hAnsi="Arial"/>
                <w:sz w:val="20"/>
                <w:szCs w:val="20"/>
                <w:color w:val="auto"/>
              </w:rPr>
              <w:t>2000 St. James Place, Houston, Texas 77056</w:t>
            </w: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9740" w:type="dxa"/>
            <w:vAlign w:val="bottom"/>
            <w:gridSpan w:val="13"/>
          </w:tcPr>
          <w:p>
            <w:pPr>
              <w:ind w:left="420"/>
              <w:spacing w:after="0"/>
              <w:rPr>
                <w:sz w:val="20"/>
                <w:szCs w:val="20"/>
                <w:color w:val="auto"/>
              </w:rPr>
            </w:pPr>
            <w:r>
              <w:rPr>
                <w:rFonts w:ascii="Arial" w:cs="Arial" w:eastAsia="Arial" w:hAnsi="Arial"/>
                <w:sz w:val="20"/>
                <w:szCs w:val="20"/>
                <w:b w:val="1"/>
                <w:bCs w:val="1"/>
                <w:color w:val="auto"/>
              </w:rPr>
              <w:t>NAME OF PERSON FILING:</w:t>
            </w:r>
          </w:p>
        </w:tc>
      </w:tr>
      <w:tr>
        <w:trPr>
          <w:trHeight w:val="414"/>
        </w:trPr>
        <w:tc>
          <w:tcPr>
            <w:tcW w:w="1260" w:type="dxa"/>
            <w:vAlign w:val="bottom"/>
          </w:tcPr>
          <w:p>
            <w:pPr>
              <w:spacing w:after="0"/>
              <w:rPr>
                <w:sz w:val="24"/>
                <w:szCs w:val="24"/>
                <w:color w:val="auto"/>
              </w:rPr>
            </w:pPr>
          </w:p>
        </w:tc>
        <w:tc>
          <w:tcPr>
            <w:tcW w:w="9740" w:type="dxa"/>
            <w:vAlign w:val="bottom"/>
            <w:gridSpan w:val="13"/>
          </w:tcPr>
          <w:p>
            <w:pPr>
              <w:ind w:left="420"/>
              <w:spacing w:after="0"/>
              <w:rPr>
                <w:sz w:val="20"/>
                <w:szCs w:val="20"/>
                <w:color w:val="auto"/>
              </w:rPr>
            </w:pPr>
            <w:r>
              <w:rPr>
                <w:rFonts w:ascii="Arial" w:cs="Arial" w:eastAsia="Arial" w:hAnsi="Arial"/>
                <w:sz w:val="20"/>
                <w:szCs w:val="20"/>
                <w:color w:val="auto"/>
                <w:w w:val="91"/>
              </w:rPr>
              <w:t>This Schedule 13G is being filed on behalf of Oak Hill Advisors, L.P., a Delaware limited partnership ("OHA" or, the</w:t>
            </w:r>
          </w:p>
        </w:tc>
      </w:tr>
      <w:tr>
        <w:trPr>
          <w:trHeight w:val="20"/>
        </w:trPr>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9740" w:type="dxa"/>
            <w:vAlign w:val="bottom"/>
            <w:gridSpan w:val="13"/>
          </w:tcPr>
          <w:p>
            <w:pPr>
              <w:ind w:left="420"/>
              <w:spacing w:after="0" w:line="209" w:lineRule="exact"/>
              <w:rPr>
                <w:sz w:val="20"/>
                <w:szCs w:val="20"/>
                <w:color w:val="auto"/>
              </w:rPr>
            </w:pPr>
            <w:r>
              <w:rPr>
                <w:rFonts w:ascii="Arial" w:cs="Arial" w:eastAsia="Arial" w:hAnsi="Arial"/>
                <w:sz w:val="20"/>
                <w:szCs w:val="20"/>
                <w:color w:val="auto"/>
                <w:w w:val="95"/>
              </w:rPr>
              <w:t>"Reporting Person"), as investment adviser to certain funds and client accounts (directly or through an affiliate)</w:t>
            </w:r>
          </w:p>
        </w:tc>
      </w:tr>
      <w:tr>
        <w:trPr>
          <w:trHeight w:val="20"/>
        </w:trPr>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9740" w:type="dxa"/>
            <w:vAlign w:val="bottom"/>
            <w:gridSpan w:val="13"/>
          </w:tcPr>
          <w:p>
            <w:pPr>
              <w:ind w:left="420"/>
              <w:spacing w:after="0" w:line="209" w:lineRule="exact"/>
              <w:rPr>
                <w:sz w:val="20"/>
                <w:szCs w:val="20"/>
                <w:color w:val="auto"/>
              </w:rPr>
            </w:pPr>
            <w:r>
              <w:rPr>
                <w:rFonts w:ascii="Arial" w:cs="Arial" w:eastAsia="Arial" w:hAnsi="Arial"/>
                <w:sz w:val="20"/>
                <w:szCs w:val="20"/>
                <w:color w:val="auto"/>
              </w:rPr>
              <w:t>(together, the "Oak Hill Funds"), with respect to the Ordinary Shares directly held by the Oak Hill Funds.</w:t>
            </w:r>
          </w:p>
        </w:tc>
      </w:tr>
      <w:tr>
        <w:trPr>
          <w:trHeight w:val="20"/>
        </w:trPr>
        <w:tc>
          <w:tcPr>
            <w:tcW w:w="12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r>
      <w:tr>
        <w:trPr>
          <w:trHeight w:val="439"/>
        </w:trPr>
        <w:tc>
          <w:tcPr>
            <w:tcW w:w="1260" w:type="dxa"/>
            <w:vAlign w:val="bottom"/>
          </w:tcPr>
          <w:p>
            <w:pPr>
              <w:spacing w:after="0"/>
              <w:rPr>
                <w:sz w:val="24"/>
                <w:szCs w:val="24"/>
                <w:color w:val="auto"/>
              </w:rPr>
            </w:pPr>
          </w:p>
        </w:tc>
        <w:tc>
          <w:tcPr>
            <w:tcW w:w="9740" w:type="dxa"/>
            <w:vAlign w:val="bottom"/>
            <w:gridSpan w:val="13"/>
          </w:tcPr>
          <w:p>
            <w:pPr>
              <w:ind w:left="420"/>
              <w:spacing w:after="0"/>
              <w:rPr>
                <w:sz w:val="20"/>
                <w:szCs w:val="20"/>
                <w:color w:val="auto"/>
              </w:rPr>
            </w:pPr>
            <w:r>
              <w:rPr>
                <w:rFonts w:ascii="Arial" w:cs="Arial" w:eastAsia="Arial" w:hAnsi="Arial"/>
                <w:sz w:val="20"/>
                <w:szCs w:val="20"/>
                <w:color w:val="auto"/>
                <w:w w:val="95"/>
              </w:rPr>
              <w:t>OHA is a subsidiary business of T. Rowe Price Associates, Inc. (“TRP”). OHA’s beneficial ownership does not</w:t>
            </w:r>
          </w:p>
        </w:tc>
      </w:tr>
      <w:tr>
        <w:trPr>
          <w:trHeight w:val="254"/>
        </w:trPr>
        <w:tc>
          <w:tcPr>
            <w:tcW w:w="1260" w:type="dxa"/>
            <w:vAlign w:val="bottom"/>
          </w:tcPr>
          <w:p>
            <w:pPr>
              <w:spacing w:after="0"/>
              <w:rPr>
                <w:sz w:val="22"/>
                <w:szCs w:val="22"/>
                <w:color w:val="auto"/>
              </w:rPr>
            </w:pPr>
          </w:p>
        </w:tc>
        <w:tc>
          <w:tcPr>
            <w:tcW w:w="5640" w:type="dxa"/>
            <w:vAlign w:val="bottom"/>
            <w:gridSpan w:val="8"/>
          </w:tcPr>
          <w:p>
            <w:pPr>
              <w:ind w:left="420"/>
              <w:spacing w:after="0"/>
              <w:rPr>
                <w:sz w:val="20"/>
                <w:szCs w:val="20"/>
                <w:color w:val="auto"/>
              </w:rPr>
            </w:pPr>
            <w:r>
              <w:rPr>
                <w:rFonts w:ascii="Arial" w:cs="Arial" w:eastAsia="Arial" w:hAnsi="Arial"/>
                <w:sz w:val="20"/>
                <w:szCs w:val="20"/>
                <w:color w:val="auto"/>
                <w:w w:val="98"/>
              </w:rPr>
              <w:t>include any shares that may be beneficially owned by TRP .</w:t>
            </w:r>
          </w:p>
        </w:tc>
        <w:tc>
          <w:tcPr>
            <w:tcW w:w="360" w:type="dxa"/>
            <w:vAlign w:val="bottom"/>
            <w:tcBorders>
              <w:top w:val="single" w:sz="8" w:color="auto"/>
            </w:tcBorders>
          </w:tcPr>
          <w:p>
            <w:pPr>
              <w:spacing w:after="0"/>
              <w:rPr>
                <w:sz w:val="22"/>
                <w:szCs w:val="22"/>
                <w:color w:val="auto"/>
              </w:rPr>
            </w:pPr>
          </w:p>
        </w:tc>
        <w:tc>
          <w:tcPr>
            <w:tcW w:w="3740" w:type="dxa"/>
            <w:vAlign w:val="bottom"/>
            <w:gridSpan w:val="4"/>
          </w:tcPr>
          <w:p>
            <w:pPr>
              <w:spacing w:after="0"/>
              <w:rPr>
                <w:sz w:val="22"/>
                <w:szCs w:val="22"/>
                <w:color w:val="auto"/>
              </w:rPr>
            </w:pPr>
          </w:p>
        </w:tc>
      </w:tr>
      <w:tr>
        <w:trPr>
          <w:trHeight w:val="459"/>
        </w:trPr>
        <w:tc>
          <w:tcPr>
            <w:tcW w:w="1260" w:type="dxa"/>
            <w:vAlign w:val="bottom"/>
          </w:tcPr>
          <w:p>
            <w:pPr>
              <w:spacing w:after="0"/>
              <w:rPr>
                <w:sz w:val="24"/>
                <w:szCs w:val="24"/>
                <w:color w:val="auto"/>
              </w:rPr>
            </w:pPr>
          </w:p>
        </w:tc>
        <w:tc>
          <w:tcPr>
            <w:tcW w:w="9740" w:type="dxa"/>
            <w:vAlign w:val="bottom"/>
            <w:gridSpan w:val="13"/>
          </w:tcPr>
          <w:p>
            <w:pPr>
              <w:ind w:left="420"/>
              <w:spacing w:after="0"/>
              <w:rPr>
                <w:sz w:val="20"/>
                <w:szCs w:val="20"/>
                <w:color w:val="auto"/>
              </w:rPr>
            </w:pPr>
            <w:r>
              <w:rPr>
                <w:rFonts w:ascii="Arial" w:cs="Arial" w:eastAsia="Arial" w:hAnsi="Arial"/>
                <w:sz w:val="20"/>
                <w:szCs w:val="20"/>
                <w:color w:val="auto"/>
              </w:rPr>
              <w:t>Glenn R. August, a United States citizen, is the Founder and Chief Executive Officer of OHA.</w:t>
            </w:r>
          </w:p>
        </w:tc>
      </w:tr>
      <w:tr>
        <w:trPr>
          <w:trHeight w:val="438"/>
        </w:trPr>
        <w:tc>
          <w:tcPr>
            <w:tcW w:w="1260" w:type="dxa"/>
            <w:vAlign w:val="bottom"/>
          </w:tcPr>
          <w:p>
            <w:pPr>
              <w:spacing w:after="0"/>
              <w:rPr>
                <w:sz w:val="24"/>
                <w:szCs w:val="24"/>
                <w:color w:val="auto"/>
              </w:rPr>
            </w:pPr>
          </w:p>
        </w:tc>
        <w:tc>
          <w:tcPr>
            <w:tcW w:w="9740" w:type="dxa"/>
            <w:vAlign w:val="bottom"/>
            <w:gridSpan w:val="13"/>
          </w:tcPr>
          <w:p>
            <w:pPr>
              <w:ind w:left="420"/>
              <w:spacing w:after="0"/>
              <w:rPr>
                <w:sz w:val="20"/>
                <w:szCs w:val="20"/>
                <w:color w:val="auto"/>
              </w:rPr>
            </w:pPr>
            <w:r>
              <w:rPr>
                <w:rFonts w:ascii="Arial" w:cs="Arial" w:eastAsia="Arial" w:hAnsi="Arial"/>
                <w:sz w:val="20"/>
                <w:szCs w:val="20"/>
                <w:color w:val="auto"/>
                <w:w w:val="91"/>
              </w:rPr>
              <w:t>Any disclosures herein with respect to persons other than the Reporting Person are made on information and belief</w:t>
            </w:r>
          </w:p>
        </w:tc>
      </w:tr>
      <w:tr>
        <w:trPr>
          <w:trHeight w:val="229"/>
        </w:trPr>
        <w:tc>
          <w:tcPr>
            <w:tcW w:w="1260" w:type="dxa"/>
            <w:vAlign w:val="bottom"/>
          </w:tcPr>
          <w:p>
            <w:pPr>
              <w:spacing w:after="0"/>
              <w:rPr>
                <w:sz w:val="19"/>
                <w:szCs w:val="19"/>
                <w:color w:val="auto"/>
              </w:rPr>
            </w:pPr>
          </w:p>
        </w:tc>
        <w:tc>
          <w:tcPr>
            <w:tcW w:w="9740" w:type="dxa"/>
            <w:vAlign w:val="bottom"/>
            <w:gridSpan w:val="13"/>
          </w:tcPr>
          <w:p>
            <w:pPr>
              <w:ind w:left="420"/>
              <w:spacing w:after="0"/>
              <w:rPr>
                <w:sz w:val="20"/>
                <w:szCs w:val="20"/>
                <w:color w:val="auto"/>
              </w:rPr>
            </w:pPr>
            <w:r>
              <w:rPr>
                <w:rFonts w:ascii="Arial" w:cs="Arial" w:eastAsia="Arial" w:hAnsi="Arial"/>
                <w:sz w:val="20"/>
                <w:szCs w:val="20"/>
                <w:color w:val="auto"/>
                <w:w w:val="92"/>
              </w:rPr>
              <w:t>after making inquiry to the appropriate party. The filing of this statement should not be construed in and of itself as</w:t>
            </w:r>
          </w:p>
        </w:tc>
      </w:tr>
      <w:tr>
        <w:trPr>
          <w:trHeight w:val="250"/>
        </w:trPr>
        <w:tc>
          <w:tcPr>
            <w:tcW w:w="1260" w:type="dxa"/>
            <w:vAlign w:val="bottom"/>
          </w:tcPr>
          <w:p>
            <w:pPr>
              <w:spacing w:after="0"/>
              <w:rPr>
                <w:sz w:val="21"/>
                <w:szCs w:val="21"/>
                <w:color w:val="auto"/>
              </w:rPr>
            </w:pPr>
          </w:p>
        </w:tc>
        <w:tc>
          <w:tcPr>
            <w:tcW w:w="9740" w:type="dxa"/>
            <w:vAlign w:val="bottom"/>
            <w:gridSpan w:val="13"/>
          </w:tcPr>
          <w:p>
            <w:pPr>
              <w:ind w:left="420"/>
              <w:spacing w:after="0"/>
              <w:rPr>
                <w:sz w:val="20"/>
                <w:szCs w:val="20"/>
                <w:color w:val="auto"/>
              </w:rPr>
            </w:pPr>
            <w:r>
              <w:rPr>
                <w:rFonts w:ascii="Arial" w:cs="Arial" w:eastAsia="Arial" w:hAnsi="Arial"/>
                <w:sz w:val="20"/>
                <w:szCs w:val="20"/>
                <w:color w:val="auto"/>
              </w:rPr>
              <w:t>an admission by the Reporting Person as to beneficial ownership of the securities reported herein.</w:t>
            </w: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9740" w:type="dxa"/>
            <w:vAlign w:val="bottom"/>
            <w:gridSpan w:val="13"/>
          </w:tcPr>
          <w:p>
            <w:pPr>
              <w:ind w:left="42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438"/>
        </w:trPr>
        <w:tc>
          <w:tcPr>
            <w:tcW w:w="1260" w:type="dxa"/>
            <w:vAlign w:val="bottom"/>
          </w:tcPr>
          <w:p>
            <w:pPr>
              <w:spacing w:after="0"/>
              <w:rPr>
                <w:sz w:val="24"/>
                <w:szCs w:val="24"/>
                <w:color w:val="auto"/>
              </w:rPr>
            </w:pPr>
          </w:p>
        </w:tc>
        <w:tc>
          <w:tcPr>
            <w:tcW w:w="9740" w:type="dxa"/>
            <w:vAlign w:val="bottom"/>
            <w:gridSpan w:val="13"/>
          </w:tcPr>
          <w:p>
            <w:pPr>
              <w:ind w:left="420"/>
              <w:spacing w:after="0"/>
              <w:rPr>
                <w:sz w:val="20"/>
                <w:szCs w:val="20"/>
                <w:color w:val="auto"/>
              </w:rPr>
            </w:pPr>
            <w:r>
              <w:rPr>
                <w:rFonts w:ascii="Arial" w:cs="Arial" w:eastAsia="Arial" w:hAnsi="Arial"/>
                <w:sz w:val="20"/>
                <w:szCs w:val="20"/>
                <w:color w:val="auto"/>
                <w:w w:val="92"/>
              </w:rPr>
              <w:t>The address of the business office of the Reporting Person is One Vanderbilt Avenue, 16th Floor, New York, New</w:t>
            </w:r>
          </w:p>
        </w:tc>
      </w:tr>
      <w:tr>
        <w:trPr>
          <w:trHeight w:val="250"/>
        </w:trPr>
        <w:tc>
          <w:tcPr>
            <w:tcW w:w="1260" w:type="dxa"/>
            <w:vAlign w:val="bottom"/>
          </w:tcPr>
          <w:p>
            <w:pPr>
              <w:spacing w:after="0"/>
              <w:rPr>
                <w:sz w:val="21"/>
                <w:szCs w:val="21"/>
                <w:color w:val="auto"/>
              </w:rPr>
            </w:pPr>
          </w:p>
        </w:tc>
        <w:tc>
          <w:tcPr>
            <w:tcW w:w="9740" w:type="dxa"/>
            <w:vAlign w:val="bottom"/>
            <w:gridSpan w:val="13"/>
          </w:tcPr>
          <w:p>
            <w:pPr>
              <w:ind w:left="420"/>
              <w:spacing w:after="0"/>
              <w:rPr>
                <w:sz w:val="20"/>
                <w:szCs w:val="20"/>
                <w:color w:val="auto"/>
              </w:rPr>
            </w:pPr>
            <w:r>
              <w:rPr>
                <w:rFonts w:ascii="Arial" w:cs="Arial" w:eastAsia="Arial" w:hAnsi="Arial"/>
                <w:sz w:val="20"/>
                <w:szCs w:val="20"/>
                <w:color w:val="auto"/>
              </w:rPr>
              <w:t>York 10017.</w:t>
            </w: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740" w:type="dxa"/>
            <w:vAlign w:val="bottom"/>
            <w:gridSpan w:val="13"/>
          </w:tcPr>
          <w:p>
            <w:pPr>
              <w:ind w:left="420"/>
              <w:spacing w:after="0"/>
              <w:rPr>
                <w:sz w:val="20"/>
                <w:szCs w:val="20"/>
                <w:color w:val="auto"/>
              </w:rPr>
            </w:pPr>
            <w:r>
              <w:rPr>
                <w:rFonts w:ascii="Arial" w:cs="Arial" w:eastAsia="Arial" w:hAnsi="Arial"/>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9740" w:type="dxa"/>
            <w:vAlign w:val="bottom"/>
            <w:gridSpan w:val="13"/>
          </w:tcPr>
          <w:p>
            <w:pPr>
              <w:ind w:left="420"/>
              <w:spacing w:after="0"/>
              <w:rPr>
                <w:sz w:val="20"/>
                <w:szCs w:val="20"/>
                <w:color w:val="auto"/>
              </w:rPr>
            </w:pPr>
            <w:r>
              <w:rPr>
                <w:rFonts w:ascii="Arial" w:cs="Arial" w:eastAsia="Arial" w:hAnsi="Arial"/>
                <w:sz w:val="20"/>
                <w:szCs w:val="20"/>
                <w:color w:val="auto"/>
              </w:rPr>
              <w:t>OHA is a Delaware limited partnership.</w:t>
            </w: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740" w:type="dxa"/>
            <w:vAlign w:val="bottom"/>
            <w:gridSpan w:val="13"/>
          </w:tcPr>
          <w:p>
            <w:pPr>
              <w:ind w:left="420"/>
              <w:spacing w:after="0"/>
              <w:rPr>
                <w:sz w:val="20"/>
                <w:szCs w:val="20"/>
                <w:color w:val="auto"/>
              </w:rPr>
            </w:pPr>
            <w:r>
              <w:rPr>
                <w:rFonts w:ascii="Arial" w:cs="Arial" w:eastAsia="Arial" w:hAnsi="Arial"/>
                <w:sz w:val="20"/>
                <w:szCs w:val="20"/>
                <w:b w:val="1"/>
                <w:bCs w:val="1"/>
                <w:color w:val="auto"/>
              </w:rPr>
              <w:t>TITLE OF CLASS OF SECURITIES</w:t>
            </w:r>
          </w:p>
        </w:tc>
      </w:tr>
      <w:tr>
        <w:trPr>
          <w:trHeight w:val="415"/>
        </w:trPr>
        <w:tc>
          <w:tcPr>
            <w:tcW w:w="1260" w:type="dxa"/>
            <w:vAlign w:val="bottom"/>
          </w:tcPr>
          <w:p>
            <w:pPr>
              <w:spacing w:after="0"/>
              <w:rPr>
                <w:sz w:val="24"/>
                <w:szCs w:val="24"/>
                <w:color w:val="auto"/>
              </w:rPr>
            </w:pPr>
          </w:p>
        </w:tc>
        <w:tc>
          <w:tcPr>
            <w:tcW w:w="9740" w:type="dxa"/>
            <w:vAlign w:val="bottom"/>
            <w:gridSpan w:val="13"/>
          </w:tcPr>
          <w:p>
            <w:pPr>
              <w:ind w:left="420"/>
              <w:spacing w:after="0"/>
              <w:rPr>
                <w:sz w:val="20"/>
                <w:szCs w:val="20"/>
                <w:color w:val="auto"/>
              </w:rPr>
            </w:pPr>
            <w:r>
              <w:rPr>
                <w:rFonts w:ascii="Arial" w:cs="Arial" w:eastAsia="Arial" w:hAnsi="Arial"/>
                <w:sz w:val="20"/>
                <w:szCs w:val="20"/>
                <w:color w:val="auto"/>
              </w:rPr>
              <w:t>Ordinary Shares, par value par value $0.001 per share (the "Ordinary Shares")</w:t>
            </w:r>
          </w:p>
        </w:tc>
      </w:tr>
      <w:tr>
        <w:trPr>
          <w:trHeight w:val="484"/>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5160" w:type="dxa"/>
            <w:vAlign w:val="bottom"/>
            <w:gridSpan w:val="7"/>
          </w:tcPr>
          <w:p>
            <w:pPr>
              <w:ind w:left="420"/>
              <w:spacing w:after="0"/>
              <w:rPr>
                <w:sz w:val="20"/>
                <w:szCs w:val="20"/>
                <w:color w:val="auto"/>
              </w:rPr>
            </w:pPr>
            <w:r>
              <w:rPr>
                <w:rFonts w:ascii="Arial" w:cs="Arial" w:eastAsia="Arial" w:hAnsi="Arial"/>
                <w:sz w:val="20"/>
                <w:szCs w:val="20"/>
                <w:b w:val="1"/>
                <w:bCs w:val="1"/>
                <w:color w:val="auto"/>
              </w:rPr>
              <w:t>CUSIP NUMBER</w:t>
            </w:r>
          </w:p>
        </w:tc>
        <w:tc>
          <w:tcPr>
            <w:tcW w:w="1300" w:type="dxa"/>
            <w:vAlign w:val="bottom"/>
            <w:tcBorders>
              <w:top w:val="single" w:sz="8" w:color="auto"/>
            </w:tcBorders>
            <w:gridSpan w:val="3"/>
          </w:tcPr>
          <w:p>
            <w:pPr>
              <w:spacing w:after="0"/>
              <w:rPr>
                <w:sz w:val="24"/>
                <w:szCs w:val="24"/>
                <w:color w:val="auto"/>
              </w:rPr>
            </w:pPr>
          </w:p>
        </w:tc>
        <w:tc>
          <w:tcPr>
            <w:tcW w:w="3280" w:type="dxa"/>
            <w:vAlign w:val="bottom"/>
            <w:gridSpan w:val="3"/>
          </w:tcPr>
          <w:p>
            <w:pPr>
              <w:spacing w:after="0"/>
              <w:rPr>
                <w:sz w:val="24"/>
                <w:szCs w:val="24"/>
                <w:color w:val="auto"/>
              </w:rPr>
            </w:pPr>
          </w:p>
        </w:tc>
      </w:tr>
      <w:tr>
        <w:trPr>
          <w:trHeight w:val="459"/>
        </w:trPr>
        <w:tc>
          <w:tcPr>
            <w:tcW w:w="1260" w:type="dxa"/>
            <w:vAlign w:val="bottom"/>
          </w:tcPr>
          <w:p>
            <w:pPr>
              <w:spacing w:after="0"/>
              <w:rPr>
                <w:sz w:val="24"/>
                <w:szCs w:val="24"/>
                <w:color w:val="auto"/>
              </w:rPr>
            </w:pPr>
          </w:p>
        </w:tc>
        <w:tc>
          <w:tcPr>
            <w:tcW w:w="9740" w:type="dxa"/>
            <w:vAlign w:val="bottom"/>
            <w:gridSpan w:val="13"/>
          </w:tcPr>
          <w:p>
            <w:pPr>
              <w:ind w:left="420"/>
              <w:spacing w:after="0"/>
              <w:rPr>
                <w:sz w:val="20"/>
                <w:szCs w:val="20"/>
                <w:color w:val="auto"/>
              </w:rPr>
            </w:pPr>
            <w:r>
              <w:rPr>
                <w:rFonts w:ascii="Arial" w:cs="Arial" w:eastAsia="Arial" w:hAnsi="Arial"/>
                <w:sz w:val="20"/>
                <w:szCs w:val="20"/>
                <w:color w:val="auto"/>
              </w:rPr>
              <w:t>G48833118</w:t>
            </w:r>
          </w:p>
        </w:tc>
      </w:tr>
    </w:tbl>
    <w:p>
      <w:pPr>
        <w:sectPr>
          <w:pgSz w:w="11900" w:h="16838" w:orient="portrait"/>
          <w:cols w:equalWidth="0" w:num="1">
            <w:col w:w="11240"/>
          </w:cols>
          <w:pgMar w:left="320" w:top="229" w:right="339" w:bottom="1440" w:gutter="0" w:footer="0" w:header="0"/>
          <w:type w:val="continuous"/>
        </w:sectPr>
      </w:pPr>
    </w:p>
    <w:bookmarkStart w:id="3" w:name="page4"/>
    <w:bookmarkEnd w:id="3"/>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G48833118</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4 of 6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800" w:right="120" w:hanging="1686"/>
        <w:spacing w:after="0" w:line="267" w:lineRule="auto"/>
        <w:tabs>
          <w:tab w:leader="none" w:pos="17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0"/>
          <w:szCs w:val="20"/>
          <w:b w:val="1"/>
          <w:bCs w:val="1"/>
          <w:color w:val="auto"/>
        </w:rPr>
        <w:t>IF THIS STATEMENT IS FILED PURSUANT TO Rules 13d-1(b), OR 13d-2(b) OR (c), CHECK WHETHER THE PERSON FILING IS A:</w:t>
      </w:r>
    </w:p>
    <w:p>
      <w:pPr>
        <w:spacing w:after="0" w:line="159" w:lineRule="exact"/>
        <w:rPr>
          <w:sz w:val="20"/>
          <w:szCs w:val="20"/>
          <w:color w:val="auto"/>
        </w:rPr>
      </w:pPr>
    </w:p>
    <w:p>
      <w:pPr>
        <w:ind w:left="2620" w:hanging="821"/>
        <w:spacing w:after="0" w:line="230" w:lineRule="exact"/>
        <w:tabs>
          <w:tab w:leader="none" w:pos="262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w:t>
      </w:r>
    </w:p>
    <w:p>
      <w:pPr>
        <w:spacing w:after="0" w:line="22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w:t>
      </w:r>
    </w:p>
    <w:p>
      <w:pPr>
        <w:spacing w:after="0" w:line="22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w:t>
      </w:r>
    </w:p>
    <w:p>
      <w:pPr>
        <w:spacing w:after="0" w:line="22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w:t>
      </w:r>
    </w:p>
    <w:p>
      <w:pPr>
        <w:spacing w:after="0" w:line="22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investment adviser in accordance with Rule 13d-1(b)(1)(ii)(E);</w:t>
      </w:r>
    </w:p>
    <w:p>
      <w:pPr>
        <w:spacing w:after="0" w:line="22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An employee benefit plan or endowment fund in accordance with Rule 13d-1(b)(1)(ii)(F);</w:t>
      </w:r>
    </w:p>
    <w:p>
      <w:pPr>
        <w:spacing w:after="0" w:line="22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A parent holding company or control person in accordance with Rule 13d-1(b)(1)(ii)(G);</w:t>
      </w:r>
    </w:p>
    <w:p>
      <w:pPr>
        <w:spacing w:after="0" w:line="22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savings association as defined in Section 3(b) of the Federal Deposit Insurance Act;</w:t>
      </w:r>
    </w:p>
    <w:p>
      <w:pPr>
        <w:spacing w:after="0" w:line="229" w:lineRule="exact"/>
        <w:rPr>
          <w:rFonts w:ascii="Arial" w:cs="Arial" w:eastAsia="Arial" w:hAnsi="Arial"/>
          <w:sz w:val="20"/>
          <w:szCs w:val="20"/>
          <w:color w:val="auto"/>
        </w:rPr>
      </w:pPr>
    </w:p>
    <w:p>
      <w:pPr>
        <w:ind w:left="3140" w:right="160" w:hanging="1341"/>
        <w:spacing w:after="0" w:line="252" w:lineRule="exact"/>
        <w:tabs>
          <w:tab w:leader="none" w:pos="2611"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church plan that is excluded from the definition of an investment company under Section 3(c)(14) of the Investment Company Act;</w:t>
      </w:r>
    </w:p>
    <w:p>
      <w:pPr>
        <w:spacing w:after="0" w:line="186"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non-U.S. institution in accordance with Rule 13d-1(b)(1)(ii)(J);</w:t>
      </w:r>
    </w:p>
    <w:p>
      <w:pPr>
        <w:spacing w:after="0" w:line="22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66" w:lineRule="exact"/>
        <w:rPr>
          <w:sz w:val="20"/>
          <w:szCs w:val="20"/>
          <w:color w:val="auto"/>
        </w:rPr>
      </w:pPr>
    </w:p>
    <w:p>
      <w:pPr>
        <w:ind w:left="1800" w:right="2880"/>
        <w:spacing w:after="0" w:line="287" w:lineRule="auto"/>
        <w:rPr>
          <w:sz w:val="20"/>
          <w:szCs w:val="20"/>
          <w:color w:val="auto"/>
        </w:rPr>
      </w:pPr>
      <w:r>
        <w:rPr>
          <w:rFonts w:ascii="Arial" w:cs="Arial" w:eastAsia="Arial" w:hAnsi="Arial"/>
          <w:sz w:val="19"/>
          <w:szCs w:val="19"/>
          <w:color w:val="auto"/>
        </w:rPr>
        <w:t>If filing as a non-U.S. institution in accordance with Rule 13d-1(b)(1)(ii)(J), please specify the type of institution: ________________________________</w:t>
      </w:r>
    </w:p>
    <w:p>
      <w:pPr>
        <w:spacing w:after="0" w:line="160"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20"/>
          <w:szCs w:val="20"/>
          <w:b w:val="1"/>
          <w:bCs w:val="1"/>
          <w:color w:val="auto"/>
        </w:rPr>
        <w:t>OWNERSHIP</w:t>
      </w:r>
    </w:p>
    <w:p>
      <w:pPr>
        <w:spacing w:after="0" w:line="235" w:lineRule="exact"/>
        <w:rPr>
          <w:sz w:val="20"/>
          <w:szCs w:val="20"/>
          <w:color w:val="auto"/>
        </w:rPr>
      </w:pPr>
    </w:p>
    <w:p>
      <w:pPr>
        <w:ind w:left="1800" w:right="340"/>
        <w:spacing w:after="0" w:line="260" w:lineRule="auto"/>
        <w:rPr>
          <w:sz w:val="20"/>
          <w:szCs w:val="20"/>
          <w:color w:val="auto"/>
        </w:rPr>
      </w:pPr>
      <w:r>
        <w:rPr>
          <w:rFonts w:ascii="Arial" w:cs="Arial" w:eastAsia="Arial" w:hAnsi="Arial"/>
          <w:sz w:val="20"/>
          <w:szCs w:val="20"/>
          <w:color w:val="auto"/>
        </w:rPr>
        <w:t>The information required by Items 4(a) - (c) is set forth in Rows 5 - 11 of the cover page and is incorporated herein by reference.</w:t>
      </w:r>
    </w:p>
    <w:p>
      <w:pPr>
        <w:spacing w:after="0" w:line="190" w:lineRule="exact"/>
        <w:rPr>
          <w:sz w:val="20"/>
          <w:szCs w:val="20"/>
          <w:color w:val="auto"/>
        </w:rPr>
      </w:pPr>
    </w:p>
    <w:p>
      <w:pPr>
        <w:ind w:left="1800" w:right="320"/>
        <w:spacing w:after="0" w:line="246" w:lineRule="auto"/>
        <w:rPr>
          <w:sz w:val="20"/>
          <w:szCs w:val="20"/>
          <w:color w:val="auto"/>
        </w:rPr>
      </w:pPr>
      <w:r>
        <w:rPr>
          <w:rFonts w:ascii="Arial" w:cs="Arial" w:eastAsia="Arial" w:hAnsi="Arial"/>
          <w:sz w:val="20"/>
          <w:szCs w:val="20"/>
          <w:color w:val="auto"/>
        </w:rPr>
        <w:t>The percentage set forth in Row 11 of the cover page for the Reporting Person is calculated based upon 70,161,685 Ordinary Shares outstanding as of October 20, 2021, as reported in the Company's Quarterly Report on Form 10-Q for the quarterly period ended September 30, 2021 filed by the Company with the Securities and Exchange Commission on November 2, 2021.</w:t>
      </w:r>
    </w:p>
    <w:p>
      <w:pPr>
        <w:spacing w:after="0" w:line="199"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240"/>
          </w:cols>
          <w:pgMar w:left="320" w:top="229" w:right="339" w:bottom="1440" w:gutter="0" w:footer="0" w:header="0"/>
          <w:type w:val="continuous"/>
        </w:sectPr>
      </w:pPr>
    </w:p>
    <w:bookmarkStart w:id="4" w:name="page5"/>
    <w:bookmarkEnd w:id="4"/>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G48833118</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5 of 6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35" w:lineRule="exact"/>
        <w:rPr>
          <w:sz w:val="20"/>
          <w:szCs w:val="20"/>
          <w:color w:val="auto"/>
        </w:rPr>
      </w:pPr>
    </w:p>
    <w:p>
      <w:pPr>
        <w:ind w:left="1800" w:right="120"/>
        <w:spacing w:after="0" w:line="260" w:lineRule="auto"/>
        <w:rPr>
          <w:sz w:val="20"/>
          <w:szCs w:val="20"/>
          <w:color w:val="auto"/>
        </w:rPr>
      </w:pPr>
      <w:r>
        <w:rPr>
          <w:rFonts w:ascii="Arial" w:cs="Arial" w:eastAsia="Arial" w:hAnsi="Arial"/>
          <w:sz w:val="20"/>
          <w:szCs w:val="20"/>
          <w:color w:val="auto"/>
        </w:rPr>
        <w:t>See Item 2. The Oak Hill Funds have the right to receive or the power to direct the receipt of dividends from, or the proceeds from the sale of, the Ordinary Shares reported herein.</w:t>
      </w:r>
    </w:p>
    <w:p>
      <w:pPr>
        <w:spacing w:after="0" w:line="184" w:lineRule="exact"/>
        <w:rPr>
          <w:sz w:val="20"/>
          <w:szCs w:val="20"/>
          <w:color w:val="auto"/>
        </w:rPr>
      </w:pPr>
    </w:p>
    <w:p>
      <w:pPr>
        <w:ind w:left="1800" w:right="100" w:hanging="1686"/>
        <w:spacing w:after="0" w:line="267" w:lineRule="auto"/>
        <w:tabs>
          <w:tab w:leader="none" w:pos="17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 OR CONTROL PERSON</w:t>
      </w:r>
    </w:p>
    <w:p>
      <w:pPr>
        <w:spacing w:after="0" w:line="183"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240"/>
          </w:cols>
          <w:pgMar w:left="320" w:top="229" w:right="339" w:bottom="1440" w:gutter="0" w:footer="0" w:header="0"/>
          <w:type w:val="continuous"/>
        </w:sectPr>
      </w:pPr>
    </w:p>
    <w:bookmarkStart w:id="5" w:name="page6"/>
    <w:bookmarkEnd w:id="5"/>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G48833118</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6 of 6 Pages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14, 2022</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OAK HILL ADVISORS, L.P.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00" w:type="dxa"/>
            <w:vAlign w:val="bottom"/>
          </w:tcPr>
          <w:p>
            <w:pPr>
              <w:spacing w:after="0"/>
              <w:rPr>
                <w:sz w:val="20"/>
                <w:szCs w:val="20"/>
                <w:color w:val="auto"/>
              </w:rPr>
            </w:pPr>
            <w:r>
              <w:rPr>
                <w:rFonts w:ascii="Arial" w:cs="Arial" w:eastAsia="Arial" w:hAnsi="Arial"/>
                <w:sz w:val="20"/>
                <w:szCs w:val="20"/>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Glenn R. August</w:t>
            </w:r>
          </w:p>
        </w:tc>
      </w:tr>
      <w:tr>
        <w:trPr>
          <w:trHeight w:val="213"/>
        </w:trPr>
        <w:tc>
          <w:tcPr>
            <w:tcW w:w="800" w:type="dxa"/>
            <w:vAlign w:val="bottom"/>
          </w:tcPr>
          <w:p>
            <w:pPr>
              <w:spacing w:after="0" w:line="212" w:lineRule="exact"/>
              <w:rPr>
                <w:sz w:val="20"/>
                <w:szCs w:val="20"/>
                <w:color w:val="auto"/>
              </w:rPr>
            </w:pPr>
            <w:r>
              <w:rPr>
                <w:rFonts w:ascii="Arial" w:cs="Arial" w:eastAsia="Arial" w:hAnsi="Arial"/>
                <w:sz w:val="20"/>
                <w:szCs w:val="20"/>
                <w:color w:val="auto"/>
              </w:rPr>
              <w:t>Name:</w:t>
            </w:r>
          </w:p>
        </w:tc>
        <w:tc>
          <w:tcPr>
            <w:tcW w:w="4720" w:type="dxa"/>
            <w:vAlign w:val="bottom"/>
          </w:tcPr>
          <w:p>
            <w:pPr>
              <w:spacing w:after="0" w:line="212" w:lineRule="exact"/>
              <w:rPr>
                <w:sz w:val="20"/>
                <w:szCs w:val="20"/>
                <w:color w:val="auto"/>
              </w:rPr>
            </w:pPr>
            <w:r>
              <w:rPr>
                <w:rFonts w:ascii="Arial" w:cs="Arial" w:eastAsia="Arial" w:hAnsi="Arial"/>
                <w:sz w:val="20"/>
                <w:szCs w:val="20"/>
                <w:color w:val="auto"/>
              </w:rPr>
              <w:t>Glenn R. August</w:t>
            </w:r>
          </w:p>
        </w:tc>
      </w:tr>
      <w:tr>
        <w:trPr>
          <w:trHeight w:val="250"/>
        </w:trPr>
        <w:tc>
          <w:tcPr>
            <w:tcW w:w="800" w:type="dxa"/>
            <w:vAlign w:val="bottom"/>
          </w:tcPr>
          <w:p>
            <w:pPr>
              <w:spacing w:after="0"/>
              <w:rPr>
                <w:sz w:val="20"/>
                <w:szCs w:val="20"/>
                <w:color w:val="auto"/>
              </w:rPr>
            </w:pPr>
            <w:r>
              <w:rPr>
                <w:rFonts w:ascii="Arial" w:cs="Arial" w:eastAsia="Arial" w:hAnsi="Arial"/>
                <w:sz w:val="20"/>
                <w:szCs w:val="20"/>
                <w:color w:val="auto"/>
              </w:rPr>
              <w:t>Title:</w:t>
            </w:r>
          </w:p>
        </w:tc>
        <w:tc>
          <w:tcPr>
            <w:tcW w:w="4720" w:type="dxa"/>
            <w:vAlign w:val="bottom"/>
          </w:tcPr>
          <w:p>
            <w:pPr>
              <w:spacing w:after="0"/>
              <w:rPr>
                <w:sz w:val="20"/>
                <w:szCs w:val="20"/>
                <w:color w:val="auto"/>
              </w:rPr>
            </w:pPr>
            <w:r>
              <w:rPr>
                <w:rFonts w:ascii="Arial" w:cs="Arial" w:eastAsia="Arial" w:hAnsi="Arial"/>
                <w:sz w:val="20"/>
                <w:szCs w:val="20"/>
                <w:color w:val="auto"/>
              </w:rPr>
              <w:t>Authorized Signatory</w:t>
            </w:r>
          </w:p>
        </w:tc>
      </w:tr>
    </w:tbl>
    <w:p>
      <w:pPr>
        <w:spacing w:after="0" w:line="1" w:lineRule="exact"/>
        <w:rPr>
          <w:sz w:val="20"/>
          <w:szCs w:val="20"/>
          <w:color w:val="auto"/>
        </w:rPr>
      </w:pP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3"/>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2022-02-14T08:39:23Z</dcterms:created>
  <dcterms:modified xsi:type="dcterms:W3CDTF">2022-02-14T08:39:23Z</dcterms:modified>
</cp:coreProperties>
</file>