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25, 2019</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Weatherford International public limited company</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3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001-36504</w:t>
            </w:r>
          </w:p>
        </w:tc>
        <w:tc>
          <w:tcPr>
            <w:tcW w:w="38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98-0606750</w:t>
            </w:r>
          </w:p>
        </w:tc>
      </w:tr>
      <w:tr>
        <w:trPr>
          <w:trHeight w:val="54"/>
        </w:trPr>
        <w:tc>
          <w:tcPr>
            <w:tcW w:w="41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4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05"/>
        </w:trPr>
        <w:tc>
          <w:tcPr>
            <w:tcW w:w="75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Weststrasse 1, 6340 Baar, Switzerland</w:t>
            </w:r>
          </w:p>
        </w:tc>
        <w:tc>
          <w:tcPr>
            <w:tcW w:w="38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CH 6340</w:t>
            </w:r>
          </w:p>
        </w:tc>
      </w:tr>
      <w:tr>
        <w:trPr>
          <w:trHeight w:val="54"/>
        </w:trPr>
        <w:tc>
          <w:tcPr>
            <w:tcW w:w="7540" w:type="dxa"/>
            <w:vAlign w:val="bottom"/>
            <w:tcBorders>
              <w:bottom w:val="single" w:sz="8" w:color="auto"/>
            </w:tcBorders>
            <w:gridSpan w:val="2"/>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75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80"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+41.22.816.1500</w:t>
      </w:r>
    </w:p>
    <w:p>
      <w:pPr>
        <w:spacing w:after="0" w:line="158"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53975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320" w:lineRule="exact"/>
        <w:rPr>
          <w:sz w:val="24"/>
          <w:szCs w:val="24"/>
          <w:color w:val="auto"/>
        </w:rPr>
      </w:pPr>
    </w:p>
    <w:p>
      <w:pPr>
        <w:ind w:right="120"/>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8"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40"/>
        <w:spacing w:after="0"/>
        <w:tabs>
          <w:tab w:leader="none" w:pos="24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Times New Roman" w:cs="Times New Roman" w:eastAsia="Times New Roman" w:hAnsi="Times New Roman"/>
          <w:sz w:val="16"/>
          <w:szCs w:val="16"/>
          <w:color w:val="auto"/>
        </w:rPr>
        <w:t>o</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1051" w:right="239" w:bottom="1440" w:gutter="0" w:footer="0" w:header="0"/>
        </w:sectPr>
      </w:pPr>
    </w:p>
    <w:bookmarkStart w:id="1" w:name="page2"/>
    <w:bookmarkEnd w:id="1"/>
    <w:p>
      <w:pPr>
        <w:ind w:left="4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Items.</w:t>
      </w:r>
    </w:p>
    <w:p>
      <w:pPr>
        <w:spacing w:after="0" w:line="200" w:lineRule="exact"/>
        <w:rPr>
          <w:sz w:val="20"/>
          <w:szCs w:val="20"/>
          <w:color w:val="auto"/>
        </w:rPr>
      </w:pPr>
    </w:p>
    <w:p>
      <w:pPr>
        <w:spacing w:after="0" w:line="2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25, 2019, Weatherford International plc (“Weatherford”) issued a press release announcing the completion of the sale of two land drilling rigs that were relocated in Algeria and delivery of two idle land drilling rigs outside of Iraq. These transactions are the last in a series of transactions relating to the previously disclosed sale of Weatherford’s land drilling rig operations in Algeria, Kuwait and Saudi Arabia as well as two idle land rigs from Iraq, for an aggregate cash purchase price of $287.5 million (the “Transaction”). Weatherford has determined that none of the closings with respect to the land drilling rig operations in Algeria and the two idle land rigs from Iraq constituted a significant disposition for purposes of Item 2.01 of Form 8-K. A copy of the press release is filed as Exhibit 99.1 to this report and incorporated by reference herein.</w:t>
      </w: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was effected pursuant to purchase agreements, dated July 11, 2018, between a subsidiary of Weatherford and ADES International Holding PLC (collectively, the “Purchase Agreements”). The Purchase Agreements were filed as Exhibits 10.6 and 10.7 of Weatherford’s Form 10-Q filed on November 2, 2018, and are incorporated by reference herein.</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0" w:type="dxa"/>
            <w:vAlign w:val="bottom"/>
          </w:tcPr>
          <w:p>
            <w:pPr>
              <w:spacing w:after="0"/>
              <w:rPr>
                <w:sz w:val="20"/>
                <w:szCs w:val="20"/>
                <w:color w:val="auto"/>
              </w:rPr>
            </w:pPr>
          </w:p>
        </w:tc>
        <w:tc>
          <w:tcPr>
            <w:tcW w:w="9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86"/>
        </w:trPr>
        <w:tc>
          <w:tcPr>
            <w:tcW w:w="16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716"/>
        </w:trPr>
        <w:tc>
          <w:tcPr>
            <w:tcW w:w="16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4"/>
                <w:szCs w:val="24"/>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54"/>
        </w:trPr>
        <w:tc>
          <w:tcPr>
            <w:tcW w:w="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8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r>
      <w:tr>
        <w:trPr>
          <w:trHeight w:val="196"/>
        </w:trPr>
        <w:tc>
          <w:tcPr>
            <w:tcW w:w="600" w:type="dxa"/>
            <w:vAlign w:val="bottom"/>
          </w:tcPr>
          <w:p>
            <w:pPr>
              <w:spacing w:after="0"/>
              <w:rPr>
                <w:sz w:val="17"/>
                <w:szCs w:val="17"/>
                <w:color w:val="auto"/>
              </w:rPr>
            </w:pPr>
          </w:p>
        </w:tc>
        <w:tc>
          <w:tcPr>
            <w:tcW w:w="320" w:type="dxa"/>
            <w:vAlign w:val="bottom"/>
          </w:tcPr>
          <w:p>
            <w:pPr>
              <w:jc w:val="center"/>
              <w:spacing w:after="0" w:line="196" w:lineRule="exact"/>
              <w:rPr>
                <w:rFonts w:ascii="Times New Roman" w:cs="Times New Roman" w:eastAsia="Times New Roman" w:hAnsi="Times New Roman"/>
                <w:sz w:val="18"/>
                <w:szCs w:val="18"/>
                <w:color w:val="0000FF"/>
                <w:w w:val="95"/>
              </w:rPr>
            </w:pPr>
            <w:hyperlink w:anchor="page4">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
          </w:tcPr>
          <w:p>
            <w:pPr>
              <w:spacing w:after="0" w:line="19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Press release, dated March 25, 2019, announcing completed sale of land drilling rigs</w:t>
              </w:r>
            </w:hyperlink>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bl>
    <w:p>
      <w:pPr>
        <w:sectPr>
          <w:pgSz w:w="11900" w:h="16838" w:orient="portrait"/>
          <w:cols w:equalWidth="0" w:num="1">
            <w:col w:w="11420"/>
          </w:cols>
          <w:pgMar w:left="240" w:top="738" w:right="2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0" w:lineRule="exact"/>
        <w:rPr>
          <w:sz w:val="20"/>
          <w:szCs w:val="20"/>
          <w:color w:val="auto"/>
        </w:rPr>
      </w:pPr>
    </w:p>
    <w:p>
      <w:pPr>
        <w:ind w:right="60"/>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67" w:lineRule="exact"/>
        <w:rPr>
          <w:sz w:val="20"/>
          <w:szCs w:val="20"/>
          <w:color w:val="auto"/>
        </w:rPr>
      </w:pPr>
    </w:p>
    <w:p>
      <w:pPr>
        <w:ind w:left="140"/>
        <w:spacing w:after="0"/>
        <w:tabs>
          <w:tab w:leader="none" w:pos="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25, 2019</w:t>
      </w:r>
    </w:p>
    <w:p>
      <w:pPr>
        <w:spacing w:after="0" w:line="7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51435</wp:posOffset>
            </wp:positionV>
            <wp:extent cx="4013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84"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Christina M. Ibrahim</w:t>
      </w:r>
    </w:p>
    <w:p>
      <w:pPr>
        <w:spacing w:after="0" w:line="77"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7"/>
          <w:szCs w:val="17"/>
          <w:color w:val="auto"/>
        </w:rPr>
        <w:t>Executive Vice President, General Counsel, Chief Compliance Officer and Corporate</w:t>
      </w:r>
    </w:p>
    <w:p>
      <w:pPr>
        <w:spacing w:after="0" w:line="39"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280"/>
          </w:cols>
          <w:pgMar w:left="24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123190</wp:posOffset>
            </wp:positionV>
            <wp:extent cx="1637665"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6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Completes Sale of Land Drilling Rigs</w:t>
      </w:r>
    </w:p>
    <w:p>
      <w:pPr>
        <w:spacing w:after="0" w:line="2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BAAR, Switzerland, March 25, 2019 </w:t>
      </w:r>
      <w:r>
        <w:rPr>
          <w:rFonts w:ascii="Times New Roman" w:cs="Times New Roman" w:eastAsia="Times New Roman" w:hAnsi="Times New Roman"/>
          <w:sz w:val="18"/>
          <w:szCs w:val="18"/>
          <w:color w:val="auto"/>
        </w:rPr>
        <w:t>– Weatherford International plc (NYSE: WFT) (the “Company” or “Weatherford”) today announced it has completed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sale of two land drilling rigs that were relocated in Algeria and has delivered two idle land drilling rigs from Iraq. The Company received $10 million in cash for each of the land drilling rigs relocated in Algeria and an additional $12 million in cash for the delivery of two idle land drilling rigs outside of Iraq, for aggregate proceeds of $32 million.</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2018, a subsidiary of Weatherford signed definitive agreements with ADES International Holding PLC for the sale of Weatherford’s land drilling rig operations in Algeria, Kuwait and Saudi Arabia as well as two idle land rigs in Iraq, for an aggregate cash purchase price of $287.5 million (the “Transaction”). The Transaction includes 31 land drilling rigs and related drilling contracts, as well as approximately 2,300 employees and contract personnel.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transactions are the last in a series that were subject to regulatory approvals, consents and other customary closing conditions. In December 2018, the Company announced the closing of its Precision Drilling Services Saudi Arabia land drilling operations for $92.5 million in cash. In November 2018, the Company announced the closing of its Kuwait land drilling rigs sale for $123 million in cash, and an additional $12 million to be received in equal $6 million increments upon the delivery of two idle land drilling rigs from Iraq. In February 2019, the Company announced the completion of the sale of four contracted drilling rigs in Algeria for $40 million in cash. In total, the Company has received aggregate proceeds of $287.5 million that it has already used or intends to use to reduce its debt.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Weatherford</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1D1D1A"/>
        </w:rPr>
        <w:t xml:space="preserve">Weatherford is one of the largest multinational oilfield service companies providing innovative solutions, technology and services to the oil and gas industry. The Company operates in over 80 countries and has a network of approximately 700 locations, including manufacturing, service, research and development, and training facilities and employs approximately 26,500 people. For more information, visit </w:t>
      </w:r>
      <w:r>
        <w:rPr>
          <w:rFonts w:ascii="Times New Roman" w:cs="Times New Roman" w:eastAsia="Times New Roman" w:hAnsi="Times New Roman"/>
          <w:sz w:val="18"/>
          <w:szCs w:val="18"/>
          <w:u w:val="single" w:color="auto"/>
          <w:color w:val="2AA4A8"/>
        </w:rPr>
        <w:t>www.weatherford.com</w:t>
      </w:r>
      <w:r>
        <w:rPr>
          <w:rFonts w:ascii="Times New Roman" w:cs="Times New Roman" w:eastAsia="Times New Roman" w:hAnsi="Times New Roman"/>
          <w:sz w:val="18"/>
          <w:szCs w:val="18"/>
          <w:color w:val="1D1D1A"/>
        </w:rPr>
        <w:t xml:space="preserve"> and connect with Weatherford on </w:t>
      </w:r>
      <w:r>
        <w:rPr>
          <w:rFonts w:ascii="Times New Roman" w:cs="Times New Roman" w:eastAsia="Times New Roman" w:hAnsi="Times New Roman"/>
          <w:sz w:val="18"/>
          <w:szCs w:val="18"/>
          <w:u w:val="single" w:color="auto"/>
          <w:color w:val="2AA4A8"/>
        </w:rPr>
        <w:t>LinkedIn</w:t>
      </w:r>
      <w:r>
        <w:rPr>
          <w:rFonts w:ascii="Times New Roman" w:cs="Times New Roman" w:eastAsia="Times New Roman" w:hAnsi="Times New Roman"/>
          <w:sz w:val="18"/>
          <w:szCs w:val="18"/>
          <w:color w:val="1D1D1A"/>
        </w:rPr>
        <w:t xml:space="preserve">, </w:t>
      </w:r>
      <w:r>
        <w:rPr>
          <w:rFonts w:ascii="Times New Roman" w:cs="Times New Roman" w:eastAsia="Times New Roman" w:hAnsi="Times New Roman"/>
          <w:sz w:val="18"/>
          <w:szCs w:val="18"/>
          <w:u w:val="single" w:color="auto"/>
          <w:color w:val="2AA4A8"/>
        </w:rPr>
        <w:t>Facebook</w:t>
      </w:r>
      <w:r>
        <w:rPr>
          <w:rFonts w:ascii="Times New Roman" w:cs="Times New Roman" w:eastAsia="Times New Roman" w:hAnsi="Times New Roman"/>
          <w:sz w:val="18"/>
          <w:szCs w:val="18"/>
          <w:color w:val="1D1D1A"/>
        </w:rPr>
        <w:t xml:space="preserve">, </w:t>
      </w:r>
      <w:r>
        <w:rPr>
          <w:rFonts w:ascii="Times New Roman" w:cs="Times New Roman" w:eastAsia="Times New Roman" w:hAnsi="Times New Roman"/>
          <w:sz w:val="18"/>
          <w:szCs w:val="18"/>
          <w:u w:val="single" w:color="auto"/>
          <w:color w:val="2AA4A8"/>
        </w:rPr>
        <w:t>Twitter</w:t>
      </w:r>
      <w:r>
        <w:rPr>
          <w:rFonts w:ascii="Times New Roman" w:cs="Times New Roman" w:eastAsia="Times New Roman" w:hAnsi="Times New Roman"/>
          <w:sz w:val="18"/>
          <w:szCs w:val="18"/>
          <w:color w:val="1D1D1A"/>
        </w:rPr>
        <w:t xml:space="preserve"> and </w:t>
      </w:r>
      <w:r>
        <w:rPr>
          <w:rFonts w:ascii="Times New Roman" w:cs="Times New Roman" w:eastAsia="Times New Roman" w:hAnsi="Times New Roman"/>
          <w:sz w:val="18"/>
          <w:szCs w:val="18"/>
          <w:u w:val="single" w:color="auto"/>
          <w:color w:val="2AA4A8"/>
        </w:rPr>
        <w:t>YouTube</w:t>
      </w:r>
      <w:r>
        <w:rPr>
          <w:rFonts w:ascii="Times New Roman" w:cs="Times New Roman" w:eastAsia="Times New Roman" w:hAnsi="Times New Roman"/>
          <w:sz w:val="18"/>
          <w:szCs w:val="18"/>
          <w:color w:val="1D1D1A"/>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ADES International Holding</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1D1D1A"/>
        </w:rPr>
        <w:t xml:space="preserve">ADES International Holding extends oil and gas drilling and production services through its subsidiaries and is a leading service provider in the Middle East and North Africa, offering onshore and offshore </w:t>
      </w:r>
      <w:r>
        <w:rPr>
          <w:rFonts w:ascii="Times New Roman" w:cs="Times New Roman" w:eastAsia="Times New Roman" w:hAnsi="Times New Roman"/>
          <w:sz w:val="18"/>
          <w:szCs w:val="18"/>
          <w:color w:val="000000"/>
        </w:rPr>
        <w:t>contract</w:t>
      </w:r>
      <w:r>
        <w:rPr>
          <w:rFonts w:ascii="Times New Roman" w:cs="Times New Roman" w:eastAsia="Times New Roman" w:hAnsi="Times New Roman"/>
          <w:sz w:val="18"/>
          <w:szCs w:val="18"/>
          <w:color w:val="1D1D1A"/>
        </w:rPr>
        <w:t xml:space="preserve"> drilling as well as workover and production services. Its c.4,000 employees serve clients including major national oil companies (“NOCs”) such as Saudi Aramco and Kuwait Oil Company as well as joint ventures of NOCs with global majors including BP and Eni. While maintaining a superior health, safety and environmental record, the Group currently has a fleet of thirty four onshore drilling rigs, thirteen jack-up offshore drilling rigs, a jack-up barge, and a mobile offshore production unit (“MOPU”), which includes a floating storage and offloading unit. For more information, visit </w:t>
      </w:r>
      <w:r>
        <w:rPr>
          <w:rFonts w:ascii="Times New Roman" w:cs="Times New Roman" w:eastAsia="Times New Roman" w:hAnsi="Times New Roman"/>
          <w:sz w:val="18"/>
          <w:szCs w:val="18"/>
          <w:u w:val="single" w:color="auto"/>
          <w:color w:val="1D1D1A"/>
        </w:rPr>
        <w:t>investors.adihgroup.com</w:t>
      </w:r>
      <w:r>
        <w:rPr>
          <w:rFonts w:ascii="Times New Roman" w:cs="Times New Roman" w:eastAsia="Times New Roman" w:hAnsi="Times New Roman"/>
          <w:sz w:val="18"/>
          <w:szCs w:val="18"/>
          <w:color w:val="1D1D1A"/>
        </w:rPr>
        <w:t>.</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1D1D1A"/>
        </w:rPr>
        <w:t>This press release includes forward-looking statements as defined under federal law, including, but not limited to, those related to the sale transactions described in this press release and the use of proceeds therefrom.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forward looking statements and risk factors in the Company’s Annual Report on Form 10-K for the fiscal year ended December 31, 2018 and those risk factors set forth from time-to-time in other filings with the Securities and Exchange Commission. Weatherford undertakes no obligation to correct or update any forward-looking statement, whether as a result of new information, future events, or otherwise, except to the extent required under federal securities laws.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2920" w:type="dxa"/>
            <w:vAlign w:val="bottom"/>
          </w:tcPr>
          <w:p>
            <w:pPr>
              <w:spacing w:after="0"/>
              <w:rPr>
                <w:sz w:val="20"/>
                <w:szCs w:val="20"/>
                <w:color w:val="auto"/>
              </w:rPr>
            </w:pPr>
          </w:p>
        </w:tc>
      </w:tr>
      <w:tr>
        <w:trPr>
          <w:trHeight w:val="378"/>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Christoph Bausch</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+1.713.836.4615</w:t>
            </w:r>
          </w:p>
        </w:tc>
      </w:tr>
      <w:tr>
        <w:trPr>
          <w:trHeight w:val="270"/>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 Weatherford</w:t>
            </w:r>
          </w:p>
        </w:tc>
        <w:tc>
          <w:tcPr>
            <w:tcW w:w="2920" w:type="dxa"/>
            <w:vAlign w:val="bottom"/>
          </w:tcPr>
          <w:p>
            <w:pPr>
              <w:spacing w:after="0"/>
              <w:rPr>
                <w:sz w:val="23"/>
                <w:szCs w:val="23"/>
                <w:color w:val="auto"/>
              </w:rPr>
            </w:pPr>
          </w:p>
        </w:tc>
      </w:tr>
      <w:tr>
        <w:trPr>
          <w:trHeight w:val="540"/>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Karen David-Green</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+1.713.836.7430</w:t>
            </w:r>
          </w:p>
        </w:tc>
      </w:tr>
      <w:tr>
        <w:trPr>
          <w:trHeight w:val="270"/>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Stakeholder Engagement and Chief Marketing Officer, Weatherford</w:t>
            </w:r>
          </w:p>
        </w:tc>
        <w:tc>
          <w:tcPr>
            <w:tcW w:w="292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2019-12-28T14:06:28Z</dcterms:created>
  <dcterms:modified xsi:type="dcterms:W3CDTF">2019-12-28T14:06:28Z</dcterms:modified>
</cp:coreProperties>
</file>