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568960</wp:posOffset>
            </wp:positionH>
            <wp:positionV relativeFrom="page">
              <wp:posOffset>612140</wp:posOffset>
            </wp:positionV>
            <wp:extent cx="6835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35140" cy="8890"/>
                    </a:xfrm>
                    <a:prstGeom prst="rect">
                      <a:avLst/>
                    </a:prstGeom>
                    <a:noFill/>
                  </pic:spPr>
                </pic:pic>
              </a:graphicData>
            </a:graphic>
          </wp:anchor>
        </w:drawing>
        <w:t>UNITED STATES</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May 26, 2016</w:t>
      </w: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Weatherford International public limited company</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Ireland</w:t>
            </w:r>
          </w:p>
        </w:tc>
        <w:tc>
          <w:tcPr>
            <w:tcW w:w="3360" w:type="dxa"/>
            <w:vAlign w:val="bottom"/>
          </w:tcPr>
          <w:p>
            <w:pPr>
              <w:jc w:val="right"/>
              <w:ind w:right="1250"/>
              <w:spacing w:after="0"/>
              <w:rPr>
                <w:sz w:val="20"/>
                <w:szCs w:val="20"/>
                <w:color w:val="auto"/>
              </w:rPr>
            </w:pPr>
            <w:r>
              <w:rPr>
                <w:rFonts w:ascii="Arial" w:cs="Arial" w:eastAsia="Arial" w:hAnsi="Arial"/>
                <w:sz w:val="18"/>
                <w:szCs w:val="18"/>
                <w:b w:val="1"/>
                <w:bCs w:val="1"/>
                <w:color w:val="auto"/>
              </w:rPr>
              <w:t>001-36504</w:t>
            </w:r>
          </w:p>
        </w:tc>
        <w:tc>
          <w:tcPr>
            <w:tcW w:w="3880" w:type="dxa"/>
            <w:vAlign w:val="bottom"/>
          </w:tcPr>
          <w:p>
            <w:pPr>
              <w:jc w:val="center"/>
              <w:ind w:left="90"/>
              <w:spacing w:after="0"/>
              <w:rPr>
                <w:sz w:val="20"/>
                <w:szCs w:val="20"/>
                <w:color w:val="auto"/>
              </w:rPr>
            </w:pPr>
            <w:r>
              <w:rPr>
                <w:rFonts w:ascii="Arial" w:cs="Arial" w:eastAsia="Arial" w:hAnsi="Arial"/>
                <w:sz w:val="18"/>
                <w:szCs w:val="18"/>
                <w:b w:val="1"/>
                <w:bCs w:val="1"/>
                <w:color w:val="auto"/>
                <w:w w:val="89"/>
              </w:rPr>
              <w:t>98-0606750</w:t>
            </w:r>
          </w:p>
        </w:tc>
      </w:tr>
      <w:tr>
        <w:trPr>
          <w:trHeight w:val="54"/>
        </w:trPr>
        <w:tc>
          <w:tcPr>
            <w:tcW w:w="4180" w:type="dxa"/>
            <w:vAlign w:val="bottom"/>
            <w:tcBorders>
              <w:bottom w:val="single" w:sz="8" w:color="auto"/>
            </w:tcBorders>
          </w:tcPr>
          <w:p>
            <w:pPr>
              <w:spacing w:after="0"/>
              <w:rPr>
                <w:sz w:val="4"/>
                <w:szCs w:val="4"/>
                <w:color w:val="auto"/>
              </w:rPr>
            </w:pPr>
          </w:p>
        </w:tc>
        <w:tc>
          <w:tcPr>
            <w:tcW w:w="3360" w:type="dxa"/>
            <w:vAlign w:val="bottom"/>
            <w:tcBorders>
              <w:bottom w:val="single" w:sz="8" w:color="auto"/>
            </w:tcBorders>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r>
      <w:tr>
        <w:trPr>
          <w:trHeight w:val="237"/>
        </w:trPr>
        <w:tc>
          <w:tcPr>
            <w:tcW w:w="4180" w:type="dxa"/>
            <w:vAlign w:val="bottom"/>
          </w:tcPr>
          <w:p>
            <w:pPr>
              <w:jc w:val="center"/>
              <w:ind w:right="130"/>
              <w:spacing w:after="0"/>
              <w:rPr>
                <w:sz w:val="20"/>
                <w:szCs w:val="20"/>
                <w:color w:val="auto"/>
              </w:rPr>
            </w:pPr>
            <w:r>
              <w:rPr>
                <w:rFonts w:ascii="Arial" w:cs="Arial" w:eastAsia="Arial" w:hAnsi="Arial"/>
                <w:sz w:val="18"/>
                <w:szCs w:val="18"/>
                <w:color w:val="auto"/>
                <w:w w:val="92"/>
              </w:rPr>
              <w:t>(State or other jurisdiction of incorporation)</w:t>
            </w:r>
          </w:p>
        </w:tc>
        <w:tc>
          <w:tcPr>
            <w:tcW w:w="3360" w:type="dxa"/>
            <w:vAlign w:val="bottom"/>
          </w:tcPr>
          <w:p>
            <w:pPr>
              <w:jc w:val="center"/>
              <w:ind w:right="10"/>
              <w:spacing w:after="0"/>
              <w:rPr>
                <w:sz w:val="20"/>
                <w:szCs w:val="20"/>
                <w:color w:val="auto"/>
              </w:rPr>
            </w:pPr>
            <w:r>
              <w:rPr>
                <w:rFonts w:ascii="Arial" w:cs="Arial" w:eastAsia="Arial" w:hAnsi="Arial"/>
                <w:sz w:val="18"/>
                <w:szCs w:val="18"/>
                <w:color w:val="auto"/>
                <w:w w:val="92"/>
              </w:rPr>
              <w:t>(Commission File Number)</w:t>
            </w:r>
          </w:p>
        </w:tc>
        <w:tc>
          <w:tcPr>
            <w:tcW w:w="3880" w:type="dxa"/>
            <w:vAlign w:val="bottom"/>
          </w:tcPr>
          <w:p>
            <w:pPr>
              <w:jc w:val="center"/>
              <w:ind w:left="90"/>
              <w:spacing w:after="0"/>
              <w:rPr>
                <w:sz w:val="20"/>
                <w:szCs w:val="20"/>
                <w:color w:val="auto"/>
              </w:rPr>
            </w:pPr>
            <w:r>
              <w:rPr>
                <w:rFonts w:ascii="Arial" w:cs="Arial" w:eastAsia="Arial" w:hAnsi="Arial"/>
                <w:sz w:val="18"/>
                <w:szCs w:val="18"/>
                <w:color w:val="auto"/>
                <w:w w:val="94"/>
              </w:rPr>
              <w:t>(I.R.S. Employer Identification No.)</w:t>
            </w:r>
          </w:p>
        </w:tc>
      </w:tr>
      <w:tr>
        <w:trPr>
          <w:trHeight w:val="405"/>
        </w:trPr>
        <w:tc>
          <w:tcPr>
            <w:tcW w:w="754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89"/>
              </w:rPr>
              <w:t>Bahnhofstrasse 1, 6340 Baar, Switzerland</w:t>
            </w:r>
          </w:p>
        </w:tc>
        <w:tc>
          <w:tcPr>
            <w:tcW w:w="3880" w:type="dxa"/>
            <w:vAlign w:val="bottom"/>
          </w:tcPr>
          <w:p>
            <w:pPr>
              <w:jc w:val="center"/>
              <w:ind w:left="90"/>
              <w:spacing w:after="0"/>
              <w:rPr>
                <w:sz w:val="20"/>
                <w:szCs w:val="20"/>
                <w:color w:val="auto"/>
              </w:rPr>
            </w:pPr>
            <w:r>
              <w:rPr>
                <w:rFonts w:ascii="Arial" w:cs="Arial" w:eastAsia="Arial" w:hAnsi="Arial"/>
                <w:sz w:val="18"/>
                <w:szCs w:val="18"/>
                <w:b w:val="1"/>
                <w:bCs w:val="1"/>
                <w:color w:val="auto"/>
                <w:w w:val="92"/>
              </w:rPr>
              <w:t>CH 6340</w:t>
            </w:r>
          </w:p>
        </w:tc>
      </w:tr>
      <w:tr>
        <w:trPr>
          <w:trHeight w:val="54"/>
        </w:trPr>
        <w:tc>
          <w:tcPr>
            <w:tcW w:w="7540" w:type="dxa"/>
            <w:vAlign w:val="bottom"/>
            <w:tcBorders>
              <w:bottom w:val="single" w:sz="8" w:color="auto"/>
            </w:tcBorders>
            <w:gridSpan w:val="2"/>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r>
      <w:tr>
        <w:trPr>
          <w:trHeight w:val="237"/>
        </w:trPr>
        <w:tc>
          <w:tcPr>
            <w:tcW w:w="754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(Address of principal executive offices)</w:t>
            </w:r>
          </w:p>
        </w:tc>
        <w:tc>
          <w:tcPr>
            <w:tcW w:w="3880" w:type="dxa"/>
            <w:vAlign w:val="bottom"/>
          </w:tcPr>
          <w:p>
            <w:pPr>
              <w:jc w:val="center"/>
              <w:ind w:left="90"/>
              <w:spacing w:after="0"/>
              <w:rPr>
                <w:sz w:val="20"/>
                <w:szCs w:val="20"/>
                <w:color w:val="auto"/>
              </w:rPr>
            </w:pPr>
            <w:r>
              <w:rPr>
                <w:rFonts w:ascii="Arial" w:cs="Arial" w:eastAsia="Arial" w:hAnsi="Arial"/>
                <w:sz w:val="18"/>
                <w:szCs w:val="18"/>
                <w:color w:val="auto"/>
                <w:w w:val="91"/>
              </w:rPr>
              <w:t>(Zip Code)</w:t>
            </w:r>
          </w:p>
        </w:tc>
      </w:tr>
    </w:tbl>
    <w:p>
      <w:pPr>
        <w:spacing w:after="0" w:line="184"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58" w:lineRule="exact"/>
        <w:rPr>
          <w:sz w:val="24"/>
          <w:szCs w:val="24"/>
          <w:color w:val="auto"/>
        </w:rPr>
      </w:pPr>
    </w:p>
    <w:p>
      <w:pPr>
        <w:ind w:left="564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442595</wp:posOffset>
            </wp:positionH>
            <wp:positionV relativeFrom="paragraph">
              <wp:posOffset>51435</wp:posOffset>
            </wp:positionV>
            <wp:extent cx="64490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88"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320" w:lineRule="exact"/>
        <w:rPr>
          <w:sz w:val="24"/>
          <w:szCs w:val="24"/>
          <w:color w:val="auto"/>
        </w:rPr>
      </w:pPr>
    </w:p>
    <w:p>
      <w:pPr>
        <w:ind w:right="120"/>
        <w:spacing w:after="0" w:line="32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1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1" w:name="page2"/>
    <w:bookmarkEnd w:id="1"/>
    <w:p>
      <w:pPr>
        <w:ind w:left="80"/>
        <w:spacing w:after="0"/>
        <w:tabs>
          <w:tab w:leader="none" w:pos="15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Weatherford is pleased to announce that on May 26, 2016 it has signed a “Heads and Terms of Settlement” agreement with its customer containing the terms and conditions of the settlement on the Zubair early production facility construction contract located in Iraq.</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net settlement to be paid to Weatherford will be in the amount of $150.2 million. This amount includes variation order requests, claims for extension of time and payments of remaining contract milestones.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This Current Report on Form 8-K contains forward-looking statements within the meaning of the Private Securities Litigation Reform Act of 1995. Forward-looking statements are statements that do not represent historical facts and may be based on underlying assumptions. Weatherford International plc (the “Company”) uses words and phrases such as “will be,” expects,” “agreement,” and similar expressions to identify forward-looking statements in this report, including forward-looking statements regarding the Company settlement agreement. Such forward-looking statements are based on information available to the Company as of the date of this report and involve a number of risks and uncertainties, some beyond the Company’s control, that could cause actual results to differ materially from those anticipated by these forward-looking statements, including risks and uncertainties. such as: (i) the ability for a customer to make payments; (ii) ratification of the executed settlement agreement which is anticipated in the near future, and other risks described in the Company’s Annual Report on Form 10-K for the year ended December 31, 2015, and future filings and reports by the Company. These forward-looking statements should not be relied upon as representing the Company’s views as of any subsequent date, and the Company is under no obligation to, and expressly disclaims any responsibility to, update or alter its forward-looking statements, whether as a result of new information, future events or otherwise.</w:t>
      </w:r>
    </w:p>
    <w:p>
      <w:pPr>
        <w:sectPr>
          <w:pgSz w:w="11900" w:h="16838" w:orient="portrait"/>
          <w:cols w:equalWidth="0" w:num="1">
            <w:col w:w="11420"/>
          </w:cols>
          <w:pgMar w:left="240" w:top="918" w:right="239" w:bottom="1440" w:gutter="0" w:footer="0" w:header="0"/>
        </w:sectPr>
      </w:pPr>
    </w:p>
    <w:bookmarkStart w:id="2" w:name="page3"/>
    <w:bookmarkEnd w:id="2"/>
    <w:p>
      <w:pPr>
        <w:ind w:left="5180"/>
        <w:spacing w:after="0"/>
        <w:rPr>
          <w:sz w:val="20"/>
          <w:szCs w:val="20"/>
          <w:color w:val="auto"/>
        </w:rPr>
      </w:pPr>
      <w:r>
        <w:rPr>
          <w:rFonts w:ascii="Arial" w:cs="Arial" w:eastAsia="Arial" w:hAnsi="Arial"/>
          <w:sz w:val="18"/>
          <w:szCs w:val="18"/>
          <w:b w:val="1"/>
          <w:bCs w:val="1"/>
          <w:color w:val="auto"/>
        </w:rPr>
        <w:t>SIGNATURE</w:t>
      </w:r>
    </w:p>
    <w:p>
      <w:pPr>
        <w:spacing w:after="0" w:line="310" w:lineRule="exact"/>
        <w:rPr>
          <w:sz w:val="20"/>
          <w:szCs w:val="20"/>
          <w:color w:val="auto"/>
        </w:rPr>
      </w:pPr>
    </w:p>
    <w:p>
      <w:pPr>
        <w:ind w:firstLine="324"/>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Weatherford International plc</w:t>
      </w:r>
    </w:p>
    <w:p>
      <w:pPr>
        <w:spacing w:after="0" w:line="9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Date: May 26, 2016</w:t>
      </w:r>
    </w:p>
    <w:p>
      <w:pPr>
        <w:spacing w:after="0" w:line="90" w:lineRule="exact"/>
        <w:rPr>
          <w:sz w:val="20"/>
          <w:szCs w:val="20"/>
          <w:color w:val="auto"/>
        </w:rPr>
      </w:pPr>
    </w:p>
    <w:p>
      <w:pPr>
        <w:jc w:val="center"/>
        <w:ind w:left="4840"/>
        <w:spacing w:after="0"/>
        <w:rPr>
          <w:sz w:val="20"/>
          <w:szCs w:val="20"/>
          <w:color w:val="auto"/>
        </w:rPr>
      </w:pPr>
      <w:r>
        <w:rPr>
          <w:rFonts w:ascii="Arial" w:cs="Arial" w:eastAsia="Arial" w:hAnsi="Arial"/>
          <w:sz w:val="18"/>
          <w:szCs w:val="18"/>
          <w:color w:val="auto"/>
        </w:rPr>
        <w:t>/s/ Krishna Shivram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48895</wp:posOffset>
            </wp:positionV>
            <wp:extent cx="38760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111" w:lineRule="exact"/>
        <w:rPr>
          <w:sz w:val="20"/>
          <w:szCs w:val="20"/>
          <w:color w:val="auto"/>
        </w:rPr>
      </w:pPr>
    </w:p>
    <w:p>
      <w:pPr>
        <w:jc w:val="center"/>
        <w:ind w:left="4840"/>
        <w:spacing w:after="0"/>
        <w:rPr>
          <w:sz w:val="20"/>
          <w:szCs w:val="20"/>
          <w:color w:val="auto"/>
        </w:rPr>
      </w:pPr>
      <w:r>
        <w:rPr>
          <w:rFonts w:ascii="Arial" w:cs="Arial" w:eastAsia="Arial" w:hAnsi="Arial"/>
          <w:sz w:val="18"/>
          <w:szCs w:val="18"/>
          <w:color w:val="auto"/>
        </w:rPr>
        <w:t>Krishna Shivram</w:t>
      </w:r>
    </w:p>
    <w:p>
      <w:pPr>
        <w:spacing w:after="0" w:line="333" w:lineRule="exact"/>
        <w:rPr>
          <w:sz w:val="20"/>
          <w:szCs w:val="20"/>
          <w:color w:val="auto"/>
        </w:rPr>
      </w:pPr>
    </w:p>
    <w:p>
      <w:pPr>
        <w:jc w:val="center"/>
        <w:ind w:left="484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jc w:val="center"/>
        <w:ind w:left="48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0600"/>
      </w:cols>
      <w:pgMar w:left="240" w:top="607" w:right="10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2019-12-09T01:43:07Z</dcterms:created>
  <dcterms:modified xsi:type="dcterms:W3CDTF">2019-12-09T01:43:07Z</dcterms:modified>
</cp:coreProperties>
</file>