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294640</wp:posOffset>
            </wp:positionH>
            <wp:positionV relativeFrom="page">
              <wp:posOffset>620395</wp:posOffset>
            </wp:positionV>
            <wp:extent cx="69805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0555" cy="8890"/>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12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8-K</w:t>
      </w:r>
    </w:p>
    <w:p>
      <w:pPr>
        <w:spacing w:after="0" w:line="16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13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PURSUANT TO SECTION 13 OR 15(d) OF THE</w:t>
      </w:r>
    </w:p>
    <w:p>
      <w:pPr>
        <w:spacing w:after="0" w:line="108"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SECURITIES EXCHANGE ACT OF 1934</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May 17, 2019</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u w:val="single" w:color="auto"/>
          <w:color w:val="auto"/>
        </w:rPr>
        <w:t>Weatherford International public limited company</w:t>
      </w:r>
    </w:p>
    <w:p>
      <w:pPr>
        <w:spacing w:after="0" w:line="15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322" w:lineRule="exact"/>
        <w:rPr>
          <w:sz w:val="24"/>
          <w:szCs w:val="24"/>
          <w:color w:val="auto"/>
        </w:rPr>
      </w:pPr>
    </w:p>
    <w:tbl>
      <w:tblPr>
        <w:tblLayout w:type="fixed"/>
        <w:tblInd w:w="220" w:type="dxa"/>
        <w:tblCellMar>
          <w:top w:w="0" w:type="dxa"/>
          <w:left w:w="0" w:type="dxa"/>
          <w:bottom w:w="0" w:type="dxa"/>
          <w:right w:w="0" w:type="dxa"/>
        </w:tblCellMar>
      </w:tblPr>
      <w:tr>
        <w:trPr>
          <w:trHeight w:val="234"/>
        </w:trPr>
        <w:tc>
          <w:tcPr>
            <w:tcW w:w="4000" w:type="dxa"/>
            <w:vAlign w:val="bottom"/>
          </w:tcPr>
          <w:p>
            <w:pPr>
              <w:jc w:val="center"/>
              <w:ind w:right="190"/>
              <w:spacing w:after="0"/>
              <w:rPr>
                <w:sz w:val="20"/>
                <w:szCs w:val="20"/>
                <w:color w:val="auto"/>
              </w:rPr>
            </w:pPr>
            <w:r>
              <w:rPr>
                <w:rFonts w:ascii="Arial" w:cs="Arial" w:eastAsia="Arial" w:hAnsi="Arial"/>
                <w:sz w:val="18"/>
                <w:szCs w:val="18"/>
                <w:b w:val="1"/>
                <w:bCs w:val="1"/>
                <w:color w:val="auto"/>
                <w:w w:val="94"/>
              </w:rPr>
              <w:t>Ireland</w:t>
            </w:r>
          </w:p>
        </w:tc>
        <w:tc>
          <w:tcPr>
            <w:tcW w:w="3240" w:type="dxa"/>
            <w:vAlign w:val="bottom"/>
          </w:tcPr>
          <w:p>
            <w:pPr>
              <w:jc w:val="right"/>
              <w:ind w:right="1210"/>
              <w:spacing w:after="0"/>
              <w:rPr>
                <w:sz w:val="20"/>
                <w:szCs w:val="20"/>
                <w:color w:val="auto"/>
              </w:rPr>
            </w:pPr>
            <w:r>
              <w:rPr>
                <w:rFonts w:ascii="Arial" w:cs="Arial" w:eastAsia="Arial" w:hAnsi="Arial"/>
                <w:sz w:val="18"/>
                <w:szCs w:val="18"/>
                <w:b w:val="1"/>
                <w:bCs w:val="1"/>
                <w:color w:val="auto"/>
              </w:rPr>
              <w:t>001-36504</w:t>
            </w:r>
          </w:p>
        </w:tc>
        <w:tc>
          <w:tcPr>
            <w:tcW w:w="376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jc w:val="center"/>
              <w:ind w:right="190"/>
              <w:spacing w:after="0"/>
              <w:rPr>
                <w:sz w:val="20"/>
                <w:szCs w:val="20"/>
                <w:color w:val="auto"/>
              </w:rPr>
            </w:pPr>
            <w:r>
              <w:rPr>
                <w:rFonts w:ascii="Arial" w:cs="Arial" w:eastAsia="Arial" w:hAnsi="Arial"/>
                <w:sz w:val="18"/>
                <w:szCs w:val="18"/>
                <w:color w:val="auto"/>
                <w:w w:val="92"/>
              </w:rPr>
              <w:t>(State or other jurisdiction of incorporation)</w:t>
            </w:r>
          </w:p>
        </w:tc>
        <w:tc>
          <w:tcPr>
            <w:tcW w:w="3240" w:type="dxa"/>
            <w:vAlign w:val="bottom"/>
          </w:tcPr>
          <w:p>
            <w:pPr>
              <w:jc w:val="center"/>
              <w:ind w:right="50"/>
              <w:spacing w:after="0"/>
              <w:rPr>
                <w:sz w:val="20"/>
                <w:szCs w:val="20"/>
                <w:color w:val="auto"/>
              </w:rPr>
            </w:pPr>
            <w:r>
              <w:rPr>
                <w:rFonts w:ascii="Arial" w:cs="Arial" w:eastAsia="Arial" w:hAnsi="Arial"/>
                <w:sz w:val="18"/>
                <w:szCs w:val="18"/>
                <w:color w:val="auto"/>
                <w:w w:val="92"/>
              </w:rPr>
              <w:t>(Commission File Number)</w:t>
            </w:r>
          </w:p>
        </w:tc>
        <w:tc>
          <w:tcPr>
            <w:tcW w:w="37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(IRS Employer Identification No.)</w:t>
            </w:r>
          </w:p>
        </w:tc>
      </w:tr>
      <w:tr>
        <w:trPr>
          <w:trHeight w:val="405"/>
        </w:trPr>
        <w:tc>
          <w:tcPr>
            <w:tcW w:w="724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88"/>
              </w:rPr>
              <w:t>Weststrasse 1, 6340 Baar, Switzerland</w:t>
            </w:r>
          </w:p>
        </w:tc>
        <w:tc>
          <w:tcPr>
            <w:tcW w:w="378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7240" w:type="dxa"/>
            <w:vAlign w:val="bottom"/>
            <w:tcBorders>
              <w:bottom w:val="single" w:sz="8" w:color="auto"/>
            </w:tcBorders>
            <w:gridSpan w:val="2"/>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24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(Address of principal executive offices)</w:t>
            </w:r>
          </w:p>
        </w:tc>
        <w:tc>
          <w:tcPr>
            <w:tcW w:w="37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(Zip Code)</w:t>
            </w:r>
          </w:p>
        </w:tc>
      </w:tr>
    </w:tbl>
    <w:p>
      <w:pPr>
        <w:spacing w:after="0" w:line="11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562610</wp:posOffset>
            </wp:positionH>
            <wp:positionV relativeFrom="paragraph">
              <wp:posOffset>334645</wp:posOffset>
            </wp:positionV>
            <wp:extent cx="6217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17285"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6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7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0" w:lineRule="exact"/>
        <w:rPr>
          <w:sz w:val="24"/>
          <w:szCs w:val="24"/>
          <w:color w:val="auto"/>
        </w:rPr>
      </w:pPr>
    </w:p>
    <w:tbl>
      <w:tblPr>
        <w:tblLayout w:type="fixed"/>
        <w:tblInd w:w="100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3560" w:type="dxa"/>
            <w:vAlign w:val="bottom"/>
            <w:gridSpan w:val="2"/>
          </w:tcPr>
          <w:p>
            <w:pPr>
              <w:jc w:val="center"/>
              <w:ind w:right="2480"/>
              <w:spacing w:after="0"/>
              <w:rPr>
                <w:sz w:val="20"/>
                <w:szCs w:val="20"/>
                <w:color w:val="auto"/>
              </w:rPr>
            </w:pPr>
            <w:r>
              <w:rPr>
                <w:rFonts w:ascii="Arial" w:cs="Arial" w:eastAsia="Arial" w:hAnsi="Arial"/>
                <w:sz w:val="14"/>
                <w:szCs w:val="14"/>
                <w:b w:val="1"/>
                <w:bCs w:val="1"/>
                <w:color w:val="auto"/>
                <w:w w:val="89"/>
              </w:rPr>
              <w:t>Title of each class</w:t>
            </w:r>
          </w:p>
        </w:tc>
        <w:tc>
          <w:tcPr>
            <w:tcW w:w="240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94"/>
              </w:rPr>
              <w:t>Trading Symbol</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7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52"/>
        </w:trPr>
        <w:tc>
          <w:tcPr>
            <w:tcW w:w="4280" w:type="dxa"/>
            <w:vAlign w:val="bottom"/>
            <w:gridSpan w:val="3"/>
          </w:tcPr>
          <w:p>
            <w:pPr>
              <w:jc w:val="center"/>
              <w:ind w:right="1740"/>
              <w:spacing w:after="0"/>
              <w:rPr>
                <w:sz w:val="20"/>
                <w:szCs w:val="20"/>
                <w:color w:val="auto"/>
              </w:rPr>
            </w:pPr>
            <w:r>
              <w:rPr>
                <w:rFonts w:ascii="Arial" w:cs="Arial" w:eastAsia="Arial" w:hAnsi="Arial"/>
                <w:sz w:val="14"/>
                <w:szCs w:val="14"/>
                <w:color w:val="auto"/>
                <w:w w:val="91"/>
              </w:rPr>
              <w:t>Ordinary Shares, par value $0.001 per share</w:t>
            </w:r>
          </w:p>
        </w:tc>
        <w:tc>
          <w:tcPr>
            <w:tcW w:w="2400" w:type="dxa"/>
            <w:vAlign w:val="bottom"/>
            <w:gridSpan w:val="2"/>
          </w:tcPr>
          <w:p>
            <w:pPr>
              <w:jc w:val="center"/>
              <w:ind w:right="1400"/>
              <w:spacing w:after="0"/>
              <w:rPr>
                <w:sz w:val="20"/>
                <w:szCs w:val="20"/>
                <w:color w:val="auto"/>
              </w:rPr>
            </w:pPr>
            <w:r>
              <w:rPr>
                <w:rFonts w:ascii="Arial" w:cs="Arial" w:eastAsia="Arial" w:hAnsi="Arial"/>
                <w:sz w:val="14"/>
                <w:szCs w:val="14"/>
                <w:color w:val="auto"/>
              </w:rPr>
              <w:t>WFT</w:t>
            </w:r>
          </w:p>
        </w:tc>
        <w:tc>
          <w:tcPr>
            <w:tcW w:w="268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bl>
    <w:p>
      <w:pPr>
        <w:spacing w:after="0" w:line="160"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65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66"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142240</wp:posOffset>
            </wp:positionH>
            <wp:positionV relativeFrom="paragraph">
              <wp:posOffset>425450</wp:posOffset>
            </wp:positionV>
            <wp:extent cx="6980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0555" cy="8890"/>
                    </a:xfrm>
                    <a:prstGeom prst="rect">
                      <a:avLst/>
                    </a:prstGeom>
                    <a:noFill/>
                  </pic:spPr>
                </pic:pic>
              </a:graphicData>
            </a:graphic>
          </wp:anchor>
        </w:drawing>
      </w:r>
    </w:p>
    <w:p>
      <w:pPr>
        <w:sectPr>
          <w:pgSz w:w="11900" w:h="16838" w:orient="portrait"/>
          <w:cols w:equalWidth="0" w:num="1">
            <w:col w:w="11360"/>
          </w:cols>
          <w:pgMar w:left="240" w:top="1066" w:right="29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Material Definitive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Restructuring Support Agreement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previously announced, on May 10, 2019, Weatherford International plc, Weatherford International Ltd., and Weatherford International, LLC (collectively, the “</w:t>
      </w:r>
      <w:r>
        <w:rPr>
          <w:rFonts w:ascii="Arial" w:cs="Arial" w:eastAsia="Arial" w:hAnsi="Arial"/>
          <w:sz w:val="16"/>
          <w:szCs w:val="16"/>
          <w:u w:val="single" w:color="auto"/>
          <w:color w:val="auto"/>
        </w:rPr>
        <w:t>Weatherford RSA Parties,</w:t>
      </w:r>
      <w:r>
        <w:rPr>
          <w:rFonts w:ascii="Arial" w:cs="Arial" w:eastAsia="Arial" w:hAnsi="Arial"/>
          <w:sz w:val="16"/>
          <w:szCs w:val="16"/>
          <w:color w:val="auto"/>
        </w:rPr>
        <w:t>” and the Weatherford RSA Parties, together with their direct and indirect subsidiaries, the “</w:t>
      </w:r>
      <w:r>
        <w:rPr>
          <w:rFonts w:ascii="Arial" w:cs="Arial" w:eastAsia="Arial" w:hAnsi="Arial"/>
          <w:sz w:val="16"/>
          <w:szCs w:val="16"/>
          <w:u w:val="single" w:color="auto"/>
          <w:color w:val="auto"/>
        </w:rPr>
        <w:t>Company</w:t>
      </w:r>
      <w:r>
        <w:rPr>
          <w:rFonts w:ascii="Arial" w:cs="Arial" w:eastAsia="Arial" w:hAnsi="Arial"/>
          <w:sz w:val="16"/>
          <w:szCs w:val="16"/>
          <w:color w:val="auto"/>
        </w:rPr>
        <w:t>”) entered into a Restructuring Support Agreement (the “</w:t>
      </w:r>
      <w:r>
        <w:rPr>
          <w:rFonts w:ascii="Arial" w:cs="Arial" w:eastAsia="Arial" w:hAnsi="Arial"/>
          <w:sz w:val="16"/>
          <w:szCs w:val="16"/>
          <w:u w:val="single" w:color="auto"/>
          <w:color w:val="auto"/>
        </w:rPr>
        <w:t>RSA</w:t>
      </w:r>
      <w:r>
        <w:rPr>
          <w:rFonts w:ascii="Arial" w:cs="Arial" w:eastAsia="Arial" w:hAnsi="Arial"/>
          <w:sz w:val="16"/>
          <w:szCs w:val="16"/>
          <w:color w:val="auto"/>
        </w:rPr>
        <w:t>”) with holders of approximately 62% in aggregate principal amount of the Company’s outstanding unsecured notes (the “</w:t>
      </w:r>
      <w:r>
        <w:rPr>
          <w:rFonts w:ascii="Arial" w:cs="Arial" w:eastAsia="Arial" w:hAnsi="Arial"/>
          <w:sz w:val="16"/>
          <w:szCs w:val="16"/>
          <w:u w:val="single" w:color="auto"/>
          <w:color w:val="auto"/>
        </w:rPr>
        <w:t>Consenting Creditors</w:t>
      </w:r>
      <w:r>
        <w:rPr>
          <w:rFonts w:ascii="Arial" w:cs="Arial" w:eastAsia="Arial" w:hAnsi="Arial"/>
          <w:sz w:val="16"/>
          <w:szCs w:val="16"/>
          <w:color w:val="auto"/>
        </w:rPr>
        <w:t>”). The RSA sets forth the principal terms of a proposed financial restructuring (the “</w:t>
      </w:r>
      <w:r>
        <w:rPr>
          <w:rFonts w:ascii="Arial" w:cs="Arial" w:eastAsia="Arial" w:hAnsi="Arial"/>
          <w:sz w:val="16"/>
          <w:szCs w:val="16"/>
          <w:u w:val="single" w:color="auto"/>
          <w:color w:val="auto"/>
        </w:rPr>
        <w:t>Transaction</w:t>
      </w:r>
      <w:r>
        <w:rPr>
          <w:rFonts w:ascii="Arial" w:cs="Arial" w:eastAsia="Arial" w:hAnsi="Arial"/>
          <w:sz w:val="16"/>
          <w:szCs w:val="16"/>
          <w:color w:val="auto"/>
        </w:rPr>
        <w:t>”) of the Company, which is to be implemented through a prepackaged chapter 11 plan of reorganization to be proposed in cases to be commenced by the Weatherford RSA Parties under Title 11 of the United States Code, and a scheme of arrangement to be proposed in an examinership proceeding to be commenced by Weatherford International plc under the laws of Ireland (the U.S. and Irish proceedings, collectively, the “</w:t>
      </w:r>
      <w:r>
        <w:rPr>
          <w:rFonts w:ascii="Arial" w:cs="Arial" w:eastAsia="Arial" w:hAnsi="Arial"/>
          <w:sz w:val="16"/>
          <w:szCs w:val="16"/>
          <w:u w:val="single" w:color="auto"/>
          <w:color w:val="auto"/>
        </w:rPr>
        <w:t>Cases</w:t>
      </w:r>
      <w:r>
        <w:rPr>
          <w:rFonts w:ascii="Arial" w:cs="Arial" w:eastAsia="Arial" w:hAnsi="Arial"/>
          <w:sz w:val="16"/>
          <w:szCs w:val="16"/>
          <w:color w:val="auto"/>
        </w:rPr>
        <w:t>”). The principal terms of the Transaction are described in Registrant’s Form 8-K filed on May 13, 2019, to which the RSA and exhibits to the RSA are attached as Exhibit 10.1.</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Since the date of execution of the RSA, additional Consenting Creditors have become party to the RSA, and the Consenting Creditors party to the RSA as of the date hereof collectively hold in excess of 74% in aggregate principal amount of the Company’s outstanding unsecured notes. The Weatherford RSA Parties and Consenting Creditors are in the process of negotiating definitive documentation relating to the Transaction, including, as previously disclosed in the Company’s Form 8-K filed on May 13, 2019, commitments for the debtor-in-possession financing facilities contemplated by the RSA.</w:t>
      </w:r>
    </w:p>
    <w:p>
      <w:pPr>
        <w:spacing w:after="0" w:line="15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Certain statements in this Item 1.01 are forward-looking statements. In addition, our management may from time to time make oral forward-looking statements. All statements, other than statements of historical facts, are forward-looking statements. Forward-looking statements may be identified by the words “believe,” “expect,” “anticipate,” “project,” “plan,” “estimate,” “may,” “will,” “could,” “should,” “seek” or “intend” and similar expressions. Forward-looking statements reflect our current expectations and assumptions regarding our business, the economy and other future events and conditions and are based on currently available financial, economic and competitive data and our current business plans. Actual results could vary materially depending on risks and uncertainties that may affect our operations, markets, services, prices and other factors as discussed in the Risk Factors section of our other filings with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While we believe our assumptions are reasonable, we caution you against relying on any forward-looking statements as it is very difficult to predict the impact of known factors, and it is impossible for us to anticipate all factors that could affect our actual results. Important factors that could cause actual results to differ materially from those in the forward-looking statements include, but are not limited to, the ability to confirm and consummate a plan of reorganization in accordance with the terms of the RSA; risks attendant to the bankruptcy process, including our ability to obtain court approvals with respect to motions filed in the Cases, the outcomes of court rulings and the Cases in general and the length of time that we may be required to operate in bankruptcy; the effectiveness of the overall restructuring activities pursuant to the Cases and any additional strategies that we may employ to address our liquidity and capital resources; the actions and decisions of creditors, regulators and other third parties that have an interest in the Cases, which may interfere with the ability to confirm and consummate a plan of reorganization; restrictions on us due to the terms of any debtor-in-possession credit facility that we will enter into in connection with the Cases and restrictions imposed by the applicable courts; our ability to achieve our forecasted revenue and pro forma leverage ratio and generate free cash flow to further reduce our indebtedness; a weakening of global economic and financial conditions, changes in governmental regulations and related compliance and litigation costs and the other factors listed in our SEC filings. For a more detailed discussion of these and other risk factors, see the Risk Factors section in our most recent Annual Report on Form 10-K and Quarterly Report on Form 10-Q and our other filings made with the SEC. All forward-looking statements are expressly qualified in their entirety by this cautionary notice. The forward-looking statements made by us speak only as of the date on which they are made. Factors or events that could cause our actual results to differ may emerge from time to time. We undertake no obligation to publicly update or revise any forward-looking statement as a result of new information, future events or otherwise, except as otherwise required by law.</w:t>
      </w:r>
    </w:p>
    <w:p>
      <w:pPr>
        <w:sectPr>
          <w:pgSz w:w="11900" w:h="16838" w:orient="portrait"/>
          <w:cols w:equalWidth="0" w:num="1">
            <w:col w:w="11420"/>
          </w:cols>
          <w:pgMar w:left="240" w:top="580" w:right="239" w:bottom="1440" w:gutter="0" w:footer="0" w:header="0"/>
        </w:sectPr>
      </w:pPr>
    </w:p>
    <w:bookmarkStart w:id="2" w:name="page3"/>
    <w:bookmarkEnd w:id="2"/>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May 17, 2019, the Company issued a press release announcing additional Consenting Creditors have become party to the RSA, and the Consenting Creditors party to the RSA as of the date hereof collectively hold in excess of 74% in aggregate principal amount of the Company’s outstanding unsecured notes. A copy of the press release is attached as Exhibit 99.1 hereto and is incorporated by reference herein.</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information contained in this Item 7.01, including in Exhibit 99.1, shall not be deemed to be “filed” for purposes of Section 18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or otherwise subject to the liabilities of that section, and shall not be deemed to be incorporated by reference into any of the Company’s filings under the Securities Act of 1933 or the Exchange Act, whether made before or after the date hereof and regardless of any general incorporation language in such filings, except to the extent expressly set forth by specific reference in such a filing.</w:t>
      </w:r>
    </w:p>
    <w:p>
      <w:pPr>
        <w:spacing w:after="0" w:line="15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420"/>
        <w:spacing w:after="0"/>
        <w:tabs>
          <w:tab w:leader="none" w:pos="7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4"/>
              </w:rPr>
              <w:t>Exhibit Number</w:t>
            </w:r>
          </w:p>
        </w:tc>
        <w:tc>
          <w:tcPr>
            <w:tcW w:w="9800" w:type="dxa"/>
            <w:vAlign w:val="bottom"/>
          </w:tcPr>
          <w:p>
            <w:pPr>
              <w:ind w:left="40"/>
              <w:spacing w:after="0"/>
              <w:rPr>
                <w:sz w:val="20"/>
                <w:szCs w:val="20"/>
                <w:color w:val="auto"/>
              </w:rPr>
            </w:pPr>
            <w:r>
              <w:rPr>
                <w:rFonts w:ascii="Arial" w:cs="Arial" w:eastAsia="Arial" w:hAnsi="Arial"/>
                <w:sz w:val="18"/>
                <w:szCs w:val="18"/>
                <w:b w:val="1"/>
                <w:bCs w:val="1"/>
                <w:color w:val="auto"/>
              </w:rPr>
              <w:t>Exhibit Description</w:t>
            </w:r>
          </w:p>
        </w:tc>
      </w:tr>
      <w:tr>
        <w:trPr>
          <w:trHeight w:val="54"/>
        </w:trPr>
        <w:tc>
          <w:tcPr>
            <w:tcW w:w="6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800" w:type="dxa"/>
            <w:vAlign w:val="bottom"/>
            <w:tcBorders>
              <w:bottom w:val="single" w:sz="8" w:color="auto"/>
            </w:tcBorders>
          </w:tcPr>
          <w:p>
            <w:pPr>
              <w:spacing w:after="0"/>
              <w:rPr>
                <w:sz w:val="4"/>
                <w:szCs w:val="4"/>
                <w:color w:val="auto"/>
              </w:rPr>
            </w:pPr>
          </w:p>
        </w:tc>
      </w:tr>
      <w:tr>
        <w:trPr>
          <w:trHeight w:val="196"/>
        </w:trPr>
        <w:tc>
          <w:tcPr>
            <w:tcW w:w="600" w:type="dxa"/>
            <w:vAlign w:val="bottom"/>
          </w:tcPr>
          <w:p>
            <w:pPr>
              <w:spacing w:after="0"/>
              <w:rPr>
                <w:sz w:val="17"/>
                <w:szCs w:val="17"/>
                <w:color w:val="auto"/>
              </w:rPr>
            </w:pPr>
          </w:p>
        </w:tc>
        <w:tc>
          <w:tcPr>
            <w:tcW w:w="320" w:type="dxa"/>
            <w:vAlign w:val="bottom"/>
            <w:tcBorders>
              <w:bottom w:val="single" w:sz="8" w:color="0000FF"/>
            </w:tcBorders>
          </w:tcPr>
          <w:p>
            <w:pPr>
              <w:jc w:val="center"/>
              <w:spacing w:after="0" w:line="196" w:lineRule="exact"/>
              <w:rPr>
                <w:rFonts w:ascii="Arial" w:cs="Arial" w:eastAsia="Arial" w:hAnsi="Arial"/>
                <w:sz w:val="18"/>
                <w:szCs w:val="18"/>
                <w:color w:val="0000FF"/>
                <w:w w:val="85"/>
              </w:rPr>
            </w:pPr>
            <w:hyperlink w:anchor="page5">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Pr>
          <w:p>
            <w:pPr>
              <w:ind w:left="20"/>
              <w:spacing w:after="0" w:line="196" w:lineRule="exact"/>
              <w:rPr>
                <w:sz w:val="20"/>
                <w:szCs w:val="20"/>
                <w:color w:val="auto"/>
              </w:rPr>
            </w:pPr>
            <w:r>
              <w:rPr>
                <w:rFonts w:ascii="Arial" w:cs="Arial" w:eastAsia="Arial" w:hAnsi="Arial"/>
                <w:sz w:val="18"/>
                <w:szCs w:val="18"/>
                <w:color w:val="auto"/>
              </w:rPr>
              <w:t>Press release, dated May 17, 2019.</w:t>
            </w:r>
          </w:p>
        </w:tc>
      </w:tr>
    </w:tbl>
    <w:p>
      <w:pPr>
        <w:sectPr>
          <w:pgSz w:w="11900" w:h="16838" w:orient="portrait"/>
          <w:cols w:equalWidth="0" w:num="1">
            <w:col w:w="11420"/>
          </w:cols>
          <w:pgMar w:left="240" w:top="580" w:right="2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310" w:lineRule="exact"/>
        <w:rPr>
          <w:sz w:val="20"/>
          <w:szCs w:val="20"/>
          <w:color w:val="auto"/>
        </w:rPr>
      </w:pPr>
    </w:p>
    <w:p>
      <w:pPr>
        <w:ind w:right="140"/>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8"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6320" w:type="dxa"/>
            <w:vAlign w:val="bottom"/>
          </w:tcPr>
          <w:p>
            <w:pPr>
              <w:jc w:val="center"/>
              <w:spacing w:after="0"/>
              <w:rPr>
                <w:sz w:val="20"/>
                <w:szCs w:val="20"/>
                <w:color w:val="auto"/>
              </w:rPr>
            </w:pPr>
            <w:r>
              <w:rPr>
                <w:rFonts w:ascii="Arial" w:cs="Arial" w:eastAsia="Arial" w:hAnsi="Arial"/>
                <w:sz w:val="18"/>
                <w:szCs w:val="18"/>
                <w:b w:val="1"/>
                <w:bCs w:val="1"/>
                <w:color w:val="auto"/>
                <w:w w:val="92"/>
              </w:rPr>
              <w:t>Weatherford International plc</w:t>
            </w:r>
          </w:p>
        </w:tc>
        <w:tc>
          <w:tcPr>
            <w:tcW w:w="0" w:type="dxa"/>
            <w:vAlign w:val="bottom"/>
          </w:tcPr>
          <w:p>
            <w:pPr>
              <w:spacing w:after="0"/>
              <w:rPr>
                <w:sz w:val="1"/>
                <w:szCs w:val="1"/>
                <w:color w:val="auto"/>
              </w:rPr>
            </w:pPr>
          </w:p>
        </w:tc>
      </w:tr>
      <w:tr>
        <w:trPr>
          <w:trHeight w:val="284"/>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340" w:type="dxa"/>
            <w:vAlign w:val="bottom"/>
          </w:tcPr>
          <w:p>
            <w:pPr>
              <w:jc w:val="right"/>
              <w:ind w:right="3050"/>
              <w:spacing w:after="0"/>
              <w:rPr>
                <w:sz w:val="20"/>
                <w:szCs w:val="20"/>
                <w:color w:val="auto"/>
              </w:rPr>
            </w:pPr>
            <w:r>
              <w:rPr>
                <w:rFonts w:ascii="Arial" w:cs="Arial" w:eastAsia="Arial" w:hAnsi="Arial"/>
                <w:sz w:val="18"/>
                <w:szCs w:val="18"/>
                <w:color w:val="auto"/>
              </w:rPr>
              <w:t>May 17, 2019</w:t>
            </w:r>
          </w:p>
        </w:tc>
        <w:tc>
          <w:tcPr>
            <w:tcW w:w="6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560" w:type="dxa"/>
            <w:vAlign w:val="bottom"/>
          </w:tcPr>
          <w:p>
            <w:pPr>
              <w:spacing w:after="0"/>
              <w:rPr>
                <w:sz w:val="24"/>
                <w:szCs w:val="24"/>
                <w:color w:val="auto"/>
              </w:rPr>
            </w:pPr>
          </w:p>
        </w:tc>
        <w:tc>
          <w:tcPr>
            <w:tcW w:w="4340" w:type="dxa"/>
            <w:vAlign w:val="bottom"/>
          </w:tcPr>
          <w:p>
            <w:pPr>
              <w:jc w:val="right"/>
              <w:spacing w:after="0"/>
              <w:rPr>
                <w:sz w:val="20"/>
                <w:szCs w:val="20"/>
                <w:color w:val="auto"/>
              </w:rPr>
            </w:pPr>
            <w:r>
              <w:rPr>
                <w:rFonts w:ascii="Arial" w:cs="Arial" w:eastAsia="Arial" w:hAnsi="Arial"/>
                <w:sz w:val="18"/>
                <w:szCs w:val="18"/>
                <w:color w:val="auto"/>
              </w:rPr>
              <w:t>By:</w:t>
            </w:r>
          </w:p>
        </w:tc>
        <w:tc>
          <w:tcPr>
            <w:tcW w:w="6320" w:type="dxa"/>
            <w:vAlign w:val="bottom"/>
          </w:tcPr>
          <w:p>
            <w:pPr>
              <w:jc w:val="center"/>
              <w:spacing w:after="0"/>
              <w:rPr>
                <w:sz w:val="20"/>
                <w:szCs w:val="20"/>
                <w:color w:val="auto"/>
              </w:rPr>
            </w:pPr>
            <w:r>
              <w:rPr>
                <w:rFonts w:ascii="Arial" w:cs="Arial" w:eastAsia="Arial" w:hAnsi="Arial"/>
                <w:sz w:val="18"/>
                <w:szCs w:val="18"/>
                <w:color w:val="auto"/>
                <w:w w:val="94"/>
              </w:rPr>
              <w:t>/s/ Christina M. Ibrahim</w:t>
            </w:r>
          </w:p>
        </w:tc>
        <w:tc>
          <w:tcPr>
            <w:tcW w:w="0" w:type="dxa"/>
            <w:vAlign w:val="bottom"/>
          </w:tcPr>
          <w:p>
            <w:pPr>
              <w:spacing w:after="0"/>
              <w:rPr>
                <w:sz w:val="1"/>
                <w:szCs w:val="1"/>
                <w:color w:val="auto"/>
              </w:rPr>
            </w:pPr>
          </w:p>
        </w:tc>
      </w:tr>
      <w:tr>
        <w:trPr>
          <w:trHeight w:val="54"/>
        </w:trPr>
        <w:tc>
          <w:tcPr>
            <w:tcW w:w="560" w:type="dxa"/>
            <w:vAlign w:val="bottom"/>
          </w:tcPr>
          <w:p>
            <w:pPr>
              <w:spacing w:after="0"/>
              <w:rPr>
                <w:sz w:val="4"/>
                <w:szCs w:val="4"/>
                <w:color w:val="auto"/>
              </w:rPr>
            </w:pPr>
          </w:p>
        </w:tc>
        <w:tc>
          <w:tcPr>
            <w:tcW w:w="4340" w:type="dxa"/>
            <w:vAlign w:val="bottom"/>
            <w:vMerge w:val="restart"/>
          </w:tcPr>
          <w:p>
            <w:pPr>
              <w:jc w:val="right"/>
              <w:spacing w:after="0"/>
              <w:rPr>
                <w:sz w:val="20"/>
                <w:szCs w:val="20"/>
                <w:color w:val="auto"/>
              </w:rPr>
            </w:pPr>
            <w:r>
              <w:rPr>
                <w:rFonts w:ascii="Arial" w:cs="Arial" w:eastAsia="Arial" w:hAnsi="Arial"/>
                <w:sz w:val="18"/>
                <w:szCs w:val="18"/>
                <w:color w:val="auto"/>
              </w:rPr>
              <w:t>Name:</w:t>
            </w:r>
          </w:p>
        </w:tc>
        <w:tc>
          <w:tcPr>
            <w:tcW w:w="6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340" w:type="dxa"/>
            <w:vAlign w:val="bottom"/>
            <w:vMerge w:val="continue"/>
          </w:tcPr>
          <w:p>
            <w:pPr>
              <w:spacing w:after="0"/>
              <w:rPr>
                <w:sz w:val="20"/>
                <w:szCs w:val="20"/>
                <w:color w:val="auto"/>
              </w:rPr>
            </w:pPr>
          </w:p>
        </w:tc>
        <w:tc>
          <w:tcPr>
            <w:tcW w:w="6320" w:type="dxa"/>
            <w:vAlign w:val="bottom"/>
          </w:tcPr>
          <w:p>
            <w:pPr>
              <w:ind w:left="2380"/>
              <w:spacing w:after="0"/>
              <w:rPr>
                <w:sz w:val="20"/>
                <w:szCs w:val="20"/>
                <w:color w:val="auto"/>
              </w:rPr>
            </w:pPr>
            <w:r>
              <w:rPr>
                <w:rFonts w:ascii="Arial" w:cs="Arial" w:eastAsia="Arial" w:hAnsi="Arial"/>
                <w:sz w:val="18"/>
                <w:szCs w:val="18"/>
                <w:color w:val="auto"/>
              </w:rPr>
              <w:t>Christina M. Ibrahim</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620"/>
        <w:spacing w:after="0"/>
        <w:tabs>
          <w:tab w:leader="none" w:pos="5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General Counsel, Chief Compliance Officer and Corporate</w:t>
      </w:r>
    </w:p>
    <w:p>
      <w:pPr>
        <w:spacing w:after="0" w:line="2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360"/>
          </w:cols>
          <w:pgMar w:left="240" w:top="607" w:right="2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120650</wp:posOffset>
            </wp:positionV>
            <wp:extent cx="1637665" cy="668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766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360"/>
        <w:spacing w:after="0"/>
        <w:rPr>
          <w:sz w:val="20"/>
          <w:szCs w:val="20"/>
          <w:color w:val="auto"/>
        </w:rPr>
      </w:pPr>
      <w:r>
        <w:rPr>
          <w:rFonts w:ascii="Arial" w:cs="Arial" w:eastAsia="Arial" w:hAnsi="Arial"/>
          <w:sz w:val="15"/>
          <w:szCs w:val="15"/>
          <w:b w:val="1"/>
          <w:bCs w:val="1"/>
          <w:color w:val="auto"/>
        </w:rPr>
        <w:t>News Release</w:t>
      </w:r>
    </w:p>
    <w:p>
      <w:pPr>
        <w:spacing w:after="0" w:line="350" w:lineRule="exact"/>
        <w:rPr>
          <w:sz w:val="20"/>
          <w:szCs w:val="20"/>
          <w:color w:val="auto"/>
        </w:rPr>
      </w:pPr>
    </w:p>
    <w:p>
      <w:pPr>
        <w:jc w:val="center"/>
        <w:ind w:left="260" w:right="240"/>
        <w:spacing w:after="0" w:line="379" w:lineRule="auto"/>
        <w:rPr>
          <w:sz w:val="20"/>
          <w:szCs w:val="20"/>
          <w:color w:val="auto"/>
        </w:rPr>
      </w:pPr>
      <w:r>
        <w:rPr>
          <w:rFonts w:ascii="Arial" w:cs="Arial" w:eastAsia="Arial" w:hAnsi="Arial"/>
          <w:sz w:val="20"/>
          <w:szCs w:val="20"/>
          <w:b w:val="1"/>
          <w:bCs w:val="1"/>
          <w:color w:val="auto"/>
        </w:rPr>
        <w:t>SUPPORT FOR WEATHERFORD’S RESTRUCTURING AGREEMENT INCREASES TO 74% OF OUTSTANDING SENIOR UNSECURED NOTES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COMPANY AND NOTEHOLDERS IN THE PROCESS OF NEGOTIATING DEFINITIVE DOCUMENTATION AS SUPPORT BUILDS</w:t>
      </w:r>
    </w:p>
    <w:p>
      <w:pPr>
        <w:spacing w:after="0" w:line="200" w:lineRule="exact"/>
        <w:rPr>
          <w:sz w:val="20"/>
          <w:szCs w:val="20"/>
          <w:color w:val="auto"/>
        </w:rPr>
      </w:pPr>
    </w:p>
    <w:p>
      <w:pPr>
        <w:spacing w:after="0" w:line="232" w:lineRule="exact"/>
        <w:rPr>
          <w:sz w:val="20"/>
          <w:szCs w:val="20"/>
          <w:color w:val="auto"/>
        </w:rPr>
      </w:pPr>
    </w:p>
    <w:p>
      <w:pPr>
        <w:jc w:val="both"/>
        <w:spacing w:after="0" w:line="395" w:lineRule="auto"/>
        <w:rPr>
          <w:sz w:val="20"/>
          <w:szCs w:val="20"/>
          <w:color w:val="auto"/>
        </w:rPr>
      </w:pPr>
      <w:r>
        <w:rPr>
          <w:rFonts w:ascii="Arial" w:cs="Arial" w:eastAsia="Arial" w:hAnsi="Arial"/>
          <w:sz w:val="17"/>
          <w:szCs w:val="17"/>
          <w:color w:val="auto"/>
        </w:rPr>
        <w:t>BAAR, SWITZERLAND, May 17, 2019 - Weatherford International plc (NYSE: WFT) (“Weatherford” or the “Company”) announced today that additional holders of its senior notes have signed the restructuring support agreement (the “Restructuring Agreement”) previously announced by the Company on May 10, 2019. With the new signatories, over 74% of the Company’s senior unsecured note holders are now parties to the Restructuring Agreement, an increase of approximately 12% following the Company’s initial disclosure of the Restructuring Agreement last week.</w:t>
      </w:r>
    </w:p>
    <w:p>
      <w:pPr>
        <w:spacing w:after="0" w:line="266"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The proposed comprehensive financial restructuring contemplated by the Restructuring Agreement would significantly reduce the Company’s long-term debt and related interest costs, provide access to additional financing, and establish a more sustainable capital structure. The Company and noteholder parties to the Restructuring Agreement are in the process of negotiating definitive documentation relating to the transactions contemplated by the Restructuring Agreement, including commitments for debtor-in-possession financing facilities.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WEATHERFORD</w:t>
      </w:r>
    </w:p>
    <w:p>
      <w:pPr>
        <w:spacing w:after="0" w:line="200" w:lineRule="exact"/>
        <w:rPr>
          <w:sz w:val="20"/>
          <w:szCs w:val="20"/>
          <w:color w:val="auto"/>
        </w:rPr>
      </w:pPr>
    </w:p>
    <w:p>
      <w:pPr>
        <w:spacing w:after="0" w:line="21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 xml:space="preserve">Weatherford is one of the largest multinational oilfield service companies providing innovative solutions, technology and services to the oil and gas industry. The Company operates in over 80 countries and has a network of approximately 650 locations, including manufacturing, service, research and development and training facilities and employs approximately 26,000 people. For more information, visit </w:t>
      </w:r>
      <w:r>
        <w:rPr>
          <w:rFonts w:ascii="Arial" w:cs="Arial" w:eastAsia="Arial" w:hAnsi="Arial"/>
          <w:sz w:val="18"/>
          <w:szCs w:val="18"/>
          <w:u w:val="single" w:color="auto"/>
          <w:color w:val="auto"/>
        </w:rPr>
        <w:t>http://www.weatherford.com</w:t>
      </w:r>
      <w:r>
        <w:rPr>
          <w:rFonts w:ascii="Arial" w:cs="Arial" w:eastAsia="Arial" w:hAnsi="Arial"/>
          <w:sz w:val="18"/>
          <w:szCs w:val="18"/>
          <w:color w:val="auto"/>
        </w:rPr>
        <w:t xml:space="preserve"> and connect with Weatherford on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r>
        <w:rPr>
          <w:rFonts w:ascii="Arial" w:cs="Arial" w:eastAsia="Arial" w:hAnsi="Arial"/>
          <w:sz w:val="18"/>
          <w:szCs w:val="18"/>
          <w:color w:val="auto"/>
        </w:rPr>
        <w:t>.</w:t>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18" w:lineRule="exact"/>
        <w:rPr>
          <w:sz w:val="20"/>
          <w:szCs w:val="20"/>
          <w:color w:val="auto"/>
        </w:rPr>
      </w:pPr>
    </w:p>
    <w:p>
      <w:pPr>
        <w:jc w:val="both"/>
        <w:spacing w:after="0" w:line="408" w:lineRule="auto"/>
        <w:rPr>
          <w:sz w:val="20"/>
          <w:szCs w:val="20"/>
          <w:color w:val="auto"/>
        </w:rPr>
      </w:pPr>
      <w:r>
        <w:rPr>
          <w:rFonts w:ascii="Arial" w:cs="Arial" w:eastAsia="Arial" w:hAnsi="Arial"/>
          <w:sz w:val="16"/>
          <w:szCs w:val="16"/>
          <w:color w:val="auto"/>
        </w:rPr>
        <w:t>Certain statements in this press release are forward-looking statements. In addition, our management may from time to time make oral forward-looking statements. All statements, other than statements of historical facts, are forward-looking statements. Forward-looking statements may be identified by the words “believe,” “expect,” “anticipate,” “project,” “plan,” “estimate,” “may,” “will,” “could,” “should,” “seek” or “intend” and similar expressions. Forward-looking statements reflect our current expectations and assumptions regarding our business, the economy and other future events and conditions and are based on currently available financial, economic and competitive data and our current business plans. Actual results could vary materially depending on risks and uncertainties that may affect our operations, markets, services, prices and other factors as discussed in the Risk Factors section of our filings with the Securities and Exchange Commission (the “SEC”). While we believe our assumptions are reasonable, we caution you against relying on any forward-looking statements as it is very difficult to predict the impact of known factors, and it is impossible for us to anticipate all factors that could affect our actual results. Important factors that could cause actual results to differ materially from those in the forward-looking statements include, but are not limited to, the ability to confirm and consummate a plan of reorganization in accordance with the terms of the Restructuring Agreement; risks attendant to the bankruptcy process, including our ability to obtain the approval of the bankruptcy court with respect to motions filed in the Chapter 11 cases and the related Irish examinership proceedings (the “Cases”), the outcomes of court rulings and the Cases in general and the length of time that we may be required to operate in bankruptcy; the effectiveness of the overall restructuring activities pursuant to the Cases and any additional strategies that we may employ to address our liquidity and capital resources; the actions and decisions of creditors, regulators and other third parties that have an interest in the Cases, which may interfere with the ability to confirm and consummate a plan of reorganization; restrictions on us due to the terms of any debtor-in-possession credit facility that we will enter into in connection with the Cases and restrictions imposed by the bankruptcy court; our ability to achieve our forecasted revenue and pro forma leverage ratio and generate free cash flow to further reduce our indebtedness; a weakening of global economic and financial conditions, changes in governmental regulations and related compliance and litigation costs and the other factors listed in our SEC filings. For a more detailed discussion of these and other risk factors, see the Risk Factors section in our most recent Annual Report on Form 10-K and Quarterly Report on Form 10-Q and our other filings made with the SEC. All forward-looking statements are expressly qualified in their entirety by this cautionary notice. The forward-looking statements made by us speak only as of the date on which they are made. Factors or events that could cause our actual results to differ may emerge from time to time. We undertake no obligation to publicly update or revise any forward-looking statement as a result of new information, future events or otherwise, except as otherwise required by law.</w:t>
      </w:r>
    </w:p>
    <w:p>
      <w:pPr>
        <w:sectPr>
          <w:pgSz w:w="11900" w:h="16838" w:orient="portrait"/>
          <w:cols w:equalWidth="0" w:num="1">
            <w:col w:w="11420"/>
          </w:cols>
          <w:pgMar w:left="240" w:top="634"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NO SOLICITATION OR OFFER</w:t>
      </w:r>
    </w:p>
    <w:p>
      <w:pPr>
        <w:spacing w:after="0" w:line="278"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Any new securities to be issued pursuant to the restructuring transactions may not be registered under the Securities Act of 1933, as amended (the “Securities Act”), or any state securities laws but may be issued pursuant to an exemption from such registration provided in the U.S. bankruptcy code. Such new securities may not be offered or sold in the United States absent registration or an applicable exemption from the registration requirements of the Securities Act and any applicable state securities laws. This press release does not constitute an offer to sell or buy, nor the solicitation of an offer to sell or buy, any securities referred to herein, nor is this press release a solicitation of consents to or votes to accept any Chapter 11 plan. Any solicitation or offer will only be made pursuant to a confidential offering memorandum and disclosure statement and only to such persons and in such jurisdictions as is permitted under applicable law.</w:t>
      </w:r>
    </w:p>
    <w:p>
      <w:pPr>
        <w:spacing w:after="0" w:line="392"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2420" w:type="dxa"/>
            <w:vAlign w:val="bottom"/>
          </w:tcPr>
          <w:p>
            <w:pPr>
              <w:spacing w:after="0"/>
              <w:rPr>
                <w:sz w:val="20"/>
                <w:szCs w:val="20"/>
                <w:color w:val="auto"/>
              </w:rPr>
            </w:pPr>
          </w:p>
        </w:tc>
      </w:tr>
      <w:tr>
        <w:trPr>
          <w:trHeight w:val="594"/>
        </w:trPr>
        <w:tc>
          <w:tcPr>
            <w:tcW w:w="6740" w:type="dxa"/>
            <w:vAlign w:val="bottom"/>
          </w:tcPr>
          <w:p>
            <w:pPr>
              <w:spacing w:after="0"/>
              <w:rPr>
                <w:sz w:val="20"/>
                <w:szCs w:val="20"/>
                <w:color w:val="auto"/>
              </w:rPr>
            </w:pPr>
            <w:r>
              <w:rPr>
                <w:rFonts w:ascii="Arial" w:cs="Arial" w:eastAsia="Arial" w:hAnsi="Arial"/>
                <w:sz w:val="18"/>
                <w:szCs w:val="18"/>
                <w:color w:val="auto"/>
              </w:rPr>
              <w:t>Christoph Bausch</w:t>
            </w:r>
          </w:p>
        </w:tc>
        <w:tc>
          <w:tcPr>
            <w:tcW w:w="2420" w:type="dxa"/>
            <w:vAlign w:val="bottom"/>
          </w:tcPr>
          <w:p>
            <w:pPr>
              <w:jc w:val="right"/>
              <w:spacing w:after="0"/>
              <w:rPr>
                <w:sz w:val="20"/>
                <w:szCs w:val="20"/>
                <w:color w:val="auto"/>
              </w:rPr>
            </w:pPr>
            <w:r>
              <w:rPr>
                <w:rFonts w:ascii="Arial" w:cs="Arial" w:eastAsia="Arial" w:hAnsi="Arial"/>
                <w:sz w:val="18"/>
                <w:szCs w:val="18"/>
                <w:color w:val="auto"/>
              </w:rPr>
              <w:t>+1.713.836.4615</w:t>
            </w: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2420" w:type="dxa"/>
            <w:vAlign w:val="bottom"/>
          </w:tcPr>
          <w:p>
            <w:pPr>
              <w:spacing w:after="0"/>
              <w:rPr>
                <w:sz w:val="23"/>
                <w:szCs w:val="23"/>
                <w:color w:val="auto"/>
              </w:rPr>
            </w:pPr>
          </w:p>
        </w:tc>
      </w:tr>
      <w:tr>
        <w:trPr>
          <w:trHeight w:val="540"/>
        </w:trPr>
        <w:tc>
          <w:tcPr>
            <w:tcW w:w="6740" w:type="dxa"/>
            <w:vAlign w:val="bottom"/>
          </w:tcPr>
          <w:p>
            <w:pPr>
              <w:spacing w:after="0"/>
              <w:rPr>
                <w:sz w:val="20"/>
                <w:szCs w:val="20"/>
                <w:color w:val="auto"/>
              </w:rPr>
            </w:pPr>
            <w:r>
              <w:rPr>
                <w:rFonts w:ascii="Arial" w:cs="Arial" w:eastAsia="Arial" w:hAnsi="Arial"/>
                <w:sz w:val="18"/>
                <w:szCs w:val="18"/>
                <w:color w:val="auto"/>
              </w:rPr>
              <w:t>Karen David-Green</w:t>
            </w:r>
          </w:p>
        </w:tc>
        <w:tc>
          <w:tcPr>
            <w:tcW w:w="242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70"/>
        </w:trPr>
        <w:tc>
          <w:tcPr>
            <w:tcW w:w="6740" w:type="dxa"/>
            <w:vAlign w:val="bottom"/>
          </w:tcPr>
          <w:p>
            <w:pPr>
              <w:spacing w:after="0"/>
              <w:rPr>
                <w:sz w:val="20"/>
                <w:szCs w:val="20"/>
                <w:color w:val="auto"/>
              </w:rPr>
            </w:pPr>
            <w:r>
              <w:rPr>
                <w:rFonts w:ascii="Arial" w:cs="Arial" w:eastAsia="Arial" w:hAnsi="Arial"/>
                <w:sz w:val="18"/>
                <w:szCs w:val="18"/>
                <w:color w:val="auto"/>
              </w:rPr>
              <w:t>Senior Vice President, Stakeholder Engagement and Chief Marketing Officer</w:t>
            </w:r>
          </w:p>
        </w:tc>
        <w:tc>
          <w:tcPr>
            <w:tcW w:w="242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2019-12-28T11:38:04Z</dcterms:created>
  <dcterms:modified xsi:type="dcterms:W3CDTF">2019-12-28T11:38:04Z</dcterms:modified>
</cp:coreProperties>
</file>