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80" w:space="720"/>
            <w:col w:w="2740" w:space="720"/>
            <w:col w:w="3060"/>
          </w:cols>
          <w:pgMar w:left="240" w:top="841"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3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854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previously disclosed, on July 1, 2019, Weatherford International plc (“Weatherford Ireland”), Weatherford International Ltd., and Weatherford International, LLC (collectively, the “Company”) commenced voluntary cases (the “Cases”) under Chapter 11 of the United States Bankruptcy Code in the U.S. Bankruptcy Court for the Southern District of Texas (the “Bankruptcy Court”). On September 11, 2019, the Bankruptcy Court entered an order, Docket No. 343 (the “Confirmation Order”), confirming the Company’s Second Amended Joint Prepackaged Plan of Reorganization (the “Plan”).</w:t>
      </w:r>
    </w:p>
    <w:p>
      <w:pPr>
        <w:spacing w:after="0" w:line="15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previously disclosed, following confirmation of the Plan, Weatherford Ireland is required to file a petition under the Irish Companies Act 2014 (the “Companies Act”) in Ireland to seek approval for its scheme of arrangement (the “Irish Examinership Proceeding”). On September 23, 2019, Weatherford Ireland applied to the High Court of Ireland seeking an order authorizing the commencement of the Irish Examinership Proceeding and the convening of meetings of certain of Weatherford Ireland’s creditors, for purposes of considering and approving the proposed scheme of arrangement in relation to the Companies Act. The filing of the Irish Examinership Proceeding commenced a 100 calendar day protection period under Irish law, during which Weatherford Ireland will have the benefit of protection against enforcement and other actions by its creditors. Weatherford Ireland intends to continue operating its business in the ordinary course during the protection period. It is anticipated that the terms of the scheme will mirror the terms of the Plan.</w:t>
      </w:r>
    </w:p>
    <w:p>
      <w:pPr>
        <w:spacing w:after="0" w:line="16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information contained in this Item 7.01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risks attendant to the bankruptcy process,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restrictions on us due to the terms of the debtor-in-possession credit facility that we have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vMerge w:val="restart"/>
          </w:tcPr>
          <w:p>
            <w:pPr>
              <w:jc w:val="right"/>
              <w:ind w:right="4570"/>
              <w:spacing w:after="0"/>
              <w:rPr>
                <w:sz w:val="20"/>
                <w:szCs w:val="20"/>
                <w:color w:val="auto"/>
              </w:rPr>
            </w:pPr>
            <w:r>
              <w:rPr>
                <w:rFonts w:ascii="Arial" w:cs="Arial" w:eastAsia="Arial" w:hAnsi="Arial"/>
                <w:sz w:val="18"/>
                <w:szCs w:val="18"/>
                <w:color w:val="auto"/>
                <w:w w:val="88"/>
              </w:rPr>
              <w:t>Date: September 23, 2019</w:t>
            </w:r>
          </w:p>
        </w:tc>
        <w:tc>
          <w:tcPr>
            <w:tcW w:w="488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tcPr>
          <w:p>
            <w:pPr>
              <w:jc w:val="right"/>
              <w:ind w:right="5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c>
          <w:tcPr>
            <w:tcW w:w="0" w:type="dxa"/>
            <w:vAlign w:val="bottom"/>
          </w:tcPr>
          <w:p>
            <w:pPr>
              <w:spacing w:after="0"/>
              <w:rPr>
                <w:sz w:val="1"/>
                <w:szCs w:val="1"/>
                <w:color w:val="auto"/>
              </w:rPr>
            </w:pPr>
          </w:p>
        </w:tc>
      </w:tr>
      <w:tr>
        <w:trPr>
          <w:trHeight w:val="195"/>
        </w:trPr>
        <w:tc>
          <w:tcPr>
            <w:tcW w:w="65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r>
        <w:trPr>
          <w:trHeight w:val="216"/>
        </w:trPr>
        <w:tc>
          <w:tcPr>
            <w:tcW w:w="6540" w:type="dxa"/>
            <w:vAlign w:val="bottom"/>
          </w:tcPr>
          <w:p>
            <w:pPr>
              <w:jc w:val="right"/>
              <w:ind w:right="5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w w:val="97"/>
              </w:rPr>
              <w:t>Executive Vice President, General Counsel, Chief Compliance</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Officer and Corporate Secretary</w:t>
            </w:r>
          </w:p>
        </w:tc>
        <w:tc>
          <w:tcPr>
            <w:tcW w:w="0" w:type="dxa"/>
            <w:vAlign w:val="bottom"/>
          </w:tcPr>
          <w:p>
            <w:pPr>
              <w:spacing w:after="0"/>
              <w:rPr>
                <w:sz w:val="1"/>
                <w:szCs w:val="1"/>
                <w:color w:val="auto"/>
              </w:rPr>
            </w:pPr>
          </w:p>
        </w:tc>
      </w:tr>
      <w:tr>
        <w:trPr>
          <w:trHeight w:val="702"/>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2019-12-04T22:42:00Z</dcterms:created>
  <dcterms:modified xsi:type="dcterms:W3CDTF">2019-12-04T22:42:00Z</dcterms:modified>
</cp:coreProperties>
</file>