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3, 2017</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333-216034</w:t>
      </w:r>
    </w:p>
    <w:p>
      <w:pPr>
        <w:spacing w:after="0" w:line="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333-216034-1</w:t>
      </w:r>
    </w:p>
    <w:p>
      <w:pPr>
        <w:spacing w:after="0" w:line="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333-216034-2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Amendment No. 2</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Weatherford International public limited company</w:t>
      </w:r>
    </w:p>
    <w:p>
      <w:pPr>
        <w:spacing w:after="0" w:line="44" w:lineRule="exact"/>
        <w:rPr>
          <w:sz w:val="24"/>
          <w:szCs w:val="24"/>
          <w:color w:val="auto"/>
        </w:rPr>
      </w:pPr>
    </w:p>
    <w:tbl>
      <w:tblPr>
        <w:tblLayout w:type="fixed"/>
        <w:tblInd w:w="2060" w:type="dxa"/>
        <w:tblCellMar>
          <w:top w:w="0" w:type="dxa"/>
          <w:left w:w="0" w:type="dxa"/>
          <w:bottom w:w="0" w:type="dxa"/>
          <w:right w:w="0" w:type="dxa"/>
        </w:tblCellMar>
      </w:tblPr>
      <w:tr>
        <w:trPr>
          <w:trHeight w:val="212"/>
        </w:trPr>
        <w:tc>
          <w:tcPr>
            <w:tcW w:w="1760" w:type="dxa"/>
            <w:vAlign w:val="bottom"/>
          </w:tcPr>
          <w:p>
            <w:pPr>
              <w:spacing w:after="0"/>
              <w:rPr>
                <w:sz w:val="18"/>
                <w:szCs w:val="18"/>
                <w:color w:val="auto"/>
              </w:rPr>
            </w:pPr>
          </w:p>
        </w:tc>
        <w:tc>
          <w:tcPr>
            <w:tcW w:w="54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16"/>
        </w:trPr>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2380" w:type="dxa"/>
            <w:vAlign w:val="bottom"/>
          </w:tcPr>
          <w:p>
            <w:pPr>
              <w:spacing w:after="0"/>
              <w:rPr>
                <w:sz w:val="18"/>
                <w:szCs w:val="18"/>
                <w:color w:val="auto"/>
              </w:rPr>
            </w:pPr>
          </w:p>
        </w:tc>
      </w:tr>
      <w:tr>
        <w:trPr>
          <w:trHeight w:val="338"/>
        </w:trPr>
        <w:tc>
          <w:tcPr>
            <w:tcW w:w="176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w w:val="98"/>
              </w:rPr>
              <w:t>Ireland</w:t>
            </w:r>
          </w:p>
        </w:tc>
        <w:tc>
          <w:tcPr>
            <w:tcW w:w="5460" w:type="dxa"/>
            <w:vAlign w:val="bottom"/>
            <w:gridSpan w:val="3"/>
          </w:tcPr>
          <w:p>
            <w:pPr>
              <w:jc w:val="center"/>
              <w:ind w:left="4119"/>
              <w:spacing w:after="0"/>
              <w:rPr>
                <w:sz w:val="20"/>
                <w:szCs w:val="20"/>
                <w:color w:val="auto"/>
              </w:rPr>
            </w:pPr>
            <w:r>
              <w:rPr>
                <w:rFonts w:ascii="Times New Roman" w:cs="Times New Roman" w:eastAsia="Times New Roman" w:hAnsi="Times New Roman"/>
                <w:sz w:val="16"/>
                <w:szCs w:val="16"/>
                <w:b w:val="1"/>
                <w:bCs w:val="1"/>
                <w:color w:val="auto"/>
              </w:rPr>
              <w:t>98-0606750</w:t>
            </w:r>
          </w:p>
        </w:tc>
      </w:tr>
      <w:tr>
        <w:trPr>
          <w:trHeight w:val="135"/>
        </w:trPr>
        <w:tc>
          <w:tcPr>
            <w:tcW w:w="176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380" w:type="dxa"/>
            <w:vAlign w:val="bottom"/>
          </w:tcPr>
          <w:p>
            <w:pPr>
              <w:jc w:val="center"/>
              <w:ind w:left="10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176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80" w:type="dxa"/>
            <w:vAlign w:val="bottom"/>
          </w:tcPr>
          <w:p>
            <w:pPr>
              <w:jc w:val="center"/>
              <w:ind w:left="1057"/>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bl>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Weststrasse 1, 6340 Baar, Switzerland</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1" w:lineRule="exact"/>
        <w:rPr>
          <w:sz w:val="24"/>
          <w:szCs w:val="24"/>
          <w:color w:val="auto"/>
        </w:rPr>
      </w:pPr>
    </w:p>
    <w:tbl>
      <w:tblPr>
        <w:tblLayout w:type="fixed"/>
        <w:tblInd w:w="940" w:type="dxa"/>
        <w:tblCellMar>
          <w:top w:w="0" w:type="dxa"/>
          <w:left w:w="0" w:type="dxa"/>
          <w:bottom w:w="0" w:type="dxa"/>
          <w:right w:w="0" w:type="dxa"/>
        </w:tblCellMar>
      </w:tblPr>
      <w:tr>
        <w:trPr>
          <w:trHeight w:val="198"/>
        </w:trPr>
        <w:tc>
          <w:tcPr>
            <w:tcW w:w="4840" w:type="dxa"/>
            <w:vAlign w:val="bottom"/>
          </w:tcPr>
          <w:p>
            <w:pPr>
              <w:jc w:val="center"/>
              <w:ind w:right="868"/>
              <w:spacing w:after="0"/>
              <w:rPr>
                <w:sz w:val="20"/>
                <w:szCs w:val="20"/>
                <w:color w:val="auto"/>
              </w:rPr>
            </w:pPr>
            <w:r>
              <w:rPr>
                <w:rFonts w:ascii="Times New Roman" w:cs="Times New Roman" w:eastAsia="Times New Roman" w:hAnsi="Times New Roman"/>
                <w:sz w:val="16"/>
                <w:szCs w:val="16"/>
                <w:b w:val="1"/>
                <w:bCs w:val="1"/>
                <w:color w:val="auto"/>
              </w:rPr>
              <w:t>Weatherford International Ltd.</w:t>
            </w:r>
          </w:p>
        </w:tc>
        <w:tc>
          <w:tcPr>
            <w:tcW w:w="4840" w:type="dxa"/>
            <w:vAlign w:val="bottom"/>
          </w:tcPr>
          <w:p>
            <w:pPr>
              <w:jc w:val="center"/>
              <w:ind w:left="828"/>
              <w:spacing w:after="0"/>
              <w:rPr>
                <w:sz w:val="20"/>
                <w:szCs w:val="20"/>
                <w:color w:val="auto"/>
              </w:rPr>
            </w:pPr>
            <w:r>
              <w:rPr>
                <w:rFonts w:ascii="Times New Roman" w:cs="Times New Roman" w:eastAsia="Times New Roman" w:hAnsi="Times New Roman"/>
                <w:sz w:val="16"/>
                <w:szCs w:val="16"/>
                <w:b w:val="1"/>
                <w:bCs w:val="1"/>
                <w:color w:val="auto"/>
              </w:rPr>
              <w:t>Weatherford International, LLC</w:t>
            </w:r>
          </w:p>
        </w:tc>
      </w:tr>
      <w:tr>
        <w:trPr>
          <w:trHeight w:val="139"/>
        </w:trPr>
        <w:tc>
          <w:tcPr>
            <w:tcW w:w="4840" w:type="dxa"/>
            <w:vAlign w:val="bottom"/>
          </w:tcPr>
          <w:p>
            <w:pPr>
              <w:jc w:val="center"/>
              <w:ind w:right="868"/>
              <w:spacing w:after="0" w:line="139" w:lineRule="exact"/>
              <w:rPr>
                <w:sz w:val="20"/>
                <w:szCs w:val="20"/>
                <w:color w:val="auto"/>
              </w:rPr>
            </w:pPr>
            <w:r>
              <w:rPr>
                <w:rFonts w:ascii="Times New Roman" w:cs="Times New Roman" w:eastAsia="Times New Roman" w:hAnsi="Times New Roman"/>
                <w:sz w:val="13"/>
                <w:szCs w:val="13"/>
                <w:b w:val="1"/>
                <w:bCs w:val="1"/>
                <w:color w:val="auto"/>
                <w:w w:val="96"/>
              </w:rPr>
              <w:t>(Exact name of co-registrant as specified in its charter)</w:t>
            </w:r>
          </w:p>
        </w:tc>
        <w:tc>
          <w:tcPr>
            <w:tcW w:w="4840" w:type="dxa"/>
            <w:vAlign w:val="bottom"/>
          </w:tcPr>
          <w:p>
            <w:pPr>
              <w:jc w:val="center"/>
              <w:ind w:left="828"/>
              <w:spacing w:after="0" w:line="139" w:lineRule="exact"/>
              <w:rPr>
                <w:sz w:val="20"/>
                <w:szCs w:val="20"/>
                <w:color w:val="auto"/>
              </w:rPr>
            </w:pPr>
            <w:r>
              <w:rPr>
                <w:rFonts w:ascii="Times New Roman" w:cs="Times New Roman" w:eastAsia="Times New Roman" w:hAnsi="Times New Roman"/>
                <w:sz w:val="13"/>
                <w:szCs w:val="13"/>
                <w:b w:val="1"/>
                <w:bCs w:val="1"/>
                <w:color w:val="auto"/>
                <w:w w:val="96"/>
              </w:rPr>
              <w:t>(Exact name of co-registrant as specified in its charter)</w:t>
            </w:r>
          </w:p>
        </w:tc>
      </w:tr>
      <w:tr>
        <w:trPr>
          <w:trHeight w:val="198"/>
        </w:trPr>
        <w:tc>
          <w:tcPr>
            <w:tcW w:w="4840" w:type="dxa"/>
            <w:vAlign w:val="bottom"/>
          </w:tcPr>
          <w:p>
            <w:pPr>
              <w:jc w:val="center"/>
              <w:ind w:right="868"/>
              <w:spacing w:after="0"/>
              <w:rPr>
                <w:sz w:val="20"/>
                <w:szCs w:val="20"/>
                <w:color w:val="auto"/>
              </w:rPr>
            </w:pPr>
            <w:r>
              <w:rPr>
                <w:rFonts w:ascii="Times New Roman" w:cs="Times New Roman" w:eastAsia="Times New Roman" w:hAnsi="Times New Roman"/>
                <w:sz w:val="16"/>
                <w:szCs w:val="16"/>
                <w:b w:val="1"/>
                <w:bCs w:val="1"/>
                <w:color w:val="auto"/>
              </w:rPr>
              <w:t>Bermuda</w:t>
            </w:r>
          </w:p>
        </w:tc>
        <w:tc>
          <w:tcPr>
            <w:tcW w:w="4840" w:type="dxa"/>
            <w:vAlign w:val="bottom"/>
          </w:tcPr>
          <w:p>
            <w:pPr>
              <w:jc w:val="center"/>
              <w:ind w:left="828"/>
              <w:spacing w:after="0"/>
              <w:rPr>
                <w:sz w:val="20"/>
                <w:szCs w:val="20"/>
                <w:color w:val="auto"/>
              </w:rPr>
            </w:pPr>
            <w:r>
              <w:rPr>
                <w:rFonts w:ascii="Times New Roman" w:cs="Times New Roman" w:eastAsia="Times New Roman" w:hAnsi="Times New Roman"/>
                <w:sz w:val="16"/>
                <w:szCs w:val="16"/>
                <w:b w:val="1"/>
                <w:bCs w:val="1"/>
                <w:color w:val="auto"/>
              </w:rPr>
              <w:t>Delaware</w:t>
            </w:r>
          </w:p>
        </w:tc>
      </w:tr>
      <w:tr>
        <w:trPr>
          <w:trHeight w:val="139"/>
        </w:trPr>
        <w:tc>
          <w:tcPr>
            <w:tcW w:w="4840" w:type="dxa"/>
            <w:vAlign w:val="bottom"/>
          </w:tcPr>
          <w:p>
            <w:pPr>
              <w:jc w:val="center"/>
              <w:ind w:right="868"/>
              <w:spacing w:after="0" w:line="139"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4840" w:type="dxa"/>
            <w:vAlign w:val="bottom"/>
          </w:tcPr>
          <w:p>
            <w:pPr>
              <w:jc w:val="center"/>
              <w:ind w:left="828"/>
              <w:spacing w:after="0" w:line="139"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r>
      <w:tr>
        <w:trPr>
          <w:trHeight w:val="198"/>
        </w:trPr>
        <w:tc>
          <w:tcPr>
            <w:tcW w:w="4840" w:type="dxa"/>
            <w:vAlign w:val="bottom"/>
          </w:tcPr>
          <w:p>
            <w:pPr>
              <w:jc w:val="right"/>
              <w:ind w:right="2428"/>
              <w:spacing w:after="0"/>
              <w:rPr>
                <w:sz w:val="20"/>
                <w:szCs w:val="20"/>
                <w:color w:val="auto"/>
              </w:rPr>
            </w:pPr>
            <w:r>
              <w:rPr>
                <w:rFonts w:ascii="Times New Roman" w:cs="Times New Roman" w:eastAsia="Times New Roman" w:hAnsi="Times New Roman"/>
                <w:sz w:val="16"/>
                <w:szCs w:val="16"/>
                <w:b w:val="1"/>
                <w:bCs w:val="1"/>
                <w:color w:val="auto"/>
              </w:rPr>
              <w:t>98-0371344</w:t>
            </w:r>
          </w:p>
        </w:tc>
        <w:tc>
          <w:tcPr>
            <w:tcW w:w="4840" w:type="dxa"/>
            <w:vAlign w:val="bottom"/>
          </w:tcPr>
          <w:p>
            <w:pPr>
              <w:jc w:val="right"/>
              <w:ind w:right="1508"/>
              <w:spacing w:after="0"/>
              <w:rPr>
                <w:sz w:val="20"/>
                <w:szCs w:val="20"/>
                <w:color w:val="auto"/>
              </w:rPr>
            </w:pPr>
            <w:r>
              <w:rPr>
                <w:rFonts w:ascii="Times New Roman" w:cs="Times New Roman" w:eastAsia="Times New Roman" w:hAnsi="Times New Roman"/>
                <w:sz w:val="16"/>
                <w:szCs w:val="16"/>
                <w:b w:val="1"/>
                <w:bCs w:val="1"/>
                <w:color w:val="auto"/>
              </w:rPr>
              <w:t>33-0430755</w:t>
            </w:r>
          </w:p>
        </w:tc>
      </w:tr>
      <w:tr>
        <w:trPr>
          <w:trHeight w:val="139"/>
        </w:trPr>
        <w:tc>
          <w:tcPr>
            <w:tcW w:w="4840" w:type="dxa"/>
            <w:vAlign w:val="bottom"/>
          </w:tcPr>
          <w:p>
            <w:pPr>
              <w:jc w:val="center"/>
              <w:ind w:right="868"/>
              <w:spacing w:after="0" w:line="139" w:lineRule="exact"/>
              <w:rPr>
                <w:sz w:val="20"/>
                <w:szCs w:val="20"/>
                <w:color w:val="auto"/>
              </w:rPr>
            </w:pPr>
            <w:r>
              <w:rPr>
                <w:rFonts w:ascii="Times New Roman" w:cs="Times New Roman" w:eastAsia="Times New Roman" w:hAnsi="Times New Roman"/>
                <w:sz w:val="13"/>
                <w:szCs w:val="13"/>
                <w:b w:val="1"/>
                <w:bCs w:val="1"/>
                <w:color w:val="auto"/>
                <w:w w:val="96"/>
              </w:rPr>
              <w:t>(I.R.S. Employer Identification Number)</w:t>
            </w:r>
          </w:p>
        </w:tc>
        <w:tc>
          <w:tcPr>
            <w:tcW w:w="4840" w:type="dxa"/>
            <w:vAlign w:val="bottom"/>
          </w:tcPr>
          <w:p>
            <w:pPr>
              <w:jc w:val="center"/>
              <w:ind w:left="828"/>
              <w:spacing w:after="0" w:line="139" w:lineRule="exact"/>
              <w:rPr>
                <w:sz w:val="20"/>
                <w:szCs w:val="20"/>
                <w:color w:val="auto"/>
              </w:rPr>
            </w:pPr>
            <w:r>
              <w:rPr>
                <w:rFonts w:ascii="Times New Roman" w:cs="Times New Roman" w:eastAsia="Times New Roman" w:hAnsi="Times New Roman"/>
                <w:sz w:val="13"/>
                <w:szCs w:val="13"/>
                <w:b w:val="1"/>
                <w:bCs w:val="1"/>
                <w:color w:val="auto"/>
                <w:w w:val="96"/>
              </w:rPr>
              <w:t>(I.R.S. Employer Identification Number)</w:t>
            </w:r>
          </w:p>
        </w:tc>
      </w:tr>
      <w:tr>
        <w:trPr>
          <w:trHeight w:val="203"/>
        </w:trPr>
        <w:tc>
          <w:tcPr>
            <w:tcW w:w="4840" w:type="dxa"/>
            <w:vAlign w:val="bottom"/>
          </w:tcPr>
          <w:p>
            <w:pPr>
              <w:jc w:val="center"/>
              <w:ind w:right="868"/>
              <w:spacing w:after="0"/>
              <w:rPr>
                <w:sz w:val="20"/>
                <w:szCs w:val="20"/>
                <w:color w:val="auto"/>
              </w:rPr>
            </w:pPr>
            <w:r>
              <w:rPr>
                <w:rFonts w:ascii="Times New Roman" w:cs="Times New Roman" w:eastAsia="Times New Roman" w:hAnsi="Times New Roman"/>
                <w:sz w:val="16"/>
                <w:szCs w:val="16"/>
                <w:b w:val="1"/>
                <w:bCs w:val="1"/>
                <w:color w:val="auto"/>
              </w:rPr>
              <w:t>2000 St. James Place, Houston, Texas 77056</w:t>
            </w:r>
          </w:p>
        </w:tc>
        <w:tc>
          <w:tcPr>
            <w:tcW w:w="4840" w:type="dxa"/>
            <w:vAlign w:val="bottom"/>
          </w:tcPr>
          <w:p>
            <w:pPr>
              <w:jc w:val="center"/>
              <w:ind w:left="828"/>
              <w:spacing w:after="0"/>
              <w:rPr>
                <w:sz w:val="20"/>
                <w:szCs w:val="20"/>
                <w:color w:val="auto"/>
              </w:rPr>
            </w:pPr>
            <w:r>
              <w:rPr>
                <w:rFonts w:ascii="Times New Roman" w:cs="Times New Roman" w:eastAsia="Times New Roman" w:hAnsi="Times New Roman"/>
                <w:sz w:val="16"/>
                <w:szCs w:val="16"/>
                <w:b w:val="1"/>
                <w:bCs w:val="1"/>
                <w:color w:val="auto"/>
              </w:rPr>
              <w:t>2000 St. James Place, Houston, Texas 77056</w:t>
            </w:r>
          </w:p>
        </w:tc>
      </w:tr>
      <w:tr>
        <w:trPr>
          <w:trHeight w:val="212"/>
        </w:trPr>
        <w:tc>
          <w:tcPr>
            <w:tcW w:w="4840" w:type="dxa"/>
            <w:vAlign w:val="bottom"/>
          </w:tcPr>
          <w:p>
            <w:pPr>
              <w:jc w:val="right"/>
              <w:ind w:right="2308"/>
              <w:spacing w:after="0"/>
              <w:rPr>
                <w:sz w:val="20"/>
                <w:szCs w:val="20"/>
                <w:color w:val="auto"/>
              </w:rPr>
            </w:pPr>
            <w:r>
              <w:rPr>
                <w:rFonts w:ascii="Times New Roman" w:cs="Times New Roman" w:eastAsia="Times New Roman" w:hAnsi="Times New Roman"/>
                <w:sz w:val="16"/>
                <w:szCs w:val="16"/>
                <w:b w:val="1"/>
                <w:bCs w:val="1"/>
                <w:color w:val="auto"/>
              </w:rPr>
              <w:t>(713) 836-4000</w:t>
            </w:r>
          </w:p>
        </w:tc>
        <w:tc>
          <w:tcPr>
            <w:tcW w:w="4840" w:type="dxa"/>
            <w:vAlign w:val="bottom"/>
          </w:tcPr>
          <w:p>
            <w:pPr>
              <w:jc w:val="right"/>
              <w:ind w:right="1388"/>
              <w:spacing w:after="0"/>
              <w:rPr>
                <w:sz w:val="20"/>
                <w:szCs w:val="20"/>
                <w:color w:val="auto"/>
              </w:rPr>
            </w:pPr>
            <w:r>
              <w:rPr>
                <w:rFonts w:ascii="Times New Roman" w:cs="Times New Roman" w:eastAsia="Times New Roman" w:hAnsi="Times New Roman"/>
                <w:sz w:val="16"/>
                <w:szCs w:val="16"/>
                <w:b w:val="1"/>
                <w:bCs w:val="1"/>
                <w:color w:val="auto"/>
              </w:rPr>
              <w:t>(713) 836-4000</w:t>
            </w:r>
          </w:p>
        </w:tc>
      </w:tr>
      <w:tr>
        <w:trPr>
          <w:trHeight w:val="135"/>
        </w:trPr>
        <w:tc>
          <w:tcPr>
            <w:tcW w:w="4840" w:type="dxa"/>
            <w:vAlign w:val="bottom"/>
          </w:tcPr>
          <w:p>
            <w:pPr>
              <w:jc w:val="center"/>
              <w:ind w:right="8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(Address, including zip code, and telephone number, including area code,</w:t>
            </w:r>
          </w:p>
        </w:tc>
        <w:tc>
          <w:tcPr>
            <w:tcW w:w="4840" w:type="dxa"/>
            <w:vAlign w:val="bottom"/>
          </w:tcPr>
          <w:p>
            <w:pPr>
              <w:jc w:val="center"/>
              <w:ind w:left="8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(Address, including zip code, and telephone number, including area code,</w:t>
            </w:r>
          </w:p>
        </w:tc>
      </w:tr>
      <w:tr>
        <w:trPr>
          <w:trHeight w:val="166"/>
        </w:trPr>
        <w:tc>
          <w:tcPr>
            <w:tcW w:w="4840" w:type="dxa"/>
            <w:vAlign w:val="bottom"/>
          </w:tcPr>
          <w:p>
            <w:pPr>
              <w:jc w:val="center"/>
              <w:ind w:right="868"/>
              <w:spacing w:after="0"/>
              <w:rPr>
                <w:sz w:val="20"/>
                <w:szCs w:val="20"/>
                <w:color w:val="auto"/>
              </w:rPr>
            </w:pPr>
            <w:r>
              <w:rPr>
                <w:rFonts w:ascii="Times New Roman" w:cs="Times New Roman" w:eastAsia="Times New Roman" w:hAnsi="Times New Roman"/>
                <w:sz w:val="13"/>
                <w:szCs w:val="13"/>
                <w:b w:val="1"/>
                <w:bCs w:val="1"/>
                <w:color w:val="auto"/>
                <w:w w:val="96"/>
              </w:rPr>
              <w:t>of co-registrant’s principal executive offices)</w:t>
            </w:r>
          </w:p>
        </w:tc>
        <w:tc>
          <w:tcPr>
            <w:tcW w:w="4840" w:type="dxa"/>
            <w:vAlign w:val="bottom"/>
          </w:tcPr>
          <w:p>
            <w:pPr>
              <w:jc w:val="center"/>
              <w:ind w:left="828"/>
              <w:spacing w:after="0"/>
              <w:rPr>
                <w:sz w:val="20"/>
                <w:szCs w:val="20"/>
                <w:color w:val="auto"/>
              </w:rPr>
            </w:pPr>
            <w:r>
              <w:rPr>
                <w:rFonts w:ascii="Times New Roman" w:cs="Times New Roman" w:eastAsia="Times New Roman" w:hAnsi="Times New Roman"/>
                <w:sz w:val="13"/>
                <w:szCs w:val="13"/>
                <w:b w:val="1"/>
                <w:bCs w:val="1"/>
                <w:color w:val="auto"/>
                <w:w w:val="96"/>
              </w:rPr>
              <w:t>of co-registrant’s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147320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Christina M. Ibrahim</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Weatherford International plc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Vice President, General Counsel and Corporate Secretary</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2000 St. James Place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Houston, Texas 77056</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(713) 836-4000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149225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With a copy to:</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Sean T. Wheeler</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John M. Greer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Latham &amp; Watkins LLP</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811 Main Street, Suite 3700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Houston, Texas 77002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(713) 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10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53" w:lineRule="exact"/>
        <w:rPr>
          <w:sz w:val="24"/>
          <w:szCs w:val="24"/>
          <w:color w:val="auto"/>
        </w:rPr>
      </w:pPr>
    </w:p>
    <w:p>
      <w:pPr>
        <w:ind w:right="48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ind w:right="1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4"/>
          <w:szCs w:val="24"/>
          <w:color w:val="auto"/>
        </w:rPr>
      </w:pPr>
    </w:p>
    <w:p>
      <w:pPr>
        <w:ind w:right="3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4"/>
          <w:szCs w:val="24"/>
          <w:color w:val="auto"/>
        </w:rPr>
      </w:pPr>
    </w:p>
    <w:p>
      <w:pPr>
        <w:ind w:right="12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ind w:right="3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ectPr>
          <w:pgSz w:w="11900" w:h="16838" w:orient="portrait"/>
          <w:cols w:equalWidth="0" w:num="1">
            <w:col w:w="11420"/>
          </w:cols>
          <w:pgMar w:left="240" w:top="226" w:right="239" w:bottom="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0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60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140" w:type="dxa"/>
            <w:vAlign w:val="bottom"/>
          </w:tcPr>
          <w:p>
            <w:pP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04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tc>
        <w:tc>
          <w:tcPr>
            <w:tcW w:w="460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0" w:type="dxa"/>
            <w:vAlign w:val="bottom"/>
          </w:tcPr>
          <w:p>
            <w:pP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4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0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0" w:type="dxa"/>
            <w:vAlign w:val="bottom"/>
          </w:tcPr>
          <w:p>
            <w:pP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1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w:t>
            </w:r>
          </w:p>
        </w:tc>
        <w:tc>
          <w:tcPr>
            <w:tcW w:w="140" w:type="dxa"/>
            <w:vAlign w:val="bottom"/>
          </w:tcPr>
          <w:p>
            <w:pPr>
              <w:spacing w:after="0"/>
              <w:rPr>
                <w:sz w:val="22"/>
                <w:szCs w:val="22"/>
                <w:color w:val="auto"/>
              </w:rPr>
            </w:pPr>
          </w:p>
        </w:tc>
      </w:tr>
      <w:tr>
        <w:trPr>
          <w:trHeight w:val="254"/>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accounting standards provided pursuant to Section 7(a)(2)(B) of the Securities Act.</w:t>
            </w:r>
          </w:p>
        </w:tc>
        <w:tc>
          <w:tcPr>
            <w:tcW w:w="460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140" w:type="dxa"/>
            <w:vAlign w:val="bottom"/>
          </w:tcPr>
          <w:p>
            <w:pPr>
              <w:spacing w:after="0"/>
              <w:rPr>
                <w:sz w:val="22"/>
                <w:szCs w:val="22"/>
                <w:color w:val="auto"/>
              </w:rPr>
            </w:pPr>
          </w:p>
        </w:tc>
      </w:tr>
    </w:tbl>
    <w:p>
      <w:pPr>
        <w:spacing w:after="0" w:line="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138430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250190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registration statement contains two prospectuses:</w:t>
      </w:r>
    </w:p>
    <w:p>
      <w:pPr>
        <w:spacing w:after="0" w:line="131" w:lineRule="exact"/>
        <w:rPr>
          <w:sz w:val="20"/>
          <w:szCs w:val="20"/>
          <w:color w:val="auto"/>
        </w:rPr>
      </w:pPr>
    </w:p>
    <w:p>
      <w:pPr>
        <w:ind w:left="900" w:right="60" w:hanging="325"/>
        <w:spacing w:after="0" w:line="281" w:lineRule="auto"/>
        <w:tabs>
          <w:tab w:leader="none" w:pos="9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indeterminate number of ordinary shares of Weatherford Ireland, options to purchase ordinary shares of Weatherford Ireland, warrants to purchase ordinary shares of Weatherford Ireland, debt securities of Weatherford Bermuda (and related guarantees of Weatherford Ireland and Weatherford Delaware) and debt securities of Weatherford Delaware (and related guarantees of Weatherford Ireland and Weatherford Bermuda), as may from time to time be issued, provided such issuances shall have an aggregate initial offering price not to exceed $2,000,000,000; and</w:t>
      </w:r>
    </w:p>
    <w:p>
      <w:pPr>
        <w:spacing w:after="0" w:line="70" w:lineRule="exact"/>
        <w:rPr>
          <w:rFonts w:ascii="Times New Roman" w:cs="Times New Roman" w:eastAsia="Times New Roman" w:hAnsi="Times New Roman"/>
          <w:sz w:val="17"/>
          <w:szCs w:val="17"/>
          <w:color w:val="auto"/>
        </w:rPr>
      </w:pPr>
    </w:p>
    <w:p>
      <w:pPr>
        <w:ind w:left="900" w:hanging="325"/>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exercise prospectus for the offering, issuance and sale of up to 84,500,000 ordinary shares of the registrant pursuant to the exercise of a warrant to purchase the registrant’s ordinary shares outstanding on February 13, 2017.</w:t>
      </w:r>
    </w:p>
    <w:p>
      <w:pPr>
        <w:spacing w:after="0" w:line="162"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securities to be offered pursuant to the base prospectus will be specified in a prospectus supplement to the base prospectus. The warrant exercise prospectus immediately follows the base prospectus.</w:t>
      </w:r>
    </w:p>
    <w:p>
      <w:pPr>
        <w:sectPr>
          <w:pgSz w:w="11900" w:h="16838" w:orient="portrait"/>
          <w:cols w:equalWidth="0" w:num="1">
            <w:col w:w="11360"/>
          </w:cols>
          <w:pgMar w:left="240" w:top="455" w:right="2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FF4338"/>
        </w:rPr>
        <w:t>Subject to Completion, Dated May 3, 2017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174625</wp:posOffset>
            </wp:positionV>
            <wp:extent cx="1569085" cy="702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908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Weatherford International plc</w:t>
      </w:r>
    </w:p>
    <w:p>
      <w:pPr>
        <w:spacing w:after="0" w:line="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 Irish public limited company)</w:t>
      </w:r>
    </w:p>
    <w:p>
      <w:pPr>
        <w:spacing w:after="0" w:line="1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Options</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Guarantees of Debt Securities</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353"/>
        </w:trPr>
        <w:tc>
          <w:tcPr>
            <w:tcW w:w="4820" w:type="dxa"/>
            <w:vAlign w:val="bottom"/>
          </w:tcPr>
          <w:p>
            <w:pPr>
              <w:jc w:val="center"/>
              <w:ind w:right="827"/>
              <w:spacing w:after="0"/>
              <w:rPr>
                <w:sz w:val="20"/>
                <w:szCs w:val="20"/>
                <w:color w:val="auto"/>
              </w:rPr>
            </w:pPr>
            <w:r>
              <w:rPr>
                <w:rFonts w:ascii="Times New Roman" w:cs="Times New Roman" w:eastAsia="Times New Roman" w:hAnsi="Times New Roman"/>
                <w:sz w:val="29"/>
                <w:szCs w:val="29"/>
                <w:b w:val="1"/>
                <w:bCs w:val="1"/>
                <w:color w:val="auto"/>
                <w:w w:val="98"/>
              </w:rPr>
              <w:t>Weatherford International Ltd.</w:t>
            </w:r>
          </w:p>
        </w:tc>
        <w:tc>
          <w:tcPr>
            <w:tcW w:w="4960" w:type="dxa"/>
            <w:vAlign w:val="bottom"/>
          </w:tcPr>
          <w:p>
            <w:pPr>
              <w:jc w:val="center"/>
              <w:ind w:left="807"/>
              <w:spacing w:after="0"/>
              <w:rPr>
                <w:sz w:val="20"/>
                <w:szCs w:val="20"/>
                <w:color w:val="auto"/>
              </w:rPr>
            </w:pPr>
            <w:r>
              <w:rPr>
                <w:rFonts w:ascii="Times New Roman" w:cs="Times New Roman" w:eastAsia="Times New Roman" w:hAnsi="Times New Roman"/>
                <w:sz w:val="29"/>
                <w:szCs w:val="29"/>
                <w:b w:val="1"/>
                <w:bCs w:val="1"/>
                <w:color w:val="auto"/>
                <w:w w:val="99"/>
              </w:rPr>
              <w:t>Weatherford International, LLC</w:t>
            </w:r>
          </w:p>
        </w:tc>
      </w:tr>
      <w:tr>
        <w:trPr>
          <w:trHeight w:val="238"/>
        </w:trPr>
        <w:tc>
          <w:tcPr>
            <w:tcW w:w="4820" w:type="dxa"/>
            <w:vAlign w:val="bottom"/>
          </w:tcPr>
          <w:p>
            <w:pPr>
              <w:jc w:val="center"/>
              <w:ind w:right="807"/>
              <w:spacing w:after="0"/>
              <w:rPr>
                <w:sz w:val="20"/>
                <w:szCs w:val="20"/>
                <w:color w:val="auto"/>
              </w:rPr>
            </w:pPr>
            <w:r>
              <w:rPr>
                <w:rFonts w:ascii="Times New Roman" w:cs="Times New Roman" w:eastAsia="Times New Roman" w:hAnsi="Times New Roman"/>
                <w:sz w:val="18"/>
                <w:szCs w:val="18"/>
                <w:b w:val="1"/>
                <w:bCs w:val="1"/>
                <w:color w:val="auto"/>
                <w:w w:val="99"/>
              </w:rPr>
              <w:t>(a Bermuda exempted company)</w:t>
            </w:r>
          </w:p>
        </w:tc>
        <w:tc>
          <w:tcPr>
            <w:tcW w:w="4960" w:type="dxa"/>
            <w:vAlign w:val="bottom"/>
          </w:tcPr>
          <w:p>
            <w:pPr>
              <w:jc w:val="center"/>
              <w:ind w:left="807"/>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tc>
      </w:tr>
      <w:tr>
        <w:trPr>
          <w:trHeight w:val="333"/>
        </w:trPr>
        <w:tc>
          <w:tcPr>
            <w:tcW w:w="4820" w:type="dxa"/>
            <w:vAlign w:val="bottom"/>
          </w:tcPr>
          <w:p>
            <w:pPr>
              <w:jc w:val="center"/>
              <w:ind w:right="827"/>
              <w:spacing w:after="0"/>
              <w:rPr>
                <w:sz w:val="20"/>
                <w:szCs w:val="20"/>
                <w:color w:val="auto"/>
              </w:rPr>
            </w:pPr>
            <w:r>
              <w:rPr>
                <w:rFonts w:ascii="Times New Roman" w:cs="Times New Roman" w:eastAsia="Times New Roman" w:hAnsi="Times New Roman"/>
                <w:sz w:val="22"/>
                <w:szCs w:val="22"/>
                <w:b w:val="1"/>
                <w:bCs w:val="1"/>
                <w:color w:val="auto"/>
                <w:w w:val="98"/>
              </w:rPr>
              <w:t>Debt Securities</w:t>
            </w:r>
          </w:p>
        </w:tc>
        <w:tc>
          <w:tcPr>
            <w:tcW w:w="4960" w:type="dxa"/>
            <w:vAlign w:val="bottom"/>
          </w:tcPr>
          <w:p>
            <w:pPr>
              <w:jc w:val="center"/>
              <w:ind w:left="807"/>
              <w:spacing w:after="0"/>
              <w:rPr>
                <w:sz w:val="20"/>
                <w:szCs w:val="20"/>
                <w:color w:val="auto"/>
              </w:rPr>
            </w:pPr>
            <w:r>
              <w:rPr>
                <w:rFonts w:ascii="Times New Roman" w:cs="Times New Roman" w:eastAsia="Times New Roman" w:hAnsi="Times New Roman"/>
                <w:sz w:val="22"/>
                <w:szCs w:val="22"/>
                <w:b w:val="1"/>
                <w:bCs w:val="1"/>
                <w:color w:val="auto"/>
                <w:w w:val="98"/>
              </w:rPr>
              <w:t>Debt Securities</w:t>
            </w:r>
          </w:p>
        </w:tc>
      </w:tr>
      <w:tr>
        <w:trPr>
          <w:trHeight w:val="287"/>
        </w:trPr>
        <w:tc>
          <w:tcPr>
            <w:tcW w:w="4820" w:type="dxa"/>
            <w:vAlign w:val="bottom"/>
          </w:tcPr>
          <w:p>
            <w:pPr>
              <w:jc w:val="center"/>
              <w:ind w:right="827"/>
              <w:spacing w:after="0"/>
              <w:rPr>
                <w:sz w:val="20"/>
                <w:szCs w:val="20"/>
                <w:color w:val="auto"/>
              </w:rPr>
            </w:pPr>
            <w:r>
              <w:rPr>
                <w:rFonts w:ascii="Times New Roman" w:cs="Times New Roman" w:eastAsia="Times New Roman" w:hAnsi="Times New Roman"/>
                <w:sz w:val="22"/>
                <w:szCs w:val="22"/>
                <w:b w:val="1"/>
                <w:bCs w:val="1"/>
                <w:color w:val="auto"/>
                <w:w w:val="98"/>
              </w:rPr>
              <w:t>Guarantees of Debt Securities</w:t>
            </w:r>
          </w:p>
        </w:tc>
        <w:tc>
          <w:tcPr>
            <w:tcW w:w="4960" w:type="dxa"/>
            <w:vAlign w:val="bottom"/>
          </w:tcPr>
          <w:p>
            <w:pPr>
              <w:jc w:val="center"/>
              <w:ind w:left="807"/>
              <w:spacing w:after="0"/>
              <w:rPr>
                <w:sz w:val="20"/>
                <w:szCs w:val="20"/>
                <w:color w:val="auto"/>
              </w:rPr>
            </w:pPr>
            <w:r>
              <w:rPr>
                <w:rFonts w:ascii="Times New Roman" w:cs="Times New Roman" w:eastAsia="Times New Roman" w:hAnsi="Times New Roman"/>
                <w:sz w:val="22"/>
                <w:szCs w:val="22"/>
                <w:b w:val="1"/>
                <w:bCs w:val="1"/>
                <w:color w:val="auto"/>
                <w:w w:val="98"/>
              </w:rPr>
              <w:t>Guarantees of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up to $2,000,000,000 of the above listed securities, or any combination thereof, and sell from time to time in one or more offerings, at prices and on terms determined at the time of any such offering, to or through one or more underwriters, dealers and agents, or directly to purchasers, on a continuous or delayed basis.</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ordinary shares of Weatherford Ireland are traded under the symbol “WFT” on the New York Stock Exchange.</w:t>
      </w:r>
    </w:p>
    <w:p>
      <w:pPr>
        <w:spacing w:after="0" w:line="212" w:lineRule="exact"/>
        <w:rPr>
          <w:sz w:val="20"/>
          <w:szCs w:val="20"/>
          <w:color w:val="auto"/>
        </w:rPr>
      </w:pPr>
    </w:p>
    <w:p>
      <w:pPr>
        <w:ind w:right="140" w:firstLine="456"/>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risk. You should carefully review the risks and uncertainties described under the headings “Forward-Looking Statements” on page 3 and “</w:t>
      </w:r>
      <w:hyperlink w:anchor="page11">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on page 6 herein and in the applicable prospectus supplement and any related free writing prospectus and under similar headings in the other documents incorporated by reference into this prospectus and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198120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40"/>
          </w:cols>
          <w:pgMar w:left="240" w:top="455" w:right="31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880"/>
        <w:spacing w:after="0"/>
        <w:tabs>
          <w:tab w:leader="none" w:pos="7040" w:val="left"/>
        </w:tabs>
        <w:rPr>
          <w:sz w:val="20"/>
          <w:szCs w:val="20"/>
          <w:color w:val="auto"/>
        </w:rPr>
      </w:pPr>
      <w:r>
        <w:rPr>
          <w:rFonts w:ascii="Times New Roman" w:cs="Times New Roman" w:eastAsia="Times New Roman" w:hAnsi="Times New Roman"/>
          <w:sz w:val="18"/>
          <w:szCs w:val="18"/>
          <w:b w:val="1"/>
          <w:bCs w:val="1"/>
          <w:color w:val="auto"/>
        </w:rPr>
        <w:t>The date of this prospectus is</w:t>
      </w:r>
      <w:r>
        <w:rPr>
          <w:sz w:val="20"/>
          <w:szCs w:val="20"/>
          <w:color w:val="auto"/>
        </w:rPr>
        <w:tab/>
      </w:r>
      <w:r>
        <w:rPr>
          <w:rFonts w:ascii="Times New Roman" w:cs="Times New Roman" w:eastAsia="Times New Roman" w:hAnsi="Times New Roman"/>
          <w:sz w:val="18"/>
          <w:szCs w:val="18"/>
          <w:b w:val="1"/>
          <w:bCs w:val="1"/>
          <w:color w:val="auto"/>
        </w:rPr>
        <w:t>, 2017.</w:t>
      </w:r>
    </w:p>
    <w:p>
      <w:pPr>
        <w:sectPr>
          <w:pgSz w:w="11900" w:h="16838" w:orient="portrait"/>
          <w:cols w:equalWidth="0" w:num="1">
            <w:col w:w="11340"/>
          </w:cols>
          <w:pgMar w:left="240" w:top="455" w:right="31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80" w:type="dxa"/>
            <w:vAlign w:val="bottom"/>
          </w:tcPr>
          <w:p>
            <w:pPr>
              <w:spacing w:after="0"/>
              <w:rPr>
                <w:sz w:val="20"/>
                <w:szCs w:val="20"/>
                <w:color w:val="auto"/>
              </w:rPr>
            </w:pPr>
          </w:p>
        </w:tc>
      </w:tr>
      <w:tr>
        <w:trPr>
          <w:trHeight w:val="37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224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ABOUT THIS PROSPECTUS</w:t>
              </w:r>
            </w:hyperlink>
          </w:p>
        </w:tc>
        <w:tc>
          <w:tcPr>
            <w:tcW w:w="6640" w:type="dxa"/>
            <w:vAlign w:val="bottom"/>
            <w:gridSpan w:val="11"/>
          </w:tcPr>
          <w:p>
            <w:pPr>
              <w:spacing w:after="0"/>
              <w:rPr>
                <w:sz w:val="16"/>
                <w:szCs w:val="16"/>
                <w:color w:val="auto"/>
              </w:rPr>
            </w:pPr>
          </w:p>
        </w:tc>
        <w:tc>
          <w:tcPr>
            <w:tcW w:w="24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880" w:type="dxa"/>
            <w:vAlign w:val="bottom"/>
            <w:gridSpan w:val="18"/>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WHERE YOU CAN FIND MORE INFORMATION</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29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FORWARD-LOOKING STATEMENTS</w:t>
              </w:r>
            </w:hyperlink>
          </w:p>
        </w:tc>
        <w:tc>
          <w:tcPr>
            <w:tcW w:w="880" w:type="dxa"/>
            <w:vAlign w:val="bottom"/>
            <w:tcBorders>
              <w:top w:val="single" w:sz="8" w:color="0000EE"/>
            </w:tcBorders>
            <w:gridSpan w:val="6"/>
          </w:tcPr>
          <w:p>
            <w:pPr>
              <w:spacing w:after="0"/>
              <w:rPr>
                <w:sz w:val="17"/>
                <w:szCs w:val="17"/>
                <w:color w:val="auto"/>
              </w:rPr>
            </w:pPr>
          </w:p>
        </w:tc>
        <w:tc>
          <w:tcPr>
            <w:tcW w:w="506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880" w:type="dxa"/>
            <w:vAlign w:val="bottom"/>
            <w:gridSpan w:val="18"/>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ABOUT US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RISK FACTORS</w:t>
              </w:r>
            </w:hyperlink>
          </w:p>
        </w:tc>
        <w:tc>
          <w:tcPr>
            <w:tcW w:w="7620" w:type="dxa"/>
            <w:vAlign w:val="bottom"/>
            <w:gridSpan w:val="1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8880" w:type="dxa"/>
            <w:vAlign w:val="bottom"/>
            <w:gridSpan w:val="18"/>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USE OF PROCEEDS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80" w:type="dxa"/>
            <w:vAlign w:val="bottom"/>
            <w:gridSpan w:val="18"/>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RATIO OF EARNINGS TO FIXED CHARGES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35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DILUTION</w:t>
              </w:r>
            </w:hyperlink>
          </w:p>
        </w:tc>
        <w:tc>
          <w:tcPr>
            <w:tcW w:w="5380" w:type="dxa"/>
            <w:vAlign w:val="bottom"/>
            <w:gridSpan w:val="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DESCRIPTION OF OUR ORDINARY SHARES</w:t>
              </w:r>
            </w:hyperlink>
          </w:p>
        </w:tc>
        <w:tc>
          <w:tcPr>
            <w:tcW w:w="528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8880" w:type="dxa"/>
            <w:vAlign w:val="bottom"/>
            <w:gridSpan w:val="18"/>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DESCRIPTION OF OPTIONS AND WARRANTS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DESCRIPTION OF DEBT SECURITIES OF WEATHERFORD BERMUDA</w:t>
              </w:r>
            </w:hyperlink>
          </w:p>
        </w:tc>
        <w:tc>
          <w:tcPr>
            <w:tcW w:w="324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57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DESCRIPTION OF DEBT SECURITIES OF WEATHERFORD DELAWARE</w:t>
              </w:r>
            </w:hyperlink>
          </w:p>
        </w:tc>
        <w:tc>
          <w:tcPr>
            <w:tcW w:w="316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44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MATERIAL FEDERAL INCOME TAX CONSEQUENCES</w:t>
              </w:r>
            </w:hyperlink>
          </w:p>
        </w:tc>
        <w:tc>
          <w:tcPr>
            <w:tcW w:w="448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8880" w:type="dxa"/>
            <w:vAlign w:val="bottom"/>
            <w:gridSpan w:val="18"/>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CERTAIN IRISH TAX CONSIDERATIONS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37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w:anchor="page49">
              <w:r>
                <w:rPr>
                  <w:rFonts w:ascii="Times New Roman" w:cs="Times New Roman" w:eastAsia="Times New Roman" w:hAnsi="Times New Roman"/>
                  <w:sz w:val="18"/>
                  <w:szCs w:val="18"/>
                  <w:color w:val="0000EE"/>
                  <w:w w:val="98"/>
                </w:rPr>
                <w:t>CERTAIN BERMUDA TAX CONSIDERATIONS</w:t>
              </w:r>
            </w:hyperlink>
          </w:p>
        </w:tc>
        <w:tc>
          <w:tcPr>
            <w:tcW w:w="5160" w:type="dxa"/>
            <w:vAlign w:val="bottom"/>
            <w:gridSpan w:val="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8880" w:type="dxa"/>
            <w:vAlign w:val="bottom"/>
            <w:gridSpan w:val="18"/>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CERTAIN SWISS TAX CONSIDERATIONS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20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PLAN OF DISTRIBUTION</w:t>
              </w:r>
            </w:hyperlink>
          </w:p>
        </w:tc>
        <w:tc>
          <w:tcPr>
            <w:tcW w:w="1260" w:type="dxa"/>
            <w:vAlign w:val="bottom"/>
            <w:tcBorders>
              <w:top w:val="single" w:sz="8" w:color="0000EE"/>
            </w:tcBorders>
            <w:gridSpan w:val="4"/>
          </w:tcPr>
          <w:p>
            <w:pPr>
              <w:spacing w:after="0"/>
              <w:rPr>
                <w:sz w:val="17"/>
                <w:szCs w:val="17"/>
                <w:color w:val="auto"/>
              </w:rPr>
            </w:pPr>
          </w:p>
        </w:tc>
        <w:tc>
          <w:tcPr>
            <w:tcW w:w="556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8880" w:type="dxa"/>
            <w:vAlign w:val="bottom"/>
            <w:gridSpan w:val="18"/>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LEGAL MATTERS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3"/>
          </w:tcPr>
          <w:p>
            <w:pPr>
              <w:spacing w:after="0"/>
              <w:rPr>
                <w:sz w:val="17"/>
                <w:szCs w:val="17"/>
                <w:color w:val="auto"/>
              </w:rPr>
            </w:pPr>
          </w:p>
        </w:tc>
        <w:tc>
          <w:tcPr>
            <w:tcW w:w="7420" w:type="dxa"/>
            <w:vAlign w:val="bottom"/>
            <w:gridSpan w:val="1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bl>
    <w:p>
      <w:pPr>
        <w:sectPr>
          <w:pgSz w:w="11900" w:h="16838" w:orient="portrait"/>
          <w:cols w:equalWidth="0" w:num="1">
            <w:col w:w="11360"/>
          </w:cols>
          <w:pgMar w:left="240" w:top="455" w:right="2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456"/>
        <w:spacing w:after="0" w:line="269"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up to $2,000,000,000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incorporated by reference as described under the heading “Where You Can Find More Information” in this prospectus.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177"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the context requires otherwise or unless otherwise noted, as used in this prospectus or any prospectus supplement:</w:t>
      </w:r>
    </w:p>
    <w:p>
      <w:pPr>
        <w:spacing w:after="0" w:line="131" w:lineRule="exact"/>
        <w:rPr>
          <w:sz w:val="20"/>
          <w:szCs w:val="20"/>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Ireland” refers to Weatherford International plc, an Irish public limited company.</w:t>
      </w:r>
    </w:p>
    <w:p>
      <w:pPr>
        <w:spacing w:after="0" w:line="130"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Bermuda” refers to Weatherford International Ltd., a Bermuda exempted company and wholly owned, indirect subsidiary of Weatherford Ireland.</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Delaware” refers to Weatherford International, LLC, a Delaware limited liability company and wholly owned, indirect subsidiary of Weatherford Ireland.</w:t>
      </w:r>
    </w:p>
    <w:p>
      <w:pPr>
        <w:spacing w:after="0" w:line="67"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or “our” refers to Weatherford Ireland and its subsidiaries (including Weatherford Bermuda and Weatherford Delaware) on a consolidated basis.</w:t>
      </w:r>
    </w:p>
    <w:p>
      <w:pPr>
        <w:spacing w:after="0" w:line="158"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455" w:right="2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 (other than information furnished rather than filed and corresponding information furnished under Item 9.01 of Form 8-K or included as an exhibit thereto):</w:t>
      </w:r>
    </w:p>
    <w:p>
      <w:pPr>
        <w:spacing w:after="0" w:line="89"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Ireland’s Annual Report on Form 10-K for the fiscal year ended December 31, 2016, as filed with the SEC on February 15, 2017;</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Definitive Proxy Statement on Schedule 14A filed on April 25, 2017;</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March 31, 2017, as filed with the SEC on April 28, 2017;</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Ireland’s Current Reports on Form 8-K or Form 8-K/A, as filed with the SEC on March 10, 2017, March 24, 2017 and April 17, 2017; and</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Weatherford Ireland’s Ordinary Shares contained in Item 8.01 of Weatherford Ireland’s Current Report on Form 8-K, as filed with the SEC on June 17, 2014.</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 We are also incorporating by reference all additional documents we may file with the SEC under Sections 13(a), 13(c), 14 or 15(d) of the Securities Exchange Act of 1934, as amended, after the date hereof and prior to the effectiveness of the registration statement of which this prospectus forms a part.</w:t>
      </w:r>
    </w:p>
    <w:p>
      <w:pPr>
        <w:spacing w:after="0" w:line="184"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Weatherford International Ltd.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2000 St. James Place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5580" w:hanging="428"/>
        <w:spacing w:after="0"/>
        <w:tabs>
          <w:tab w:leader="none" w:pos="5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836-4000</w:t>
      </w:r>
    </w:p>
    <w:p>
      <w:pPr>
        <w:spacing w:after="0" w:line="139" w:lineRule="exact"/>
        <w:rPr>
          <w:rFonts w:ascii="Times New Roman" w:cs="Times New Roman" w:eastAsia="Times New Roman" w:hAnsi="Times New Roman"/>
          <w:sz w:val="18"/>
          <w:szCs w:val="18"/>
          <w:color w:val="auto"/>
        </w:rPr>
      </w:pPr>
    </w:p>
    <w:p>
      <w:pPr>
        <w:ind w:left="5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and are generally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95"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volatility of oil, natural gas and natural gas liquids;</w:t>
      </w:r>
    </w:p>
    <w:p>
      <w:pPr>
        <w:spacing w:after="0" w:line="130"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nonrealization of expected benefits from our acquisitions or business dispositions and our ability to execute such acquisitions and dispositions;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 level of indebtedness;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availability of our raw materials;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goodwill, intangible assets or other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effective tax rate;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nonrealization of potential earnouts associated with business dispositions;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downturns in our industry which could further affect the carrying value of our goodwill;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the Petroleum Exporting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benefits from our redomestication from Switzerland to Ireland and to maintain our Swiss tax residency;</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455" w:right="2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environmental and tax and accounting laws, rules and regulations;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capital, significantly higher cost of capital, or difficulty raising additional funds in the equity or debt capital markets.</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24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US</w:t>
      </w:r>
    </w:p>
    <w:p>
      <w:pPr>
        <w:spacing w:after="0" w:line="22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are one of the world’s leading providers of equipment and services used in the drilling, evaluation, completion, production and intervention of oil and natural gas wells. We conduct operations in approximately 90 countries and have service and sales locations in nearly all of the oil and natural gas producing regions in the world.</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Weatherford Ireland is incorporated in Ireland and is the ultimate parent company of the Weatherford group of affiliates.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76" w:lineRule="exact"/>
        <w:rPr>
          <w:sz w:val="20"/>
          <w:szCs w:val="20"/>
          <w:color w:val="auto"/>
        </w:rPr>
      </w:pPr>
    </w:p>
    <w:p>
      <w:pPr>
        <w:jc w:val="center"/>
        <w:ind w:left="360" w:right="340"/>
        <w:spacing w:after="0" w:line="454" w:lineRule="auto"/>
        <w:rPr>
          <w:sz w:val="20"/>
          <w:szCs w:val="20"/>
          <w:color w:val="auto"/>
        </w:rPr>
      </w:pPr>
      <w:r>
        <w:rPr>
          <w:rFonts w:ascii="Times New Roman" w:cs="Times New Roman" w:eastAsia="Times New Roman" w:hAnsi="Times New Roman"/>
          <w:sz w:val="18"/>
          <w:szCs w:val="18"/>
          <w:color w:val="auto"/>
        </w:rPr>
        <w:t>Our principal executive offices are located at Weststrasse 1, 6340 Baar, Switzerland and our telephone number at that location is +41.22.816.1500. 5</w:t>
      </w:r>
    </w:p>
    <w:p>
      <w:pPr>
        <w:sectPr>
          <w:pgSz w:w="11900" w:h="16838" w:orient="portrait"/>
          <w:cols w:equalWidth="0" w:num="1">
            <w:col w:w="11360"/>
          </w:cols>
          <w:pgMar w:left="240" w:top="455" w:right="2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most recent Annual Report on Form 10-K, along with any risk factors contained in our quarterly reports on Form 10-Q, which are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40"/>
          </w:cols>
          <w:pgMar w:left="240" w:top="455" w:right="3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60" w:type="dxa"/>
            <w:vAlign w:val="bottom"/>
          </w:tcPr>
          <w:p>
            <w:pPr>
              <w:spacing w:after="0"/>
              <w:rPr>
                <w:sz w:val="13"/>
                <w:szCs w:val="13"/>
                <w:color w:val="auto"/>
              </w:rPr>
            </w:pPr>
          </w:p>
        </w:tc>
        <w:tc>
          <w:tcPr>
            <w:tcW w:w="13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5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136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720" w:type="dxa"/>
            <w:vAlign w:val="bottom"/>
          </w:tcPr>
          <w:p>
            <w:pPr>
              <w:spacing w:after="0"/>
              <w:rPr>
                <w:sz w:val="10"/>
                <w:szCs w:val="10"/>
                <w:color w:val="auto"/>
              </w:rPr>
            </w:pP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Pr>
          <w:p>
            <w:pPr>
              <w:spacing w:after="0"/>
              <w:rPr>
                <w:sz w:val="10"/>
                <w:szCs w:val="10"/>
                <w:color w:val="auto"/>
              </w:rPr>
            </w:pPr>
          </w:p>
        </w:tc>
        <w:tc>
          <w:tcPr>
            <w:tcW w:w="5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740" w:type="dxa"/>
            <w:vAlign w:val="bottom"/>
          </w:tcPr>
          <w:p>
            <w:pPr>
              <w:spacing w:after="0"/>
              <w:rPr>
                <w:sz w:val="10"/>
                <w:szCs w:val="10"/>
                <w:color w:val="auto"/>
              </w:rPr>
            </w:pPr>
          </w:p>
        </w:tc>
        <w:tc>
          <w:tcPr>
            <w:tcW w:w="5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Pr>
          <w:p>
            <w:pPr>
              <w:spacing w:after="0"/>
              <w:rPr>
                <w:sz w:val="10"/>
                <w:szCs w:val="10"/>
                <w:color w:val="auto"/>
              </w:rPr>
            </w:pPr>
          </w:p>
        </w:tc>
        <w:tc>
          <w:tcPr>
            <w:tcW w:w="5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5"/>
                <w:szCs w:val="15"/>
                <w:color w:val="auto"/>
                <w:w w:val="99"/>
              </w:rPr>
              <w:t>(1)</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5"/>
                <w:szCs w:val="15"/>
                <w:color w:val="auto"/>
              </w:rPr>
              <w:t>(1)</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rPr>
              <w:t>(1)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22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2017 and the years ended December 31, 2016, 2015, 2014, 2013 and 2012, earnings before fixed charges were inadequate to cover fixed charges by $409 million, $2.9 billion, $2.1 billion, $266 million, $211 million and $349 million, respectively.</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net tangible book value as of March 31, 2017 was approximately $(911) million, or approximately $(0.92) per ordinary share. Net tangible book value per ordinary share represents our total tangible assets (which excludes goodwill and other intangible assets), less our total liabilities, divided by the aggregate number of ordinary shares outstanding. If we offer ordinary shares, purchasers of our ordinary shares in that offering may experience immediate dilution in net tangible book value per ordinary share. The prospectus supplement relating to an offering of ordinary shares will set forth the information regarding any dilutive effect of that offering.</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80"/>
          </w:cols>
          <w:pgMar w:left="240" w:top="455" w:right="4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ORDINARY SHARES</w:t>
      </w:r>
    </w:p>
    <w:p>
      <w:pPr>
        <w:spacing w:after="0" w:line="22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following description is a summary of our share capital. This summary does not purport to be complete and the statements in this summary are qualified in their entirety by reference to, and are subject to, the detailed provisions of the Companies Act 2014 of Ireland, as amended (the “Irish Companies Act”) and our memorandum and articles of association, which is incorporated herein by reference. We encourage you to read those laws and documents carefully.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 Capital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April 15, 2017, our authorized share capital is €40,000 and $1,356,000 divided into 40,000 deferred ordinary shares with a nominal value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per share and 1,356,000,000 ordinary shares with a nominal value of $0.001 per share. The authorized share capital includes 40,000 deferred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with a nominal value of €1.00 per share in order to satisfy statutory requirements for the incorporation of all Irish public limited companies.</w:t>
      </w:r>
    </w:p>
    <w:p>
      <w:pPr>
        <w:spacing w:after="0" w:line="20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 have been authorized in our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our articles of association.</w:t>
      </w:r>
    </w:p>
    <w:p>
      <w:pPr>
        <w:spacing w:after="0" w:line="18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Irish law does not recognize fractional shares held of record. Accordingly, our articles of association do not provide for the issuance of fractional shares, and the official Irish register does not reflect any fractional shares.</w:t>
      </w:r>
    </w:p>
    <w:p>
      <w:pPr>
        <w:spacing w:after="0" w:line="1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Whenever an alteration or reorganization of our share capital would result in any shareholder becoming entitled to fractions of a share, our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our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Share Capital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April 15, 2017, our issued share capital is $985,748, comprised of 985,747,811 ordinary shares with a nominal value of $0.001 per share.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Preemption Rights, Share Warrants and Options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Under Irish law, certain statutory preemption rights apply automatically in favor of shareholders where shares are to be issued for cash. However, we opted out of these preemption rights in our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our shareholders at which a quorum is present. If the opt-out is not renewed, shares to be issued for cash must be offered to our existing shareholders on a pro rata basis to their existing shareholding before the shares may be issued to any new shareholders. Statutory preemption rights do not apply:</w:t>
      </w:r>
    </w:p>
    <w:p>
      <w:pPr>
        <w:spacing w:after="0" w:line="93"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shares are issued for non-cash consideration (such as in a stock-for-stock acquisition);</w:t>
      </w:r>
    </w:p>
    <w:p>
      <w:pPr>
        <w:spacing w:after="0" w:line="130" w:lineRule="exact"/>
        <w:rPr>
          <w:rFonts w:ascii="Times New Roman" w:cs="Times New Roman" w:eastAsia="Times New Roman" w:hAnsi="Times New Roman"/>
          <w:sz w:val="18"/>
          <w:szCs w:val="18"/>
          <w:color w:val="auto"/>
        </w:rPr>
      </w:pPr>
    </w:p>
    <w:p>
      <w:pPr>
        <w:ind w:left="900" w:right="80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issue of non-equity shares (that is, shares that have the right to participate only up to a specified amount in any income or capital distribution);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shares are issued pursuant to employee equity compensation plans.</w:t>
      </w:r>
    </w:p>
    <w:p>
      <w:pPr>
        <w:spacing w:after="0" w:line="225"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Under Irish law, we are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articles of association provide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 provides that directors may issue share warrants or options without shareholder approval once authorized to do so by the articles of association or an ordinary resolution of shareholders. We are subject to the rules of the NYSE and the U.S. federal tax laws that require shareholder approval of certain equity plan and share issuances. Our board of directors may issue shares upon exercise of warrants or options without shareholder approval or authorization (up to the relevant maximum authorized share capital for the time being in effect).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our net assets are equal to, or in excess of, the aggregate of our paid-up share capital plus undistributable reserves and the distribution or dividend does not reduce our net assets below such aggregate.</w:t>
      </w:r>
    </w:p>
    <w:p>
      <w:pPr>
        <w:spacing w:after="0" w:line="184"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Undistributable reserves include the share premium account, the capital redemption reserve fund and the amount by which our accumulated unrealized profits, so far as not previously utilized by any capitalization, exceed our accumulated unrealized losses, so far as not previously written off in a reduction or reorganization of capital.</w:t>
      </w:r>
    </w:p>
    <w:p>
      <w:pPr>
        <w:spacing w:after="0" w:line="176"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determination as to whether or not we have sufficient distributable profits to fund a dividend must be made by reference to our “relevant entity financial statements.” The “relevant entity financial statements” will be either the last set of unconsolidated annual audited financial statements or “initial” or “interim” financial statements properly prepared in accordance with the Irish Companies Act, which give a “true and fair view” 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unconsolidated financial position and accord with accepted accounting practice. The relevant entity financial statements are filed in the Companies Registration Office (the official public registry for companies in Ireland).</w:t>
      </w:r>
    </w:p>
    <w:p>
      <w:pPr>
        <w:spacing w:after="0" w:line="162"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Our articles of association authorize the board of directors to declare dividends without shareholder approval to the extent that the declaration of such dividends appears justified by profits. Our directors may also recommend a dividend to be approved and declared by the shareholders at an annual general meeting and may direct that the payment be made by distribution of assets, shares or cash. No dividend may exceed the amount recommended by our directors.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Dividends may be declared and paid in the form of cash, property, stock or other non-cash assets and may be paid in dollars or any other currency.</w:t>
      </w:r>
    </w:p>
    <w:p>
      <w:pPr>
        <w:spacing w:after="0" w:line="225"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Our directors may deduct from any dividend payable to any shareholder any amounts payable by such shareholder to us in relation to the ordinary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 Redemptions and Conversions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Our articles of association provide that, unless our directors determines otherwise, any ordinary share that we have agreed to acquire shall be automatically converted into a redeemable share. Accordingly, for purposes of Irish law, the repurchase of ordinary shares by Weatherford may technically be effected as a redemption.</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our articles of association did not contain such provision, all repurchases by us would be subject to many of the same rules that apply to purchases of our shares by subsidiaries described below under “—Purchases by Subsidiaries” including the shareholder approval requirements described below and the requirement that any on-market purchases be effected on a “recognized stock exchange.” Except where otherwise noted, references elsewhere in this prospectus supplement to repurchasing or buying back our shares refer to the redemption of shares by Weatherford or the purchase of shares of Weatherford by a subsidiary of Weatherford, in each case in accordance with our memorandum and articles of association and Irish law as described below.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and Redemptions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Under Irish law, repurchased and redeemed shares may be cancelled or held as treasury shares. The aggregate nominal value of shares held in treasury at any time must not exceed 10% of the aggregate nominal value of our issued share capital. We may not exercise any voting rights in respect of any shares held as treasury shares. We may cancel treasury shares or re-issue them subject to certain conditions.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may also issue redeemable shares and redeem them out of distributable profits or the proceeds of a new issue of shares for that purpose. We may not repurchase any shares if as a result of such repurchase the nominal value of the issued share capital that is not redeemable would be less than 10% of the aggregate nominal value of our entire issued share capital. All redeemable shares must also be fully paid-up and the terms of redemption of the shares must provide for payment on redemption. We may also be given authority to purchase our own shares on-market on a recognized stock exchange such as the NYSE or off-market with such authority to be given by its shareholders at a general meeting, which would take effect on the same terms and be subject to the same conditions as applicable to purchases by our subsidiaries.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by Subsidiaries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Irish law, our subsidiaries may purchase our ordinary shares on-market on a recognized stock exchange such as NYSE or off-market.</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For one of our subsidiaries to make on-market purchases of ordinary shares, our shareholders must provide general authorization for such purchase by way of ordinary resolution. However, as long as this general authority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has been granted, no specific shareholder authority for a particular on-market purchase of ordinary shares by one of our subsidiaries is required. For a purchase by a subsidiary of the ordinary shares off-market, the proposed purchase contract must be authorized by special resolution of our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our shareholders at our registered office.</w:t>
      </w:r>
    </w:p>
    <w:p>
      <w:pPr>
        <w:spacing w:after="0" w:line="180"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The number of shares in our capital held by our subsidiaries at any time will count as treasury shares and will be included in any calculation of the permitted treasury share threshold of 10% of the nominal value of our issued share capital. While a subsidiary holds shares in our capital, such subsidiary cannot exercise any voting rights in respect of those shares. The acquisition of ordinary shares by a subsidiary must be funded out of distributable profits of the subsidiary.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Lien on Shares, Calls on Shares and Forfeiture of Shares</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Our articles of association provide that we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Ireland and will only be applicable to our shares that have not been fully paid-up.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and Division; Subdivision</w:t>
      </w:r>
    </w:p>
    <w:p>
      <w:pPr>
        <w:spacing w:after="0" w:line="121"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Our articles of association provide that we may, by ordinary resolution, consolidate and divide all or any of our share capital into shares of larger nominal value than our existing shares, or subdivide our shares into smaller amounts than is fixed by our memorandum of association.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 of Share Capital</w:t>
      </w:r>
    </w:p>
    <w:p>
      <w:pPr>
        <w:spacing w:after="0" w:line="121" w:lineRule="exact"/>
        <w:rPr>
          <w:sz w:val="20"/>
          <w:szCs w:val="20"/>
          <w:color w:val="auto"/>
        </w:rPr>
      </w:pPr>
    </w:p>
    <w:p>
      <w:pPr>
        <w:ind w:right="160" w:firstLine="456"/>
        <w:spacing w:after="0" w:line="313" w:lineRule="auto"/>
        <w:rPr>
          <w:sz w:val="20"/>
          <w:szCs w:val="20"/>
          <w:color w:val="auto"/>
        </w:rPr>
      </w:pPr>
      <w:r>
        <w:rPr>
          <w:rFonts w:ascii="Times New Roman" w:cs="Times New Roman" w:eastAsia="Times New Roman" w:hAnsi="Times New Roman"/>
          <w:sz w:val="17"/>
          <w:szCs w:val="17"/>
          <w:color w:val="auto"/>
        </w:rPr>
        <w:t>We may, by ordinary resolution, effect a reduction in our authorized but unissued share capital by cancelling unissued shares. We also may, by special resolution and subject to confirmation by the Irish High Court, reduce or cancel our issued share capital in any way permitted by the Irish Companies Act.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Meetings of Shareholders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As a matter of Irish law, we are required to hold an annual general meeting at intervals of no more than 15 months from the previous annual general meeting, provided that an annual general meeting is held in each calendar year following the first annual general meeting and no more than nine months after our fiscal year-end.</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articles of association provide that business may be properly brought before a meeting if directed by a court of competent jurisdiction or if the chairman decides in his discretion that it may be regarded as within the scope of the meeting. The provisions of our articles of association relating to general meetings shall apply to every general meeting of the holders of any class of shares.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provided under Irish law, notice of an annual or extraordinary general meeting must be given to all our shareholders and to our auditors.</w:t>
      </w:r>
    </w:p>
    <w:p>
      <w:pPr>
        <w:spacing w:after="0" w:line="225"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Our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Meetings of Shareholders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provided under Irish law, extraordinary general meetings may be convened:</w:t>
      </w:r>
    </w:p>
    <w:p>
      <w:pPr>
        <w:spacing w:after="0" w:line="131"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our directors;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requisition of our shareholders holding not less than 10% of our paid-up share capital carrying voting rights;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requisition of our auditors;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exceptional cases, by court order.</w:t>
      </w:r>
    </w:p>
    <w:p>
      <w:pPr>
        <w:spacing w:after="0" w:line="225"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the case of an extraordinary general meeting convened by our shareholders, the proposed purpose of the meeting must be set out in the requisition notice. Upon receipt of any such valid requisition notice, our directors have 21 days to convene a meeting of our shareholders to vote on the matters set out in the requisition notice. This meeting must be held within two months of the receipt of the requisition notice. If our directors do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84"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If our directors become aware that our net assets are not greater than half of the amount of our called-up share capital, they must convene an extraordinary general meeting of our shareholders not later than 28 days from the date that our directors learn of this fact to consider how to address the situation (the meeting to be held within 56 days of that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for General Meetings</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Our articles of association provide that no business shall be transacted at any general meeting unless a quorum is present. A quorum shall be two or more persons holding or representing by proxy more than 50% of the total issued voting rights of our shares, provided that if we only have one shareholder, one shareholder present in person or by proxy shall constitute a quorum.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jc w:val="both"/>
        <w:ind w:right="60" w:firstLine="456"/>
        <w:spacing w:after="0" w:line="282" w:lineRule="auto"/>
        <w:rPr>
          <w:sz w:val="20"/>
          <w:szCs w:val="20"/>
          <w:color w:val="auto"/>
        </w:rPr>
      </w:pPr>
      <w:r>
        <w:rPr>
          <w:rFonts w:ascii="Times New Roman" w:cs="Times New Roman" w:eastAsia="Times New Roman" w:hAnsi="Times New Roman"/>
          <w:sz w:val="18"/>
          <w:szCs w:val="18"/>
          <w:color w:val="auto"/>
        </w:rPr>
        <w:t>Under our articles of association, each of our shareholders is entitled to one vote for each ordinary share that he or she holds as of the record date for the meeting. Neither Irish law nor any of our constituent document places limitations on the right of nonresident or foreign owners to vote or hold our shares.</w:t>
      </w:r>
    </w:p>
    <w:p>
      <w:pPr>
        <w:spacing w:after="0" w:line="162"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Except where a greater majority is required by the Irish Companies Act or otherwise prescribed by the articles of association, any question, business or resolution proposed at any general meeting shall be decided by an ordinary resolution (i.e., by a simple majority of the votes cast, in person or by proxy, at a general meeting, provided a quorum is present).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any of our general meetings, all resolutions will be decided on a show of hands unless a poll is demanded by:</w:t>
      </w:r>
    </w:p>
    <w:p>
      <w:pPr>
        <w:spacing w:after="0" w:line="131"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shareholders present in person or by proxy;</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or shareholders present in person or proxy and holding not less than one-tenth of the total voting rights of all shareholders having the right to vote at such meeting; or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or shareholders holding shares in the capital of Weatherford Ireland conferring the right to vote at the meeting being shares on which an aggregate sum has been paid-up equal to not less than one tenth of the total sum paid-up on all the shares conferring that right.</w:t>
      </w:r>
    </w:p>
    <w:p>
      <w:pPr>
        <w:spacing w:after="0" w:line="162"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Irish law requires approval of certain matters by “special resolutions” of the shareholders at a general meeting (i.e., by not less than 75% of the votes cast, in person or by proxy, at a general meeting, provided a quorum is present). Examples of matters requiring special resolutions include:</w:t>
      </w:r>
    </w:p>
    <w:p>
      <w:pPr>
        <w:spacing w:after="0" w:line="67"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objects or memorandum of association;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articles of association;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 change of our name;</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entering into of a guarantee or provision of security in connection with a loan, quasi-loan or credit transaction to a director or connected person;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opting out of preemption rights on the issuance of new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re-registration of Weatherford Ireland from a public limited company to a private company;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of class rights attaching to classes of shares (where the memorandum or articles of association do not provide otherwise);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our own shares off-market;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our issued share capital;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sanctioning a compromise/scheme of arrangement;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that we be wound-up by the Irish courts;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in favor of a shareholders’ voluntary winding-up;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re-issue price of treasury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 Attaching to a Class or Series of Shares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a matter of Irish law, unless the memorandum or articles of association provide otherwise, any variation of class rights attaching to our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Irish law, shareholders have the right to:</w:t>
      </w:r>
    </w:p>
    <w:p>
      <w:pPr>
        <w:spacing w:after="0" w:line="131"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 copy of our memorandum and articles of association and any act of the Irish government that alters our memorandum of association;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 and obtain copies of the minutes of our general meetings and resolutions;</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 and receive a copy of the register of shareholders, register of directors and secretaries, register of directors’ interests and other statutory registers we maintain;</w:t>
      </w:r>
    </w:p>
    <w:p>
      <w:pPr>
        <w:spacing w:after="0" w:line="67"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copies of balance sheets and directors’ and auditors’ reports that have previously been sent to shareholders prior to an annual general meeting; and</w:t>
      </w:r>
    </w:p>
    <w:p>
      <w:pPr>
        <w:spacing w:after="0" w:line="67"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balance sheets of any of our subsidiaries that have previously been sent to shareholders prior to an annual general meeting for the preceding 10 years.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The auditors’ report must be circulated to the shareholders with our financial statements prepared in accordance with Irish law 21 days before the annual general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(i.e., a “squeeze out”) if it has acquired, pursuant to the offer, not less than a specific percentage of the target shares to which the offer relates. The percentage for companies listed on regulated markets in the European Economic Area (“EEA”) is 90%. As we are not listed on an EEA regulated market (NYSE only), the relevant applicable percentage for us is 80%. Dissenting shareholders have the right to apply to the High Court of Ireland for relief.</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8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80"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Irish Companies Act also contains statutory provisions relating to mergers between Irish companies and mergers between Irish companies and companies from different states within the EEA which are based on the European Communities (Cross-Border Mergers) Regulations 2008.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Under a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Under the European Communities (Cross-Border Mergers) Regulations 2008 governing the merger of an Irish public limited company such as us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80"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Similar rights apply under the Irish Companies Act in the case of a merger of an Irish public limited company such as us into another company to which the provisions of the Irish Companies Act apply.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Interests in Shares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Under the Irish Companies Act, there is a notification requirement for shareholders who acquire or cease to be interested in 3% of the shares of an Irish public limited company. A shareholder therefore must make such a notification to us if, as a result of a transaction, the shareholder will be interested in 3% or more of our relevant share capital; or if, as a result of a transaction, a shareholder who was interested in more than 3% of our relevant share capital ceases to be so interested. Where a shareholder is interested in more than 3% of our relevant share capital (i.e., voting shares), any alteration of his or her interest that brings his or her total holding through the nearest whole percentage number, whether an increase or a reduction, must be notified to us.</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relevant percentage figure is calculated by reference to the aggregate nominal value of the shares in which the shareholder is interested as a proportion of the entire nominal value of our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8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Where a person fails to comply with the notification requirements described above, no right or interest of any kind whatsoever in respect of any of our shares, held by such person, shall be enforceable by such person, whether directly or indirectly, by action or legal proceeding. However, such person may apply to the High Court of Ireland to have the rights attaching to the shares concerned reinstated.</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above disclosure requirement, under the Irish Companies Act, we may, by notice in writing, require a person whom we know or have reasonable cause to believe, to be, or at any time during the three years immediately preceding the date on which such notice is issued, to have been, interested in shares comprised in our relevant share capital: (i) to indicate whether or not it is the case and (ii) where such person holds or has during that time held an interest in our shares, to give such further information as we may require, including particulars of such person’s own past or present interests in the shares. Any information given in response to the notice is required to be given in writing within such reasonable time as we may specify in the notice.</w:t>
      </w:r>
    </w:p>
    <w:p>
      <w:pPr>
        <w:spacing w:after="0" w:line="184"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Where such a notice is served by us on a person who is or was interested in our shares and that person fails to give us any of the requested information within the reasonable time specified, we may apply to the High Court of Ireland for an order directing that the affected shares be made subject to certain restrictions. Under the Irish Companies Act, the restrictions that may be placed on the shares by the High Court of Ireland are as follows:</w:t>
      </w:r>
    </w:p>
    <w:p>
      <w:pPr>
        <w:spacing w:after="0" w:line="82" w:lineRule="exact"/>
        <w:rPr>
          <w:sz w:val="20"/>
          <w:szCs w:val="20"/>
          <w:color w:val="auto"/>
        </w:rPr>
      </w:pPr>
    </w:p>
    <w:p>
      <w:pPr>
        <w:ind w:left="900" w:right="220" w:hanging="325"/>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those shares, or, in the case of unissued shares, any transfer of the right to be issued with shares and any issue of shares, shall be void;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rights shall be exercisable in respect of those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shares shall be issued in right of those shares or in pursuance of any offer made to the holder of those shares;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shall be made of any sums due from Weatherford Ireland on those shares, whether in respect of capital or otherwise.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Where the shares are subject to these restrictions, the High Court of Ireland may order the shares to be sold and may also direct that the shares shall cease to be subject to these restrictions.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Measures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 transaction in which a third party seeks to acquire 30% or more of our voting rights will be subject to the Irish Takeover Panel Act 1997, as amended, and the Irish Takeover Rules made thereunder.</w:t>
      </w:r>
    </w:p>
    <w:p>
      <w:pPr>
        <w:spacing w:after="0" w:line="162"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Irish Takeover Rules are based on the following general principles which will apply to the conduct of takeovers:</w:t>
      </w:r>
    </w:p>
    <w:p>
      <w:pPr>
        <w:spacing w:after="0" w:line="131" w:lineRule="exact"/>
        <w:rPr>
          <w:sz w:val="20"/>
          <w:szCs w:val="20"/>
          <w:color w:val="auto"/>
        </w:rPr>
      </w:pPr>
    </w:p>
    <w:p>
      <w:pPr>
        <w:ind w:left="900" w:right="20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securities of the target company should be afforded equivalent treatment and, if a person acquires control of a company, the other holders of securities must be protected;</w:t>
      </w:r>
    </w:p>
    <w:p>
      <w:pPr>
        <w:spacing w:after="0" w:line="67"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81" w:lineRule="exact"/>
        <w:rPr>
          <w:rFonts w:ascii="Times New Roman" w:cs="Times New Roman" w:eastAsia="Times New Roman" w:hAnsi="Times New Roman"/>
          <w:sz w:val="18"/>
          <w:szCs w:val="18"/>
          <w:color w:val="auto"/>
        </w:rPr>
      </w:pPr>
    </w:p>
    <w:p>
      <w:pPr>
        <w:ind w:left="900" w:right="58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the target company must act in the interests of Weatherford Ireland as a whole and must not deny the holders of securities the opportunity to decide on the merits of the offer;</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67"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company must not be hindered in the conduct of its affairs for longer than is reasonable by an offer for its securities; and</w:t>
      </w:r>
    </w:p>
    <w:p>
      <w:pPr>
        <w:spacing w:after="0" w:line="130"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62" w:lineRule="exact"/>
        <w:rPr>
          <w:sz w:val="20"/>
          <w:szCs w:val="20"/>
          <w:color w:val="auto"/>
        </w:rPr>
      </w:pPr>
    </w:p>
    <w:p>
      <w:pPr>
        <w:jc w:val="both"/>
        <w:ind w:right="280" w:firstLine="456"/>
        <w:spacing w:after="0" w:line="289" w:lineRule="auto"/>
        <w:rPr>
          <w:sz w:val="20"/>
          <w:szCs w:val="20"/>
          <w:color w:val="auto"/>
        </w:rPr>
      </w:pPr>
      <w:r>
        <w:rPr>
          <w:rFonts w:ascii="Times New Roman" w:cs="Times New Roman" w:eastAsia="Times New Roman" w:hAnsi="Times New Roman"/>
          <w:sz w:val="17"/>
          <w:szCs w:val="17"/>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158"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Our articles of association allocate authority over the day-to-day management of our affairs to the board of directors. The board of directors may then delegate any of its powers, authorities and discretions (with power 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sub-delegate) to any committee, consisting of such person or persons (whether directors or not) as it thinks fit, but regardless, the board of directors will remain responsible, as a matter of Irish law, for the proper management of our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Name; Formation; Fiscal Year; Registered Office</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Our current legal and commercial name is Weatherford International public limited company. We were incorporated in Ireland on March 3, 2014 as a private limited company with registration number 540406, and re-registered as a public limited company on May 29, 2014. Our fiscal year ends on December 31st and our registered address is 70 Sir Rogerson’s Quay, Dublin 2, Ireland.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our directors.</w:t>
      </w:r>
    </w:p>
    <w:p>
      <w:pPr>
        <w:spacing w:after="0" w:line="180"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At each annual general meeting of our shareholders, all of our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person shall be appointed as a director unless nominated as follows:</w:t>
      </w:r>
    </w:p>
    <w:p>
      <w:pPr>
        <w:spacing w:after="0" w:line="131"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affirmative vote of two-thirds of our board of directors;</w:t>
      </w:r>
    </w:p>
    <w:p>
      <w:pPr>
        <w:spacing w:after="0" w:line="130"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election at an annual general meeting, by any shareholder who holds ordinary shares or other shares in the capital of Weatherford Ireland carrying the general right to vote at our general meetings, who is a shareholder at the time of the giving of the notice and at the time of the relevant annual general meeting and who timely complies with the notice procedures set out in our articles of association;</w:t>
      </w:r>
    </w:p>
    <w:p>
      <w:pPr>
        <w:spacing w:after="0" w:line="81" w:lineRule="exact"/>
        <w:rPr>
          <w:rFonts w:ascii="Times New Roman" w:cs="Times New Roman" w:eastAsia="Times New Roman" w:hAnsi="Times New Roman"/>
          <w:sz w:val="18"/>
          <w:szCs w:val="18"/>
          <w:color w:val="auto"/>
        </w:rPr>
      </w:pPr>
    </w:p>
    <w:p>
      <w:pPr>
        <w:ind w:left="900" w:right="220" w:hanging="325"/>
        <w:spacing w:after="0" w:line="261"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election at an extraordinary general meeting requisitioned in accordance with section 178 of the Irish Companies Act, by any shareholder or shareholders who holds ordinary shares or other shares in the capital of Weatherford Ireland carrying the general right to vote at our general meetings and who makes such nomination in the written requisition of the extraordinary general meeting and timely complies with the notice procedures set forth in our articles of association; or</w:t>
      </w:r>
    </w:p>
    <w:p>
      <w:pPr>
        <w:spacing w:after="0" w:line="85"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holders of any class or series of our shares then in issue having special rights to nominate or appoint directors in accordance with the terms of issue of such class or series, but only to the extent provided in such terms of issue.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Directors shall be appointed as follows:</w:t>
      </w:r>
    </w:p>
    <w:p>
      <w:pPr>
        <w:spacing w:after="0" w:line="131" w:lineRule="exact"/>
        <w:rPr>
          <w:sz w:val="20"/>
          <w:szCs w:val="20"/>
          <w:color w:val="auto"/>
        </w:rPr>
      </w:pPr>
    </w:p>
    <w:p>
      <w:pPr>
        <w:ind w:left="900" w:right="48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our shareholders by ordinary resolution at the annual general meeting in each year or at any extraordinary general meeting called for the purpose;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our board in accordance with our articles of association; and</w:t>
      </w:r>
    </w:p>
    <w:p>
      <w:pPr>
        <w:spacing w:after="0" w:line="130"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there is in office a sufficient number of directors to constitute a quorum of the board in accordance with our articles of association, our directors shall have the power at any time and from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282" w:lineRule="auto"/>
        <w:rPr>
          <w:sz w:val="20"/>
          <w:szCs w:val="20"/>
          <w:color w:val="auto"/>
        </w:rPr>
      </w:pPr>
      <w:r>
        <w:rPr>
          <w:rFonts w:ascii="Times New Roman" w:cs="Times New Roman" w:eastAsia="Times New Roman" w:hAnsi="Times New Roman"/>
          <w:sz w:val="18"/>
          <w:szCs w:val="18"/>
          <w:color w:val="auto"/>
        </w:rPr>
        <w:t>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Under the Irish Companies Act and notwithstanding anything contained in our memorandum and articles of association or in any agreement between Weatherford and a director, shareholders may, by an ordinary resolution, remove a director from office before the expiration of his or her term, at a shareholders’ meeting at which the director is entitled to be heard. Our articles of association provide that we may, by ordinary resolution, remove any director before the expiration of his period of office notwithstanding anything in any agreement between Weatherford and the removed director. The power of removal is without prejudice to any claim for damages for breach of contract (e.g., employment contract) that the director may have against Weatherford in respect of his removal.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Dissolution; Rights upon Liquidation</w:t>
      </w:r>
    </w:p>
    <w:p>
      <w:pPr>
        <w:spacing w:after="0" w:line="121"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7"/>
          <w:szCs w:val="17"/>
          <w:color w:val="auto"/>
        </w:rPr>
        <w:t>Our duration of existence is unlimited. We may be dissolved and wound-up at any time by way of a shareholders’ voluntary winding-up or a creditors’ winding-up.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5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rights of our shareholders to a return of our assets on dissolution or winding-up, following the settlement of all claims of creditors, may be prescribed in our articles of association. If our articles of association contain no specific provisions in respect of a dissolution or winding-up, then, subject to the priorities of any creditors, the assets will be distributed to our shareholders in proportion to the paid-up nominal value of the shares held. Our articles of association provide that our ordinary shareholders are entitled to participate pro rata in a winding-up.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ordinary shares are listed on the NYSE under the symbol “WFT.”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Liability for Further Calls or Assessments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shares issued in this offering will be duly and validly issued as fully paid-up.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Registration of Shares</w:t>
      </w:r>
    </w:p>
    <w:p>
      <w:pPr>
        <w:spacing w:after="0" w:line="12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Our register of members (our “Official Share Register”), which we are required to maintain under the Irish Companies Act, is maintained by our transfer agent. Registration in the Official Share Register will be determinative of membership.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 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 (ii) from a</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vice versa).</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Such instruments of transfer may give rise to Irish stamp duty, which must be paid prior to registration of the transfer in our Official Share Register. However, 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8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93"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Our articles of association delegate to our secretary, any assistant secretary or a relevant authorized delegate the authority to execute an instrument of transfer on behalf of a transferor.</w:t>
      </w:r>
    </w:p>
    <w:p>
      <w:pPr>
        <w:spacing w:after="0" w:line="162"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To help ensure that our Official Share Register is regularly updated to reflect trading of our shares occurring through electronic systems, we intend to regularly produce such instruments of transfer as may be required to effect any transfers of registered interests in shares. These may involve transactions for which we pay stamp duty, subject to the reimbursement and set-off rights described above. In the event that we notify one or both of the parties to a share transfer that we believe stamp duty is required to be paid in connection with such transfer and that we will not pay such stamp duty, such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transferee named therein will be registered as the registered holder of the relevant shares on our Official Share Register (subject to the matters described below).</w:t>
      </w:r>
    </w:p>
    <w:p>
      <w:pPr>
        <w:spacing w:after="0" w:line="18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registration of transfers may be suspended by our directors at such times and for such period, not exceeding in the whole 30 days in each year, as our directors may from time to time determine.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OPTIONS AND WARRANTS</w:t>
      </w:r>
    </w:p>
    <w:p>
      <w:pPr>
        <w:spacing w:after="0" w:line="22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may include in any applicable prospectus supplements and in any related free writing prospectus that we may authorize to be distributed to you, summarizes the material terms and provisions of the options and warrants exercisable for the ordinary shares that we may offer under this prospectus. While the terms we have summarized below will apply generally to any options or warrants exercisable for the ordinary shares that we may offer under this prospectus, we will describe the particular terms of any series of options or warrants in more detail in the applicable prospectus supplement. The terms of any options or warrants offered under that prospectus supplement may differ from the terms described below.</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reports that we file with the SEC, the form of option or warrant agreement, including a form of option or warrant certificate, that describes the terms of the series of options or warrants we are offering, and any supplemental agreements, before the issuance of the related series of options or warrants. The following summaries of material terms and provisions of the option or warrant agreements and option or warrant certificates are subject to, and qualified in their entirety by reference to, all the provisions of the option or warrant agreement, any option or warrant certificate and any supplemental agreements applicable to the particular series of options or warrants that we may offer under this prospectus. We urge you to read the applicable prospectus supplements related to the particular series of options or warrants that we may offer under this prospectus, as well as any related free writing prospectuses and the complete option or warrant agreement, any option or warrant certificate and any supplemental agreements that contain the terms of the options or warrants, as the case may be.</w:t>
      </w:r>
    </w:p>
    <w:p>
      <w:pPr>
        <w:spacing w:after="0" w:line="185"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We may issue options and warrants for the purchase of ordinary shares in one or more series. We may issue options and warrants independently or together with ordinary shares, and the options and warrants may be attached to or separate from these securities.</w:t>
      </w:r>
    </w:p>
    <w:p>
      <w:pPr>
        <w:spacing w:after="0" w:line="16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will evidence each series of options and warrants by certificates that we will issue under a separate agreement. We may enter into an option or warrant agreement with an option or warrant agent, as the case may be. If we elect to do so, the agent will act solely as our agent in connection with the options or warrants, as the case may be, and will not assume any obligation or relationship of agency or trust for or with any registered holders of options or warrants or beneficial owners of options or warrants. We will indicate the name and address and other information regarding the applicable agent in the applicable prospectus supplement relating to a particular series of warrants if we elect to use a warrant agent.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options and warrants, including:</w:t>
      </w:r>
    </w:p>
    <w:p>
      <w:pPr>
        <w:spacing w:after="0" w:line="131"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the options and warrants offered;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options or warrants may be payable;</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currencies, including composite currencies, in which the securities purchasable upon exercise of such warrants shall commence and the date on which such right will expire;</w:t>
      </w:r>
    </w:p>
    <w:p>
      <w:pPr>
        <w:spacing w:after="0" w:line="67"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options and warrants are issued and the number of options or warrants issued with each such security or each principal amount of such security;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options and warrants;</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ordinary shares purchasable upon the exercise of one option or warrant and the price at which these ordinary shares may be purchased upon such exercise;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options and warrants, if any;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options and warrants;</w:t>
      </w:r>
    </w:p>
    <w:p>
      <w:pPr>
        <w:spacing w:after="0" w:line="130"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option and warrant agreement and the options and warrants;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options and warrants;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options and warrants will commence and expire;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option and warrant agreement and options and warrants may be modified;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options or warrants which may be exercised at any one time;</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title, rank, aggregate principal amount and terms of the securities with which such options or warrants are issued and the number of such options or warrants issued with each such security;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options and warrants and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options and warrants or any securities purchasable upon exercise of the options and warrants on any securities exchange;</w:t>
      </w:r>
    </w:p>
    <w:p>
      <w:pPr>
        <w:spacing w:after="0" w:line="67" w:lineRule="exact"/>
        <w:rPr>
          <w:rFonts w:ascii="Times New Roman" w:cs="Times New Roman" w:eastAsia="Times New Roman" w:hAnsi="Times New Roman"/>
          <w:sz w:val="18"/>
          <w:szCs w:val="18"/>
          <w:color w:val="auto"/>
        </w:rPr>
      </w:pPr>
    </w:p>
    <w:p>
      <w:pPr>
        <w:ind w:left="900" w:right="80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certificates evidencing the options or warrants will be issued in registered or bearer form and, if registered, where they may be transferred and exchanged;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options or warrants.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prospectus supplement will also contain a discussion of the applicable income tax considerations relevant to the offering.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Options and Warrants</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Each option and warrant will entitle the holder thereof to purchase the securities that we specify in the applicable prospectus supplement at the exercise price as will in each case be set forth in, or be determinable as set forth in, the applicable prospectus supplement. Unless we otherwise specify in the applicable prospectus supplement, holders of options and warrants may exercise the options and warrants at any time before the expiration date that we set forth in the applicable prospectus supplement, and after the expiration date, unexercised options and warrants will become void. Holders of the options and warrants may exercise the options and warrants by delivering the certificate representing the options and warrants to be exercised together with specified information, and paying the required amount to us or to the warrant agent in immediately available funds, as provided in the applicable prospectus supplement. We will set forth on the reverse side of the certificate and in the applicable prospectus supplement the information that the holder of the option or warrant will be required to deliver to us or to the applicable agent. The holder of an option or warrant will be required to pay any tax or other governmental charge that may be imposed in connection with any transfer involved in the issuance of underlying securities purchased upon exercise.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certificate properly completed and duly executed at the corporate trust office of the option or warrant agent or any other office indicated in the applicable prospectus supplement, we will issue and deliver the securities purchasable upon such exercise. Unless we otherwise specify in the applicable prospectus supplement, if fewer than all of the options and warrants represented by the certificate are exercised, then we will issue a new certificate for the remaining amount of options and warrants. If we so indicate in the applicable prospectus supplement, holders of the options and warrants may surrender securities as all or part of the exercise price for options and warrants.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Option and Warrant Agreements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and, if applicable, the option or warrant agent, may amend or supplement the option or warrant agreement for a series of options or warrants without the consent of the holders of the options or warrants issued thereunder to effect changes that are not inconsistent with the provisions of the options or warrants and that do not materially and adversely affect the interests of the holders of the options or warrants.</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40"/>
          </w:cols>
          <w:pgMar w:left="240" w:top="455" w:right="3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 OF WEATHERFORD BERMUDA</w:t>
      </w:r>
    </w:p>
    <w:p>
      <w:pPr>
        <w:spacing w:after="0" w:line="22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Any debt securities Weatherford Bermuda offers under a prospectus supplement will be the direct senior unsecured general obligations of Weatherford Bermuda. The debt securities will be issued under the Indenture dated October 1, 2003 among Weatherford Bermuda, Weatherford Delaware and Deutsche Bank Trust Company Americas, as trustee, as supplemented by the First Supplemental Indenture dated March 25, 2008, the Second Supplemental Indenture dated January 8, 2009, the Third Supplemental Indenture dated February 26, 2009, the Fourth Supplemental Indenture dated September 23, 2010, the Fifth Supplemental Indenture dated April 4, 2012, the Sixth Supplemental Indenture dated August 14, 2012, the Seventh Supplemental Indenture dated March 31, 2013, the Eighth Supplemental Indenture dated June 17, 2014, the Ninth Supplemental Indenture dated June 7, 2016, the Tenth Supplemental Indenture dated June 17, 2016, and the Eleventh Supplemental Indenture dated November 18, 2016, by and among Weatherford Bermuda, as issuer, Weatherford Ireland, as guarantor, Weatherford Delaware, as guarantor, and Deutsche Bank Trust Company Americas, as trustee, which are filed as exhibits to, and incorporated by reference into, the registration statement, of which this prospectus is a part (the “2003 Indenture”).</w:t>
      </w:r>
    </w:p>
    <w:p>
      <w:pPr>
        <w:spacing w:after="0" w:line="18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We have summarized selected provisions of the 2003 Indenture below. The following summary is a description of the material provisions of the 2003 Indenture. It does not restate the agreement in its entirety. We urge you to read the 2003 Indenture because it, and not this description, defines the rights of holders of debt securities.</w:t>
      </w:r>
    </w:p>
    <w:p>
      <w:pPr>
        <w:spacing w:after="0" w:line="176"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In this summary description of the debt securities of Weatherford Bermuda, unless we state otherwise or the context clearly indicates otherwise, all references to “we,” “us” or “our” mean Weatherford Bermuda, all references to “Weatherford Bermuda” mean Weatherford Bermuda only, all references to “Weatherford Ireland” mean Weatherford Ireland only and all references to “Weatherford Delaware” mean Weatherford Delaware only.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debt securities will be Weatherford Bermuda’s direct, unsecured obligations. The senior debt securities will rank equally with all of our other senior unsecured and unsubordinated debt.</w:t>
      </w:r>
    </w:p>
    <w:p>
      <w:pPr>
        <w:spacing w:after="0" w:line="16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conduct a substantial part of our operations through our subsidiaries. To the extent of such operations, holders of debt securities will have a position junior to the prior claims of creditors of our subsidiaries, including trade creditors, debtholders, secured creditors, taxing authorities and guarantee holders, and any preference shareholders, except to the extent that we may ourself be a creditor with recognized claims against any subsidiary. Our ability to pay the principal, premium, if any, and interest on any debt securities is, to a large extent, dependent upon the payment to us of dividends, debt principal and interest or other charges by our subsidiaries.</w:t>
      </w:r>
    </w:p>
    <w:p>
      <w:pPr>
        <w:spacing w:after="0" w:line="184"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A prospectus supplement and an officer’s certificate or supplemental indenture relating to any series of debt securities being offered will include specific terms relating to the offering. These terms will include some or all of the following:</w:t>
      </w:r>
    </w:p>
    <w:p>
      <w:pPr>
        <w:spacing w:after="0" w:line="67"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type of the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will be issued and any payments due if the maturity of the debt securities is accelerated;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the debt securities will bear and the interest payment dates for the debt securities;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features;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periods;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some or all of the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when a specified event occurs;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or additional events of default or covenants;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 including provisions for original issue discount securities, if offered;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w:t>
      </w:r>
    </w:p>
    <w:p>
      <w:pPr>
        <w:spacing w:after="0" w:line="225"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2003 Indenture does not limit the amount of debt securities that may be issued. The 2003 Indenture allows debt securities to be issued up to the principal amount that may be authorized by us and may be in any currency or currency unit designated by us.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securities of a series may be issued in registered, coupon or global form.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 by Weatherford Ireland</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the applicable prospectus supplement relating to a series of our senior debt securities provides that those senior debt securities will have the benefit of a guarantee by Weatherford Ireland (or its “successor person” as determined in accordance with the applicable provisions of the 2003 Indenture), payment of the principal, premium, if any, and interest on those senior debt securities will be unconditionally guaranteed on an unsecured, unsubordinated basis by Weatherford Ireland (or its successor person). The guarantee of senior debt securities will rank equally in right of payment with all of the unsecured and unsubordinated indebtedness of Weatherford Ireland (or its successor person). Weatherford Ireland’s (or its successor person’s) guarantees will be effectively subordinated to all existing and future obligations of Weatherford Ireland’s (or its successor person’s) subsidiaries.</w:t>
      </w:r>
    </w:p>
    <w:p>
      <w:pPr>
        <w:spacing w:after="0" w:line="18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obligations of Weatherford Ireland (or its successor person) under any such guarantee will be limited to the extent possible under applicable law to prevent the guarantee from constituting a fraudulent conveyance, fraudulent preference or fraudulent transfer.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 by Weatherford Delaware</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the applicable prospectus supplement relating to a series of our senior debt securities provides that those senior debt securities will have the benefit of a guarantee by Weatherford Delaware (or its “successor person” as determined in accordance with the applicable provisions of the 2003 Indenture), payment of the principal, premium, if any, and interest on those senior debt securities will be unconditionally guaranteed on an unsecured, unsubordinated basis by Weatherford Delaware (or its successor person). The guarantee of senior debt securities will rank equally in right of payment with all of the unsecured and unsubordinated indebtedness of Weatherford Delaware (or its successor person). The guarantee will be released and discharged at such time as Weatherford Delaware (or its successor person) has no outstanding debt.</w:t>
      </w:r>
    </w:p>
    <w:p>
      <w:pPr>
        <w:spacing w:after="0" w:line="18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obligations of Weatherford Delaware (or its successor person) under any such guarantee will be limited to the extent possible under applicable law to prevent the guarantee from constituting a fraudulent conveyance, fraudulent preference or fraudulent transfer.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 by Other Subsidiaries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2003 Indenture provides that any other “restricted subsidiary” (as such term is defined in the 2003 Indenture) that becomes a party thereto for purposes of providing a guarantee with respect to the debt securities shall become a “subsidiary guarantor” (as such term is defined in the 2003 Indenture), as determined in accordance with the applicable provisions of the 2003 Indenture. If a series of our debt securities will have the benefit of a guarantee by any such additional subsidiary guarantor(s), the applicable prospectus supplement will specify the identity of the specific guarantor(s) and the other terms of the applicable guarantees.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Denominations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relating to a series of our senior debt securities, the securities issued in registered form will be issued in denominations of $1,000 each or multiples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and Sale of Assets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2003 Indenture provides that we may not consolidate or amalgamate with or merge into any other person or convey, transfer or lease our properties and assets substantially as an entirety to another person, unless:</w:t>
      </w:r>
    </w:p>
    <w:p>
      <w:pPr>
        <w:spacing w:after="0" w:line="67" w:lineRule="exact"/>
        <w:rPr>
          <w:sz w:val="20"/>
          <w:szCs w:val="20"/>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or resulting person assumes all of our obligations under the 2003 Indenture;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successor or resulting person will not immediately be in default under the 2003 Indenture.</w:t>
      </w:r>
    </w:p>
    <w:p>
      <w:pPr>
        <w:spacing w:after="0" w:line="225"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Upon the assumption of our obligations by a successor or resulting person, subject to certain exceptions, we will be discharged from all obligations under the 2003 Indenture.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2003 Indenture provides that our rights and obligations and the rights of the holders may be modified with the consent of the holders of a majority in aggregate principal amount of the outstanding debt securities of each series affected by the modification. No modification of the principal or interest payment terms, and no modification reducing the percentage required for modifications, will be effective against any holder without its consent.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“Event of default,” when used in the 2003 Indenture, means any of the following:</w:t>
      </w:r>
    </w:p>
    <w:p>
      <w:pPr>
        <w:spacing w:after="0" w:line="131"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the principal of or any premium on any debt security when due;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sinking fund payment when due;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any debt security for 30 days;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2003 Indenture that continues for 90 days after being given written notice;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 bankruptcy, insolvency or reorganization of us;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included in the 2003 Indenture or officers’ certificate.</w:t>
      </w:r>
    </w:p>
    <w:p>
      <w:pPr>
        <w:spacing w:after="0" w:line="225"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2003 Indenture. The trustee may withhold notice to the holders of debt securities of any default (except in the payment of principal or interest) if it considers such withholding of notice to be in the best interests of the holders.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continues, the trustee or the holders of a specified percentage in aggregate principal amount of the debt securities of the series may declare the entire principal of all the debt securities of that series to be due and payable immediately. If this happens, subject to certain conditions, the holders of a specified percentage of the aggregate principal amount of the debt securities of that series can void the declaration.</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Other than its duties in case of a default, a trustee is not obligated to exercise any of its rights or powers under the 2003 Indenture at the request, order or direction of any holders, unless the holders offer the trustee reasonable indemnification. If they provide this reasonable indemnification, the holders of a majority in principal amount of any series of debt securities may direct the time, method and place of conducting any proceeding or any remedy available to the trustee, or exercising any power conferred upon the trustee, for any series of debt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the 2003 Indenture, we have agreed to:</w:t>
      </w:r>
    </w:p>
    <w:p>
      <w:pPr>
        <w:spacing w:after="0" w:line="131" w:lineRule="exact"/>
        <w:rPr>
          <w:sz w:val="20"/>
          <w:szCs w:val="20"/>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principal of, interest and any premium on, the debt securities when due;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place of payment;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report to the trustee at the end of each fiscal year reviewing our obligations under the 2003 Indenture;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sufficient funds with any paying agent on or before the due date for any principal, interest or premium.</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also agreed to the following covenants relating to limitations on liens and restrictions on sale-and-leaseback transactions.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21"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The 2003 Indenture provides that we will not, nor will we permit any subsidiary to, create, assume, incur or suffer to exist any lien upon any principal property, whether owned or leased on the date of the 2003 Indenture or thereafter acquired, to secure any of our debt or any other person (other than the debt securities issued under the 2003 Indenture), without causing all of the debt securities outstanding under the 2003 Indenture to be secured equally and ratably with, or prior to, the new debt so long as new debt is secured. This restriction does not prohibit us from creating the following:</w:t>
      </w:r>
    </w:p>
    <w:p>
      <w:pPr>
        <w:spacing w:after="0" w:line="85" w:lineRule="exact"/>
        <w:rPr>
          <w:sz w:val="20"/>
          <w:szCs w:val="20"/>
          <w:color w:val="auto"/>
        </w:rPr>
      </w:pPr>
    </w:p>
    <w:p>
      <w:pPr>
        <w:ind w:left="900" w:right="46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liens existing, or provided for under the terms of existing agreements, on the date that any debt securities are issued under the 2003 Indenture;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current assets to secure current liabilities;</w:t>
      </w:r>
    </w:p>
    <w:p>
      <w:pPr>
        <w:spacing w:after="0" w:line="130"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liens that are created within one year after acquisition, completion and/or commencement of commercial operation on property acquired, constructed, altered or improved by us or any of our subsidiaries;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preexisting liens on any property acquired and liens on property of a subsidiary existing at the time it became our subsidiary;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us or our subsidiaries;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liens in favor of governmental bodies to secure progress, advance or other payments;</w:t>
      </w:r>
    </w:p>
    <w:p>
      <w:pPr>
        <w:spacing w:after="0" w:line="130"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securing indebtedness incurred for the purpose of financing the purchase price or the cost of constructing, installing or improving the property;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240" w:top="455" w:right="3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securing indebtedness issued or guaranteed by governmental bodies;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of the foregoing.</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Notwithstanding the foregoing, under the 2003 Indenture we may, and may permit any subsidiary to, issue, assume or guarantee secured indebtedness which would otherwise be subject to the foregoing restrictions, in an aggregate amount which, with all other such secured indebtedness, does not exceed 15% of our consolidated net worth. For purposes of this paragraph, “consolidated net worth” means the amount of total shareholders’ equity shown in Weatherford Ireland’s most recent consolidated statement of financial position.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Sale-and-Leaseback Transactions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2003 Indenture provides that we will not, and we will not permit any of our subsidiaries to, enter into any sale-and-leaseback transaction unless:</w:t>
      </w:r>
    </w:p>
    <w:p>
      <w:pPr>
        <w:spacing w:after="0" w:line="131" w:lineRule="exact"/>
        <w:rPr>
          <w:sz w:val="20"/>
          <w:szCs w:val="20"/>
          <w:color w:val="auto"/>
        </w:rPr>
      </w:pPr>
    </w:p>
    <w:p>
      <w:pPr>
        <w:jc w:val="both"/>
        <w:ind w:left="900" w:right="40" w:hanging="325"/>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entering into such sale-and-leaseback transaction, we or our subsidiary would be entitled under the 2003 Indenture to mortgage the property under the 2003 Indenture for an amount equal to the proceeds of the sale-and-leaseback transaction without equally and ratably securing the notes in compliance with the exceptions to the liens covenant in the 2003 Indenture;</w:t>
      </w:r>
    </w:p>
    <w:p>
      <w:pPr>
        <w:spacing w:after="0" w:line="81" w:lineRule="exact"/>
        <w:rPr>
          <w:rFonts w:ascii="Times New Roman" w:cs="Times New Roman" w:eastAsia="Times New Roman" w:hAnsi="Times New Roman"/>
          <w:sz w:val="18"/>
          <w:szCs w:val="18"/>
          <w:color w:val="auto"/>
        </w:rPr>
      </w:pPr>
    </w:p>
    <w:p>
      <w:pPr>
        <w:ind w:left="900" w:hanging="325"/>
        <w:spacing w:after="0" w:line="258"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 period commencing six months prior to the consummation of the sale-and-leaseback transaction and ending six months after the consummation of such transaction, we or our subsidiary expend an amount equal to all or a portion of the net proceeds of such sale-and-leaseback transaction for property used or to be used in the ordinary course of our or our subsidiaries’ businesses, and we have elected to designate that amount as a credit against such sale-and-leaseback transaction, with any such amount not so designated to be applied as set forth in the next paragraph; or</w:t>
      </w:r>
    </w:p>
    <w:p>
      <w:pPr>
        <w:spacing w:after="0" w:line="89"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12-month period after the effective date of the sale-and-leaseback transaction, we apply to the retirement of the notes or any of our pari passu indebtedness:</w:t>
      </w:r>
    </w:p>
    <w:p>
      <w:pPr>
        <w:spacing w:after="0" w:line="67" w:lineRule="exact"/>
        <w:rPr>
          <w:rFonts w:ascii="Times New Roman" w:cs="Times New Roman" w:eastAsia="Times New Roman" w:hAnsi="Times New Roman"/>
          <w:sz w:val="18"/>
          <w:szCs w:val="18"/>
          <w:color w:val="auto"/>
        </w:rPr>
      </w:pPr>
    </w:p>
    <w:p>
      <w:pPr>
        <w:ind w:left="1480" w:right="180" w:hanging="567"/>
        <w:spacing w:after="0" w:line="282" w:lineRule="auto"/>
        <w:tabs>
          <w:tab w:leader="none" w:pos="1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proceeds of the property sold in the sale-and-leaseback transaction, which shall not be less than the fair value of such property at the time of entering into such sale-and-leaseback transaction, less</w:t>
      </w:r>
    </w:p>
    <w:p>
      <w:pPr>
        <w:spacing w:after="0" w:line="67" w:lineRule="exact"/>
        <w:rPr>
          <w:rFonts w:ascii="Times New Roman" w:cs="Times New Roman" w:eastAsia="Times New Roman" w:hAnsi="Times New Roman"/>
          <w:sz w:val="18"/>
          <w:szCs w:val="18"/>
          <w:color w:val="auto"/>
        </w:rPr>
      </w:pPr>
    </w:p>
    <w:p>
      <w:pPr>
        <w:ind w:left="1480" w:right="480" w:hanging="567"/>
        <w:spacing w:after="0" w:line="282" w:lineRule="auto"/>
        <w:tabs>
          <w:tab w:leader="none" w:pos="1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principal amount of the notes and pari passu indebtedness retired by us within that 12-month period and not designated as a credit against any other sale-and-leaseback transaction by us or any of our subsidiaries during that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121"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Principal, interest and any premium on fully registered securities will be paid at designated places. Payment will be made by check and mailed to the persons in whose names the debt securities are registered on days specified in the 2003 Indenture or any prospectus supplement. Debt securities payments in other forms will be paid at a place designated by us and specified in a prospectus supplement.</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Fully registered securities may be transferred or exchanged at the corporation trust office of the trustee or at any other office or agency maintained by us for such purposes, without the payment of any service charge except for any tax or governmental charge.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certificates that we will deposit with a depositary identified in the applicable prospectus supplement. Unless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it is exchanged in whole or in part for the individual debt securities that it represents, a global security may not be transferred except as a whole:</w:t>
      </w:r>
    </w:p>
    <w:p>
      <w:pPr>
        <w:spacing w:after="0" w:line="131"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applicable depositary to a nominee of the depositary;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nominee to the depositary itself or another nominee;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or any nominee to a successor depositary or any nominee of the successor.</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will describe the specific terms of the depositary arrangement with respect to a series of debt securities in the applicable prospectus supplement. We anticipate that the following provisions will generally apply to depositary arrangements.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When we issue a global security in registered form, the depositary for the global security or its nominee will credit, on its book-entry registration and transfer system, the respective principal amounts of the individual debt securities represented by that global security to the accounts of persons that have accounts with the depositary (“participants”). Those accounts will be designated by the dealers, underwriters or agents with respect to the underlying debt securities or by us if those debt securities are offered and sold directly by us. Ownership of beneficial interests in a global security will be limited to participants or persons that may hold interests through participants. For interests of participants, ownership of beneficial interests in the global security will be shown on records maintained by the applicable depositary or its nominee. For interests of persons other than participants, that ownership information will be shown on the records of participants. Transfer of that ownership will be effected only through those records. The laws of some states require that certain purchasers of securities take physical delivery of securities in definitive form. These limits and laws may impair our ability to transfer beneficial interests in a global security.</w:t>
      </w:r>
    </w:p>
    <w:p>
      <w:pPr>
        <w:spacing w:after="0" w:line="189"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As long as the depositary for a global security, or its nominee, is the registered owner of that global security, the depositary or nominee will be considered the sole owner or holder of the debt securities represented by the global security for all purposes under the 2003 Indenture. Except as provided below, owners of beneficial interests in a global security:</w:t>
      </w:r>
    </w:p>
    <w:p>
      <w:pPr>
        <w:spacing w:after="0" w:line="82" w:lineRule="exact"/>
        <w:rPr>
          <w:sz w:val="20"/>
          <w:szCs w:val="20"/>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any of the underlying debt securities registered in their names;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delivery of any of the underlying debt securities in definitive form;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under the 2003 Indenture relating to those debt securities.</w:t>
      </w:r>
    </w:p>
    <w:p>
      <w:pPr>
        <w:spacing w:after="0" w:line="225"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Payments of principal of, any premium on and any interest on individual debt securities represented by a global security registered in the name of a depositary or its nominee will be made to the depositary or its nominee as the registered owner of the global security representing such debt securities. Neither we, the trustee for the debt securities, any paying agent nor the registrar for the debt securities will be responsible for any aspect of the records relating to or payments made by the depositary or any participants on account of beneficial interests in the global security.</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expect that the depositary or its nominee, upon receipt of any payment of principal, any premium or interest relating to a global security representing any series of debt securities, will immediately credit participants’ accounts with the payments. Those payments will be credited in amounts proportional to the respective beneficial interests of the participants in the principal amount of the global security as shown on the records of the depositary or its nominee. We also expect that payments by participants to owners of beneficial interests in the global security held through those participants will be governed by standing instructions and customary practices. This is now the case with securities held for the accounts of customers registered in “street name.” Those payments will be the sole responsibility of those participants.</w:t>
      </w:r>
    </w:p>
    <w:p>
      <w:pPr>
        <w:spacing w:after="0" w:line="188"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If the depositary for a series of debt securities is at any time unwilling, unable or ineligible to continue as depositary and we do not appoint a successor depositary within 90 days, we will issue individual debt securities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of that series in exchange for the global security or securities representing that series. In addition, we may at any time in our sole discretion determine not to have any debt securities of a series represented by one or more global securities. In that event, we will issue individual debt securities of that series in exchange for the global security or securities. Furthermore, if we specify, an owner of a beneficial interest in a global security may, on terms acceptable to us, the trustee and the applicable depositary, receive individual debt securities of that series in exchange for those beneficial interests. The foregoing is subject to any limitations described in the applicable prospectus supplement. In any such instance, the owner of the beneficial interest will be entitled to physical delivery of individual debt securities equal in principal amount to the beneficial interest and to have the debt securities registered in its name. Those individual debt securities will be issued in any authorized denominations.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right="40" w:firstLine="456"/>
        <w:spacing w:after="0" w:line="274" w:lineRule="auto"/>
        <w:rPr>
          <w:sz w:val="20"/>
          <w:szCs w:val="20"/>
          <w:color w:val="auto"/>
        </w:rPr>
      </w:pPr>
      <w:r>
        <w:rPr>
          <w:rFonts w:ascii="Times New Roman" w:cs="Times New Roman" w:eastAsia="Times New Roman" w:hAnsi="Times New Roman"/>
          <w:sz w:val="17"/>
          <w:szCs w:val="17"/>
          <w:color w:val="auto"/>
        </w:rPr>
        <w:t>We may choose to either discharge our obligations on the debt securities of any series in a legal defeasance, or to be released from covenant restrictions on the debt securities of any series in a covenant defeasance. We may do so at any time on the 91st day after we deposit with the applicable trustee sufficient cash or government securities to pay the principal, interest, any premium and any other sums due on the stated maturity date or a redemption date of the debt securities of the series. If we choose the legal defeasance option, the holders of the debt securities of the series will not be entitled to the benefits of the 2003 Indenture, except for certain obligations, including obligations to register the transfer or exchange of debt securities, to replace lost, stolen or mutilated debt securities, to pay principal and interest on the original stated due dates and certain other obligations set forth in the 2003 Indenture.</w:t>
      </w:r>
    </w:p>
    <w:p>
      <w:pPr>
        <w:spacing w:after="0" w:line="17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may discharge our obligations under the 2003 Indenture or be released from covenant restrictions only if we meet certain requirements. Among other things, we must deliver to the trustee an opinion of our legal counsel to the effect that holders of the series of debt securities will not recognize income, gain or loss for United States federal income tax purposes as a result of such defeasance and will be subject to federal income tax on the same amount and in the same manner and at the same times as would have been the case if such deposit and defeasance had not occurred. In the case of legal defeasance only, this opinion must be based on either a ruling received from or published by the Internal Revenue Service or a change in United States federal income tax law since the date of the 2003 Indenture. We may not have a default on the debt securities discharged on the date of deposit.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2003 Indenture is, and the debt securities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Notices to holders of debt securities will be given by mail to the addresses of such holders as they appear in the security register for such debt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Officers, Directors, Employees or Shareholders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No director, officer, employee or shareholder, as such, of ours or any of our affiliates shall have any personal liability in respect of our obligations under the 2003 Indenture or the debt securities by reason of his, her or its status as such.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A banking or financial institution will be the trustee under the 2003 Indenture. A successor trustee may be appointed in accordance with the terms of the 2003 Indenture.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The 2003 Indenture and the provisions of the Trust Indenture Act incorporated by reference therein, will contain certain limitations on the rights of the trustee, should it become a creditor of us, to obtain payment of claims in certain cases, or to realize on certain property received in respect of any such claim as security or otherwise. The trustee will be permitted to engage in other transactions; however, if it acquires any conflicting interest (within the meaning of the Trust Indenture Act), it must eliminate such conflicting interest or resign.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00"/>
          </w:cols>
          <w:pgMar w:left="240" w:top="455" w:right="3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DEBT SECURITIES OF WEATHERFORD DELAWARE</w:t>
      </w:r>
    </w:p>
    <w:p>
      <w:pPr>
        <w:spacing w:after="0" w:line="22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Any debt securities Weatherford Delaware offers under a prospectus supplement will be the direct senior unsecured general obligations of Weatherford Delaware. The debt securities will be issued under the Indenture dated June 18, 2007 among Weatherford Delaware, Weatherford Bermuda and Deutsche Bank Trust Company Americas, as trustee, as supplemented by the First Supplemental Indenture dated June 18, 2007, the Second Supplemental Indenture dated February 26, 2009, the Third Supplemental Indenture dated August 14, 2012, the Fourth Supplemental Indenture dated March 31, 2013, and the Fifth Supplemental Indenture dated June 17, 2014, by and among Weatherford Delaware, as issuer, Weatherford Bermuda, as guarantor, Weatherford Ireland, as guarantor, and Deutsche Bank Trust Company Americas, as trustee, which are filed as exhibits to, and incorporated by reference into, the registration statement, of which this prospectus is a part (the “2007 Indenture”).</w:t>
      </w:r>
    </w:p>
    <w:p>
      <w:pPr>
        <w:spacing w:after="0" w:line="18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have summarized selected provisions of the 2007 Indenture below. The following summary is a description of the material provisions of the 2007 Indenture. It does not restate the agreement in its entirety. We urge you to read the 2007 Indenture because it, and not this description, defines the rights of holders of debt securities.</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 this summary description of the debt securities of Weatherford Delaware, unless we state otherwise or the context clearly indicates otherwise, all references to “we,” “us” or “our” mean Weatherford Delaware, all references to “Weatherford Bermuda” mean Weatherford Bermuda only, all references to “Weatherford Ireland” mean Weatherford Ireland only and all references to “Weatherford Delaware” mean Weatherford Delaware only.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debt securities will be Weatherford Delaware’s direct, unsecured obligations. The senior debt securities will rank equally with all of our other senior unsecured and unsubordinated debt.</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conduct a substantial part of our operations through our subsidiaries. To the extent of such operations, holders of debt securities will have a position junior to the prior claims of creditors of our subsidiaries, including trade creditors, debtholders, secured creditors, taxing authorities and guarantee holders, and any preference shareholders, except to the extent that we may ourself be a creditor with recognized claims against any subsidiary. Our ability to pay the principal, premium, if any, and interest on any debt securities is, to a large extent, dependent upon the payment to us of dividends, debt principal and interest or other charges by our subsidiaries.</w:t>
      </w:r>
    </w:p>
    <w:p>
      <w:pPr>
        <w:spacing w:after="0" w:line="184"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A prospectus supplement and an officer’s certificate or supplemental indenture relating to any series of debt securities being offered will include specific terms relating to the offering. These terms will include some or all of the following:</w:t>
      </w:r>
    </w:p>
    <w:p>
      <w:pPr>
        <w:spacing w:after="0" w:line="67"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type of the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will be issued and any payments due if the maturity of the debt securities is accelerated;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the debt securities will bear and the interest payment dates for the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features;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periods;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455"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some or all of the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when a specified event occurs;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or additional events of default or covenants;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 including provisions for original issue discount securities, if offered;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w:t>
      </w:r>
    </w:p>
    <w:p>
      <w:pPr>
        <w:spacing w:after="0" w:line="225"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2007 Indenture does not limit the amount of debt securities that may be issued. The 2007 Indenture allows debt securities to be issued up to the principal amount that may be authorized by us and may be in any currency or currency unit designated by us.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securities of a series may be issued in registered, coupon or global form.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 by Weatherford Ireland</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the applicable prospectus supplement relating to a series of our senior debt securities provides that those senior debt securities will have the benefit of a guarantee by Weatherford Ireland (or its “successor person” as determined in accordance with the applicable provisions of the 2007 Indenture), payment of the principal, premium, if any, and interest on those senior debt securities will be unconditionally guaranteed on an unsecured, unsubordinated basis by Weatherford Ireland (or its successor person). The guarantee of senior debt securities will rank equally in right of payment with all of the unsecured and unsubordinated indebtedness of Weatherford Ireland (or its successor person). Weatherford Ireland’s (or its successor person’s) guarantees will be effectively subordinated to all existing and future obligations of Weatherford Ireland’s (or its successor person’s) subsidiaries.</w:t>
      </w:r>
    </w:p>
    <w:p>
      <w:pPr>
        <w:spacing w:after="0" w:line="18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obligations of Weatherford Ireland (or its successor person) under any such guarantee will be limited to the extent possible under applicable law to prevent the guarantee from constituting a fraudulent conveyance, fraudulent preference or fraudulent transfer.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 by Weatherford Bermuda</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the applicable prospectus supplement relating to a series of our senior debt securities provides that those senior debt securities will have the benefit of a guarantee by Weatherford Bermuda (or its “successor person” as determined in accordance with the applicable provisions of the 2007 Indenture), payment of the principal, premium, if any, and interest on those senior debt securities will be unconditionally guaranteed on an unsecured, unsubordinated basis by Weatherford Bermuda (or its successor person). The guarantee of senior debt securities will rank equally in right of payment with all of the unsecured and unsubordinated indebtedness of Weatherford Bermuda (or its successor person). Weatherford Bermuda’s (or its successor person’s) guarantees will be effectively subordinated to all existing and future obligations of Weatherford Bermuda’s (or its successor person’s) subsidiaries.</w:t>
      </w:r>
    </w:p>
    <w:p>
      <w:pPr>
        <w:spacing w:after="0" w:line="188"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obligations of Weatherford Bermuda (or its successor person) under any such guarantee will be limited to the extent possible under applicable law to prevent the guarantee from constituting a fraudulent conveyance, fraudulent preference or fraudulent transfer.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 by Other Subsidiaries</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If a series of our debt securities will have the benefit of a guarantee by any additional subsidiary guarantor(s), the applicable prospectus supplement will specify the identity of the specific guarantor(s) and the other terms of the applicable guarantees.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Denominations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relating to a series of our senior debt securities, the securities issued in registered form will be issued in denominations of $1,000 each or multiples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and Sale of Assets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2007 Indenture provides that we may not consolidate or amalgamate with or merge into any other person or convey, transfer or lease our properties and assets substantially as an entirety to another person, unless:</w:t>
      </w:r>
    </w:p>
    <w:p>
      <w:pPr>
        <w:spacing w:after="0" w:line="67"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or resulting person assumes all of our obligations under the 2007 Indenture;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successor or resulting person will not immediately be in default under the 2007 Indenture.</w:t>
      </w:r>
    </w:p>
    <w:p>
      <w:pPr>
        <w:spacing w:after="0" w:line="225"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Upon the assumption of our obligations by a successor or resulting person, subject to certain exceptions, we will be discharged from all obligations under the 2007 Indenture.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2007 Indenture provides that our rights and obligations and the rights of the holders may be modified with the consent of the holders of a majority in aggregate principal amount of the outstanding debt securities of each series affected by the modification. No modification of the principal or interest payment terms, and no modification reducing the percentage required for modifications, will be effective against any holder without its consent.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“Event of default,” when used in the 2007 Indenture, means any of the following:</w:t>
      </w:r>
    </w:p>
    <w:p>
      <w:pPr>
        <w:spacing w:after="0" w:line="131"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the principal of or any premium on any debt security when due;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sinking fund payment when due;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any debt security for 30 days;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2007 Indenture that continues for 90 days after being given written notice;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 bankruptcy, insolvency or reorganization of us;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included in the 2007 Indenture or officers’ certificate.</w:t>
      </w:r>
    </w:p>
    <w:p>
      <w:pPr>
        <w:spacing w:after="0" w:line="225"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2007 Indenture. The trustee may withhold notice to the holders of debt securities of any default (except in the payment of principal or interest) if it considers such withholding of notice to be in the best interests of the holders.</w:t>
      </w:r>
    </w:p>
    <w:p>
      <w:pPr>
        <w:spacing w:after="0" w:line="17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continues, the trustee or the holders of a specified percentage in aggregate principal amount of the debt securities of the series may declare the entire principal of all the debt securities of that series to be due and payable immediately. If this happens, subject to certain conditions, the holders of a specified percentage of the aggregate principal amount of the debt securities of that series can void the declaration.</w:t>
      </w:r>
    </w:p>
    <w:p>
      <w:pPr>
        <w:spacing w:after="0" w:line="18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Other than its duties in case of a default, a trustee is not obligated to exercise any of its rights or powers under the 2007 Indenture at the request, order or direction of any holders, unless the holders offer the trustee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reasonable indemnification. If they provide this reasonable indemnification, the holders of a majority in principal amount of any series of debt securities may direct the time, method and place of conducting any proceeding or any remedy available to the trustee, or exercising any power conferred upon the trustee, for any series of debt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the 2007 Indenture, we have agreed to:</w:t>
      </w:r>
    </w:p>
    <w:p>
      <w:pPr>
        <w:spacing w:after="0" w:line="131" w:lineRule="exact"/>
        <w:rPr>
          <w:sz w:val="20"/>
          <w:szCs w:val="20"/>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principal of, interest and any premium on, the debt securities when due;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place of payment;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report to the trustee at the end of each fiscal year reviewing our obligations under the 2007 Indenture;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sufficient funds with any paying agent on or before the due date for any principal, interest or premium.</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also agreed to the following covenants relating to limitations on liens and restrictions on sale-and-leaseback transactions.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2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2007 Indenture provides that each “guarantor” (as such term is defined in the 2007 Indenture) will not, nor will it permit any subsidiary of such guarantor to, create, assume, incur or suffer to exist any lien upon any principal property, whether owned or leased on the date of the 2007 Indenture or thereafter acquired, to secure any of our debt or any other person (other than the debt securities issued under the 2007 Indenture), without causing all of the debt securities outstanding under the 2007 Indenture to be secured equally and ratably with, or prior to, the new debt so long as new debt is secured. This restriction does not prohibit such guarantor from creating the following:</w:t>
      </w:r>
    </w:p>
    <w:p>
      <w:pPr>
        <w:spacing w:after="0" w:line="89" w:lineRule="exact"/>
        <w:rPr>
          <w:sz w:val="20"/>
          <w:szCs w:val="20"/>
          <w:color w:val="auto"/>
        </w:rPr>
      </w:pPr>
    </w:p>
    <w:p>
      <w:pPr>
        <w:ind w:left="900" w:right="52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liens existing, or provided for under the terms of existing agreements, on the date that any debt securities are issued under the 2007 Indenture;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current assets to secure current liabilities;</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liens that are created within one year after acquisition, completion and/or commencement of commercial operation on property acquired, constructed, altered or improved by us or any of our subsidiaries;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preexisting liens on any property acquired and liens on property of a subsidiary existing at the time it became our subsidiary;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such guarantor or any of its subsidiaries;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liens in favor of governmental bodies to secure progress, advance or other payments;</w:t>
      </w:r>
    </w:p>
    <w:p>
      <w:pPr>
        <w:spacing w:after="0" w:line="130"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securing indebtedness incurred for the purpose of financing the purchase price or the cost of constructing, installing or improving the property;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securing indebtedness issued or guaranteed by governmental bodies;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of the foregoing.</w:t>
      </w:r>
    </w:p>
    <w:p>
      <w:pPr>
        <w:spacing w:after="0" w:line="225"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Notwithstanding the foregoing, under the 2007 Indenture each guarantor may, and may permit any subsidiary of such guarantor to, issue, assume or guarantee secured indebtedness which would otherwise be subject to the foregoing restrictions, in an aggregate amount which, with all other such secured indebtedness,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does not exceed 15% of our consolidated net worth. For purposes of this paragraph, “consolidated net worth” means the amount of total shareholders’ equity shown in Weatherford Ireland’s most recent consolidated statement of financial position.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Sale-and-Leaseback Transactions</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2007 Indenture provides that a guarantor will not, and such guarantor will not permit any of its subsidiaries to, enter into any sale-and-leaseback transaction unless:</w:t>
      </w:r>
    </w:p>
    <w:p>
      <w:pPr>
        <w:spacing w:after="0" w:line="67" w:lineRule="exact"/>
        <w:rPr>
          <w:sz w:val="20"/>
          <w:szCs w:val="20"/>
          <w:color w:val="auto"/>
        </w:rPr>
      </w:pPr>
    </w:p>
    <w:p>
      <w:pPr>
        <w:ind w:left="900" w:right="200" w:hanging="325"/>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entering into such sale-and-leaseback transaction, such guarantor or any of its subsidiaries would be entitled under the 2007 Indenture to mortgage the property under the 2007 Indenture for an amount equal to the proceeds of the sale-and-leaseback transaction without equally and ratably securing the notes in compliance with the exceptions to the liens covenant in the 2007 Indenture;</w:t>
      </w:r>
    </w:p>
    <w:p>
      <w:pPr>
        <w:spacing w:after="0" w:line="81" w:lineRule="exact"/>
        <w:rPr>
          <w:rFonts w:ascii="Times New Roman" w:cs="Times New Roman" w:eastAsia="Times New Roman" w:hAnsi="Times New Roman"/>
          <w:sz w:val="18"/>
          <w:szCs w:val="18"/>
          <w:color w:val="auto"/>
        </w:rPr>
      </w:pPr>
    </w:p>
    <w:p>
      <w:pPr>
        <w:ind w:left="900" w:right="260" w:hanging="325"/>
        <w:spacing w:after="0" w:line="258"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 period commencing six months prior to the consummation of the sale-and-leaseback transaction and ending six months after the consummation of such transaction, such guarantor’s or any of its subsidiaries expend an amount equal to all or a portion of the net proceeds of such sale-and-leaseback transaction for property used or to be used in the ordinary course of such guarantor’s or any of its subsidiaries’ businesses, and we have elected to designate that amount as a credit against such sale-and-leaseback transaction, with any such amount not so designated to be applied as set forth in the next paragraph; or</w:t>
      </w:r>
    </w:p>
    <w:p>
      <w:pPr>
        <w:spacing w:after="0" w:line="89"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12-month period after the effective date of the sale-and-leaseback transaction, we apply to the retirement of the notes or any of our pari passu indebtedness:</w:t>
      </w:r>
    </w:p>
    <w:p>
      <w:pPr>
        <w:spacing w:after="0" w:line="67" w:lineRule="exact"/>
        <w:rPr>
          <w:rFonts w:ascii="Times New Roman" w:cs="Times New Roman" w:eastAsia="Times New Roman" w:hAnsi="Times New Roman"/>
          <w:sz w:val="18"/>
          <w:szCs w:val="18"/>
          <w:color w:val="auto"/>
        </w:rPr>
      </w:pPr>
    </w:p>
    <w:p>
      <w:pPr>
        <w:ind w:left="1480" w:right="180" w:hanging="567"/>
        <w:spacing w:after="0" w:line="282" w:lineRule="auto"/>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proceeds of the property sold in the sale-and-leaseback transaction, which shall not be less than the fair value of such property at the time of entering into such sale-and-leaseback transaction, less</w:t>
      </w:r>
    </w:p>
    <w:p>
      <w:pPr>
        <w:spacing w:after="0" w:line="67" w:lineRule="exact"/>
        <w:rPr>
          <w:rFonts w:ascii="Times New Roman" w:cs="Times New Roman" w:eastAsia="Times New Roman" w:hAnsi="Times New Roman"/>
          <w:sz w:val="18"/>
          <w:szCs w:val="18"/>
          <w:color w:val="auto"/>
        </w:rPr>
      </w:pPr>
    </w:p>
    <w:p>
      <w:pPr>
        <w:ind w:left="1480" w:right="340" w:hanging="567"/>
        <w:spacing w:after="0" w:line="282" w:lineRule="auto"/>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principal amount of the notes and pari passu indebtedness retired by us within that 12-month period and not designated as a credit against any other sale-and-leaseback transaction by such guarantor or any of its subsidiaries during that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121"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Principal, interest and any premium on fully registered securities will be paid at designated places. Payment will be made by check and mailed to the persons in whose names the debt securities are registered on days specified in the 2007 Indenture or any prospectus supplement. Debt securities payments in other forms will be paid at a place designated by us and specified in a prospectus supplement.</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Fully registered securities may be transferred or exchanged at the corporation trust office of the trustee or at any other office or agency maintained by us for such purposes, without the payment of any service charge except for any tax or governmental charge.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certificates that we will deposit with a depositary identified in the applicable prospectus supplement. Unless and until it is exchanged in whole or in part for the individual debt securities that it represents, a global security may not be transferred except as a whole:</w:t>
      </w:r>
    </w:p>
    <w:p>
      <w:pPr>
        <w:spacing w:after="0" w:line="82" w:lineRule="exact"/>
        <w:rPr>
          <w:sz w:val="20"/>
          <w:szCs w:val="20"/>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applicable depositary to a nominee of the depositary;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nominee to the depositary itself or another nominee; or</w:t>
      </w:r>
    </w:p>
    <w:p>
      <w:pPr>
        <w:spacing w:after="0" w:line="130" w:lineRule="exact"/>
        <w:rPr>
          <w:rFonts w:ascii="Times New Roman" w:cs="Times New Roman" w:eastAsia="Times New Roman" w:hAnsi="Times New Roman"/>
          <w:sz w:val="18"/>
          <w:szCs w:val="18"/>
          <w:color w:val="auto"/>
        </w:rPr>
      </w:pPr>
    </w:p>
    <w:p>
      <w:pPr>
        <w:ind w:left="5620" w:right="3860" w:hanging="5045"/>
        <w:spacing w:after="0" w:line="454" w:lineRule="auto"/>
        <w:tabs>
          <w:tab w:leader="none" w:pos="8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or any nominee to a successor depositary or any nominee of the successor. 37</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will describe the specific terms of the depositary arrangement with respect to a series of debt securities in the applicable prospectus supplement. We anticipate that the following provisions will generally apply to depositary arrangements.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When we issue a global security in registered form, the depositary for the global security or its nominee will credit, on its book-entry registration and transfer system, the respective principal amounts of the individual debt securities represented by that global security to the accounts of persons that have accounts with the depositary (“participants”). Those accounts will be designated by the dealers, underwriters or agents with respect to the underlying debt securities or by us if those debt securities are offered and sold directly by us. Ownership of beneficial interests in a global security will be limited to participants or persons that may hold interests through participants. For interests of participants, ownership of beneficial interests in the global security will be shown on records maintained by the applicable depositary or its nominee. For interests of persons other than participants, that ownership information will be shown on the records of participants. Transfer of that ownership will be effected only through those records. The laws of some states require that certain purchasers of securities take physical delivery of securities in definitive form. These limits and laws may impair our ability to transfer beneficial interests in a global security.</w:t>
      </w:r>
    </w:p>
    <w:p>
      <w:pPr>
        <w:spacing w:after="0" w:line="189"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As long as the depositary for a global security, or its nominee, is the registered owner of that global security, the depositary or nominee will be considered the sole owner or holder of the debt securities represented by the global security for all purposes under the 2007 Indenture. Except as provided below, owners of beneficial interests in a global security:</w:t>
      </w:r>
    </w:p>
    <w:p>
      <w:pPr>
        <w:spacing w:after="0" w:line="82" w:lineRule="exact"/>
        <w:rPr>
          <w:sz w:val="20"/>
          <w:szCs w:val="20"/>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any of the underlying debt securities registered in their names;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delivery of any of the underlying debt securities in definitive form;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under the 2007 Indenture relating to those debt securities.</w:t>
      </w:r>
    </w:p>
    <w:p>
      <w:pPr>
        <w:spacing w:after="0" w:line="225"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Payments of principal of, any premium on and any interest on individual debt securities represented by a global security registered in the name of a depositary or its nominee will be made to the depositary or its nominee as the registered owner of the global security representing such debt securities. Neither we, the trustee for the debt securities, any paying agent nor the registrar for the debt securities will be responsible for any aspect of the records relating to or payments made by the depositary or any participants on account of beneficial interests in the global security.</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expect that the depositary or its nominee, upon receipt of any payment of principal, any premium or interest relating to a global security representing any series of debt securities, will immediately credit participants’ accounts with the payments. Those payments will be credited in amounts proportional to the respective beneficial interests of the participants in the principal amount of the global security as shown on the records of the depositary or its nominee. We also expect that payments by participants to owners of beneficial interests in the global security held through those participants will be governed by standing instructions and customary practices. This is now the case with securities held for the accounts of customers registered in “street name.” Those payments will be the sole responsibility of those participants.</w:t>
      </w:r>
    </w:p>
    <w:p>
      <w:pPr>
        <w:spacing w:after="0" w:line="18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If the depositary for a series of debt securities is at any time unwilling, unable or ineligible to continue as depositary and we do not appoint a successor depositary within 90 days, we will issue individual debt securities of that series in exchange for the global security or securities representing that series. In addition, we may at any time in our sole discretion determine not to have any debt securities of a series represented by one or more global securities. In that event, we will issue individual debt securities of that series in exchange for the global security or securities. Furthermore, if we specify, an owner of a beneficial interest in a global security may, on terms acceptable to us, the trustee and the applicable depositary, receive individual debt securities of that series in exchange for those beneficial interests. The foregoing is subject to any limitations described in the applicable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prospectus supplement. In any such instance, the owner of the beneficial interest will be entitled to physical delivery of individual debt securities equal in principal amount to the beneficial interest and to have the debt securities registered in its name. Those individual debt securities will be issued in any authorized denominations.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right="40" w:firstLine="456"/>
        <w:spacing w:after="0" w:line="274" w:lineRule="auto"/>
        <w:rPr>
          <w:sz w:val="20"/>
          <w:szCs w:val="20"/>
          <w:color w:val="auto"/>
        </w:rPr>
      </w:pPr>
      <w:r>
        <w:rPr>
          <w:rFonts w:ascii="Times New Roman" w:cs="Times New Roman" w:eastAsia="Times New Roman" w:hAnsi="Times New Roman"/>
          <w:sz w:val="17"/>
          <w:szCs w:val="17"/>
          <w:color w:val="auto"/>
        </w:rPr>
        <w:t>We may choose to either discharge our obligations on the debt securities of any series in a legal defeasance, or to be released from covenant restrictions on the debt securities of any series in a covenant defeasance. We may do so at any time on the 91st day after we deposit with the applicable trustee sufficient cash or government securities to pay the principal, interest, any premium and any other sums due on the stated maturity date or a redemption date of the debt securities of the series. If we choose the legal defeasance option, the holders of the debt securities of the series will not be entitled to the benefits of the 2007 Indenture, except for certain obligations, including obligations to register the transfer or exchange of debt securities, to replace lost, stolen or mutilated debt securities, to pay principal and interest on the original stated due dates and certain other obligations set forth in the 2007 Indenture.</w:t>
      </w:r>
    </w:p>
    <w:p>
      <w:pPr>
        <w:spacing w:after="0" w:line="17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may discharge our obligations under the 2007 Indenture or be released from covenant restrictions only if we meet certain requirements. Among other things, we must deliver to the trustee an opinion of our legal counsel to the effect that holders of the series of debt securities will not recognize income, gain or loss for United States federal income tax purposes as a result of such defeasance and will be subject to federal income tax on the same amount and in the same manner and at the same times as would have been the case if such deposit and defeasance had not occurred. In the case of legal defeasance only, this opinion must be based on either a ruling received from or published by the Internal Revenue Service or a change in United States federal income tax law since the date of the 2007 Indenture. We may not have a default on the debt securities discharged on the date of deposit.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2007 Indenture is, and the debt securities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Notices to holders of debt securities will be given by mail to the addresses of such holders as they appear in the security register for such debt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Officers, Directors, Employees or Shareholders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No director, officer, employee or shareholder, as such, of ours or any of our affiliates shall have any personal liability in respect of our obligations under the 2007 Indenture or the debt securities by reason of his, her or its status as such.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A banking or financial institution will be the trustee under the 2007 Indenture. A successor trustee may be appointed in accordance with the terms of the 2007 Indenture.</w:t>
      </w:r>
    </w:p>
    <w:p>
      <w:pPr>
        <w:spacing w:after="0" w:line="162" w:lineRule="exact"/>
        <w:rPr>
          <w:sz w:val="20"/>
          <w:szCs w:val="20"/>
          <w:color w:val="auto"/>
        </w:rPr>
      </w:pPr>
    </w:p>
    <w:p>
      <w:pPr>
        <w:jc w:val="both"/>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2007 Indenture and the provisions of the Trust Indenture Act incorporated by reference therein, will contain certain limitations on the rights of the trustee, should it become a creditor of us, to obtain payment of claims in certain cases, or to realize on certain property received in respect of any such claim as security or otherwise. The trustee will be permitted to engage in other transactions; however, if it acquires any conflicting interest (within the meaning of the Trust Indenture Act), it must eliminate such conflicting interest or resign.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FEDERAL INCOME TAX CONSEQUENCES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 description of the material federal income tax consequences of the acquisition, ownership and disposition of our debt securities will be set forth in a prospectus supplement relating to the offering of such debt securities.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80"/>
          </w:cols>
          <w:pgMar w:left="240" w:top="455" w:right="3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IRISH TAX CONSIDERATIONS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is a summary of certain Irish tax consequences of the purchase, ownership and disposition of Weatherford International plc shares, options to purchase ordinary shares of Weatherford Ireland and warrants to purchase ordinary shares of Weatherford Ireland. The summary does not purport to be a comprehensive description of all of the tax considerations that may be relevant to a decision to purchase, own or dispose of Weatherford Ireland shares, options or warrants. The summary relates only to the position of persons who are the absolute beneficial owners of the shares, options or warrants and may not apply to certain other classes of persons such as dealers in securities or shares. The following also contains a summary of Irish withholding tax issues relating to debt securities issued by Weatherford Bermuda (and related guarantees of Weatherford Ireland and Weatherford Delaware) and Weatherford Delaware (and related guarantees of Weatherford Ireland and Weatherford Bermuda).</w:t>
      </w:r>
    </w:p>
    <w:p>
      <w:pPr>
        <w:spacing w:after="0" w:line="189" w:lineRule="exact"/>
        <w:rPr>
          <w:sz w:val="20"/>
          <w:szCs w:val="20"/>
          <w:color w:val="auto"/>
        </w:rPr>
      </w:pPr>
    </w:p>
    <w:p>
      <w:pPr>
        <w:jc w:val="both"/>
        <w:ind w:right="360" w:firstLine="456"/>
        <w:spacing w:after="0" w:line="261" w:lineRule="auto"/>
        <w:rPr>
          <w:sz w:val="20"/>
          <w:szCs w:val="20"/>
          <w:color w:val="auto"/>
        </w:rPr>
      </w:pPr>
      <w:r>
        <w:rPr>
          <w:rFonts w:ascii="Times New Roman" w:cs="Times New Roman" w:eastAsia="Times New Roman" w:hAnsi="Times New Roman"/>
          <w:sz w:val="18"/>
          <w:szCs w:val="18"/>
          <w:color w:val="auto"/>
        </w:rPr>
        <w:t>The summary is based upon current Irish tax laws and practice of the Irish Revenue Commissioners, which are subject to prospective or retroactive change. The summary does not constitute tax or legal advice and the comments below are of a general nature only. Each potential investor should consult their own advisors as to the Irish or other tax consequences of the purchase, beneficial ownership and disposition of the shares, options, warrants or debt securities including, in particular, the effect of any state or local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to Holders of Shares, Options or Warrants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19"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The payment of dividends by Weatherford International plc will not be subject to any dividend withholding tax in Ireland provided Weatherford International plc is not a tax resident in Ireland. Weatherford International plc is not currently a tax resident in Ireland.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or Other Taxable Disposition</w:t>
      </w:r>
    </w:p>
    <w:p>
      <w:pPr>
        <w:spacing w:after="0" w:line="117"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Tax on Chargeable Gains</w:t>
      </w:r>
      <w:r>
        <w:rPr>
          <w:rFonts w:ascii="Times New Roman" w:cs="Times New Roman" w:eastAsia="Times New Roman" w:hAnsi="Times New Roman"/>
          <w:sz w:val="18"/>
          <w:szCs w:val="18"/>
          <w:color w:val="auto"/>
        </w:rPr>
        <w:t>. Weatherford International plc shareholders or holders of options or warrants relating to Weatherford Ireland shares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resident or ordinarily resident in Ireland for Irish tax purposes and do not hold the shares, options or warrants in connection with a trade carried on by such shareholders or holders of options or warrants through an Irish branch or agency will not be liable for Irish tax on chargeable gains realized on a subsequent disposal of the shares, options or warrants. A shareholder of Weatherford International plc or holder of options or warrants who is an individual and who is temporarily not a resident in Ireland may, under Irish anti-avoidance legislation, still be liable to Irish tax on any chargeable gain realized upon subsequent disposal of the share, options or warrants.</w:t>
      </w:r>
    </w:p>
    <w:p>
      <w:pPr>
        <w:spacing w:after="0" w:line="183" w:lineRule="exact"/>
        <w:rPr>
          <w:sz w:val="20"/>
          <w:szCs w:val="20"/>
          <w:color w:val="auto"/>
        </w:rPr>
      </w:pPr>
    </w:p>
    <w:p>
      <w:pPr>
        <w:jc w:val="both"/>
        <w:ind w:right="60" w:firstLine="456"/>
        <w:spacing w:after="0" w:line="290" w:lineRule="auto"/>
        <w:rPr>
          <w:sz w:val="20"/>
          <w:szCs w:val="20"/>
          <w:color w:val="auto"/>
        </w:rPr>
      </w:pPr>
      <w:r>
        <w:rPr>
          <w:rFonts w:ascii="Times New Roman" w:cs="Times New Roman" w:eastAsia="Times New Roman" w:hAnsi="Times New Roman"/>
          <w:sz w:val="17"/>
          <w:szCs w:val="17"/>
          <w:i w:val="1"/>
          <w:iCs w:val="1"/>
          <w:color w:val="auto"/>
        </w:rPr>
        <w:t>Stamp Duty</w:t>
      </w:r>
      <w:r>
        <w:rPr>
          <w:rFonts w:ascii="Times New Roman" w:cs="Times New Roman" w:eastAsia="Times New Roman" w:hAnsi="Times New Roman"/>
          <w:sz w:val="17"/>
          <w:szCs w:val="17"/>
          <w:color w:val="auto"/>
        </w:rPr>
        <w:t>. There is no Irish stamp duty on the issuance of new shares of an Irish incorporated company. The rate of stamp duty (where applicable)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transfers of shares of Irish incorporated companies is 1% of the price paid or the market value of the shares acquired, whichever is greater. Where Irish stamp duty arises it is generally a liability of the transferee. The Irish stamp duty treatment will vary depending on whether the shares are held through DTC or not.</w:t>
      </w:r>
    </w:p>
    <w:p>
      <w:pPr>
        <w:spacing w:after="0" w:line="156" w:lineRule="exact"/>
        <w:rPr>
          <w:sz w:val="20"/>
          <w:szCs w:val="20"/>
          <w:color w:val="auto"/>
        </w:rPr>
      </w:pPr>
    </w:p>
    <w:p>
      <w:pPr>
        <w:jc w:val="both"/>
        <w:ind w:right="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Shares Held Through DTC</w:t>
      </w:r>
      <w:r>
        <w:rPr>
          <w:rFonts w:ascii="Times New Roman" w:cs="Times New Roman" w:eastAsia="Times New Roman" w:hAnsi="Times New Roman"/>
          <w:sz w:val="18"/>
          <w:szCs w:val="18"/>
          <w:color w:val="auto"/>
        </w:rPr>
        <w:t>. A transfer of Weatherford International plc shares effected by means of the transfer of book-entry interests in DTC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subject to Irish stamp duty. On the basis that most shares in Weatherford International plc are expected to be held through DTC, it is anticipated that most transfers of shares will be exempt from Irish stamp duty.</w:t>
      </w:r>
    </w:p>
    <w:p>
      <w:pPr>
        <w:spacing w:after="0" w:line="174"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Shares Held Outside of DTC or Transferred Into or Out of DTC</w:t>
      </w:r>
      <w:r>
        <w:rPr>
          <w:rFonts w:ascii="Times New Roman" w:cs="Times New Roman" w:eastAsia="Times New Roman" w:hAnsi="Times New Roman"/>
          <w:sz w:val="18"/>
          <w:szCs w:val="18"/>
          <w:color w:val="auto"/>
        </w:rPr>
        <w:t>. A transfer of Weatherford International plc shares where any party to the transfer holds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shares outside of DTC may be subject to Irish stamp duty.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wishing to transfer their shares into (or out of) DTC may do so without giving rise to Irish stamp duty provided:</w:t>
      </w:r>
    </w:p>
    <w:p>
      <w:pPr>
        <w:spacing w:after="0" w:line="131"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change in the beneficial ownership of such shares as a result of the transfer;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into (or out of) DTC is not effected in contemplation of a subsequent sale of such shares by a beneficial owner to a third party.</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93"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rate of stamp duty on the grant or transfer of options or warrants to purchase ordinary shares of Weatherford Ireland is 1% of the price paid or the market value of the options or warrants, whichever is greater, and is payable by the transferee.</w:t>
      </w:r>
    </w:p>
    <w:p>
      <w:pPr>
        <w:spacing w:after="0" w:line="160"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Capital Acquisitions Tax</w:t>
      </w:r>
      <w:r>
        <w:rPr>
          <w:rFonts w:ascii="Times New Roman" w:cs="Times New Roman" w:eastAsia="Times New Roman" w:hAnsi="Times New Roman"/>
          <w:sz w:val="18"/>
          <w:szCs w:val="18"/>
          <w:color w:val="auto"/>
        </w:rPr>
        <w:t>. Irish capital acquisitions tax (“CAT”) comprises principally gift tax and inheritance tax. CAT could apply to a gift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inheritance of Weatherford International plc shares,options or warrants irrespective of the place of residence, ordinary residence or domicile of the parties. This is because Weatherford International plc shares, options and warrants are regarded as property situated in Ireland as the share register of Weatherford International plc must be held in Ireland. The person who receives the gift or inheritance has primary liability for CAT.</w:t>
      </w:r>
    </w:p>
    <w:p>
      <w:pPr>
        <w:spacing w:after="0" w:line="18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€310,000 in respect of taxable gifts or inheritances received from their parents. Weatherford International plc shareholders or holders of options or warrants relating to Weatherford Ireland shares should consult their own tax advisors as to whether CAT is creditable or deductible in computing any domestic tax liabilities.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to Holders of Debt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Withholding Tax</w:t>
      </w:r>
    </w:p>
    <w:p>
      <w:pPr>
        <w:spacing w:after="0" w:line="119"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Payments under the debt securities can be paid by Weatherford Bermuda or Weatherford Delaware and any paying agent acting on behalf of Weatherford Bermuda or Weatherford Delaware without any withholding or deduction for or on account of Irish income tax.</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60"/>
          </w:cols>
          <w:pgMar w:left="240" w:top="455" w:right="2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Irish Encashment Tax</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Irish encashment tax may be required to be withheld at the standard rate (currently 20%) from any interest paid in respect of the debt securities where such interest is paid or collected by a person in Ireland on behalf of any holder of the debt securities. Holders of the debt securities should therefore note that the appointment of an Irish collection agent or an Irish paying agent could result in the deduction of 20% encashment tax by such agent from interest payments on the notes. A holder of the debt securities that is not resident in Ireland for tax purposes may claim an exemption from this withholding tax by submitting an appropriate declaration of non-Irish tax residency to the Irish agent.</w:t>
      </w:r>
    </w:p>
    <w:p>
      <w:pPr>
        <w:spacing w:after="0" w:line="184"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EACH HOLDER SHOULD CONSULT HIS OR HER TAX ADVISOR AS TO THE PARTICULAR CONSEQUENCES THAT MAY APPLY TO SUCH HOLDER.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80"/>
          </w:cols>
          <w:pgMar w:left="240" w:top="455" w:right="3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CERTAIN BERMUDA TAX CONSIDERATIONS</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60"/>
          </w:cols>
          <w:pgMar w:left="240" w:top="455" w:right="2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SWISS TAX CONSIDERATIONS</w:t>
      </w:r>
    </w:p>
    <w:p>
      <w:pPr>
        <w:spacing w:after="0" w:line="22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following is a summary of certain Swiss tax consequences for non-Swiss holders of the (i) purchase, ownership and disposition of ordinary shares of Weatherford Ireland and (ii) the issuance, ownership, exercise or other disposition of warrants and options as well as (iii) tax issues relating to debt securities issued by Weatherford Bermuda (and related guarantees of Weatherford Ireland and Weatherford Delaware) and Weatherford Delaware (and related guarantees of Weatherford Ireland and Weatherford Bermuda). The summary does not purport to be a comprehensive description of all of the Swiss tax considerations that may be relevant to a decision to purchase, own and dispose ordinary shares respectively to acquire, own and exercise or dispose warrants, options or debt securities.</w:t>
      </w:r>
    </w:p>
    <w:p>
      <w:pPr>
        <w:spacing w:after="0" w:line="188"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summary is based upon current Swiss tax laws, applicable court decisions and the practice of the relevant Swiss tax administrations, which are subject to prospective or retroactive change. The summary does not constitute tax or legal advice and the comments below are of a general nature only. Each potential investor should consult their own advisors as to the Swiss or other tax consequences of the purchase, beneficial ownership and disposition of the ordinary shares, options, warrants or debt securities including, in particular, the effect of any state or local tax laws. In particular, the specific terms and conditions of any securities to be offered and the specific manner in which they may be offered as described in a supplement to this prospectus are decisive and need to be thoroughly analyzed with regard to potential Swiss tax consequences.</w:t>
      </w:r>
    </w:p>
    <w:p>
      <w:pPr>
        <w:spacing w:after="0" w:line="18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Swiss tax consequences to potential Swiss holders (Swiss tax residents or non-Swiss holders with any other taxable presence in Switzerland) of ordinary shares, warrants, options or debt securities of Weatherford Ireland are not covered in this summary. It is recommended that any Swiss holders consult their own advisors as to the Swiss or other tax consequences of the purchase, beneficial ownership and disposition of the ordinary shares respectively the acquisition, beneficial ownership, exercise or disposition of warrants, options or debt securities.</w:t>
      </w:r>
    </w:p>
    <w:p>
      <w:pPr>
        <w:spacing w:after="0" w:line="284" w:lineRule="exact"/>
        <w:rPr>
          <w:sz w:val="20"/>
          <w:szCs w:val="20"/>
          <w:color w:val="auto"/>
        </w:rPr>
      </w:pPr>
    </w:p>
    <w:p>
      <w:pPr>
        <w:ind w:right="51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Purchase, Ownership and Disposition of Ordinary Shares of Weatherford Ireland </w:t>
      </w:r>
      <w:r>
        <w:rPr>
          <w:rFonts w:ascii="Times New Roman" w:cs="Times New Roman" w:eastAsia="Times New Roman" w:hAnsi="Times New Roman"/>
          <w:sz w:val="18"/>
          <w:szCs w:val="18"/>
          <w:i w:val="1"/>
          <w:iCs w:val="1"/>
          <w:color w:val="auto"/>
        </w:rPr>
        <w:t>Swiss Income Tax on Dividends and Similar Distributions</w:t>
      </w: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 non-Swiss holder will not be subject to Swiss income taxes on dividend income and similar distributions in respect of ordinary shares of Weatherford Ireland, unless the ordinary shares are attributable to a permanent establishment, a fixed place of business maintained in Switzerland or another taxable presence in Switzerland of such non-Swiss holder. However, dividends and similar distributions are subject to Swiss withholding tax. See “—Swiss Withholding Tax on Distributions to Shareholders.”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Wealth Tax</w:t>
      </w:r>
    </w:p>
    <w:p>
      <w:pPr>
        <w:spacing w:after="0" w:line="11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 non-Swiss holder will not be subject to Swiss wealth taxes (net wealth tax or annual capital tax) unless the holder’s ordinary shares are attributable to a permanent establishment, a fixed place of business maintained in Switzerland or another taxable presence in Switzerland of such non-Swiss holder.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Income Tax on Capital Gains upon Disposal, Exchange or Other Disposition of Ordinary Shares of Weatherford Ireland</w:t>
      </w:r>
    </w:p>
    <w:p>
      <w:pPr>
        <w:spacing w:after="0" w:line="119"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A non-Swiss holder will not be subject to Swiss income tax on capital gains upon disposal, exchange or other disposition of the ordinary shares unless the holder’s ordinary shares are attributable to a permanent establishment, a fixed place of business maintained in Switzerland or another taxable presence in Switzerland of such non-Swiss holder.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Withholding Tax on Distributions to Shareholders</w:t>
      </w:r>
    </w:p>
    <w:p>
      <w:pPr>
        <w:spacing w:after="0" w:line="119"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A Swiss withholding tax of 35% is due on dividends and similar distributions to the shareholders of Weatherford Ireland regardless of the place of residency of such shareholders (subject to the exceptions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discussed under “—Exemption from Swiss Withholding Tax on Distributions to Shareholders” below). Weatherford Ireland, as a Swiss tax resident company, will be required to withhold at such rate and remit on a net basis any payments made to a holder of ordinary shares of Weatherford Ireland and pay such withheld amounts to the Swiss federal tax authorities. Please see “—Refund of Swiss Withholding Tax on Dividends and Other Distributions.”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Exemption from Swiss Withholding Tax on Distributions to Shareholders</w:t>
      </w:r>
    </w:p>
    <w:p>
      <w:pPr>
        <w:spacing w:after="0" w:line="119"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Under present Swiss tax laws, distributions to shareholders in relation to a reduction of par value are exempt from Swiss withholding tax. Also exempt from Swiss withholding tax are distributions to shareholders that are made out of qualifying capital contribution reserves (Kapitaleinlagereserven) according to the relevant Swiss tax laws (often called “qualifying additional paid-in capital”).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Repurchases of Ordinary Shares</w:t>
      </w:r>
    </w:p>
    <w:p>
      <w:pPr>
        <w:spacing w:after="0" w:line="11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Based on the present Swiss tax laws, repurchases of ordinary shares for the purposes of capital reduction are treated as a partial liquidation subject to the 35% Swiss withholding tax. Weatherford Ireland is required to remit on a net basis the purchase price with the Swiss withholding tax deducted to a holder of ordinary shares of Weatherford Ireland and pay the withholding tax to the Swiss federal tax authorities. However, for ordinary shares repurchased for capital reduction, the portion of the repurchase price attributable to (i) the par value of the ordinary shares repurchased, and (ii) qualifying capital contribution reserves according to the applicable Swiss tax laws will not be subject to the Swiss withholding tax.</w:t>
      </w:r>
    </w:p>
    <w:p>
      <w:pPr>
        <w:spacing w:after="0" w:line="184"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With respect to the refund of Swiss withholding tax from the repurchase of ordinary shares, see “—Refund of Swiss Withholding Tax on Dividends and Other Distributions” below.</w:t>
      </w:r>
    </w:p>
    <w:p>
      <w:pPr>
        <w:spacing w:after="0" w:line="162"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repurchase of ordinary shares for purposes other than capital reduction, such as to retain such ordinary shares as treasury shares,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Refund of Swiss Withholding Tax on 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Non-Swiss holders</w:t>
      </w:r>
      <w:r>
        <w:rPr>
          <w:rFonts w:ascii="Times New Roman" w:cs="Times New Roman" w:eastAsia="Times New Roman" w:hAnsi="Times New Roman"/>
          <w:sz w:val="18"/>
          <w:szCs w:val="18"/>
          <w:color w:val="auto"/>
        </w:rPr>
        <w:t>. If the shareholder that receives a distribution from Weatherford Ireland is not a Swiss tax resident, does not hold the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Weatherford Ireland in connection with a permanent establishment or a fixed place of business maintained in Switzerland, and resides in a country that has concluded a treaty for the avoidance of double taxation with Switzerland for which the conditions for the application and protection of and by the treaty are met, then the shareholder may be entitled to a full or partial refund of the withholding tax described above. The procedures for claiming treaty refunds (and the time frame required for obtaining a refund) may differ from country to country.</w:t>
      </w:r>
    </w:p>
    <w:p>
      <w:pPr>
        <w:spacing w:after="0" w:line="18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160"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U.S. holders</w:t>
      </w:r>
      <w:r>
        <w:rPr>
          <w:rFonts w:ascii="Times New Roman" w:cs="Times New Roman" w:eastAsia="Times New Roman" w:hAnsi="Times New Roman"/>
          <w:sz w:val="18"/>
          <w:szCs w:val="18"/>
          <w:color w:val="auto"/>
        </w:rPr>
        <w:t>. The Swiss-U.S. tax treaty provides that U.S. residents eligible for benefits under the treaty can seek a refund of the Swiss withholding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dividends for the portion exceeding 15% (leading to a refund of 20%) or a 100% refund in the case of qualified pension funds. For sake of completeness, it shall be mentioned that a 5% treaty rate would apply for a U.S. corporate shareholder being treated for U.S. tax purposes as separate legal entity and holding a qualifying investment of at least 10% in Weatherford Ireland.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As a general rule, and provided no abuse provisions would be applicable, the refund will be granted under the treaty if the U.S. resident can show evidence of:</w:t>
      </w:r>
    </w:p>
    <w:p>
      <w:pPr>
        <w:spacing w:after="0" w:line="67" w:lineRule="exact"/>
        <w:rPr>
          <w:sz w:val="20"/>
          <w:szCs w:val="20"/>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residency;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Swiss-U.S. tax treaty’s limitation on benefits requirements.</w:t>
      </w:r>
    </w:p>
    <w:p>
      <w:pPr>
        <w:spacing w:after="0" w:line="22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claim for refund must be filed with the Swiss federal tax authorities (Eigerstrasse 65, 3003 Berne, Switzerland), not later than December 31 of the third year following the year in which the dividend or similar payments respectively distributions became due. The relevant Swiss tax form is Form 82C for companies, 82E for other entities and 82I for individuals. These forms can be obtained from any Swiss Consulate General in the United States or from the Swiss federal tax authorities at the address mentioned above. Each form needs to be filled out in triplicate, with each copy duly completed and signed before a notary public in the United States. You must also include evidence that the withholding tax was withheld at the source.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Stamp Duties</w:t>
      </w:r>
    </w:p>
    <w:p>
      <w:pPr>
        <w:spacing w:after="0" w:line="117"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Swiss transfer stamp duty in relation to the transfer of ordinary shares of Weatherford Ireland. </w:t>
      </w:r>
      <w:r>
        <w:rPr>
          <w:rFonts w:ascii="Times New Roman" w:cs="Times New Roman" w:eastAsia="Times New Roman" w:hAnsi="Times New Roman"/>
          <w:sz w:val="18"/>
          <w:szCs w:val="18"/>
          <w:color w:val="auto"/>
        </w:rPr>
        <w:t>The purchase or sale of ordinary shares of Weatherford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Ireland may be subject to Swiss transfer stamp duty irrespective of the place of residency of the purchaser or seller if the transaction takes place through or with a Swiss bank or other Swiss securities dealer, as those terms are defined in the Swiss Federal Stamp Tax Act and no exemption applies in the specific case. If a purchase or sale is not entered into through or with a Swiss bank or other Swiss securities dealer, then no transfer stamp duty will be due.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83" w:lineRule="exact"/>
        <w:rPr>
          <w:sz w:val="20"/>
          <w:szCs w:val="20"/>
          <w:color w:val="auto"/>
        </w:rPr>
      </w:pPr>
    </w:p>
    <w:p>
      <w:pPr>
        <w:ind w:right="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Swiss issuance stamp duty on the issuance of ordinary shares of Weatherford Ireland. </w:t>
      </w:r>
      <w:r>
        <w:rPr>
          <w:rFonts w:ascii="Times New Roman" w:cs="Times New Roman" w:eastAsia="Times New Roman" w:hAnsi="Times New Roman"/>
          <w:sz w:val="18"/>
          <w:szCs w:val="18"/>
          <w:color w:val="auto"/>
        </w:rPr>
        <w:t>For sake of completeness, it shall be mentioned that the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to Weatherford Ireland for the issuance of new ordinary shares, to the extent no exemption applies, is subject to issuance stamp duty levied at 1%. Weatherford Ireland will be liable to Swiss issuance stamp duty.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Exercise or Disposition of Warrants or Options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summary of Swiss tax considerations reflects the main Swiss tax consequences that should be considered if Weatherford Ireland will issue and deliver new ordinary shares to the entitled warrant or option holder, as the case may be. For sake of completeness, the summary below also outlines how Swiss tax consequences would differ in the event an option holder exercises an option and Weatherford Ireland does not issue and deliver new ordinary shares, but rather delivers its treasury shares. While Weatherford Ireland does not currently have any treasury shares, it may acquire treasury shares in the future through open-market purchases of its ordinary shares. Therefore, Weatherford Ireland currently intends to satisfy any exercise of an option or warrant through the issuance and delivery of new ordinary shares. Unless otherwise indicated, the Swiss tax considerations below are applicable to both warrants and options.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Income Tax</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 non-Swiss holder will not be subject to Swiss income tax neither during the holding period nor on capital gains realized upon disposal, exchange or other disposition of warrants or options unless the holder’s warrant or option is attributable to a permanent establishment, a fixed place of business maintained in Switzerland or another taxable presence in Switzerland of such non-Swiss holder.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Wealth Tax</w:t>
      </w:r>
    </w:p>
    <w:p>
      <w:pPr>
        <w:spacing w:after="0" w:line="11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A non-Swiss holder will not be subject to Swiss wealth taxes unless the holder’s warrant or option is attributable to a permanent establishment, a fixed place of business maintained in Switzerland or another taxable presence in Switzerland of such non-Swiss holder.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Withholding Tax</w:t>
      </w:r>
    </w:p>
    <w:p>
      <w:pPr>
        <w:spacing w:after="0" w:line="117" w:lineRule="exact"/>
        <w:rPr>
          <w:sz w:val="20"/>
          <w:szCs w:val="20"/>
          <w:color w:val="auto"/>
        </w:rPr>
      </w:pPr>
    </w:p>
    <w:p>
      <w:pPr>
        <w:jc w:val="both"/>
        <w:ind w:right="3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Exercise of Warrants and Options that result in a delivery of newly issued ordinary shares of Weatherford Ireland. </w:t>
      </w:r>
      <w:r>
        <w:rPr>
          <w:rFonts w:ascii="Times New Roman" w:cs="Times New Roman" w:eastAsia="Times New Roman" w:hAnsi="Times New Roman"/>
          <w:sz w:val="18"/>
          <w:szCs w:val="18"/>
          <w:color w:val="auto"/>
        </w:rPr>
        <w:t>A conversion of warrants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options into ordinary shares by way of a cash exercise does not trigger Swiss withholding tax consequences provided the strike price equals at least to the nominal value of the newly issued respective ordinary shares.</w:t>
      </w:r>
    </w:p>
    <w:p>
      <w:pPr>
        <w:spacing w:after="0" w:line="176" w:lineRule="exact"/>
        <w:rPr>
          <w:sz w:val="20"/>
          <w:szCs w:val="20"/>
          <w:color w:val="auto"/>
        </w:rPr>
      </w:pPr>
    </w:p>
    <w:p>
      <w:pPr>
        <w:ind w:right="920" w:firstLine="456"/>
        <w:spacing w:after="0" w:line="282" w:lineRule="auto"/>
        <w:rPr>
          <w:sz w:val="20"/>
          <w:szCs w:val="20"/>
          <w:color w:val="auto"/>
        </w:rPr>
      </w:pPr>
      <w:r>
        <w:rPr>
          <w:rFonts w:ascii="Times New Roman" w:cs="Times New Roman" w:eastAsia="Times New Roman" w:hAnsi="Times New Roman"/>
          <w:sz w:val="18"/>
          <w:szCs w:val="18"/>
          <w:color w:val="auto"/>
        </w:rPr>
        <w:t>Any payments from Weatherford Ireland to the holders of warrants or options to compensate them for distributions made to shareholders in Weatherford Ireland or any other cash or similar payments might be subject to Swiss withholding tax.</w:t>
      </w:r>
    </w:p>
    <w:p>
      <w:pPr>
        <w:spacing w:after="0" w:line="162"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Non-Swiss tax resident holders of warrants or options that do not hold the warrant or option in connection with a permanent establishment or a fixed place of business maintained in Switzerland, might be entitled for full or partial refund of Swiss withholding tax described above, if they reside in a country that has concluded a treaty for the avoidance of double taxation with Switzerland for which the conditions for the application and protection of and by the treaty can be met. The procedures for claiming treaty refunds (and the time frame required for obtaining a refund) may differ from country to country.</w:t>
      </w:r>
    </w:p>
    <w:p>
      <w:pPr>
        <w:spacing w:after="0" w:line="18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160" w:lineRule="exact"/>
        <w:rPr>
          <w:sz w:val="20"/>
          <w:szCs w:val="20"/>
          <w:color w:val="auto"/>
        </w:rPr>
      </w:pPr>
    </w:p>
    <w:p>
      <w:pPr>
        <w:ind w:right="4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Exercise of Options that result in a delivery of preexisting ordinary shares. </w:t>
      </w:r>
      <w:r>
        <w:rPr>
          <w:rFonts w:ascii="Times New Roman" w:cs="Times New Roman" w:eastAsia="Times New Roman" w:hAnsi="Times New Roman"/>
          <w:sz w:val="18"/>
          <w:szCs w:val="18"/>
          <w:color w:val="auto"/>
        </w:rPr>
        <w:t>The exercise of options that result in a delivery of preexisting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will generally not be subject to Swiss withholding tax.</w:t>
      </w:r>
    </w:p>
    <w:p>
      <w:pPr>
        <w:spacing w:after="0" w:line="160"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The repurchase of our own ordinary shares for purposes of the exercise of options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Federal Stamp Duties</w:t>
      </w:r>
    </w:p>
    <w:p>
      <w:pPr>
        <w:spacing w:after="0" w:line="117" w:lineRule="exact"/>
        <w:rPr>
          <w:sz w:val="20"/>
          <w:szCs w:val="20"/>
          <w:color w:val="auto"/>
        </w:rPr>
      </w:pPr>
    </w:p>
    <w:p>
      <w:pPr>
        <w:ind w:right="2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Swiss issuance stamp duty in relation to the issuance of warrants and options. </w:t>
      </w:r>
      <w:r>
        <w:rPr>
          <w:rFonts w:ascii="Times New Roman" w:cs="Times New Roman" w:eastAsia="Times New Roman" w:hAnsi="Times New Roman"/>
          <w:sz w:val="18"/>
          <w:szCs w:val="18"/>
          <w:color w:val="auto"/>
        </w:rPr>
        <w:t>Straight derivatives such as warrants and options should not qualify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security in the meaning of the Swiss Federal Stamp Duty Act and should therefore not be subject to Swiss issuance stamp duty.</w:t>
      </w:r>
    </w:p>
    <w:p>
      <w:pPr>
        <w:spacing w:after="0" w:line="158" w:lineRule="exact"/>
        <w:rPr>
          <w:sz w:val="20"/>
          <w:szCs w:val="20"/>
          <w:color w:val="auto"/>
        </w:rPr>
      </w:pPr>
    </w:p>
    <w:p>
      <w:pPr>
        <w:ind w:firstLine="456"/>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Swiss transfer stamp duty in relation to the exercise or disposition of the warrants and options. </w:t>
      </w:r>
      <w:r>
        <w:rPr>
          <w:rFonts w:ascii="Times New Roman" w:cs="Times New Roman" w:eastAsia="Times New Roman" w:hAnsi="Times New Roman"/>
          <w:sz w:val="17"/>
          <w:szCs w:val="17"/>
          <w:color w:val="auto"/>
        </w:rPr>
        <w:t>Straight derivatives such as regular warrants and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should not qualify as taxable security in the meaning of the Swiss Federal Stamp Duty Act and should therefore not be subject to Swiss transfer stamp duty.</w:t>
      </w:r>
    </w:p>
    <w:p>
      <w:pPr>
        <w:spacing w:after="0" w:line="13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transfer of preexisting ordinary shares of Weatherford Ireland in case of an exercise of options that results in delivery of preexisting ordinary shares may be subject to Swiss transfer stamp duty irrespective of the place of residency of the purchaser or seller if the transaction takes place through or with a Swiss bank or other Swiss securities dealer, as those terms are defined in the Swiss Federal Stamp Tax Act and no exemption applies in the specific case. If the transaction is not entered into through or with a Swiss bank or other Swiss securities dealer, then no transfer stamp duty will be due. The applicable transfer stamp duty rate would be 0.15% for each of the two parties to a transaction provided that no (partial) exemption applies and is calculated based on the exercise price. If the transaction does not involve cash consideration, the transfer stamp duty is computed on the basis of the market value of the consideration.</w:t>
      </w:r>
    </w:p>
    <w:p>
      <w:pPr>
        <w:spacing w:after="0" w:line="187"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Swiss issuance stamp duty on the issuance of new ordinary shares of Weatherford Ireland in connection with the exercise of warrants and options.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sake of completeness, it shall be mentioned that the proceeds paid to Weatherford Ireland for the issuance of new ordinary shares as a result of the exercise of a warrant or an option, as the case may be, to the extent no exemption applies, is subject to issuance stamp duty levied at 1%. Weatherford Ireland will be liable for Swiss issuance stamp duty.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and Guarantees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Income Tax on Interest Payments</w:t>
      </w:r>
    </w:p>
    <w:p>
      <w:pPr>
        <w:spacing w:after="0" w:line="119" w:lineRule="exact"/>
        <w:rPr>
          <w:sz w:val="20"/>
          <w:szCs w:val="20"/>
          <w:color w:val="auto"/>
        </w:rPr>
      </w:pPr>
    </w:p>
    <w:p>
      <w:pPr>
        <w:ind w:right="100" w:firstLine="456"/>
        <w:spacing w:after="0" w:line="313" w:lineRule="auto"/>
        <w:rPr>
          <w:sz w:val="20"/>
          <w:szCs w:val="20"/>
          <w:color w:val="auto"/>
        </w:rPr>
      </w:pPr>
      <w:r>
        <w:rPr>
          <w:rFonts w:ascii="Times New Roman" w:cs="Times New Roman" w:eastAsia="Times New Roman" w:hAnsi="Times New Roman"/>
          <w:sz w:val="17"/>
          <w:szCs w:val="17"/>
          <w:color w:val="auto"/>
        </w:rPr>
        <w:t>A non-Swiss holder will not be subject to Swiss income taxes on interest income in respect of debt securities, unless the debt securities are attributable to a permanent establishment, a fixed place of business maintained in Switzerland or another taxable presence in Switzerland of such non-Swiss holder.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Wealth Tax</w:t>
      </w:r>
    </w:p>
    <w:p>
      <w:pPr>
        <w:spacing w:after="0" w:line="11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 non-Swiss holder will not be subject to Swiss wealth taxes (net wealth tax or annual capital tax) unless the holder’s debt securities are attributable to a permanent establishment, a fixed place of business maintained in Switzerland or another taxable presence in Switzerland of such non-Swiss holder.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Income Tax on Capital Gains upon Disposal, Redemption or Other Disposition of Debt Securities</w:t>
      </w:r>
    </w:p>
    <w:p>
      <w:pPr>
        <w:spacing w:after="0" w:line="11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 non-Swiss holder will not be subject to Swiss income tax on capital gains upon disposal, redemption or other disposition of debt securities unless the holder’s notes are attributable to a permanent establishment, a fixed place of business maintained in Switzerland or another taxable presence in Switzerland of such non-Swiss holder.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Withholding Tax on Interest Payments on Debt Securities</w:t>
      </w:r>
    </w:p>
    <w:p>
      <w:pPr>
        <w:spacing w:after="0" w:line="11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Debt securities guaranteed by Weatherford Ireland could constitute a Swiss bond or bond like instrument subject to Swiss withholding tax in case of a harmful flow back of funds to Switzerland. Interest payments or any similar payments (e.g. in case of zero bonds) on such Swiss bonds or bond like instrument would in such a case be subject to Swiss federal withholding tax. The same applies if the Weatherford entity issuing the debt securities would be effectively managed and controlled in Switzerland.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Federal Stamp Duties</w:t>
      </w:r>
    </w:p>
    <w:p>
      <w:pPr>
        <w:spacing w:after="0" w:line="11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issuance of debt securities will not be subject to Swiss federal issuance stamp duty or Swiss federal stamp duty on the dealing in securities. Dealings in debt securities in the secondary markets where a Swiss domestic bank or a Swiss domestic securities dealer (as defined in the Swiss Federal Stamp Duty Act) acts as a party or as an intermediary to the transaction may be subject to Swiss federal stamp duty on dealing in securities. The applicable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Automatic Exchange of Information in Tax Matters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On November 19, 2014, Switzerland signed the Multilateral Competent Authority Agreement (the MCAA). The MCAA is based on article 6 of the OECD/Council of Europe administrative assistance convention and is intended to ensure the uniform implementation of Automatic Exchange of Information (the AEOI). The Federal Act on the International Automatic Exchange of Information in Tax Matters (the AEOI Act) entered into force on January 1, 2017. The AEOI Act is the legal basis for the implementation of the AEOI standard in Switzerland.</w:t>
      </w:r>
    </w:p>
    <w:p>
      <w:pPr>
        <w:spacing w:after="0" w:line="180"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The AEOI is being introduced in Switzerland through bilateral agreements or multilateral agreements. The agreements have, and will be, concluded on the basis of guaranteed reciprocity, compliance with the principle of speciality (i.e. the information exchanged may only be used to assess and levy taxes (and for criminal tax proceedings)) and adequate data protection.</w:t>
      </w:r>
    </w:p>
    <w:p>
      <w:pPr>
        <w:spacing w:after="0" w:line="176"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Switzerland has concluded a multilateral AEOI agreement with the EU (replacing the EU savings tax agreement) and has concluded bilateral AEOI agreements with several non-EU countries.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Based on such multilateral agreements and bilateral agreements and the implementing laws of Switzerland, Switzerland will begin to collect data in respect of financial assets held in, and income derived thereon and credited to, accounts or deposits with a paying agent in Switzerland for the benefit of individuals or certain type of entities resident in a EU member state or in a treaty state from, depending on the effectiveness date of the agreement, 2017 or 2018, as the case may be, and begin to exchange it from 2018 or 2019.</w:t>
      </w:r>
    </w:p>
    <w:p>
      <w:pPr>
        <w:spacing w:after="0" w:line="18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EACH SHAREHOLDER OR PURCHASER OF WARRANTS, OPTIONS AND/OR DEBT SECURITIES SHOULD CONSULT HIS OR HER TAX ADVISOR AS TO THE PARTICULAR CONSEQUENCES THAT MAY APPLY TO SUCH SHAREHOLDER OR HOLDER OF WARRANTS, OPTIONS AND/OR DEBT SECURITIES.</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20"/>
          </w:cols>
          <w:pgMar w:left="240" w:top="455" w:right="3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 at:</w:t>
      </w:r>
    </w:p>
    <w:p>
      <w:pPr>
        <w:spacing w:after="0" w:line="82" w:lineRule="exact"/>
        <w:rPr>
          <w:sz w:val="20"/>
          <w:szCs w:val="20"/>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8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best-efforts basis and a dealer will purchase securities as a principal, and may then resell the securities at varying prices to be determined by the dealer.</w:t>
      </w:r>
    </w:p>
    <w:p>
      <w:pPr>
        <w:spacing w:after="0" w:line="18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Any ordinary shares will be listed on the New York Stock Exchange,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6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ordinary shares, and may use securities received from us in settlement of those derivatives to close out any related open borrowings of ordinary shares.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56"/>
        <w:spacing w:after="0" w:line="281" w:lineRule="auto"/>
        <w:rPr>
          <w:sz w:val="20"/>
          <w:szCs w:val="20"/>
          <w:color w:val="auto"/>
        </w:rPr>
      </w:pPr>
      <w:r>
        <w:rPr>
          <w:rFonts w:ascii="Times New Roman" w:cs="Times New Roman" w:eastAsia="Times New Roman" w:hAnsi="Times New Roman"/>
          <w:sz w:val="17"/>
          <w:szCs w:val="17"/>
          <w:color w:val="auto"/>
        </w:rPr>
        <w:t>Certain U.S. legal matters in connection with the securities will be passed upon for us by Latham &amp; Watkins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240" w:top="455" w:right="5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schedule of Weatherford International plc as of December 31, 2016 and December 31, 2015 and for each of the years in the three-year period ended December 31, 2016, and management’s assessment of the effectiveness of internal control over financial reporting as of December 31, 2016 have been incorporated by reference herein in reliance upon the reports of KPMG LLP, independent registered public accounting firm, incorporated by reference herein, and upon the authority of said firm as experts in accounting and auditing. KPMG LLP’s report on the consolidated financial statements refers to changes in accounting for deferred income taxes and accounting for debt issuance costs.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Named Experts and Counsel</w:t>
      </w:r>
    </w:p>
    <w:p>
      <w:pPr>
        <w:spacing w:after="0" w:line="121"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7"/>
          <w:szCs w:val="17"/>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 and Codan Services Limited is Weatherford Bermuda’s Assistant Secretary.</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4338"/>
        </w:rPr>
        <w:t>Subject to Completion, Dated May 3, 2017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174625</wp:posOffset>
            </wp:positionV>
            <wp:extent cx="1569085" cy="7029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6908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Weatherford International plc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 Irish public limited company)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84,500,000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This prospectus relates to the offer and sale by us of 84,500,000 ordinary shares, $0.001 par value, that are issuable upon the exercise of such warrant to purchase 84,500,000 ordinary shares at an exercise price of $6.43 per ordinary share (the “Warrant”). The Warrant was originally issued by us on November 21, 2016 pursuant to a prospectus dated November 16, 2016. We will receive the proceeds from any exercises of the Warrant. The Warrant is exercisable at any time until its expiration date, which is May 21, 2019.</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ordinary shares of Weatherford Ireland are traded under the symbol “WFT” on the New York Stock Exchange.</w:t>
      </w:r>
    </w:p>
    <w:p>
      <w:pPr>
        <w:spacing w:after="0" w:line="212" w:lineRule="exact"/>
        <w:rPr>
          <w:sz w:val="20"/>
          <w:szCs w:val="20"/>
          <w:color w:val="auto"/>
        </w:rPr>
      </w:pPr>
    </w:p>
    <w:p>
      <w:pPr>
        <w:ind w:right="300" w:firstLine="456"/>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risk. You should carefully review the risks and uncertainties described under the headings “Forward-Looking Statements” on page 5 and “</w:t>
      </w:r>
      <w:hyperlink w:anchor="page68">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on page 7 herein and any related free writing prospectus and under similar headings in the other documents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212090</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right="1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both"/>
        <w:ind w:right="1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For the avoidance of doubt, this document is not intended to be and is not a prospectus for the purposes of the Companies Act 2014 of Ireland (the “Irish Companies Act”), the Prospectus Directive (2003/71/EC) Regulations 2005 of Ireland (as amended) or the Prospectus Rules issued by the Central Bank of Ireland, and the Central Bank of Ireland has not approved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396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2017.</w:t>
            </w:r>
          </w:p>
        </w:tc>
      </w:tr>
    </w:tbl>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940" w:type="dxa"/>
            <w:vAlign w:val="bottom"/>
            <w:gridSpan w:val="3"/>
          </w:tcPr>
          <w:p>
            <w:pPr>
              <w:jc w:val="right"/>
              <w:ind w:right="4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2240" w:type="dxa"/>
            <w:vAlign w:val="bottom"/>
            <w:gridSpan w:val="8"/>
            <w:vMerge w:val="restart"/>
          </w:tcPr>
          <w:p>
            <w:pPr>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ABOUT THIS PROSPECTUS</w:t>
              </w:r>
            </w:hyperlink>
          </w:p>
        </w:tc>
        <w:tc>
          <w:tcPr>
            <w:tcW w:w="2200" w:type="dxa"/>
            <w:vAlign w:val="bottom"/>
            <w:gridSpan w:val="8"/>
            <w:vMerge w:val="restart"/>
          </w:tcPr>
          <w:p>
            <w:pPr>
              <w:spacing w:after="0"/>
              <w:rPr>
                <w:sz w:val="24"/>
                <w:szCs w:val="24"/>
                <w:color w:val="auto"/>
              </w:rPr>
            </w:pPr>
          </w:p>
        </w:tc>
        <w:tc>
          <w:tcPr>
            <w:tcW w:w="66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8"/>
            <w:vMerge w:val="continue"/>
          </w:tcPr>
          <w:p>
            <w:pPr>
              <w:spacing w:after="0"/>
              <w:rPr>
                <w:sz w:val="14"/>
                <w:szCs w:val="14"/>
                <w:color w:val="auto"/>
              </w:rPr>
            </w:pPr>
          </w:p>
        </w:tc>
        <w:tc>
          <w:tcPr>
            <w:tcW w:w="2200" w:type="dxa"/>
            <w:vAlign w:val="bottom"/>
            <w:gridSpan w:val="8"/>
            <w:vMerge w:val="continue"/>
          </w:tcPr>
          <w:p>
            <w:pPr>
              <w:spacing w:after="0"/>
              <w:rPr>
                <w:sz w:val="14"/>
                <w:szCs w:val="14"/>
                <w:color w:val="auto"/>
              </w:rPr>
            </w:pPr>
          </w:p>
        </w:tc>
        <w:tc>
          <w:tcPr>
            <w:tcW w:w="662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PROSPECTUS SUMMARY</w:t>
              </w:r>
            </w:hyperlink>
          </w:p>
        </w:tc>
        <w:tc>
          <w:tcPr>
            <w:tcW w:w="2340" w:type="dxa"/>
            <w:vAlign w:val="bottom"/>
            <w:gridSpan w:val="9"/>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4440" w:type="dxa"/>
            <w:vAlign w:val="bottom"/>
            <w:gridSpan w:val="16"/>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WHERE YOU CAN FIND MORE INFORMATION</w:t>
              </w:r>
            </w:hyperlink>
          </w:p>
        </w:tc>
        <w:tc>
          <w:tcPr>
            <w:tcW w:w="69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FORWARD-LOOKING STATEMENTS</w:t>
              </w:r>
            </w:hyperlink>
          </w:p>
        </w:tc>
        <w:tc>
          <w:tcPr>
            <w:tcW w:w="880" w:type="dxa"/>
            <w:vAlign w:val="bottom"/>
            <w:tcBorders>
              <w:top w:val="single" w:sz="8" w:color="0000EE"/>
            </w:tcBorders>
            <w:gridSpan w:val="5"/>
          </w:tcPr>
          <w:p>
            <w:pPr>
              <w:spacing w:after="0"/>
              <w:rPr>
                <w:sz w:val="17"/>
                <w:szCs w:val="17"/>
                <w:color w:val="auto"/>
              </w:rPr>
            </w:pPr>
          </w:p>
        </w:tc>
        <w:tc>
          <w:tcPr>
            <w:tcW w:w="620" w:type="dxa"/>
            <w:vAlign w:val="bottom"/>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68">
              <w:r>
                <w:rPr>
                  <w:rFonts w:ascii="Times New Roman" w:cs="Times New Roman" w:eastAsia="Times New Roman" w:hAnsi="Times New Roman"/>
                  <w:sz w:val="18"/>
                  <w:szCs w:val="18"/>
                  <w:color w:val="0000EE"/>
                  <w:w w:val="97"/>
                </w:rPr>
                <w:t>RISK FACTORS</w:t>
              </w:r>
            </w:hyperlink>
          </w:p>
        </w:tc>
        <w:tc>
          <w:tcPr>
            <w:tcW w:w="3180" w:type="dxa"/>
            <w:vAlign w:val="bottom"/>
            <w:gridSpan w:val="13"/>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440" w:type="dxa"/>
            <w:vAlign w:val="bottom"/>
            <w:gridSpan w:val="16"/>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USE OF PROCEEDS</w:t>
              </w:r>
            </w:hyperlink>
          </w:p>
        </w:tc>
        <w:tc>
          <w:tcPr>
            <w:tcW w:w="69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16"/>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RATIO OF EARNINGS TO FIXED CHARGES</w:t>
              </w:r>
            </w:hyperlink>
          </w:p>
        </w:tc>
        <w:tc>
          <w:tcPr>
            <w:tcW w:w="69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DILUTION</w:t>
              </w:r>
            </w:hyperlink>
          </w:p>
        </w:tc>
        <w:tc>
          <w:tcPr>
            <w:tcW w:w="940" w:type="dxa"/>
            <w:vAlign w:val="bottom"/>
            <w:gridSpan w:val="3"/>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DESCRIPTION OF OUR ORDINARY SHARES</w:t>
              </w:r>
            </w:hyperlink>
          </w:p>
        </w:tc>
        <w:tc>
          <w:tcPr>
            <w:tcW w:w="840" w:type="dxa"/>
            <w:vAlign w:val="bottom"/>
            <w:gridSpan w:val="2"/>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4440" w:type="dxa"/>
            <w:vAlign w:val="bottom"/>
            <w:gridSpan w:val="16"/>
          </w:tcPr>
          <w:p>
            <w:pPr>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DESCRIPTION OF THE WARRANT</w:t>
              </w:r>
            </w:hyperlink>
          </w:p>
        </w:tc>
        <w:tc>
          <w:tcPr>
            <w:tcW w:w="69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16"/>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CERTAIN IRISH TAX CONSIDERATIONS</w:t>
              </w:r>
            </w:hyperlink>
          </w:p>
        </w:tc>
        <w:tc>
          <w:tcPr>
            <w:tcW w:w="69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16"/>
          </w:tcPr>
          <w:p>
            <w:pPr>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CERTAIN SWISS TAX CONSIDERATIONS</w:t>
              </w:r>
            </w:hyperlink>
          </w:p>
        </w:tc>
        <w:tc>
          <w:tcPr>
            <w:tcW w:w="69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PLAN OF DISTRIBUTION</w:t>
              </w:r>
            </w:hyperlink>
          </w:p>
        </w:tc>
        <w:tc>
          <w:tcPr>
            <w:tcW w:w="1260" w:type="dxa"/>
            <w:vAlign w:val="bottom"/>
            <w:tcBorders>
              <w:top w:val="single" w:sz="8" w:color="0000EE"/>
            </w:tcBorders>
            <w:gridSpan w:val="6"/>
          </w:tcPr>
          <w:p>
            <w:pPr>
              <w:spacing w:after="0"/>
              <w:rPr>
                <w:sz w:val="17"/>
                <w:szCs w:val="17"/>
                <w:color w:val="auto"/>
              </w:rPr>
            </w:pPr>
          </w:p>
        </w:tc>
        <w:tc>
          <w:tcPr>
            <w:tcW w:w="1120" w:type="dxa"/>
            <w:vAlign w:val="bottom"/>
            <w:gridSpan w:val="4"/>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4440" w:type="dxa"/>
            <w:vAlign w:val="bottom"/>
            <w:gridSpan w:val="16"/>
          </w:tcPr>
          <w:p>
            <w:pPr>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LEGAL MATTERS</w:t>
              </w:r>
            </w:hyperlink>
          </w:p>
        </w:tc>
        <w:tc>
          <w:tcPr>
            <w:tcW w:w="69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98">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3"/>
          </w:tcPr>
          <w:p>
            <w:pPr>
              <w:spacing w:after="0"/>
              <w:rPr>
                <w:sz w:val="17"/>
                <w:szCs w:val="17"/>
                <w:color w:val="auto"/>
              </w:rPr>
            </w:pPr>
          </w:p>
        </w:tc>
        <w:tc>
          <w:tcPr>
            <w:tcW w:w="2980" w:type="dxa"/>
            <w:vAlign w:val="bottom"/>
            <w:gridSpan w:val="12"/>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This prospectus relates to the offering of our ordinary shares issuable upon the exercise of an outstanding Warrant. Before buying any of the ordinary shares that we are offering, we urge you to carefully read this prospectus, together with the information incorporated by reference as described under the heading “Where You Can Find More Information” in this prospectus. These documents contain important information that you should consider when making your investment decision.</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prospectus describes the specific terms of the ordinary shares issuable upon exercise of the above-referenced Warrant and also adds to, and updates information contained in the documents incorporated by reference into this prospectus. If there is any inconsistency between the information in this prospectus, on the one hand, and the information in any document incorporated by reference into this prospectus that was filed with the Securities and Exchange Commission, or SEC, before the date of this prospectus, on the other hand, you must rely on the information in this prospectus. If any statement in one of these documents is inconsistent with a statement in another document having a later date—for example, a document incorporated by reference into this prospectus—the statement in the document having the later date modifies or supersedes the earlier statement.</w:t>
      </w:r>
    </w:p>
    <w:p>
      <w:pPr>
        <w:spacing w:after="0" w:line="18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in or provided in this prospectus and in any free writing prospectus that we may authorize for use in connection with this offering. We have not authorized anyone else to provide you with different information. We have not authorized anyone else to provide you with different information. We are not making an offer to sell in any jurisdiction in which the offer is not permitted. You should not assume that the information in this prospectus, any document incorporated by reference in this prospectus, and in any free writing prospectus that we may authorize for use in connection with this offering, is accurate as of any date other than the dates of those documents.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455" w:right="2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1531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right="180" w:firstLine="443"/>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It does not contain all of the information that you should consider before making an investment decision. We urge you to read the entire prospectus and the documents incorporated by reference in this prospectus carefully, including the historical financial statements and notes to those financial statements incorporated by reference in this prospectus. Please read “Risk Factors” and “Forward-Looking Statements” in this prospectus and “Risk Factors” in our Annual Report on Form 10-K for the year ended December 31, 2016 and similar sections in any subsequent Exchange Act reports that we incorporate by reference in this prospectus for more information about important risks that you should consider before investing in the ordinary shares.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200" w:right="300" w:firstLine="443"/>
        <w:spacing w:after="0" w:line="258" w:lineRule="auto"/>
        <w:rPr>
          <w:sz w:val="20"/>
          <w:szCs w:val="20"/>
          <w:color w:val="auto"/>
        </w:rPr>
      </w:pPr>
      <w:r>
        <w:rPr>
          <w:rFonts w:ascii="Times New Roman" w:cs="Times New Roman" w:eastAsia="Times New Roman" w:hAnsi="Times New Roman"/>
          <w:sz w:val="18"/>
          <w:szCs w:val="18"/>
          <w:color w:val="auto"/>
        </w:rPr>
        <w:t>Weatherford International plc, an Irish public limited company, together with its subsidiaries as the context requires (“Weatherford,” the “Company,” “we,” “us” and “our”), is a multinational oilfield service company and is one of the world’s leading providers of equipment and services used in the drilling, evaluation, completion, production and intervention of oil and natural gas wells. Many of our businesses, including those of our predecessor companies, have been operating for more than 50 years. We conduct operations in approximately 90 countries and have service and sales locations in nearly all of the oil and natural gas producing regions in the world.</w:t>
      </w:r>
    </w:p>
    <w:p>
      <w:pPr>
        <w:spacing w:after="0" w:line="184" w:lineRule="exact"/>
        <w:rPr>
          <w:sz w:val="20"/>
          <w:szCs w:val="20"/>
          <w:color w:val="auto"/>
        </w:rPr>
      </w:pPr>
    </w:p>
    <w:p>
      <w:pPr>
        <w:ind w:left="200" w:firstLine="443"/>
        <w:spacing w:after="0" w:line="266" w:lineRule="auto"/>
        <w:rPr>
          <w:sz w:val="20"/>
          <w:szCs w:val="20"/>
          <w:color w:val="auto"/>
        </w:rPr>
      </w:pPr>
      <w:r>
        <w:rPr>
          <w:rFonts w:ascii="Times New Roman" w:cs="Times New Roman" w:eastAsia="Times New Roman" w:hAnsi="Times New Roman"/>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Our headquarters are located at Weststrasse 1, 6340 Baar, Switzerland and our telephone number at that location is +41.22.816.1500. We are incorporated in Ireland; however, we are a Swiss tax resident. Our internet address is www.weatherford.com. General information about us, including our corporate governance policies, code of business conduct and charters for the committees of our Board of Directors, can be found on our web site under the “Investor Relations” section. Except for information specifically incorporated by reference into this prospectus that may be accessed from our website, the information on, or otherwise accessible through, our website or any other website does not constitute a part of this prospectus.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200" w:right="100" w:firstLine="443"/>
        <w:spacing w:after="0" w:line="261" w:lineRule="auto"/>
        <w:rPr>
          <w:sz w:val="20"/>
          <w:szCs w:val="20"/>
          <w:color w:val="auto"/>
        </w:rPr>
      </w:pPr>
      <w:r>
        <w:rPr>
          <w:rFonts w:ascii="Times New Roman" w:cs="Times New Roman" w:eastAsia="Times New Roman" w:hAnsi="Times New Roman"/>
          <w:sz w:val="18"/>
          <w:szCs w:val="18"/>
          <w:color w:val="auto"/>
        </w:rPr>
        <w:t>This offering involves the offer and sale by us of 84,500,000 ordinary shares issuable upon the exercise of a warrant that is exercisable at an exercise price of $6.43 per ordinary share and that was originally issued by us on November 21, 2016. The warrant is exercisable at any time on or prior to May 21, 2019. Upon exercise of the warrant, the holder of the warrant would pay us the exercise price per ordinary share, or an aggregate of approximately $543,335,000.</w:t>
      </w:r>
    </w:p>
    <w:p>
      <w:pPr>
        <w:spacing w:after="0" w:line="180" w:lineRule="exact"/>
        <w:rPr>
          <w:sz w:val="20"/>
          <w:szCs w:val="20"/>
          <w:color w:val="auto"/>
        </w:rPr>
      </w:pPr>
    </w:p>
    <w:p>
      <w:pPr>
        <w:ind w:left="200" w:right="260" w:firstLine="443"/>
        <w:spacing w:after="0" w:line="256" w:lineRule="auto"/>
        <w:rPr>
          <w:sz w:val="20"/>
          <w:szCs w:val="20"/>
          <w:color w:val="auto"/>
        </w:rPr>
      </w:pPr>
      <w:r>
        <w:rPr>
          <w:rFonts w:ascii="Times New Roman" w:cs="Times New Roman" w:eastAsia="Times New Roman" w:hAnsi="Times New Roman"/>
          <w:sz w:val="18"/>
          <w:szCs w:val="18"/>
          <w:color w:val="auto"/>
        </w:rPr>
        <w:t>Assuming the exercise of the Warrant, the number of ordinary shares to be outstanding after this offering is 1,070,247,811, which is based on 985,747,811 ordinary shares outstanding as of April 15, 2017, and excludes: (i) 598,400 ordinary shares issuable upon the exercise of outstanding and vested stock options as of April 15, 2017, at a weighted average exercise price of $12.59 per ordinary share; (ii) 12,414,731 ordinary shares subject to restricted share units vesting requirements as of April 15, 2017, at a weighted average grant date fair value of $8.15; (iii) 2,871,000 ordinary shares subject to performance units vesting requirements as of April 15, 2017, at a weighted average grant date fair value of $6.26; and 20,130,062 ordinary shares reserved as of April 15, 2017, for future issuance under equity incentive plans.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240" w:top="455" w:right="39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21050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6465" cy="21050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200" w:firstLine="443"/>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if any, for general corporate purposes, including the repayment of debt. See “Use of Proceeds” on page 12 of this prospectus.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200" w:right="200" w:firstLine="443"/>
        <w:spacing w:after="0" w:line="282" w:lineRule="auto"/>
        <w:rPr>
          <w:sz w:val="20"/>
          <w:szCs w:val="20"/>
          <w:color w:val="auto"/>
        </w:rPr>
      </w:pPr>
      <w:r>
        <w:rPr>
          <w:rFonts w:ascii="Times New Roman" w:cs="Times New Roman" w:eastAsia="Times New Roman" w:hAnsi="Times New Roman"/>
          <w:sz w:val="18"/>
          <w:szCs w:val="18"/>
          <w:color w:val="auto"/>
        </w:rPr>
        <w:t>You should carefully read and consider the information beginning on page 7 of this prospectus set forth under the heading “Risk Factors” and all other information set forth in this prospectus before deciding to invest in our ordinary shares.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Trading Symbol</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ordinary shares are listed on the NYSE under the symbol “WFT.”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60"/>
          </w:cols>
          <w:pgMar w:left="240" w:top="455" w:right="3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 (other than information furnished rather than filed and corresponding information furnished under Item 9.01 of Form 8-K or included as an exhibit thereto):</w:t>
      </w:r>
    </w:p>
    <w:p>
      <w:pPr>
        <w:spacing w:after="0" w:line="89" w:lineRule="exact"/>
        <w:rPr>
          <w:sz w:val="20"/>
          <w:szCs w:val="20"/>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Ireland’s Annual Report on Form 10-K for the fiscal year ended December 31, 2016, as filed with the SEC on February 15, 2017;</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Definitive Proxy Statement on Schedule 14A filed on April 25, 2017;</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March 31, 2017, as filed with the SEC on April 28, 2017;</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Ireland’s Current Reports on Form 8-K or Form 8-K/A, as filed with the SEC on March 10, 2017, March 24, 2017 and April 17, 2017; and</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Weatherford Ireland’s Ordinary Shares contained in Item 8.01 of Weatherford Ireland’s Current Report on Form 8-K, as filed with the SEC on June 17, 2014.</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 We are also incorporating by reference all additional documents we may file with the SEC under Sections 13(a), 13(c), 14 or 15(d) of the Securities Exchange Act of 1934, as amended, after the date hereof and prior to the effectiveness of the registration statement of which this prospectus forms a part.</w:t>
      </w:r>
    </w:p>
    <w:p>
      <w:pPr>
        <w:spacing w:after="0" w:line="184"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Weatherford International Ltd.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2000 St. James Place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5580" w:hanging="428"/>
        <w:spacing w:after="0"/>
        <w:tabs>
          <w:tab w:leader="none" w:pos="5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836-4000</w:t>
      </w:r>
    </w:p>
    <w:p>
      <w:pPr>
        <w:spacing w:after="0" w:line="139" w:lineRule="exact"/>
        <w:rPr>
          <w:rFonts w:ascii="Times New Roman" w:cs="Times New Roman" w:eastAsia="Times New Roman" w:hAnsi="Times New Roman"/>
          <w:sz w:val="18"/>
          <w:szCs w:val="18"/>
          <w:color w:val="auto"/>
        </w:rPr>
      </w:pPr>
    </w:p>
    <w:p>
      <w:pPr>
        <w:ind w:left="5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This prospectus includes may include, various statements relating to future financial performance and results, including certain projections, business trends and other statements that are not historical facts. These statements constitute “Forward-Looking Statements,” and are generally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95"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volatility of oil, natural gas and natural gas liquids;</w:t>
      </w:r>
    </w:p>
    <w:p>
      <w:pPr>
        <w:spacing w:after="0" w:line="130" w:lineRule="exact"/>
        <w:rPr>
          <w:rFonts w:ascii="Times New Roman" w:cs="Times New Roman" w:eastAsia="Times New Roman" w:hAnsi="Times New Roman"/>
          <w:sz w:val="18"/>
          <w:szCs w:val="18"/>
          <w:color w:val="auto"/>
        </w:rPr>
      </w:pPr>
    </w:p>
    <w:p>
      <w:pPr>
        <w:ind w:left="900" w:right="560" w:hanging="325"/>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nonrealization of expected benefits from our acquisitions or business dispositions and our ability to execute such acquisitions and dispositions;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 level of indebtedness;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availability of our raw materials;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goodwill, intangible assets or other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effective tax rate;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nonrealization of potential earnouts associated with business dispositions;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downturns in our industry which could further affect the carrying value of our goodwill;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the Petroleum Exporting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benefits from our redomestication from Switzerland to Ireland and to maintain our Swiss tax residency;</w:t>
      </w:r>
    </w:p>
    <w:p>
      <w:pPr>
        <w:spacing w:after="0" w:line="130"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environmental and tax and accounting laws, rules and regulations; and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455" w:right="2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capital, significantly higher cost of capital, or difficulty raising additional funds in the equity or debt capital markets.</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1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240" w:top="455" w:right="4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ordinary shares involves a high degree of risk. Before deciding whether to purchase our ordinary shares, you should carefully consider the risks and uncertainties described below as well as those described under “Risk Factors” in our Form 10-K, together with all of the other information included in, or incorporated by reference into, this prospectus. See “Where You Can Find More Information.”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Ordinary Shares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price of our ordinary shares may be volatile.</w:t>
      </w:r>
    </w:p>
    <w:p>
      <w:pPr>
        <w:spacing w:after="0" w:line="11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trading price of our ordinary shares has historically fluctuated significantly. For example, since the beginning of 2014, the high closing price per ordinary share on the NYSE was $24.06; in 2016, the low closing price per share was $3.73; and on May 1, 2017, the last reported sale price of our ordinary shares on the NYSE was $5.47 per share. The price of our ordinary shares could be subject to wide fluctuations in the future in response to many events or factors, including those discussed in this risk factors section, as well as:</w:t>
      </w:r>
    </w:p>
    <w:p>
      <w:pPr>
        <w:spacing w:after="0" w:line="86" w:lineRule="exact"/>
        <w:rPr>
          <w:sz w:val="20"/>
          <w:szCs w:val="20"/>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operating results;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oil and natural gas;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industry and market conditions;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future financial performance or buy/sell recommendations of securities analysts;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strategic alliances or joint ventures involving us or our competitors;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our current stockholders, including sales of ordinary shares by our directors and executive officers;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arrival or departure of key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foreign countries or both;</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 competitor’s, announcement of new products, services or innovations;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General market conditions and domestic or international macroeconomic factors unrelated to our performance may also affect the price of our ordinary shares. For these reasons, investors should not rely on recent trends to predict future prices of our ordinary shares or financial results.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issuances of equity or equity-linked securities by us may cause the market price of ordinary shares to fall.</w:t>
      </w:r>
    </w:p>
    <w:p>
      <w:pPr>
        <w:spacing w:after="0" w:line="119" w:lineRule="exact"/>
        <w:rPr>
          <w:sz w:val="20"/>
          <w:szCs w:val="20"/>
          <w:color w:val="auto"/>
        </w:rPr>
      </w:pPr>
    </w:p>
    <w:p>
      <w:pPr>
        <w:ind w:right="300" w:firstLine="456"/>
        <w:spacing w:after="0" w:line="255" w:lineRule="auto"/>
        <w:rPr>
          <w:sz w:val="20"/>
          <w:szCs w:val="20"/>
          <w:color w:val="auto"/>
        </w:rPr>
      </w:pPr>
      <w:r>
        <w:rPr>
          <w:rFonts w:ascii="Times New Roman" w:cs="Times New Roman" w:eastAsia="Times New Roman" w:hAnsi="Times New Roman"/>
          <w:sz w:val="18"/>
          <w:szCs w:val="18"/>
          <w:color w:val="auto"/>
        </w:rPr>
        <w:t>As of April 15, 2017, we had 985,747,811 ordinary shares issued and outstanding. As of April 15, 2017, 598,400 ordinary shares were reserved for issuance upon exercise of stock options (of which none were exercisable), 12,414,731 ordinary shares were reserved for issuance upon the vesting of restricted stock units and 2,871,000 ordinary shares were authorized for issuance upon the vesting of performance share units. As of April 15, 2017, 163,394,484 were reserved for issuance upon the exchange of Weatherford International Ltd.’s, a Bermuda exempted company and our wholly owned, indirect subsidiary, 5.875% Exchangeable Senior Notes due 2021 for ordinary shares. The issuance of the ordinary shares offered hereby and the sale of additional shares that may become eligible for sale in the public market from time to time, could have the effect of depressing the market price for our ordinary shares.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455" w:right="2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holding company structure may impact our ability to service debt.</w:t>
      </w:r>
    </w:p>
    <w:p>
      <w:pPr>
        <w:spacing w:after="0" w:line="11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We are a holding company with no material assets other than the capital stock of our subsidiaries. As a result, our ability to repay our indebtedness is dependent on the generation of cash flow by our subsidiaries and their ability to make such cash available to us, by dividend, loan, debt repayment or otherwise. Our subsidiaries do not have any obligation to make funds available to us to repay our indebtedness. Dividends from subsidiaries that are not wholly owned are shared with other equity owners. In addition, cash at our international operations is also subject to foreign withholding taxes upon repatriation.</w:t>
      </w:r>
    </w:p>
    <w:p>
      <w:pPr>
        <w:spacing w:after="0" w:line="184"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In addition, our subsidiaries may not be able to, or be permitted to, make distributions to enable us to repay our indebtedness. Each of our subsidiaries is a distinct legal entity and, under certain circumstances, legal restrictions, as well as the financial condition and 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Irish law differs from the laws in effect in the United States and may afford less protection to holders of ordinary shares.</w:t>
      </w:r>
    </w:p>
    <w:p>
      <w:pPr>
        <w:spacing w:after="0" w:line="11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It may not be possible to enforce court judgments obtained in the United States against Weatherford in Ireland based on the civil liability provisions of the U.S. federal or state securities laws. In addition, there is some uncertainty as to whether the courts of Ireland would recognize or enforce judgments of U.S. courts obtained against Weatherford or its directors or officers based on the civil liabilities provisions of the U.S. federal or state securities laws or hear actions against Weatherford or those persons based on those laws. Weatherford has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an Irish company, Weatherford International plc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ordinary shares may have more difficulty protecting their interests than would holders of securities of a corporation incorporated in a jurisdiction of the United States.</w:t>
      </w:r>
    </w:p>
    <w:p>
      <w:pPr>
        <w:spacing w:after="0" w:line="294"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Weatherford International plc has never declared or paid cash dividends on its share capital and it does not expect to pay any cash dividends in the near future.</w:t>
      </w:r>
    </w:p>
    <w:p>
      <w:pPr>
        <w:spacing w:after="0" w:line="52"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Weatherford International plc has never declared or paid cash dividends on its share capital and does not expect to pay any cash dividends in the near future. If Weatherford International plc proposes to pay dividends in the future, it must do so in accordance with Irish law, which provides that distributions including dividend payments, share repurchases and redemptions be funded from “distributable reserves.” See “Description of Our Ordinary Shares— Dividends.” Any future determination as to the payment of dividends will, subject to Irish legal requirements, be at the sole discretion of Weatherford International plc’s board of directors and will depend on Weatherford International plc’s consolidated financial condition, results of operations, capital requirements, compliance with existing and future borrowing arrangements, and other factors Weatherford International plc’s board of directors deems relevant. Accordingly, holders of ordinary shares must rely on increases in the trading price of their shares for returns on their investment in the foreseeable future.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455" w:right="2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transfer of ordinary shares may be subject to Irish stamp duty.</w:t>
      </w:r>
    </w:p>
    <w:p>
      <w:pPr>
        <w:spacing w:after="0" w:line="119"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Weatherford International plc’s ordinary shares are traded on a recognized stock exchange in the United States, an exemption from this stamp duty is available to transfers by shareholders who hold ordinary shares beneficially through brokers which in turn hold those shares through the Depository Trust Company (“DTC”) to holders who also hold through DTC. However, a transfer by or to a record holder who holds ordinary shares directly in his, her or its own name could be subject to this stamp duty.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transfer of ordinary shares may be subject to Swiss transfer stamp duty.</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certain circumstances, the transfer of shares in an Irish incorporated, but Swiss tax resident company, will be subject to Swiss transfer stamp duty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 If a purchase or sale is not entered into through or with a Swiss bank or other Swiss securities dealer, as defined in the Swiss Federal Stamp Duty Act, then no Swiss transfer stamp duty will be due.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paid by Weatherford International plc may be subject to Swiss dividend withholding tax.</w:t>
      </w:r>
    </w:p>
    <w:p>
      <w:pPr>
        <w:spacing w:after="0" w:line="119" w:lineRule="exact"/>
        <w:rPr>
          <w:sz w:val="20"/>
          <w:szCs w:val="20"/>
          <w:color w:val="auto"/>
        </w:rPr>
      </w:pPr>
    </w:p>
    <w:p>
      <w:pPr>
        <w:jc w:val="both"/>
        <w:ind w:right="320" w:firstLine="456"/>
        <w:spacing w:after="0" w:line="266" w:lineRule="auto"/>
        <w:rPr>
          <w:sz w:val="20"/>
          <w:szCs w:val="20"/>
          <w:color w:val="auto"/>
        </w:rPr>
      </w:pPr>
      <w:r>
        <w:rPr>
          <w:rFonts w:ascii="Times New Roman" w:cs="Times New Roman" w:eastAsia="Times New Roman" w:hAnsi="Times New Roman"/>
          <w:sz w:val="18"/>
          <w:szCs w:val="18"/>
          <w:color w:val="auto"/>
        </w:rPr>
        <w:t>In certain circumstances, as a Swiss tax resident company, Weatherford International plc will be required to deduct Swiss dividend withholding tax (currently at the rate of 35%) from dividends (including deemed dividends) and similar distributions paid to Weatherford International plc’s shareholders. Such Swiss withholding tax is due regardless of the place of residency of the shareholder.</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Shareholders that are resident in the United States, EU countries and other countries with which Switzerland has signed a tax treaty may be entitled to a partial or full refund of the Swiss withholding tax. Swiss withholding tax could adversely affect the price of ordinary shares.</w:t>
      </w:r>
    </w:p>
    <w:p>
      <w:pPr>
        <w:spacing w:after="0" w:line="2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Ownership, or deemed ownership, of 10% or more of Weatherford Ireland’s shares, or certain of its subsidiaries’ shares, by one or more U.S. persons could cause us to be subject to a substantial amount of additional U.S. federal income tax under the controlled foreign corporation (“CFC”) rules and may cause U.S. persons that own, or are deemed to own, 10% or more of our shares, or certain of our subsidiaries’ shares, to be subject to additional U.S. federal income taxation.</w:t>
      </w:r>
    </w:p>
    <w:p>
      <w:pPr>
        <w:spacing w:after="0" w:line="74"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Currently, certain of our non-U.S. subsidiary corporations are not considered CFCs because they are less than 50% owned by our U.S. group of subsidiaries and other 10% or greater U.S. shareholders. However, there is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risk that if a U.S. shareholder holds 10% or more of the shares of Weatherford Ireland or one of these non-U.S. subsidiary corporations, directly, indirectly, constructively or by attribution, (such shareholder a “10% U.S. Shareholder”) we or some of our subsidiaries could be classified as CFCs for U.S. federal income tax purposes. For purposes of determining CFC status, holders of options (including warrants and exchangeable debt) should, generally, be treated as owning the number of shares into which such options can be exchanged and such shares would be aggregated with other shares held by such holder directly, indirectly, constructively or by attribution for purposes of determining whether such holder was a 10% U.S. Shareholder. If one or more of our subsidiaries is classified as a CFC, we (and any 10% U.S. Shareholders) may be subject to U.S. income taxation at ordinary income tax rates on all or a portion of the CFC’s undistributed earnings and profits attributable to “subpart F income.” The amount of this additional tax could be substantial. The CFC rules, including the rules for determining direct, indirect or constructive ownership of our shares and our subsidiaries’ shares, are complex and U.S. persons, including individuals and entities, that hold, or are deemed to hold, our shares, warrants or exchangeable debt are urged to consult their tax advisors regarding the possible application of the CFC rules and income inclusion rules to them in their particular circumstances.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prohibited from fully using our U.S. net operating loss carryforwards, which could affect our financial performance.</w:t>
      </w:r>
    </w:p>
    <w:p>
      <w:pPr>
        <w:spacing w:after="0" w:line="119"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As a result of the recent losses we have incurred in the United States, we have not recorded a federal income tax provision and have recorded a valuation allowance against all future tax benefits of our U.S. net operating loss carryforwards. As of December 31, 2016, we had gross net operating loss (“NOL”) and research tax credit carryforwards of approximately $1.6 billion and $30 million, respectively for federal income tax purposes, expiring in varying amounts through the year 2036. Under Section 382 of the Internal Revenue Code of 1986, as amended, if a corporation undergoes an “ownership change,” generally defined as a greater than 50% change (by value) in its equity ownership over a three year period, the corporation’s ability to use its pre-change NOL carryforwards and other pre-change tax attributes (such as research tax credits) to offset its post-change income may be limited. As of December 31, 2016, we have not experienced an ownership change. Therefore our utilization of NOL carryforwards were not subject to an annual limitation. However, we may experience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There is no public trading market for the Warrant to purchase ordinary shares in this offering.</w:t>
      </w:r>
    </w:p>
    <w:p>
      <w:pPr>
        <w:spacing w:after="0" w:line="11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 being sold in this offering, and we do not expect such a market to develop. This may negatively affect the market value of the Warrant and your ability to transfer or sell your shares. In addition, we do not intend to apply to list the Warrant on any securities exchange or other nationally recognized trading system. Without an active market, the liquidity of the Warrant will be limited.</w:t>
      </w:r>
    </w:p>
    <w:p>
      <w:pPr>
        <w:spacing w:after="0" w:line="282"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The market price of our ordinary shares, which has been volatile and may continue to be volatile, may adversely affect the value of the Warrant sold in this offering and you may not be able to recover the value of your investment.</w:t>
      </w:r>
    </w:p>
    <w:p>
      <w:pPr>
        <w:spacing w:after="0" w:line="52" w:lineRule="exact"/>
        <w:rPr>
          <w:sz w:val="20"/>
          <w:szCs w:val="20"/>
          <w:color w:val="auto"/>
        </w:rPr>
      </w:pPr>
    </w:p>
    <w:p>
      <w:pPr>
        <w:jc w:val="both"/>
        <w:ind w:right="480" w:firstLine="456"/>
        <w:spacing w:after="0" w:line="266" w:lineRule="auto"/>
        <w:rPr>
          <w:sz w:val="20"/>
          <w:szCs w:val="20"/>
          <w:color w:val="auto"/>
        </w:rPr>
      </w:pPr>
      <w:r>
        <w:rPr>
          <w:rFonts w:ascii="Times New Roman" w:cs="Times New Roman" w:eastAsia="Times New Roman" w:hAnsi="Times New Roman"/>
          <w:sz w:val="18"/>
          <w:szCs w:val="18"/>
          <w:color w:val="auto"/>
        </w:rPr>
        <w:t>The market price of our ordinary shares, which has been volatile and may continue to be volatile, will affect the value of the Warrant sold in this offering. The market price of our ordinary shares will likely fluctuate in response to a number of factors including our financial condition and operating results, as well as economic,</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financial and other factors, many of which are beyond our control. For more information regarding such factors, see “—Risk Factors Relating to Our Ordinary Shares—The price of our ordinary shares may be volatile.” In order for you to recover the value of your investment in the Warrant, the market price of our ordinary shares must increase from the price in effect on the date of this prospectus. However, there can be no assurance that the market price of our ordinary shares will exceed the price required for you to achieve a positive return on your investment upon a Warrant exercise date.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fully redeem the holder of the Warrant if we experience a Fundamental Transaction.</w:t>
      </w:r>
    </w:p>
    <w:p>
      <w:pPr>
        <w:spacing w:after="0" w:line="11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holder of our Warrant may require us to redeem the Warrant if we experience a “Fundamental Transaction” (as defined in the Warrant), which includes but is not limited to a change of control, business combination, merger or sale of substantially all of the assets. There can be no assurance that in the event of a change of control we will be able to sufficiently compensate the holder of the Warrant for the impact the change of control has on the price of our ordinary shares. In addition, the Fundamental Transaction terms may delay a potential change of control even if such change may be beneficial to some or all our shareholders. These restrictions may also adversely affect the market price of our ordinary shares.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holder of the Warrant will have no rights as ordinary shareholders until they acquire our ordinary shares.</w:t>
      </w:r>
    </w:p>
    <w:p>
      <w:pPr>
        <w:spacing w:after="0" w:line="119"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Until you become a holder of record of our ordinary shares issued upon settlement of your Warrant, you will have no rights with respect to such ordinary shares, including rights to vote or rights to respond to tender offers. Upon exercise of your Warrant, you will be entitled to exercise the rights of a shareholder only as to matters for which the record date occurs on or after the date you become the holder of record of such ordinary shares.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Warrant included in this offering may not have any value.</w:t>
      </w:r>
    </w:p>
    <w:p>
      <w:pPr>
        <w:spacing w:after="0" w:line="11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Warrant has an exercise price of $6.43 per share. In the event the price of our ordinary shares does not exceed the exercise price of the Warrant on its exercise date, the Warrant may not have any value. If the Warrant is not exercised upon the expiration date, it will expire unexercised and you will not receive any of our ordinary shares.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purchasers in this offering may experience future dilution.</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ordinary shares or other securities convertible into, or exchangeable for, our ordinary shares at prices that may not be the same as the price per ordinary share in this offering. We have an effective shelf registration statement from which additional ordinary shares and other securities can be offered. We cannot assure you that we will be able to sell ordinary shares or other securities in any other offering at a price per share that is equal to or greater than the price per ordinary share paid by investors in this offering. If the price per ordinary share at which we sell additional ordinary shares or related securities in future transactions is less than the price per ordinary share in this offering, investors who purchase our ordinary shares in this offering will suffer a dilution of their investment. You will incur dilution upon vesting of any outstanding restricted share awards, restricted share units or performance units or upon exercise of any outstanding stock options.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currently intend to use the net proceeds from this offering, if any, for general corporate purposes, including the repayment of debt.</w:t>
      </w:r>
    </w:p>
    <w:p>
      <w:pPr>
        <w:spacing w:after="0" w:line="1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219"/>
          </w:cols>
          <w:pgMar w:left="240" w:top="455" w:right="1440"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20" w:type="dxa"/>
            <w:vAlign w:val="bottom"/>
            <w:gridSpan w:val="6"/>
            <w:vMerge w:val="restart"/>
          </w:tcPr>
          <w:p>
            <w:pPr>
              <w:jc w:val="center"/>
              <w:ind w:right="3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760" w:type="dxa"/>
            <w:vAlign w:val="bottom"/>
          </w:tcPr>
          <w:p>
            <w:pPr>
              <w:spacing w:after="0"/>
              <w:rPr>
                <w:sz w:val="13"/>
                <w:szCs w:val="13"/>
                <w:color w:val="auto"/>
              </w:rPr>
            </w:pPr>
          </w:p>
        </w:tc>
        <w:tc>
          <w:tcPr>
            <w:tcW w:w="11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760" w:type="dxa"/>
            <w:vAlign w:val="bottom"/>
          </w:tcPr>
          <w:p>
            <w:pPr>
              <w:spacing w:after="0"/>
              <w:rPr>
                <w:sz w:val="10"/>
                <w:szCs w:val="10"/>
                <w:color w:val="auto"/>
              </w:rPr>
            </w:pPr>
          </w:p>
        </w:tc>
        <w:tc>
          <w:tcPr>
            <w:tcW w:w="11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4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420" w:type="dxa"/>
            <w:vAlign w:val="bottom"/>
          </w:tcPr>
          <w:p>
            <w:pPr>
              <w:spacing w:after="0"/>
              <w:rPr>
                <w:sz w:val="10"/>
                <w:szCs w:val="10"/>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4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42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7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91"/>
              </w:rPr>
              <w:t>(1)</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91"/>
              </w:rPr>
              <w:t>(1)</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91"/>
              </w:rPr>
              <w:t>(1)</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91"/>
              </w:rPr>
              <w:t>(1)</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right="220" w:hanging="452"/>
        <w:spacing w:after="0" w:line="282"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2017 and the years ended December 31, 2016, 2015, 2014, 2013 and 2012, earnings before fixed charges were inadequate to cover fixed charges by $409 million, $2.9 billion, $2.1 billion, $266 million, $211 million and $349 million, respectively.</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Investors that acquire additional ordinary shares through the exercise of the Warrant offered hereby may experience additional dilution depending on our net tangible book value at the time of exercise. Net tangible book value per ordinary share represents our total tangible assets (which excludes goodwill and other intangible assets), less our total liabilities, divided by the aggregate number of ordinary shares outstanding. If you invest in this offering, your ownership interest will be diluted to the extent of the difference between the public offering price per share and the as adjusted net tangible book value per share after giving effect to this offering. Dilution represents the difference between the portion of the amount per share paid by purchasers of ordinary shares in this offering and the as adjusted net tangible book value per ordinary share immediately after giving effect to this offering. Our net tangible book value as of March 31, 2017 was approximately $(911) million, or approximately $(0.92) per ordinary share.</w:t>
      </w:r>
    </w:p>
    <w:p>
      <w:pPr>
        <w:spacing w:after="0" w:line="18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After giving effect to the sale of 84,500,000 ordinary shares to investors exercising the Warrant for cash at $6.43 per ordinary share, our net tangible book value as of March 31, 2017 would have been $(368) million, or $(0.34) per ordinary share. This represents an immediate increase in the net tangible book value of $0.58 per ordinary share to our existing shareholders and an immediate dilution in net tangible book value of $(0.34) per ordinary share to investors exercising the Warrant for cash at $6.43 per ordinary share.</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assumes for illustrative purposes that the Warrant in this offering is exercised for cash at an exercise price of $6.43 per ordinary share. The following table illustrates this per ordinary share dilution: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of ordinary share warrant</w:t>
            </w:r>
          </w:p>
        </w:tc>
        <w:tc>
          <w:tcPr>
            <w:tcW w:w="1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$6.43</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March 31, 2017</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$(0.92)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exercise of the ordinary share warrant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$0.58</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5"/>
        </w:trPr>
        <w:tc>
          <w:tcPr>
            <w:tcW w:w="88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Adjusted net tangible book value per share as of March 31, 2017, after giving effect to the exercise of the ordinary</w:t>
            </w:r>
          </w:p>
        </w:tc>
        <w:tc>
          <w:tcPr>
            <w:tcW w:w="58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warrant</w:t>
            </w:r>
          </w:p>
        </w:tc>
        <w:tc>
          <w:tcPr>
            <w:tcW w:w="1040" w:type="dxa"/>
            <w:vAlign w:val="bottom"/>
            <w:gridSpan w:val="2"/>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ordinary share to holders exercising the ordinary share warrant</w:t>
            </w:r>
          </w:p>
        </w:tc>
        <w:tc>
          <w:tcPr>
            <w:tcW w:w="1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w:t>
            </w: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table above assumes for illustrative purposes that all 84,500,000 ordinary shares are sold in this offering upon the exercise of the Warrant for cash.</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above discussion and table are based on 985,747,811 ordinary shares issued and outstanding as of April 15, 2017 and exclude the following:</w:t>
      </w:r>
    </w:p>
    <w:p>
      <w:pPr>
        <w:spacing w:after="0" w:line="131" w:lineRule="exact"/>
        <w:rPr>
          <w:sz w:val="20"/>
          <w:szCs w:val="20"/>
          <w:color w:val="auto"/>
        </w:rPr>
      </w:pPr>
    </w:p>
    <w:p>
      <w:pPr>
        <w:ind w:left="900" w:right="80" w:hanging="325"/>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598,400 ordinary shares issuable upon the exercise of outstanding and vested stock options as of April 15, 2017, at a weighted average exercise price of $12.59 per ordinary share;</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12,414,731 ordinary shares subject to restricted share units vesting requirements as of April 15, 2017, at a weighted average grant date fair value of $8.15;</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2,871,000 ordinary shares subject to performance units vesting requirements as of April 15, 2017, at a weighted average grant date fair value of $6.26;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20,130,062 ordinary shares reserved as of April 15, 2017 for future issuance under equity incentive plans.</w:t>
      </w:r>
    </w:p>
    <w:p>
      <w:pPr>
        <w:spacing w:after="0" w:line="225"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To the extent that any of these options, restricted share awards, restricted share units or performance units are exercised or become vested, as applicable, these issuances will cause dilution to the investors purchasing ordinary shares in this offering.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20"/>
          </w:cols>
          <w:pgMar w:left="240" w:top="455"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ORDINARY SHARES</w:t>
      </w:r>
    </w:p>
    <w:p>
      <w:pPr>
        <w:spacing w:after="0" w:line="229"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The following description is a summary of our share capital. This summary does not purport to be complete and the statements in this summary are qualified in their entirety by reference to, and are subject to, the detailed provisions of the Irish Companies Act and our memorandum and articles of association, which is incorporated herein by reference. We encourage you to read those laws and documents carefully.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 Capital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April 15, 2017, our authorized share capital is €40,000 and $1,356,000 divided into 40,000 deferred ordinary shares with a nominal value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per share and 1,356,000,000 ordinary shares with a nominal value of $0.001 per share. The authorized share capital includes 40,000 deferred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with a nominal value of €1.00 per share in order to satisfy statutory requirements for the incorporation of all Irish public limited companies.</w:t>
      </w:r>
    </w:p>
    <w:p>
      <w:pPr>
        <w:spacing w:after="0" w:line="20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 have been authorized in our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our articles of association.</w:t>
      </w:r>
    </w:p>
    <w:p>
      <w:pPr>
        <w:spacing w:after="0" w:line="18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Irish law does not recognize fractional shares held of record. Accordingly, our articles of association do not provide for the issuance of fractional shares, and the official Irish register does not reflect any fractional shares.</w:t>
      </w:r>
    </w:p>
    <w:p>
      <w:pPr>
        <w:spacing w:after="0" w:line="1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Whenever an alteration or reorganization of our share capital would result in any shareholder becoming entitled to fractions of a share, our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our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Share Capital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April 15, 2017, our issued share capital is $985,748, comprised of 985,747,811 ordinary shares with a nominal value of $0.001 per share.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Preemption Rights, Share Warrants and Options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Under Irish law, certain statutory preemption rights apply automatically in favor of shareholders where shares are to be issued for cash. However, we opted out of these preemption rights in our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our shareholders at which a quorum is present. If the opt-out is not renewed, shares to be issued for cash must be offered to our existing shareholders on a pro rata basis to their existing shareholding before the shares may be issued to any new shareholders. Statutory preemption rights do not apply:</w:t>
      </w:r>
    </w:p>
    <w:p>
      <w:pPr>
        <w:spacing w:after="0" w:line="93" w:lineRule="exact"/>
        <w:rPr>
          <w:sz w:val="20"/>
          <w:szCs w:val="20"/>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shares are issued for non-cash consideration (such as in a stock-for-stock acquisition);</w:t>
      </w:r>
    </w:p>
    <w:p>
      <w:pPr>
        <w:spacing w:after="0" w:line="130" w:lineRule="exact"/>
        <w:rPr>
          <w:rFonts w:ascii="Times New Roman" w:cs="Times New Roman" w:eastAsia="Times New Roman" w:hAnsi="Times New Roman"/>
          <w:sz w:val="18"/>
          <w:szCs w:val="18"/>
          <w:color w:val="auto"/>
        </w:rPr>
      </w:pPr>
    </w:p>
    <w:p>
      <w:pPr>
        <w:ind w:left="900" w:right="800" w:hanging="325"/>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issue of non-equity shares (that is, shares that have the right to participate only up to a specified amount in any income or capital distribution);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shares are issued pursuant to employee equity compensation plans.</w:t>
      </w:r>
    </w:p>
    <w:p>
      <w:pPr>
        <w:spacing w:after="0" w:line="225"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Under Irish law, we are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articles of association provide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 provides that directors may issue share warrants or options without shareholder approval once authorized to do so by the articles of association or an ordinary resolution of shareholders. We are subject to the rules of the NYSE and the U.S. federal tax laws that require shareholder approval of certain equity plan and share issuances. Our board of directors may issue shares upon exercise of warrants or options without shareholder approval or authorization (up to the relevant maximum authorized share capital for the time being in effect).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our net assets are equal to, or in excess of, the aggregate of our paid-up share capital plus undistributable reserves and the distribution or dividend does not reduce our net assets below such aggregate.</w:t>
      </w:r>
    </w:p>
    <w:p>
      <w:pPr>
        <w:spacing w:after="0" w:line="184"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Undistributable reserves include the share premium account, the capital redemption reserve fund and the amount by which our accumulated unrealized profits, so far as not previously utilized by any capitalization, exceed our accumulated unrealized losses, so far as not previously written off in a reduction or reorganization of capital.</w:t>
      </w:r>
    </w:p>
    <w:p>
      <w:pPr>
        <w:spacing w:after="0" w:line="176"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determination as to whether or not we have sufficient distributable profits to fund a dividend must be made by reference to our “relevant entity financial statements.” The “relevant entity financial statements” will be either the last set of unconsolidated annual audited financial statements or “initial” or “interim” financial statements properly prepared in accordance with the Irish Companies Act, which give a “true and fair view” 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our unconsolidated financial position and accord with accepted accounting practice. The relevant entity financial statements are filed in the Companies Registration Office (the official public registry for companies in Ireland).</w:t>
      </w:r>
    </w:p>
    <w:p>
      <w:pPr>
        <w:spacing w:after="0" w:line="162"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Our articles of association authorize the board of directors to declare dividends without shareholder approval to the extent that the declaration of such dividends appears justified by profits. Our directors may also recommend a dividend to be approved and declared by the shareholders at an annual general meeting and may direct that the payment be made by distribution of assets, shares or cash. No dividend may exceed the amount recommended by our directors.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Dividends may be declared and paid in the form of cash, property, stock or other non-cash assets and may be paid in dollars or any other currency.</w:t>
      </w:r>
    </w:p>
    <w:p>
      <w:pPr>
        <w:spacing w:after="0" w:line="225"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Our directors may deduct from any dividend payable to any shareholder any amounts payable by such shareholder to us in relation to the ordinary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 Redemptions and Conversions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Our articles of association provide that, unless our directors determines otherwise, any ordinary share that we have agreed to acquire shall be automatically converted into a redeemable share. Accordingly, for purposes of Irish law, the repurchase of ordinary shares by Weatherford may technically be effected as a redemption.</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our articles of association did not contain such provision, all repurchases by us would be subject to many of the same rules that apply to purchases of our shares by subsidiaries described below under “—Purchases by Subsidiaries” including the shareholder approval requirements described below and the requirement that any on-market purchases be effected on a “recognized stock exchange.” Except where otherwise noted, references elsewhere in this prospectus to repurchasing or buying back our shares refer to the redemption of shares by Weatherford or the purchase of shares of Weatherford by a subsidiary of Weatherford, in each case in accordance with our memorandum and articles of association and Irish law as described below.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and Redemptions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Under Irish law, repurchased and redeemed shares may be cancelled or held as treasury shares. The aggregate nominal value of shares held in treasury at any time must not exceed 10% of the aggregate nominal value of our issued share capital. We may not exercise any voting rights in respect of any shares held as treasury shares. We may cancel treasury shares or re-issue them subject to certain conditions.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may also issue redeemable shares and redeem them out of distributable profits or the proceeds of a new issue of shares for that purpose. We may not repurchase any shares if as a result of such repurchase the nominal value of the issued share capital that is not redeemable would be less than 10% of the aggregate nominal value of our entire issued share capital. All redeemable shares must also be fully paid-up and the terms of redemption of the shares must provide for payment on redemption. We may also be given authority to purchase our own shares on-market on a recognized stock exchange such as the NYSE or off-market with such authority to be given by its shareholders at a general meeting, which would take effect on the same terms and be subject to the same conditions as applicable to purchases by our subsidiaries.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by Subsidiaries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Irish law, our subsidiaries may purchase our ordinary shares on-market on a recognized stock exchange such as NYSE or off-market.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 one of our subsidiaries to make on-market purchases of ordinary shares, our shareholders must provide general authorization for such purchase by way of ordinary resolution. However, as long as this general authority has been granted, no specific shareholder authority for a particular on-market purchase of ordinary shares by one of our subsidiaries is required. For a purchase by a subsidiary of the ordinary shares off-market, the proposed purchase contract must be authorized by special resolution of our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our shareholders at our registered office.</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number of shares in our capital held by our subsidiaries at any time will count as treasury shares and will be included in any calculation of the permitted treasury share threshold of 10% of the nominal value of our issued share capital. While a subsidiary holds shares in our capital, such subsidiary cannot exercise any voting rights in respect of those shares. The acquisition of ordinary shares by a subsidiary must be funded out of distributable profits of the subsidiary.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Lien on Shares, Calls on Shares and Forfeiture of Shares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articles of association provide that we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and will only be applicable to our shares that have not been fully paid-up.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and Division; Subdivision</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Our articles of association provide that we may, by ordinary resolution, consolidate and divide all or any of our share capital into shares of larger nominal value than our existing shares, or subdivide our shares into smaller amounts than is fixed by our memorandum of association.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 of Share Capital</w:t>
      </w:r>
    </w:p>
    <w:p>
      <w:pPr>
        <w:spacing w:after="0" w:line="121" w:lineRule="exact"/>
        <w:rPr>
          <w:sz w:val="20"/>
          <w:szCs w:val="20"/>
          <w:color w:val="auto"/>
        </w:rPr>
      </w:pPr>
    </w:p>
    <w:p>
      <w:pPr>
        <w:ind w:right="80" w:firstLine="456"/>
        <w:spacing w:after="0" w:line="313" w:lineRule="auto"/>
        <w:rPr>
          <w:sz w:val="20"/>
          <w:szCs w:val="20"/>
          <w:color w:val="auto"/>
        </w:rPr>
      </w:pPr>
      <w:r>
        <w:rPr>
          <w:rFonts w:ascii="Times New Roman" w:cs="Times New Roman" w:eastAsia="Times New Roman" w:hAnsi="Times New Roman"/>
          <w:sz w:val="17"/>
          <w:szCs w:val="17"/>
          <w:color w:val="auto"/>
        </w:rPr>
        <w:t>We may, by ordinary resolution, effect a reduction in our authorized but unissued share capital by cancelling unissued shares. We also may, by special resolution and subject to confirmation by the Irish High Court, reduce or cancel our issued share capital in any way permitted by the Irish Companies Act.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Meetings of Shareholders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a matter of Irish law, we are required to hold an annual general meeting at intervals of no more than 15 months from the previous annual general meeting, provided that an annual general meeting is held in each calendar year following the first annual general meeting and no more than nine months after our fiscal year-end.</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articles of association provide that business may be properly brought before a meeting if directed by a court of competent jurisdiction or if the chairman decides in his discretion that it may be regarded as within the scope of the meeting. The provisions of our articles of association relating to general meetings shall apply to every general meeting of the holders of any class of shares.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provided under Irish law, notice of an annual or extraordinary general meeting must be given to all our shareholders and to our auditors.</w:t>
      </w:r>
    </w:p>
    <w:p>
      <w:pPr>
        <w:spacing w:after="0" w:line="225"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Our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40"/>
          </w:cols>
          <w:pgMar w:left="240" w:top="455" w:right="31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Meetings of Shareholders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provided under Irish law, extraordinary general meetings may be convened:</w:t>
      </w:r>
    </w:p>
    <w:p>
      <w:pPr>
        <w:spacing w:after="0" w:line="131" w:lineRule="exact"/>
        <w:rPr>
          <w:sz w:val="20"/>
          <w:szCs w:val="20"/>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our directors;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requisition of our shareholders holding not less than 10% of our paid-up share capital carrying voting rights;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requisition of our auditors;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exceptional cases, by court order.</w:t>
      </w:r>
    </w:p>
    <w:p>
      <w:pPr>
        <w:spacing w:after="0" w:line="225"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the case of an extraordinary general meeting convened by our shareholders, the proposed purpose of the meeting must be set out in the requisition notice. Upon receipt of any such valid requisition notice, our directors have 21 days to convene a meeting of our shareholders to vote on the matters set out in the requisition notice. This meeting must be held within two months of the receipt of the requisition notice. If our directors do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84"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If our directors become aware that our net assets are not greater than half of the amount of our called-up share capital, they must convene an extraordinary general meeting of our shareholders not later than 28 days from the date that our directors learn of this fact to consider how to address the situation (the meeting to be held within 56 days of that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for General Meetings</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articles of association provide that no business shall be transacted at any general meeting unless a quorum is present. A quorum shall be two or more persons holding or representing by proxy more than 50% of the total issued voting rights of our shares, provided that if we only have one shareholder, one shareholder present in person or by proxy shall constitute a quorum.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jc w:val="both"/>
        <w:ind w:right="40" w:firstLine="456"/>
        <w:spacing w:after="0" w:line="282" w:lineRule="auto"/>
        <w:rPr>
          <w:sz w:val="20"/>
          <w:szCs w:val="20"/>
          <w:color w:val="auto"/>
        </w:rPr>
      </w:pPr>
      <w:r>
        <w:rPr>
          <w:rFonts w:ascii="Times New Roman" w:cs="Times New Roman" w:eastAsia="Times New Roman" w:hAnsi="Times New Roman"/>
          <w:sz w:val="18"/>
          <w:szCs w:val="18"/>
          <w:color w:val="auto"/>
        </w:rPr>
        <w:t>Under our articles of association, each of our shareholders is entitled to one vote for each ordinary share that he or she holds as of the record date for the meeting. Neither Irish law nor any of our constituent document places limitations on the right of nonresident or foreign owners to vote or hold our shares.</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Except where a greater majority is required by the Irish Companies Act or otherwise prescribed by the articles of association, any question, business or resolution proposed at any general meeting shall be decided by an ordinary resolution (i.e., by a simple majority of the votes cast, in person or by proxy, at a general meeting, provided a quorum is present).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any of our general meetings, all resolutions will be decided on a show of hands unless a poll is demanded by:</w:t>
      </w:r>
    </w:p>
    <w:p>
      <w:pPr>
        <w:spacing w:after="0" w:line="131" w:lineRule="exact"/>
        <w:rPr>
          <w:sz w:val="20"/>
          <w:szCs w:val="20"/>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shareholders present in person or by proxy;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or shareholders present in person or proxy and holding not less than one-tenth of the total voting rights of all shareholders having the right to vote at such meeting; or</w:t>
      </w:r>
    </w:p>
    <w:p>
      <w:pPr>
        <w:spacing w:after="0" w:line="6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or shareholders holding shares in the capital of the Company conferring the right to vote at the meeting being shares on which an aggregate sum has been paid-up equal to not less than one tenth of the total sum paid-up on all the shares conferring that right.</w:t>
      </w:r>
    </w:p>
    <w:p>
      <w:pPr>
        <w:spacing w:after="0" w:line="162"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Irish law requires approval of certain matters by “special resolutions” of the shareholders at a general meeting (i.e., by not less than 75% of the votes cast, in person or by proxy, at a general meeting, provided a quorum is present). Examples of matters requiring special resolutions include:</w:t>
      </w:r>
    </w:p>
    <w:p>
      <w:pPr>
        <w:spacing w:after="0" w:line="67" w:lineRule="exact"/>
        <w:rPr>
          <w:sz w:val="20"/>
          <w:szCs w:val="20"/>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objects or memorandum of association;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articles of association;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 change of our name;</w:t>
      </w:r>
    </w:p>
    <w:p>
      <w:pPr>
        <w:spacing w:after="0" w:line="130"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entering into of a guarantee or provision of security in connection with a loan, quasi-loan or credit transaction to a director or connected person;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opting out of preemption rights on the issuance of new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re-registration of the Company from a public limited company to a private company;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of class rights attaching to classes of shares (where the memorandum or articles of association do not provide otherwise);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our own shares off-market;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our issued share capital;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sanctioning a compromise/scheme of arrangement;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that we be wound-up by the Irish courts;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in favor of a shareholders’ voluntary winding-up;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re-issue price of treasury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 Attaching to a Class or Series of Shares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As a matter of Irish law, unless the memorandum or articles of association provide otherwise, any variation of class rights attaching to our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Irish law, shareholders have the right to:</w:t>
      </w:r>
    </w:p>
    <w:p>
      <w:pPr>
        <w:spacing w:after="0" w:line="131" w:lineRule="exact"/>
        <w:rPr>
          <w:sz w:val="20"/>
          <w:szCs w:val="20"/>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 copy of our memorandum and articles of association and any act of the Irish government that alters our memorandum of association;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 and obtain copies of the minutes of our general meetings and resolutions;</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 and receive a copy of the register of shareholders, register of directors and secretaries, register of directors’ interests and other statutory registers we maintain;</w:t>
      </w:r>
    </w:p>
    <w:p>
      <w:pPr>
        <w:spacing w:after="0" w:line="67"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copies of balance sheets and directors’ and auditors’ reports that have previously been sent to shareholders prior to an annual general meeting;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640" w:hanging="325"/>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balance sheets of any of our subsidiaries that have previously been sent to shareholders prior to an annual general meeting for the preceding 10 years.</w:t>
      </w:r>
    </w:p>
    <w:p>
      <w:pPr>
        <w:spacing w:after="0" w:line="54"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The auditors’ report must be circulated to the shareholders with our financial statements prepared in accordance with Irish law 21 days before the annual general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(i.e., a “squeeze out”) if it has acquired, pursuant to the offer, not less than a specific percentage of the target shares to which the offer relates. The percentage for companies listed on regulated markets in the European Economic Area (“EEA”) is 90%. As we are not listed on an EEA regulated market (NYSE only), the relevant applicable percentage for us is 80%. Dissenting shareholders have the right to apply to the High Court of Ireland for relief.</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8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80"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Irish Companies Act also contains statutory provisions relating to mergers between Irish companies and mergers between Irish companies and companies from different states within the EEA which are based on the European Communities (Cross-Border Mergers) Regulations 2008.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Under a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scheme of arrangement which has been approved by the requisite shareholder majority and sanctioned by</w:t>
      </w:r>
    </w:p>
    <w:p>
      <w:pPr>
        <w:spacing w:after="0" w:line="27" w:lineRule="exact"/>
        <w:rPr>
          <w:sz w:val="20"/>
          <w:szCs w:val="20"/>
          <w:color w:val="auto"/>
        </w:rPr>
      </w:pPr>
    </w:p>
    <w:p>
      <w:pPr>
        <w:ind w:right="400" w:firstLine="456"/>
        <w:spacing w:after="0" w:line="261" w:lineRule="auto"/>
        <w:rPr>
          <w:sz w:val="20"/>
          <w:szCs w:val="20"/>
          <w:color w:val="auto"/>
        </w:rPr>
      </w:pPr>
      <w:r>
        <w:rPr>
          <w:rFonts w:ascii="Times New Roman" w:cs="Times New Roman" w:eastAsia="Times New Roman" w:hAnsi="Times New Roman"/>
          <w:sz w:val="18"/>
          <w:szCs w:val="18"/>
          <w:color w:val="auto"/>
        </w:rPr>
        <w:t>the High Court of Ireland will be binding on all shareholders. Dissenting shareholders have the right to appear at the High Court hearing and make representations in objection to the scheme.</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Under the European Communities (Cross-Border Mergers) Regulations 2008 governing the merger of an Irish public limited company such as us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80"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Similar rights apply under the Irish Companies Act in the case of a merger of an Irish public limited company such as us into another company to which the provisions of the Irish Companies Act apply.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Interests in Shares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Under the Irish Companies Act, there is a notification requirement for shareholders who acquire or cease to be interested in 3% of the shares of an Irish public limited company. A shareholder therefore must make such a notification to us if, as a result of a transaction, the shareholder will be interested in 3% or more of our relevant share capital; or if, as a result of a transaction, a shareholder who was interested in more than 3% of our relevant share capital ceases to be so interested. Where a shareholder is interested in more than 3% of our relevant share capital (i.e., voting shares), any alteration of his or her interest that brings his or her total holding through the nearest whole percentage number, whether an increase or a reduction, must be notified to us.</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relevant percentage figure is calculated by reference to the aggregate nominal value of the shares in which the shareholder is interested as a proportion of the entire nominal value of our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8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Where a person fails to comply with the notification requirements described above, no right or interest of any kind whatsoever in respect of any of our shares, held by such person, shall be enforceable by such person, whether directly or indirectly, by action or legal proceeding. However, such person may apply to the High Court of Ireland to have the rights attaching to the shares concerned reinstated.</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above disclosure requirement, under the Irish Companies Act, we may, by notice in writing, require a person whom we know or have reasonable cause to believe, to be, or at any time during the three years immediately preceding the date on which such notice is issued, to have been, interested in shares comprised in our relevant share capital: (i) to indicate whether or not it is the case and (ii) where such person holds or has during that time held an interest in our shares, to give such further information as we may require, including particulars of such person’s own past or present interests in the shares. Any information given in response to the notice is required to be given in writing within such reasonable time as we may specify in the notice.</w:t>
      </w:r>
    </w:p>
    <w:p>
      <w:pPr>
        <w:spacing w:after="0" w:line="184"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Where such a notice is served by us on a person who is or was interested in our shares and that person fails to give us any of the requested information within the reasonable time specified, we may apply to the High Court of Ireland for an order directing that the affected shares be made subject to certain restrictions. Under the Irish Companies Act, the restrictions that may be placed on the shares by the High Court of Ireland are as follows:</w:t>
      </w:r>
    </w:p>
    <w:p>
      <w:pPr>
        <w:spacing w:after="0" w:line="82" w:lineRule="exact"/>
        <w:rPr>
          <w:sz w:val="20"/>
          <w:szCs w:val="20"/>
          <w:color w:val="auto"/>
        </w:rPr>
      </w:pPr>
    </w:p>
    <w:p>
      <w:pPr>
        <w:ind w:left="900" w:right="220" w:hanging="325"/>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those shares, or, in the case of unissued shares, any transfer of the right to be issued with shares and any issue of shares, shall be void;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rights shall be exercisable in respect of those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shares shall be issued in right of those shares or in pursuance of any offer made to the holder of those shares;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shall be made of any sums due from the Company on those shares, whether in respect of capital or otherwise.</w:t>
      </w:r>
    </w:p>
    <w:p>
      <w:pPr>
        <w:spacing w:after="0" w:line="225"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Where the shares are subject to these restrictions, the High Court of Ireland may order the shares to be sold and may also direct that the shares shall cease to be subject to these restrictions.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Measures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 transaction in which a third party seeks to acquire 30% or more of our voting rights will be subject to the Irish Takeover Panel Act 1997, as amended, and the Irish Takeover Rules made thereunder.</w:t>
      </w:r>
    </w:p>
    <w:p>
      <w:pPr>
        <w:spacing w:after="0" w:line="162"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Irish Takeover Rules are based on the following general principles which will apply to the conduct of takeovers:</w:t>
      </w:r>
    </w:p>
    <w:p>
      <w:pPr>
        <w:spacing w:after="0" w:line="131" w:lineRule="exact"/>
        <w:rPr>
          <w:sz w:val="20"/>
          <w:szCs w:val="20"/>
          <w:color w:val="auto"/>
        </w:rPr>
      </w:pPr>
    </w:p>
    <w:p>
      <w:pPr>
        <w:ind w:left="900" w:right="200" w:hanging="325"/>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securities of the target company should be afforded equivalent treatment and, if a person acquires control of a company, the other holders of securities must be protected;</w:t>
      </w:r>
    </w:p>
    <w:p>
      <w:pPr>
        <w:spacing w:after="0" w:line="67"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8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the target company must act in the interests of the Company as a whole and must not deny the holders of securities the opportunity to decide on the merits of the offer;</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67"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company must not be hindered in the conduct of its affairs for longer than is reasonable by an offer for its securities; and</w:t>
      </w:r>
    </w:p>
    <w:p>
      <w:pPr>
        <w:spacing w:after="0" w:line="130"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62" w:lineRule="exact"/>
        <w:rPr>
          <w:sz w:val="20"/>
          <w:szCs w:val="20"/>
          <w:color w:val="auto"/>
        </w:rPr>
      </w:pPr>
    </w:p>
    <w:p>
      <w:pPr>
        <w:jc w:val="both"/>
        <w:ind w:right="280" w:firstLine="456"/>
        <w:spacing w:after="0" w:line="289" w:lineRule="auto"/>
        <w:rPr>
          <w:sz w:val="20"/>
          <w:szCs w:val="20"/>
          <w:color w:val="auto"/>
        </w:rPr>
      </w:pPr>
      <w:r>
        <w:rPr>
          <w:rFonts w:ascii="Times New Roman" w:cs="Times New Roman" w:eastAsia="Times New Roman" w:hAnsi="Times New Roman"/>
          <w:sz w:val="17"/>
          <w:szCs w:val="17"/>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articles of association allocate authority over the day-to-day management of our affairs to the board of directors. The board of directors may then delegate any of its powers, authorities and discretions (with power to sub-delegate) to any committee, consisting of such person or persons (whether directors or not) as it thinks fit, but regardless, the board of directors will remain responsible, as a matter of Irish law, for the proper management of our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Name; Formation; Fiscal Year; Registered Office</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Our current legal and commercial name is Weatherford International public limited company. We were incorporated in Ireland on March 3, 2014 as a private limited company with registration number 540406, and re-registered as a public limited company on May 29, 2014. Our fiscal year ends on December 31st and our registered address is 70 Sir Rogerson’s Quay, Dublin 2, Ireland.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Our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our directors.</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At each annual general meeting of our shareholders, all of our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person shall be appointed as a director unless nominated as follows:</w:t>
      </w:r>
    </w:p>
    <w:p>
      <w:pPr>
        <w:spacing w:after="0" w:line="131" w:lineRule="exact"/>
        <w:rPr>
          <w:sz w:val="20"/>
          <w:szCs w:val="20"/>
          <w:color w:val="auto"/>
        </w:rPr>
      </w:pPr>
    </w:p>
    <w:p>
      <w:pPr>
        <w:ind w:left="900" w:hanging="325"/>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affirmative vote of two-thirds of our board of directors;</w:t>
      </w:r>
    </w:p>
    <w:p>
      <w:pPr>
        <w:spacing w:after="0" w:line="130"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election at an annual general meeting, by any shareholder who holds ordinary shares or other shares in the capital of the Company carrying the general right to vote at our general meetings, who is a shareholder at the time of the giving of the notice and at the time of the relevant annual general meeting and who timely complies with the notice procedures set out in our articles of association;</w:t>
      </w:r>
    </w:p>
    <w:p>
      <w:pPr>
        <w:spacing w:after="0" w:line="81" w:lineRule="exact"/>
        <w:rPr>
          <w:rFonts w:ascii="Times New Roman" w:cs="Times New Roman" w:eastAsia="Times New Roman" w:hAnsi="Times New Roman"/>
          <w:sz w:val="18"/>
          <w:szCs w:val="18"/>
          <w:color w:val="auto"/>
        </w:rPr>
      </w:pPr>
    </w:p>
    <w:p>
      <w:pPr>
        <w:ind w:left="900" w:right="200" w:hanging="325"/>
        <w:spacing w:after="0" w:line="261"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election at an extraordinary general meeting requisitioned in accordance with section 178 of the Irish Companies Act, by any shareholder or shareholders who holds ordinary shares or other shares in the capital of Weatherford Ireland carrying the general right to vote at our general meetings and who makes such nomination in the written requisition of the extraordinary general meeting and timely complies with the notice procedures set forth in our articles of association; or</w:t>
      </w:r>
    </w:p>
    <w:p>
      <w:pPr>
        <w:spacing w:after="0" w:line="85"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holders of any class or series of our shares then in issue having special rights to nominate or appoint directors in accordance with the terms of issue of such class or series, but only to the extent provided in such terms of issue.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55" w:right="2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Directors shall be appointed as follows:</w:t>
      </w:r>
    </w:p>
    <w:p>
      <w:pPr>
        <w:spacing w:after="0" w:line="131" w:lineRule="exact"/>
        <w:rPr>
          <w:sz w:val="20"/>
          <w:szCs w:val="20"/>
          <w:color w:val="auto"/>
        </w:rPr>
      </w:pPr>
    </w:p>
    <w:p>
      <w:pPr>
        <w:ind w:left="900" w:right="480" w:hanging="325"/>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our shareholders by ordinary resolution at the annual general meeting in each year or at any extraordinary general meeting called for the purpose;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our board in accordance with our articles of association; and</w:t>
      </w:r>
    </w:p>
    <w:p>
      <w:pPr>
        <w:spacing w:after="0" w:line="130"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there is in office a sufficient number of directors to constitute a quorum of the board in accordance with our articles of association, our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Under the Irish Companies Act and notwithstanding anything contained in our memorandum and articles of association or in any agreement between Weatherford and a director, shareholders may, by an ordinary resolution, remove a director from office before the expiration of his or her term, at a shareholders’ meeting at which the director is entitled to be heard. Our articles of association provide that we may, by ordinary resolution, remove any director before the expiration of his period of office notwithstanding anything in any agreement between Weatherford and the removed director. The power of removal is without prejudice to any claim for damages for breach of contract (e.g., employment contract) that the director may have against Weatherford in respect of his removal.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Dissolution; Rights upon Liquidation</w:t>
      </w:r>
    </w:p>
    <w:p>
      <w:pPr>
        <w:spacing w:after="0" w:line="121"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7"/>
          <w:szCs w:val="17"/>
          <w:color w:val="auto"/>
        </w:rPr>
        <w:t>Our duration of existence is unlimited. We may be dissolved and wound-up at any time by way of a shareholders’ voluntary winding-up or a creditors’ winding-up.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5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rights of our shareholders to a return of our assets on dissolution or winding-up, following the settlement of all claims of creditors, may be prescribed in our articles of association. If our articles of association contain no specific provisions in respect of a dissolution or winding-up, then, subject to the priorities of any creditors, the assets will be distributed to our shareholders in proportion to the paid-up nominal value of the shares held. Our articles of association provide that our ordinary shareholders are entitled to participate pro rata in a winding-up.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ordinary shares are listed on the NYSE under the symbol “WFT.”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Liability for Further Calls or Assessments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shares issued in this offering will be duly and validly issued as fully paid-up.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Registration of Shares</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Our register of members (our “Official Share Register”), which we are required to maintain under the Irish Companies Act, is maintained by our transfer agent. Registration in the Official Share Register will be determinative of membership.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 (ii) from a 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vice versa).</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Such instruments of transfer may give rise to Irish stamp duty, which must be paid prior to registration of the transfer in our Official Share Register. However, 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80"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93"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Our articles of association delegate to our secretary, any assistant secretary or a relevant authorized delegate the authority to execute an instrument of transfer on behalf of a transferor.</w:t>
      </w:r>
    </w:p>
    <w:p>
      <w:pPr>
        <w:spacing w:after="0" w:line="162"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To help ensure that our Official Share Register is regularly updated to reflect trading of our shares occurring through electronic systems, we intend to regularly produce such instruments of transfer as may be required to effect any transfers of registered interests in shares. These may involve transactions for which we pay stamp duty, subject to the reimbursement and set-off rights described above. In the event that we notify one or both of the parties to a share transfer that we believe stamp duty is required to be paid in connection with such transfer and that we will not pay such stamp duty, such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transferee named therein will be registered as the registered holder of the relevant shares on our Official Share Register (subject to the matters described below).</w:t>
      </w:r>
    </w:p>
    <w:p>
      <w:pPr>
        <w:spacing w:after="0" w:line="185"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registration of transfers may be suspended by our directors at such times and for such period, not exceeding in the whole 30 days in each year, as our directors may from time to time determine.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WARRANT</w:t>
      </w:r>
    </w:p>
    <w:p>
      <w:pPr>
        <w:spacing w:after="0" w:line="22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Warrant is not complete and is subject to, and qualified in its entirety by reference to, the terms and provisions set forth in the form of Warrant filed as an exhibit to the registration statement of which this prospectus forms a part.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Warrant was issued and delivered in physical form.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Exercisability and Duration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Warrant is exercisable immediately and at any time prior to May 21, 2019 (30 months after its original issuance date). The Warrant will be exercisable, at the option of the holder, in whole or in part, by delivery of a written notice of the holder’s election to exercise the Warrant. Within one trading day following an exercise of the Warrant, the holder shall deliver payment of an amount equal to the exercise price in effect on the date of such exercise multiplied by the number of warrant shares as to which the Warrant was so exercised in cash or via wire transfer of immediately available funds. As an alternative to payment in immediately available funds, the holder may, only if at the time of exercise a registration statement is not effective (or the prospectus contained therein is not available for use), in its sole discretion, elect to exercise the Warrant through a net share exercise, in which case the holder would receive upon such exercise the net number of ordinary shares determined according to the formula set forth in the Warrant.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No fractional ordinary shares are to be issued upon exercise of the Warrant, but rather the number of ordinary shares to be issued shall be rounded to the nearest whole number.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exercise price per ordinary share purchasable upon the exercise of the Warrant is $6.43 per share. The exercise price of the Warrant is subject to appropriate adjustment in the event of certain share dividends, subdivisions or combinations affecting the ordinary shares. Under certain circumstances, including if the Company issues or sells, or in accordance with the Warrant is deemed to have issued or sold, any ordinary shares (or securities convertible into ordinary shares) for a consideration per share less than the Exercise Price in effect immediately prior to such issuance or sale or deemed issuance or sale, then immediately after such issuance, the Exercise Price then in effect shall be reduced to an amount equal to the price per share in such new issuance.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A holder will not have the right to exercise any portion of the Warrant if the holder (together with its affiliates) would beneficially own in excess of 9.99% of the total number of issued and outstanding ordinary shares immediately after giving effect to such exercise.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plan to apply to list the Warrant on the NYSE or any other national securities exchange or automated quotation system.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121"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In the event of a Change of Control, as described in the Warrant, which generally includes a consolidation or merger, sale, assignment, transfer, conveyance or other disposal of all or substantially all of the properties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assets of the Company, the acquisition of more than 50% of the outstanding ordinary shares of the Company or other similar transactions, the holder of the Warrant shall have the right to require the Company to purchase the Warrant from the holder for the “Holder Black Scholes Value” (as defined in the Warrant) at the time of the redemption. Similarly, in the event of a Change of Control, the Company shall have the right to redeem the Warrant for the “Company Black Scholes Value” (as defined in the Warrant).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Taxes, and Expenses</w:t>
      </w:r>
    </w:p>
    <w:p>
      <w:pPr>
        <w:spacing w:after="0" w:line="121" w:lineRule="exact"/>
        <w:rPr>
          <w:sz w:val="20"/>
          <w:szCs w:val="20"/>
          <w:color w:val="auto"/>
        </w:rPr>
      </w:pPr>
    </w:p>
    <w:p>
      <w:pPr>
        <w:ind w:right="120" w:firstLine="456"/>
        <w:spacing w:after="0" w:line="313" w:lineRule="auto"/>
        <w:rPr>
          <w:sz w:val="20"/>
          <w:szCs w:val="20"/>
          <w:color w:val="auto"/>
        </w:rPr>
      </w:pPr>
      <w:r>
        <w:rPr>
          <w:rFonts w:ascii="Times New Roman" w:cs="Times New Roman" w:eastAsia="Times New Roman" w:hAnsi="Times New Roman"/>
          <w:sz w:val="17"/>
          <w:szCs w:val="17"/>
          <w:color w:val="auto"/>
        </w:rPr>
        <w:t>Issuance and delivery of ordinary shares upon exercise of the Warrant shall be made without charge to the holder for any documentary, stamp, transfer or similar taxes. We will be responsible for any fees and expenses in respect of the issuance of ordinary shares upon exercise through the facilities of DTC.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Rights as a Shareholder</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Except by virtue of such holder’s ownership of ordinary shares, the holder of a Warrant does not have the rights or privileges of a holder of the ordinary shares, including any voting rights, until the holder exercises the Warrant.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IRISH TAX CONSIDERATIONS</w:t>
      </w:r>
    </w:p>
    <w:p>
      <w:pPr>
        <w:spacing w:after="0" w:line="229" w:lineRule="exact"/>
        <w:rPr>
          <w:sz w:val="20"/>
          <w:szCs w:val="20"/>
          <w:color w:val="auto"/>
        </w:rPr>
      </w:pPr>
    </w:p>
    <w:p>
      <w:pPr>
        <w:jc w:val="both"/>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Irish tax consequences of the purchase, ownership and disposition of Weatherford International plc shares and the Warrant. The summary does not purport to be a comprehensive description of all of the tax considerations that may be relevant to a decision to purchase, own or dispose of the shares and the Warrant. The summary relates only to the position of persons who are the absolute beneficial owners of the shares and the Warrant and may not apply to certain other classes of persons such as dealers in securities or shares.</w:t>
      </w:r>
    </w:p>
    <w:p>
      <w:pPr>
        <w:spacing w:after="0" w:line="18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summary is based upon current Irish tax laws and practice of the Irish Revenue Commissioners, which are subject to prospective or retroactive change. The summary does not constitute tax or legal advice and the comments below are of a general nature only. Each potential investor in the shares and Warrant should consult their own advisors as to the Irish or other tax consequences of the purchase, beneficial ownership and disposition of the shares including, in particular, the effect of any state or local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to 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19"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The payment of dividends by Weatherford International plc will not be subject to any dividend withholding tax in Ireland provided Weatherford International plc is not a tax resident in Ireland. Weatherford International plc is not currently a tax resident in Ireland.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on Chargeable Gains</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Weatherford International plc shareholders or holders of the Warrant that are not resident or ordinarily resident in Ireland for Irish tax purposes and do not hold the shares or the Warrant in connection with a trade carried on by such shareholders or holders of the Warrant through an Irish branch or agency will not be liable for Irish tax on chargeable gains realized on a subsequent disposal of the shares or the Warrant. A shareholder of Weatherford International plc or holder of the Warrant who is an individual and who is temporarily not a resident in Ireland may, under Irish anti-avoidance legislation, still be liable to Irish tax on any chargeable gain realized upon subsequent disposal of the shares or the Warrant.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Stamp Duty</w:t>
      </w:r>
    </w:p>
    <w:p>
      <w:pPr>
        <w:spacing w:after="0" w:line="119"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There is no Irish stamp duty on the issuance of new shares of an Irish incorporated company. The rate of stamp duty (where applicable) on transfers of shares of Irish incorporated companies is 1% of the price paid or the market value of the shares acquired, whichever is greater. Where Irish stamp duty arises it is generally a liability of the transferee. The Irish stamp duty treatment will vary depending on whether the shares are held through DTC or not.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Held through DTC</w:t>
      </w:r>
    </w:p>
    <w:p>
      <w:pPr>
        <w:spacing w:after="0" w:line="11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 transfer of Weatherford International plc shares effected by means of the transfer of book-entry interests in DTC will not be subject to Irish stamp duty. On the basis that most shares in Weatherford International plc are expected to be held through DTC, it is anticipated that most transfers of shares will be exempt from Irish stamp duty.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Held outside of DTC or Transferred into or out of DTC</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transfer of Weatherford International plc shares where any party to the transfer holds such shares outside of DTC may be subject to Irish stamp duty.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wishing to transfer their shares into (or out of) DTC may do so without giving rise to Irish stamp duty provided:</w:t>
      </w:r>
    </w:p>
    <w:p>
      <w:pPr>
        <w:spacing w:after="0" w:line="112" w:lineRule="exact"/>
        <w:rPr>
          <w:sz w:val="20"/>
          <w:szCs w:val="20"/>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change in the beneficial ownership of such shares as a result of the transfer;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into (or out of) DTC is not effected in contemplation of a subsequent sale of such shares by a beneficial owner to a third party.</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93"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rate of stamp duty on the grant or transfer of the Warrant is 1% of the price paid or the market value of the Warrant, whichever is greater, and is payable by the transferee.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Acquisitions Tax</w:t>
      </w:r>
    </w:p>
    <w:p>
      <w:pPr>
        <w:spacing w:after="0" w:line="119" w:lineRule="exact"/>
        <w:rPr>
          <w:sz w:val="20"/>
          <w:szCs w:val="20"/>
          <w:color w:val="auto"/>
        </w:rPr>
      </w:pPr>
    </w:p>
    <w:p>
      <w:pPr>
        <w:ind w:right="360" w:firstLine="456"/>
        <w:spacing w:after="0" w:line="261" w:lineRule="auto"/>
        <w:rPr>
          <w:sz w:val="20"/>
          <w:szCs w:val="20"/>
          <w:color w:val="auto"/>
        </w:rPr>
      </w:pPr>
      <w:r>
        <w:rPr>
          <w:rFonts w:ascii="Times New Roman" w:cs="Times New Roman" w:eastAsia="Times New Roman" w:hAnsi="Times New Roman"/>
          <w:sz w:val="18"/>
          <w:szCs w:val="18"/>
          <w:color w:val="auto"/>
        </w:rPr>
        <w:t>Irish capital acquisitions tax (“CAT”) comprises principally gift tax and inheritance tax. CAT could apply to a gift or inheritance of Weatherford International plc shares or the Warrant irrespective of the place of residence, ordinary residence or domicile of the parties. This is because Weatherford International plc shares and the Warrant are regarded as property situated in Ireland as the share register of Weatherford International plc must be held in Ireland. The person who receives the gift or inheritance has primary liability for CAT.</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€310,000 in respect of taxable gifts or inheritances received from their parents. Weatherford International plc shareholders should consult their own tax advisors as to whether CAT is creditable or deductible in computing any domestic tax liabilities.</w:t>
      </w:r>
    </w:p>
    <w:p>
      <w:pPr>
        <w:spacing w:after="0" w:line="184"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EACH SHAREHOLDER SHOULD CONSULT HIS OR HER TAX ADVISOR AS TO THE PARTICULAR CONSEQUENCES THAT MAY APPLY TO SUCH SHAREHOLDER.</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60"/>
          </w:cols>
          <w:pgMar w:left="240" w:top="455" w:right="2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SWISS TAX CONSIDERATIONS</w:t>
      </w:r>
    </w:p>
    <w:p>
      <w:pPr>
        <w:spacing w:after="0" w:line="229"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Swiss tax consequences of the (i) purchase, ownership and disposition of Weatherford International plc shares and (ii) the issuance, ownership, exercise or other disposition of the Warrant for non-Swiss holders. The summary does not purport to be a comprehensive description of all of the Swiss tax considerations that may be relevant to a decision to purchase, own and dispose of the shares respectively to acquire, own and exercise or dispose of the Warrant.</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summary is based upon current Swiss tax laws, applicable court decisions and the practice of the relevant Swiss tax administrations, which are subject to prospective or retroactive change. The summary does not constitute tax or legal advice and the comments below are of a general nature only. Each potential investor in the shares and the Warrant should consult their own advisors as to the Swiss or other tax consequences of the purchase, beneficial ownership and disposition of the shares and the Warrant including, in particular, the effect of any federal or cantonal/communal tax laws.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Swiss tax consequences to potential Swiss holders (Swiss tax residents or non-Swiss holders with any other taxable presence in Switzerland) of Weatherford International plc shares and the Warrant are not covered in this summary. It is recommended that any Swiss holders consult their own advisors as to the Swiss or other tax consequences of the purchase, beneficial ownership and disposition of the shares respectively the acquisition, beneficial ownership, exercise or disposition of the Warrant.</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Swiss tax consequences discussed below are not a complete analysis or listing of all the possible Swiss tax consequences that may be relevant to non-Swiss holder. You should consult your own tax advisor in respect of the Swiss tax consequences related to the receipt, ownership, purchase, sale, exercise or other disposition of Weatherford International plc shares and the Warrant as well as the procedures for claiming a refund of Swiss withholding tax on distributions.</w:t>
      </w:r>
    </w:p>
    <w:p>
      <w:pPr>
        <w:spacing w:after="0" w:line="284" w:lineRule="exact"/>
        <w:rPr>
          <w:sz w:val="20"/>
          <w:szCs w:val="20"/>
          <w:color w:val="auto"/>
        </w:rPr>
      </w:pPr>
    </w:p>
    <w:p>
      <w:pPr>
        <w:ind w:right="51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Purchase, Ownership and Disposition of Ordinary Shares of Weatherford Ireland </w:t>
      </w:r>
      <w:r>
        <w:rPr>
          <w:rFonts w:ascii="Times New Roman" w:cs="Times New Roman" w:eastAsia="Times New Roman" w:hAnsi="Times New Roman"/>
          <w:sz w:val="18"/>
          <w:szCs w:val="18"/>
          <w:i w:val="1"/>
          <w:iCs w:val="1"/>
          <w:color w:val="auto"/>
        </w:rPr>
        <w:t>Swiss Income Tax on Dividends and Similar Distributions</w:t>
      </w: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 non-Swiss holder will not be subject to Swiss income taxes on dividend income and similar distributions in respect of Weatherford International plc shares, unless the shares are attributable to a permanent establishment, a fixed place of business maintained in Switzerland or another taxable presence in Switzerland of such non-Swiss holder. However, dividends and similar distributions are subject to Swiss withholding tax. See “—Swiss Withholding Tax on Distributions to Shareholders.”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Wealth Tax</w:t>
      </w:r>
    </w:p>
    <w:p>
      <w:pPr>
        <w:spacing w:after="0" w:line="11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A non-Swiss holder will not be subject to Swiss wealth taxes (net wealth tax or annual capital tax) unless the holder’s Weatherford International plc shares are attributable to a permanent establishment, a fixed place of business maintained in Switzerland or another taxable presence in Switzerland of such non-Swiss holder.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Income Tax on Capital Gains upon Disposal, Exchange or Other Disposition of Ordinary Shares of Weatherford Ireland</w:t>
      </w:r>
    </w:p>
    <w:p>
      <w:pPr>
        <w:spacing w:after="0" w:line="11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A non-Swiss holder will not be subject to Swiss income tax on capital gains upon disposal, exchange or other disposition of the shares unless the holder’s shares are attributable to a permanent establishment, a fixed place of business maintained in Switzerland or another taxable presence in Switzerland of such non-Swiss holder.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Withholding Tax on Distributions to Shareholders</w:t>
      </w:r>
    </w:p>
    <w:p>
      <w:pPr>
        <w:spacing w:after="0" w:line="11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 Swiss withholding tax of 35% is due on dividends and similar distributions to the shareholders of Weatherford International plc regardless of the place of residency of such shareholders (subject to the exceptions discussed under “—Exemption from Swiss Withholding Tax on Distributions to Shareholders” below). Weatherford International plc, as a Swiss tax resident company, will be required to withhold at such rate and remit on a net basis any payments made to a holder of Weatherford International plc shares and pay such withheld amounts to the Swiss federal tax authorities. Please see “—Refund of Swiss Withholding Tax on Dividends and Other Distributions.”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Exemption from Swiss Withholding Tax on Distributions to Shareholders</w:t>
      </w:r>
    </w:p>
    <w:p>
      <w:pPr>
        <w:spacing w:after="0" w:line="119"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Under present Swiss tax law, distributions to shareholders in relation to a reduction of par value are exempt from Swiss withholding tax. Also exempt from Swiss withholding tax are distributions to shareholders that are made out of qualifying capital contribution reserves (Kapitaleinlagereserven) according to the relevant Swiss tax laws (often called “qualifying additional paid-in capital”).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Repurchases of Ordinary Shares</w:t>
      </w:r>
    </w:p>
    <w:p>
      <w:pPr>
        <w:spacing w:after="0" w:line="119"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7"/>
          <w:szCs w:val="17"/>
          <w:color w:val="auto"/>
        </w:rPr>
        <w:t>Based on the present Swiss tax laws, repurchases of shares for the purposes of capital reduction are treated as a partial liquidation subject to the 35% Swiss withholding tax. However, for shares repurchased for capital reduction, the portion of the repurchase price attributable to (i) the par value of the shares repurchased, and (ii) qualifying capital contribution reserves according to the applicable Swiss tax laws will not be subject to the Swiss withholding tax.</w:t>
      </w:r>
    </w:p>
    <w:p>
      <w:pPr>
        <w:spacing w:after="0" w:line="158"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Weatherford International plc is required to remit on a net basis the purchase price with the Swiss withholding tax deducted to a holder of Weatherford International plc shares and pay the withholding tax to the Swiss federal tax authorities.</w:t>
      </w:r>
    </w:p>
    <w:p>
      <w:pPr>
        <w:spacing w:after="0" w:line="162"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With respect to the refund of Swiss withholding tax from the repurchase of shares, see “—Refund of Swiss Withholding Tax on Dividends and Other Distributions” below.</w:t>
      </w:r>
    </w:p>
    <w:p>
      <w:pPr>
        <w:spacing w:after="0" w:line="162"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repurchase of shares for purposes other than capital reduction, such as to retain such shares as treasury shares,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Refund of Swiss Withholding Tax on 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Non-Swiss holders</w:t>
      </w:r>
      <w:r>
        <w:rPr>
          <w:rFonts w:ascii="Times New Roman" w:cs="Times New Roman" w:eastAsia="Times New Roman" w:hAnsi="Times New Roman"/>
          <w:sz w:val="18"/>
          <w:szCs w:val="18"/>
          <w:color w:val="auto"/>
        </w:rPr>
        <w:t>. If the shareholder that receives a distribution from Weatherford International plc is not a Swiss tax resident, does not hold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Weatherford International plc shares in connection with a permanent establishment or a fixed place of business maintained in Switzerland, and resides in a country that has concluded a treaty for the avoidance of double taxation with Switzerland for which the conditions for the application and protection of and by the treaty are met, then the shareholder may be entitled to a full or partial refund of the withholding tax described above. The procedures for claiming treaty refunds (and the time frame required for obtaining a refund) may differ from country to country.</w:t>
      </w:r>
    </w:p>
    <w:p>
      <w:pPr>
        <w:spacing w:after="0" w:line="18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U.S. holders</w:t>
      </w:r>
      <w:r>
        <w:rPr>
          <w:rFonts w:ascii="Times New Roman" w:cs="Times New Roman" w:eastAsia="Times New Roman" w:hAnsi="Times New Roman"/>
          <w:sz w:val="18"/>
          <w:szCs w:val="18"/>
          <w:color w:val="auto"/>
        </w:rPr>
        <w:t>. The Swiss-U.S. tax treaty provides that U.S. residents eligible for benefits under the treaty can seek a refund of the Swiss withholding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dividends for the portion exceeding 15% (leading to a refund of 20%) or a 100% refund in the case of qualified pension funds. For sake of completeness, it shall be mentioned that a 5% treaty rate would apply for a U.S. corporate shareholder being treated for U.S. tax purposes as separate legal entity and holding a qualifying investment of at least 10% in Weatherford International plc.</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general rule, the refund will be granted under the treaty if the U.S. resident can show evidence of:</w:t>
      </w:r>
    </w:p>
    <w:p>
      <w:pPr>
        <w:spacing w:after="0" w:line="131" w:lineRule="exact"/>
        <w:rPr>
          <w:sz w:val="20"/>
          <w:szCs w:val="20"/>
          <w:color w:val="auto"/>
        </w:rPr>
      </w:pPr>
    </w:p>
    <w:p>
      <w:pPr>
        <w:ind w:left="900" w:hanging="325"/>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residency;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U.S.-Swiss tax treaty’s limitation on benefits requirements.</w:t>
      </w:r>
    </w:p>
    <w:p>
      <w:pPr>
        <w:spacing w:after="0" w:line="22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claim for refund must be filed with the Swiss federal tax authorities (Eigerstrasse 65, 3003 Berne, Switzerland), not later than December 31 of the third year following the year in which the dividend payments became due. The relevant Swiss tax form is Form 82C for companies, 82E for other entities and 82I for individuals. These forms can be obtained from any Swiss Consulate General in the United States or from the Swiss federal tax authorities at the address mentioned above. Each form needs to be filled out in triplicate, with each copy duly completed and signed before a notary public in the United States. You must also include evidence that the withholding tax was withheld at the source.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Stamp Duties</w:t>
      </w:r>
    </w:p>
    <w:p>
      <w:pPr>
        <w:spacing w:after="0" w:line="119"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Swiss transfer stamp duty in relation to the transfer of Weatherford International plc shares. The purchase or sale of Weatherford International plc shares may be subject to Swiss transfer stamp duty irrespective of the place of residency of the purchaser or seller if the transaction takes place through or with a Swiss bank or other Swiss securities dealer, as those terms are defined in the Swiss Federal Stamp Tax Act and no exemption applies in the specific case. If a purchase or sale is not entered into through or with a Swiss bank or other Swiss securities dealer, then no transfer stamp duty will be due.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89"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Swiss issuance stamp duty on the issuance of Weatherford International plc shares. For sake of completeness, it shall be mentioned that the proceeds paid to Weatherford International plc for the issuance of new shares, to the extent no exemption applies, is subject to issuance stamp duty levied at 1%. Weatherford International plc will be liable to Swiss issuance stamp duty.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Exercise or Disposition of the Warrant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Income Tax</w:t>
      </w:r>
    </w:p>
    <w:p>
      <w:pPr>
        <w:spacing w:after="0" w:line="119"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A non-Swiss holder will not be subject to Swiss income tax neither during the holding period nor on capital gains realized upon disposal, exchange or other disposition of the Warrant unless the holder’s Warrant is attributable to a permanent establishment, a fixed place of business maintained in Switzerland or another taxable presence in Switzerland of such non-Swiss holder.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Wealth Tax</w:t>
      </w:r>
    </w:p>
    <w:p>
      <w:pPr>
        <w:spacing w:after="0" w:line="119"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 non-Swiss holder will not be subject to Swiss wealth taxes unless the holder’s Warrant is attributable to a permanent establishment, a fixed place of business maintained in Switzerland or another taxable presence in Switzerland of such non-Swiss holder.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Withholding Tax</w:t>
      </w:r>
    </w:p>
    <w:p>
      <w:pPr>
        <w:spacing w:after="0" w:line="119"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While a conversion of the Warrants into ordinary shares by way of a cash exercise does not trigger Swiss withholding tax consequences, a conversion by way of a cashless exercise might trigger Swiss withholding tax consequences.</w:t>
      </w:r>
    </w:p>
    <w:p>
      <w:pPr>
        <w:spacing w:after="0" w:line="162"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Further, any payments from Weatherford International plc to the holders of Warrants to compensate them for distributions made to shareholders in Weatherford International plc or any other cash payments might also be subject to Swiss withholding tax.</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Non-Swiss tax resident holders of the Warrant that do not hold the Warrant in connection with a permanent establishment or a fixed place of business maintained in Switzerland, might be entitled for full or partial refund of Swiss withholding tax described above, if they reside in a country that has concluded a treaty for the avoidance of double taxation with Switzerland for which the conditions for the application and protection of and by the treaty are met. The procedures for claiming treaty refunds (and the time frame required for obtaining a refund) may differ from country to country.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Stamp Duties</w:t>
      </w:r>
    </w:p>
    <w:p>
      <w:pPr>
        <w:spacing w:after="0" w:line="117"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Swiss issuance stamp duty in relation to the issuance of the Warrant. </w:t>
      </w:r>
      <w:r>
        <w:rPr>
          <w:rFonts w:ascii="Times New Roman" w:cs="Times New Roman" w:eastAsia="Times New Roman" w:hAnsi="Times New Roman"/>
          <w:sz w:val="18"/>
          <w:szCs w:val="18"/>
          <w:color w:val="auto"/>
        </w:rPr>
        <w:t>Straight derivatives for tax purposes such as the Warrant in the case at hand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taxable security in the meaning of the Swiss Federal Stamp Duty Act and are therefore not subject to Swiss issuance stamp duty.</w:t>
      </w:r>
    </w:p>
    <w:p>
      <w:pPr>
        <w:spacing w:after="0" w:line="158" w:lineRule="exact"/>
        <w:rPr>
          <w:sz w:val="20"/>
          <w:szCs w:val="20"/>
          <w:color w:val="auto"/>
        </w:rPr>
      </w:pPr>
    </w:p>
    <w:p>
      <w:pPr>
        <w:ind w:right="120" w:firstLine="456"/>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Swiss transfer stamp duty in relation to the exercise or disposition of the Warrant. </w:t>
      </w:r>
      <w:r>
        <w:rPr>
          <w:rFonts w:ascii="Times New Roman" w:cs="Times New Roman" w:eastAsia="Times New Roman" w:hAnsi="Times New Roman"/>
          <w:sz w:val="17"/>
          <w:szCs w:val="17"/>
          <w:color w:val="auto"/>
        </w:rPr>
        <w:t>Straight derivatives for tax purposes such as the Warrant in the case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hand do not qualify as taxable security in the meaning of the Swiss Federal Stamp Duty Act and are therefore not subject to Swiss transfer stamp duty.</w:t>
      </w:r>
    </w:p>
    <w:p>
      <w:pPr>
        <w:spacing w:after="0" w:line="135" w:lineRule="exact"/>
        <w:rPr>
          <w:sz w:val="20"/>
          <w:szCs w:val="20"/>
          <w:color w:val="auto"/>
        </w:rPr>
      </w:pPr>
    </w:p>
    <w:p>
      <w:pPr>
        <w:ind w:right="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Swiss issuance stamp duty on the issuance of Weatherford International plc shares. </w:t>
      </w:r>
      <w:r>
        <w:rPr>
          <w:rFonts w:ascii="Times New Roman" w:cs="Times New Roman" w:eastAsia="Times New Roman" w:hAnsi="Times New Roman"/>
          <w:sz w:val="18"/>
          <w:szCs w:val="18"/>
          <w:color w:val="auto"/>
        </w:rPr>
        <w:t>For sake of completeness, it shall be mentioned that the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to Weatherford International plc for the issuance of new shares as a result of the exercise of the Warrant, to the extent no exemption applies, is subject to issuance stamp duty levied at 1%. Weatherford International plc will be liable for Swiss issuance stamp duty.</w:t>
      </w:r>
    </w:p>
    <w:p>
      <w:pPr>
        <w:spacing w:after="0" w:line="176"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EACH SHAREHOLDER AND/OR WARRANT HOLDER SHOULD CONSULT HIS OR HER TAX ADVISOR AS TO THE PARTICULAR CONSEQUENCES THAT MAY APPLY TO SUCH SHAREHOLDER AND/OR WARRANT HOLDER.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455" w:right="27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ordinary shares referenced on the cover page of this prospectus will be offered solely by us and will be issued and sold upon the exercise of the Warrant described herein. For the holders of Warrant to exercise the Warrant, the ordinary shares issuable upon exercise must either be registered under the Securities Act or exempt from registration. If a registration statement registering the issuance of the shares of ordinary shares underlying the Warrant under the Securities Act is not effective or available for the issuance of such shares, the holder may, in its sole discretion, elect to exercise the Warrant through a cashless exercise, in which case the holder would receive upon such exercise the net number of ordinary determined according to the formula set forth in the Warrant. No fractional ordinary shares are to be issued upon the exercise of this Warrant, but rather the number of ordinary shares to be issued shall be rounded to the nearest whole number.</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80"/>
          </w:cols>
          <w:pgMar w:left="240" w:top="455" w:right="37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validity of the ordinary shares and the Warrant being offered by this prospectus with respect to the laws of Ireland will be passed upon for us by Matheson, and certain other legal matters will be passed upon for us by Latham &amp; Watkins LLP.</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240" w:top="455" w:right="51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schedule of Weatherford International plc as of December 31, 2016 and December 31, 2015, and for each of the years in the three-year period ended December 31, 2016, and management’s assessment of the effectiveness of internal control over financial reporting as of December 31, 2016 have been incorporated by reference herein in reliance upon the reports of KPMG LLP, independent registered public accounting firm, incorporated by reference herein, and upon the authority of said firm as experts in accounting and auditing. KPMG LLP’s report on the consolidated financial statements refers to changes in accounting for deferred income taxes and accounting for debt issuance costs.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60"/>
          </w:cols>
          <w:pgMar w:left="240" w:top="455" w:right="2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best estimate of the registrants as to the anticipated expenses and costs (other than underwriting discounts and commissions) expected to be incurred in connection with the issuance and distribution of securities registered hereby:</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294,773</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150,000</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Rating agency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These fees are calculated based upon the number of issuances and amount of securities offered, and accordingly, cannot be estimated at this time.</w:t>
      </w:r>
    </w:p>
    <w:p>
      <w:pPr>
        <w:spacing w:after="0" w:line="24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Weatherford Ireland</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Weatherford Ireland’s memorandum and articles of association confer an indemnity on its directors and officers, which is limited by the Irish Companies Act 2014, as amended (the “Irish Companies Act”). The Irish Companies Act prescribes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8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Weatherford Ireland’s articles of association also contain indemnification and expense advancement provisions for persons who are not directors or the secretary of Weatherford Ireland.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Irish companies may take out directors and officers liability insurance as well as other types of insurance, for their directors and officers.</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Weatherford Bermuda</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Section 98 of the Companies Act 1981 of Bermuda, as amended (the “Companies Act”), provides generally that a Bermuda company may indemnify its directors, officers and auditors against any liability which by virtue of any rule of law otherwise would be imposed on them in respect to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A company may advance monies to a director, officer or auditor for the costs, charges and expenses incurred by them in defending any civil or criminal proceedings against them, on condition that the director, officer or auditor shall repay the advance if any allegation of fraud or dishonesty is proved against them.</w:t>
      </w:r>
    </w:p>
    <w:p>
      <w:pPr>
        <w:spacing w:after="0" w:line="18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Weatherford Bermuda has adopted provisions in its bye-laws that provide that Weatherford Bermuda shall indemnify its officers and directors in respect of their actions and omissions, except in respect of their fraud or dishonesty. Weatherford Bermuda’s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Furthermore, Weatherford Bermuda has entered into indemnification agreements with certain of its directors and executive officers. The indemnification agreements require Weatherford Bermuda to indemnify its officers and directors, except for liability in respect of their fraud or dishonesty, against expenses (including attorneys’ fees and disbursements), judgments, penalties, fines and amounts paid in settlement actually and reasonably incurred in connection with any action, suit, arbitration, alternate dispute resolution mechanism, investigation, administrative hearing or any other proceeding whether civil, criminal, administrative or investigative and whether formal or informal. The indemnification agreements also provide that Weatherford Bermuda must pay all reasonable expenses incurred in advance of a final disposition.</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Section 98A of the Companies Act permits Weatherford Bermuda to purchase and maintain insurance for the benefit of any of its office or directors in respect of any loss or liability attaching to him in respect of any negligence, default, breach of duty, or breach of trust, whether or not Weatherford Bermuda may otherwise indemnify such officer or director. Weatherford Ireland’s directors’ and officers’ liability insurance covers the directors and officers of Weatherford Bermuda for such purposes.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Weatherford Delaware</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Weatherford International, LLC (“Weatherford Delaware”) is a Delaware limited liability company. Section 18-108 of the Delaware Limited Liability Company Act provides that, subject to such standards and restrictions, if any, as are set forth in its limited liability company agreement, a Delaware limited liability company may, and shall have the power to, indemnify and hold harmless any member or manager or other person from and against any and all claims and demands whatsoever. Weatherford Delaware’s limited liability company agreement provides for indemnification of each member, manager (if any), officer and director (if any) of Weatherford Delaware, as well as, upon approval of the member, other employees or an affiliate of Weatherford Delaware, to the fullest extent permitted by Delaware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Furthermore, Weatherford Delaware has entered into indemnification agreements with certain of its officers. The indemnification agreements require Weatherford Delaware to indemnify its officers to the fullest extent permitted by applicable law against expenses (including attorneys’ fees and disbursements), judgments, penalties, fines and amounts paid in settlement actually and reasonably incurred in connection with any action, suit or proceeding, whether civil, criminal, administrative or investigative in nature if they acted in good faith or in a manner they reasonably believed to be in or not opposed to the best interests of Weatherford Delaware and, with respect to any criminal action or proceeding, had no reasonable cause to believe his or her conduct was unlawful. In an action brought by or in the right of Weatherford Delaware, as opposed to an action brought by a third party, no such indemnification shall be made in respect of any claim, issue or matter as to which applicable law expressly prohibits such indemnification by reason of an adjudication of liability of indemnitee to the Company (unless a court of competent jurisdiction determines otherwise). The indemnification agreements also provide that Weatherford Delaware must pay all reasonable expenses incurred in advance of a final disposition.</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addition, Weatherford Ireland’s directors’ and officers’ liability insurance, subject to the terms and conditions of the policies, covers those persons who are or were an officer of Weatherford Delaware against liability asserted against or incurred by them in their capacity as such, whether or not Weatherford Delaware would have the power to indemnify such persons against such liability under the provisions of Weatherford Delaware’s limited liability company agreement.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5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4"/>
              </w:rPr>
              <w:t>1.1***</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7"/>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2.1**</w:t>
            </w:r>
          </w:p>
        </w:tc>
        <w:tc>
          <w:tcPr>
            <w:tcW w:w="320" w:type="dxa"/>
            <w:vAlign w:val="bottom"/>
          </w:tcPr>
          <w:p>
            <w:pPr>
              <w:spacing w:after="0"/>
              <w:rPr>
                <w:sz w:val="24"/>
                <w:szCs w:val="24"/>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Merger Agreement dated April 2, 2014, between Weatherford International Ltd., a Swiss joint stock corporation and Weatherford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International Limited, an Ireland limited liability company (incorporated by reference to Exhibit 2.1 to Weatherford International Ltd.’s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Current Report on Form 8-K (File No. 1-34258) filed on April 2, 2014)</w:t>
            </w:r>
          </w:p>
        </w:tc>
        <w:tc>
          <w:tcPr>
            <w:tcW w:w="0" w:type="dxa"/>
            <w:vAlign w:val="bottom"/>
          </w:tcPr>
          <w:p>
            <w:pPr>
              <w:spacing w:after="0"/>
              <w:rPr>
                <w:sz w:val="1"/>
                <w:szCs w:val="1"/>
                <w:color w:val="auto"/>
              </w:rPr>
            </w:pPr>
          </w:p>
        </w:tc>
      </w:tr>
      <w:tr>
        <w:trPr>
          <w:trHeight w:val="306"/>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w:t>
            </w:r>
          </w:p>
        </w:tc>
        <w:tc>
          <w:tcPr>
            <w:tcW w:w="320" w:type="dxa"/>
            <w:vAlign w:val="bottom"/>
          </w:tcPr>
          <w:p>
            <w:pPr>
              <w:spacing w:after="0"/>
              <w:rPr>
                <w:sz w:val="24"/>
                <w:szCs w:val="24"/>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Memorandum and Articles of Association of Weatherford International plc, an Irish public limited company (incorporated by reference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Exhibit 3.1 to Weatherford International plc’s Current Report on Form 8-K12B (File No. 1-36504) filed June 17, 2014)</w:t>
            </w:r>
          </w:p>
        </w:tc>
        <w:tc>
          <w:tcPr>
            <w:tcW w:w="0" w:type="dxa"/>
            <w:vAlign w:val="bottom"/>
          </w:tcPr>
          <w:p>
            <w:pPr>
              <w:spacing w:after="0"/>
              <w:rPr>
                <w:sz w:val="1"/>
                <w:szCs w:val="1"/>
                <w:color w:val="auto"/>
              </w:rPr>
            </w:pPr>
          </w:p>
        </w:tc>
      </w:tr>
      <w:tr>
        <w:trPr>
          <w:trHeight w:val="306"/>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w:t>
            </w:r>
          </w:p>
        </w:tc>
        <w:tc>
          <w:tcPr>
            <w:tcW w:w="320" w:type="dxa"/>
            <w:vAlign w:val="bottom"/>
          </w:tcPr>
          <w:p>
            <w:pPr>
              <w:spacing w:after="0"/>
              <w:rPr>
                <w:sz w:val="24"/>
                <w:szCs w:val="24"/>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Memorandum of Association of Weatherford International Ltd., a Bermuda exempted company (incorporated by reference to Annex II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the proxy statement/prospectus included in Amendment No. 1 to the Registration Statement on Form S-4 of Weatherford International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Ltd., a Bermuda exempted company (File No. 333-85644) filed May 22, 2002)</w:t>
            </w:r>
          </w:p>
        </w:tc>
        <w:tc>
          <w:tcPr>
            <w:tcW w:w="0" w:type="dxa"/>
            <w:vAlign w:val="bottom"/>
          </w:tcPr>
          <w:p>
            <w:pPr>
              <w:spacing w:after="0"/>
              <w:rPr>
                <w:sz w:val="1"/>
                <w:szCs w:val="1"/>
                <w:color w:val="auto"/>
              </w:rPr>
            </w:pPr>
          </w:p>
        </w:tc>
      </w:tr>
      <w:tr>
        <w:trPr>
          <w:trHeight w:val="306"/>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w:t>
            </w:r>
          </w:p>
        </w:tc>
        <w:tc>
          <w:tcPr>
            <w:tcW w:w="320" w:type="dxa"/>
            <w:vAlign w:val="bottom"/>
          </w:tcPr>
          <w:p>
            <w:pPr>
              <w:spacing w:after="0"/>
              <w:rPr>
                <w:sz w:val="24"/>
                <w:szCs w:val="24"/>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Certificate of Deposit of Memorandum of Increase of Share Capital of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(incorporated by reference to Annex II to the proxy statement/prospectus included in Amendment No. 1 to the Registration Statement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Form S-4 of Weatherford International Ltd., a Bermuda exempted company (File No. 333-85644), filed May 22, 2002)</w:t>
            </w:r>
          </w:p>
        </w:tc>
        <w:tc>
          <w:tcPr>
            <w:tcW w:w="0" w:type="dxa"/>
            <w:vAlign w:val="bottom"/>
          </w:tcPr>
          <w:p>
            <w:pPr>
              <w:spacing w:after="0"/>
              <w:rPr>
                <w:sz w:val="1"/>
                <w:szCs w:val="1"/>
                <w:color w:val="auto"/>
              </w:rPr>
            </w:pPr>
          </w:p>
        </w:tc>
      </w:tr>
      <w:tr>
        <w:trPr>
          <w:trHeight w:val="324"/>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3.4**</w:t>
            </w:r>
          </w:p>
        </w:tc>
        <w:tc>
          <w:tcPr>
            <w:tcW w:w="320" w:type="dxa"/>
            <w:vAlign w:val="bottom"/>
          </w:tcPr>
          <w:p>
            <w:pPr>
              <w:spacing w:after="0"/>
              <w:rPr>
                <w:sz w:val="24"/>
                <w:szCs w:val="24"/>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Bye-Laws of Weatherford International Ltd., a Bermuda exempted company, as amended on May 10, 2016</w:t>
            </w:r>
          </w:p>
        </w:tc>
        <w:tc>
          <w:tcPr>
            <w:tcW w:w="0" w:type="dxa"/>
            <w:vAlign w:val="bottom"/>
          </w:tcPr>
          <w:p>
            <w:pPr>
              <w:spacing w:after="0"/>
              <w:rPr>
                <w:sz w:val="1"/>
                <w:szCs w:val="1"/>
                <w:color w:val="auto"/>
              </w:rPr>
            </w:pPr>
          </w:p>
        </w:tc>
      </w:tr>
      <w:tr>
        <w:trPr>
          <w:trHeight w:val="306"/>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3.5**</w:t>
            </w:r>
          </w:p>
        </w:tc>
        <w:tc>
          <w:tcPr>
            <w:tcW w:w="320" w:type="dxa"/>
            <w:vAlign w:val="bottom"/>
          </w:tcPr>
          <w:p>
            <w:pPr>
              <w:spacing w:after="0"/>
              <w:rPr>
                <w:sz w:val="24"/>
                <w:szCs w:val="24"/>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Certificate of Assistant Secretary of Weatherford International Ltd., a Bermuda exempted company, as to the adoption of a resolution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increasing authorized share capital (incorporated by reference to Exhibit 4.1 to the Current Report on Form 8-K of Weatherford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International Ltd., a Bermuda exempted company (File No. 1-31339), filed May 15, 2006)</w:t>
            </w:r>
          </w:p>
        </w:tc>
        <w:tc>
          <w:tcPr>
            <w:tcW w:w="0" w:type="dxa"/>
            <w:vAlign w:val="bottom"/>
          </w:tcPr>
          <w:p>
            <w:pPr>
              <w:spacing w:after="0"/>
              <w:rPr>
                <w:sz w:val="1"/>
                <w:szCs w:val="1"/>
                <w:color w:val="auto"/>
              </w:rPr>
            </w:pPr>
          </w:p>
        </w:tc>
      </w:tr>
      <w:tr>
        <w:trPr>
          <w:trHeight w:val="306"/>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3.6**</w:t>
            </w:r>
          </w:p>
        </w:tc>
        <w:tc>
          <w:tcPr>
            <w:tcW w:w="320" w:type="dxa"/>
            <w:vAlign w:val="bottom"/>
          </w:tcPr>
          <w:p>
            <w:pPr>
              <w:spacing w:after="0"/>
              <w:rPr>
                <w:sz w:val="24"/>
                <w:szCs w:val="24"/>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Certificate of Formation of Weatherford International, LLC, a Delaware limited liability company (incorporated by reference to Exhibit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4.7 to the Registration Statement on Form S-3 of Weatherford International Ltd., a Swiss joint-stock corporation (File No. 333-194431),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filed March 7, 2014)</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tcPr>
          <w:p>
            <w:pPr>
              <w:spacing w:after="0"/>
              <w:rPr>
                <w:sz w:val="13"/>
                <w:szCs w:val="13"/>
                <w:color w:val="auto"/>
              </w:rPr>
            </w:pPr>
          </w:p>
        </w:tc>
        <w:tc>
          <w:tcPr>
            <w:tcW w:w="9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Pr>
          <w:p>
            <w:pPr>
              <w:spacing w:after="0"/>
              <w:rPr>
                <w:sz w:val="16"/>
                <w:szCs w:val="16"/>
                <w:color w:val="auto"/>
              </w:rPr>
            </w:pP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w:t>
            </w:r>
          </w:p>
        </w:tc>
        <w:tc>
          <w:tcPr>
            <w:tcW w:w="980" w:type="dxa"/>
            <w:vAlign w:val="bottom"/>
          </w:tcPr>
          <w:p>
            <w:pPr>
              <w:spacing w:after="0"/>
              <w:rPr>
                <w:sz w:val="16"/>
                <w:szCs w:val="16"/>
                <w:color w:val="auto"/>
              </w:rPr>
            </w:pPr>
          </w:p>
        </w:tc>
        <w:tc>
          <w:tcPr>
            <w:tcW w:w="9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Limited Liability Company Agreement of Weatherford International, LLC, a Delaware limited liability company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4.8 to the Registration Statement on Form S-3 of Weatherford International Ltd., a Swiss joint-stock corporation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(File No. 333-194431), filed March 7, 2014)</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Assistant Secretary of Weatherford International Ltd., a Bermuda exempted company, as to the adoption of a resolution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increasing authorized share capital (incorporated by reference to Exhibit 4.1 to the Current Report on Form-8-K of Weatherford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Ltd., a Bermuda exempted company (File No. 1-31339), filed May 15, 2006)</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Indenture dated October 1, 2003, among Weatherford International Ltd., a Bermuda exempted company, Weatherford International,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 Delaware limited liability company, and Deutsche Bank Trust Company Americas, as trustee (incorporated by reference to Exhibit 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to Current Report on Form 8-K of Weatherford International Ltd., a Bermuda exempted company (File No. 1-31339), filed October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First Supplemental Indenture dated March 25, 2008, among Weatherford International Ltd., a Bermuda exempted company, Weatherford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LLC, a Delaware limited liability company, and Deutsche Bank Trust Company Americas, as trustee, to the Indenture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1, 2003 (including the form of notes issued pursuant thereto) (incorporated by reference to Exhibit 4.1 to the Current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of Weatherford International Ltd., a Bermuda exempted company (File No. 1-31339), filed March 25, 2008)</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Second Supplemental Indenture dated January 8, 2009,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LLC, a Delaware limited liability company, and Deutsche Bank Trust Company Americas, as trustee,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Indenture dated October 1, 2003 (including the form of notes issued pursuant thereto) (incorporated by reference to Exhibit 4.1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Current Report on Form 8-K of Weatherford International Ltd., a Bermuda exempted company (File No. 1-31339), filed January 8, 2009)</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Third Supplemental Indenture dated February 26, 2009,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Exhibit 4.2 to the Current Report on Form 8-K12B of Weatherford International Ltd., a Swiss joint-stock corporation (File No. 1-34258),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filed February 26, 2009)</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Fourth Supplemental Indenture dated as of September 23, 2010,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and Deutsche Bank Trust Company Americas, as trustee, to the Indenture dated as of October 1, 2003 (including the form of notes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pursuant thereto and form of guarantee notation) (incorporated by reference to Exhibit 4.1 to the Quarterly Report on Form 10-Q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Ltd., a Swiss joint-stock corporation (File No. 1-34258) for the quarter ended September 30, 2010, filed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2010)</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Fifth Supplemental Indenture dated April 4, 2012,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and Deutsche Bank Trust Company Americas, as trustee, to the Indenture dated as of October 1, 2003 (including the form of notes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pursuant thereto and form of guarantee notation) (incorporated by reference to Exhibit 4.1 to the Current Report on Form 8-K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Ltd., a Swiss joint-stock corporation (File No. 1-34258), filed April 4, 2012)</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w w:val="98"/>
              </w:rPr>
              <w:t>4.8**</w:t>
            </w:r>
          </w:p>
        </w:tc>
        <w:tc>
          <w:tcPr>
            <w:tcW w:w="960" w:type="dxa"/>
            <w:vAlign w:val="bottom"/>
          </w:tcPr>
          <w:p>
            <w:pPr>
              <w:spacing w:after="0"/>
              <w:rPr>
                <w:sz w:val="16"/>
                <w:szCs w:val="16"/>
                <w:color w:val="auto"/>
              </w:rPr>
            </w:pPr>
          </w:p>
        </w:tc>
        <w:tc>
          <w:tcPr>
            <w:tcW w:w="9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Sixth Supplemental Indenture dated as of August 14, 2012,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and Deutsche Bank Trust Company Americas, to the indenture dated as of October 1, 2003 (incorporated by reference to Exhibit 4.1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the Current Report on Form 8-K of Weatherford International Ltd., a Swiss joint-stock corporation (File No. 1-34258), filed August 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4.9**</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Seventh Supplemental Indenture dated as of March 31, 2013,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and Deutsche Bank Trust Company Americas, to the indenture dated as of October 1, 2003 (incorporated by reference to Exhibit 4.1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the Quarterly Report on Form 10-Q for the quarter ended March 31, 2013 of Weatherford International Ltd., a Swiss joint-stock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corporation (File No. 1-34258), filed May 3, 2013)</w:t>
            </w:r>
          </w:p>
        </w:tc>
        <w:tc>
          <w:tcPr>
            <w:tcW w:w="0" w:type="dxa"/>
            <w:vAlign w:val="bottom"/>
          </w:tcPr>
          <w:p>
            <w:pPr>
              <w:spacing w:after="0"/>
              <w:rPr>
                <w:sz w:val="1"/>
                <w:szCs w:val="1"/>
                <w:color w:val="auto"/>
              </w:rPr>
            </w:pPr>
          </w:p>
        </w:tc>
      </w:tr>
      <w:tr>
        <w:trPr>
          <w:trHeight w:val="306"/>
        </w:trPr>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4.10**</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Eighth Supplemental Indenture dated as of June 17, 2014,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LLC, a Delaware limited liability company, Weatherford International plc, an Irish public limited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Exhibit 4.1 to Weatherford International plc’s Current Report on Form 8-K12B (File No. 1-36504) filed June 17, 2014)</w:t>
            </w:r>
          </w:p>
        </w:tc>
        <w:tc>
          <w:tcPr>
            <w:tcW w:w="0" w:type="dxa"/>
            <w:vAlign w:val="bottom"/>
          </w:tcPr>
          <w:p>
            <w:pPr>
              <w:spacing w:after="0"/>
              <w:rPr>
                <w:sz w:val="1"/>
                <w:szCs w:val="1"/>
                <w:color w:val="auto"/>
              </w:rPr>
            </w:pPr>
          </w:p>
        </w:tc>
      </w:tr>
      <w:tr>
        <w:trPr>
          <w:trHeight w:val="306"/>
        </w:trPr>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4.11**</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Ninth Supplemental Indenture dated as of June 7,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LLC, a Delaware limited liability company, Weatherford International plc, an Irish public limited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Exhibit 4.1 to Weatherford International plc’s Current Report on Form 8-K (File No. 1-36504) filed June 7, 2016)</w:t>
            </w:r>
          </w:p>
        </w:tc>
        <w:tc>
          <w:tcPr>
            <w:tcW w:w="0" w:type="dxa"/>
            <w:vAlign w:val="bottom"/>
          </w:tcPr>
          <w:p>
            <w:pPr>
              <w:spacing w:after="0"/>
              <w:rPr>
                <w:sz w:val="1"/>
                <w:szCs w:val="1"/>
                <w:color w:val="auto"/>
              </w:rPr>
            </w:pPr>
          </w:p>
        </w:tc>
      </w:tr>
      <w:tr>
        <w:trPr>
          <w:trHeight w:val="306"/>
        </w:trPr>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4.12**</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Tenth Supplemental Indenture dated as of June 17,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LLC, a Delaware limited liability company, Weatherford International plc, an Irish public limited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Exhibit 4.1 to Weatherford International plc’s Current Report on Form 8-K (File No. 1-36504) filed June 17, 2016)</w:t>
            </w:r>
          </w:p>
        </w:tc>
        <w:tc>
          <w:tcPr>
            <w:tcW w:w="0" w:type="dxa"/>
            <w:vAlign w:val="bottom"/>
          </w:tcPr>
          <w:p>
            <w:pPr>
              <w:spacing w:after="0"/>
              <w:rPr>
                <w:sz w:val="1"/>
                <w:szCs w:val="1"/>
                <w:color w:val="auto"/>
              </w:rPr>
            </w:pPr>
          </w:p>
        </w:tc>
      </w:tr>
      <w:tr>
        <w:trPr>
          <w:trHeight w:val="306"/>
        </w:trPr>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4.13**</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w w:val="99"/>
              </w:rPr>
              <w:t>Eleventh Supplemental Indenture dated as of November 18,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LLC, a Delaware limited liability company, Weatherford International plc, an Irish public limited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Exhibit 4.1 to Weatherford International plc’s Current Report on Form 8-K (File No. 1-36504) filed November 21, 2016)</w:t>
            </w:r>
          </w:p>
        </w:tc>
        <w:tc>
          <w:tcPr>
            <w:tcW w:w="0" w:type="dxa"/>
            <w:vAlign w:val="bottom"/>
          </w:tcPr>
          <w:p>
            <w:pPr>
              <w:spacing w:after="0"/>
              <w:rPr>
                <w:sz w:val="1"/>
                <w:szCs w:val="1"/>
                <w:color w:val="auto"/>
              </w:rPr>
            </w:pPr>
          </w:p>
        </w:tc>
      </w:tr>
      <w:tr>
        <w:trPr>
          <w:trHeight w:val="306"/>
        </w:trPr>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4.14**</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Indenture dated June 18, 2007, among Weatherford International, LLC, a Delaware limited liability company, Weatherford International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Ltd., a Bermuda exempted company, and Deutsche Bank Trust Company Americas (incorporated by reference to Exhibit 4.1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of Weatherford International Ltd., a Bermuda exempted company (File No. 1-31339), filed June 18, 2007)</w:t>
            </w:r>
          </w:p>
        </w:tc>
        <w:tc>
          <w:tcPr>
            <w:tcW w:w="0" w:type="dxa"/>
            <w:vAlign w:val="bottom"/>
          </w:tcPr>
          <w:p>
            <w:pPr>
              <w:spacing w:after="0"/>
              <w:rPr>
                <w:sz w:val="1"/>
                <w:szCs w:val="1"/>
                <w:color w:val="auto"/>
              </w:rPr>
            </w:pPr>
          </w:p>
        </w:tc>
      </w:tr>
      <w:tr>
        <w:trPr>
          <w:trHeight w:val="306"/>
        </w:trPr>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4.15**</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First Supplemental Indenture dated June 18, 2007, among Weatherford International, LLC, a Delaware limited liability company,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Ltd., a Bermuda exempted company, and Deutsche Bank Trust Company Americas (including the form of</w:t>
            </w:r>
          </w:p>
        </w:tc>
        <w:tc>
          <w:tcPr>
            <w:tcW w:w="0" w:type="dxa"/>
            <w:vAlign w:val="bottom"/>
          </w:tcPr>
          <w:p>
            <w:pPr>
              <w:spacing w:after="0"/>
              <w:rPr>
                <w:sz w:val="1"/>
                <w:szCs w:val="1"/>
                <w:color w:val="auto"/>
              </w:rPr>
            </w:pPr>
          </w:p>
        </w:tc>
      </w:tr>
    </w:tbl>
    <w:p>
      <w:pPr>
        <w:ind w:left="1480" w:right="140"/>
        <w:spacing w:after="0" w:line="261" w:lineRule="auto"/>
        <w:rPr>
          <w:sz w:val="20"/>
          <w:szCs w:val="20"/>
          <w:color w:val="auto"/>
        </w:rPr>
      </w:pPr>
      <w:r>
        <w:rPr>
          <w:rFonts w:ascii="Times New Roman" w:cs="Times New Roman" w:eastAsia="Times New Roman" w:hAnsi="Times New Roman"/>
          <w:sz w:val="18"/>
          <w:szCs w:val="18"/>
          <w:color w:val="auto"/>
        </w:rPr>
        <w:t>notes issued pursuant thereto) (incorporated by reference to Exhibit 4.2 to the Current Report on Form 8-K of Weatherford International Ltd., a Bermuda exempted company (File No. 1-31339), filed June 18, 2007)</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w w:val="80"/>
              </w:rPr>
              <w:t>4.16**</w:t>
            </w:r>
          </w:p>
        </w:tc>
        <w:tc>
          <w:tcPr>
            <w:tcW w:w="960" w:type="dxa"/>
            <w:vAlign w:val="bottom"/>
          </w:tcPr>
          <w:p>
            <w:pPr>
              <w:spacing w:after="0"/>
              <w:rPr>
                <w:sz w:val="16"/>
                <w:szCs w:val="16"/>
                <w:color w:val="auto"/>
              </w:rPr>
            </w:pPr>
          </w:p>
        </w:tc>
        <w:tc>
          <w:tcPr>
            <w:tcW w:w="9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Second Supplemental Indenture dated as of February 26, 2009, among Weatherford International, LLC, a Delaware limited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w w:val="99"/>
              </w:rPr>
              <w:t>company, Weatherford International Ltd., a Bermuda exempted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w w:val="99"/>
              </w:rPr>
              <w:t>and Deutsche Bank Trust Company America (incorporated by reference to Exhibit 4.3 to the Current Report on Form 8-K of Weatherford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Ltd., a Swiss joint-stock corporation (File No. 1-34258), filed February 26, 2009)</w:t>
            </w:r>
          </w:p>
        </w:tc>
        <w:tc>
          <w:tcPr>
            <w:tcW w:w="0" w:type="dxa"/>
            <w:vAlign w:val="bottom"/>
          </w:tcPr>
          <w:p>
            <w:pPr>
              <w:spacing w:after="0"/>
              <w:rPr>
                <w:sz w:val="1"/>
                <w:szCs w:val="1"/>
                <w:color w:val="auto"/>
              </w:rPr>
            </w:pPr>
          </w:p>
        </w:tc>
      </w:tr>
      <w:tr>
        <w:trPr>
          <w:trHeight w:val="306"/>
        </w:trPr>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4.17**</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Third Supplemental Indenture dated as of August 14, 2012, among Weatherford International, LLC, a Delaware limited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w w:val="99"/>
              </w:rPr>
              <w:t>company, Weatherford International Ltd., a Bermuda exempted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and Deutsche Bank Trust Company Americas to the indenture dated as of June 18, 2007 (incorporated by reference to Exhibit 4.2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of Weatherford International Ltd., a Swiss joint-stock corporation (File No. 1-34258), filed August 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306"/>
        </w:trPr>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4.18**</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Fourth Supplemental Indenture dated as of March 31, 2013, among Weatherford International, LLC, a Delaware limited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w w:val="99"/>
              </w:rPr>
              <w:t>company, Weatherford International Ltd., a Bermuda exempted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and Deutsche Bank Trust Company Americas to the indenture dated as of June 18, 2007 (incorporated by reference to Exhibit 4.2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 ended March 31, 2013 of Weatherford International Ltd., a Swiss joint-stock corporation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(File No. 1-34258), filed May 3, 2013)</w:t>
            </w:r>
          </w:p>
        </w:tc>
        <w:tc>
          <w:tcPr>
            <w:tcW w:w="0" w:type="dxa"/>
            <w:vAlign w:val="bottom"/>
          </w:tcPr>
          <w:p>
            <w:pPr>
              <w:spacing w:after="0"/>
              <w:rPr>
                <w:sz w:val="1"/>
                <w:szCs w:val="1"/>
                <w:color w:val="auto"/>
              </w:rPr>
            </w:pPr>
          </w:p>
        </w:tc>
      </w:tr>
      <w:tr>
        <w:trPr>
          <w:trHeight w:val="306"/>
        </w:trPr>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4.19**</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Fifth Supplemental Indenture dated as of June 17, 2014,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Ltd., a Bermuda exempted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Trust Company Americas, as trustee, to the indenture dated as of June 18, 2007 (incorporated by reference to Exhibit 4.2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to Weatherford International plc’s Current Report on Form 8-K12B (File No. 1-36504) filed June 17, 2014)</w:t>
            </w:r>
          </w:p>
        </w:tc>
        <w:tc>
          <w:tcPr>
            <w:tcW w:w="0" w:type="dxa"/>
            <w:vAlign w:val="bottom"/>
          </w:tcPr>
          <w:p>
            <w:pPr>
              <w:spacing w:after="0"/>
              <w:rPr>
                <w:sz w:val="1"/>
                <w:szCs w:val="1"/>
                <w:color w:val="auto"/>
              </w:rPr>
            </w:pPr>
          </w:p>
        </w:tc>
      </w:tr>
      <w:tr>
        <w:trPr>
          <w:trHeight w:val="306"/>
        </w:trPr>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4.20**</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Form of Warrant Agreement dated November 21, 2016, among Weatherford International plc, an Irish public limited company,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holder thereof (incorporated by reference to Exhibit 4.3 to Weatherford International plc’s Current Report on Form 8-K (File No. 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36504) filed November 21, 2016)</w:t>
            </w:r>
          </w:p>
        </w:tc>
        <w:tc>
          <w:tcPr>
            <w:tcW w:w="0" w:type="dxa"/>
            <w:vAlign w:val="bottom"/>
          </w:tcPr>
          <w:p>
            <w:pPr>
              <w:spacing w:after="0"/>
              <w:rPr>
                <w:sz w:val="1"/>
                <w:szCs w:val="1"/>
                <w:color w:val="auto"/>
              </w:rPr>
            </w:pPr>
          </w:p>
        </w:tc>
      </w:tr>
      <w:tr>
        <w:trPr>
          <w:trHeight w:val="306"/>
        </w:trPr>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4.21**</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November 18, 2016,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Ltd., a Bermuda exempted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 (incorporated by reference to Exhibit 4.2 to the Current Report on Form 8-K of Weatherford International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plc, an Irish public limited company (File No. 1-36504), filed November 21, 2016)</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Opinion of Latham &amp; Watkins LLP</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Opinion of Conyers Dill &amp; Pearman Limited</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Opinion of Matheson</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8"/>
              </w:rPr>
              <w:t>12.1*</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23.1**</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Consent of Latham &amp; Watkins LLP (included in its opinion filed as Exhibit 5.1)</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23.2**</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Consent of Conyers Dill &amp; Pearman Limited (included in its opinion filed as Exhibit 5.2)</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23.3**</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Consent of KPMG LLP</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23.4**</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Consent of Matheson (included in its opinion filed as exhibit 5.3 hereto)</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24.1**</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for officers and directors of Weatherford International plc, an Irish public limited company</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94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II-6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9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24.2**</w:t>
            </w:r>
          </w:p>
        </w:tc>
        <w:tc>
          <w:tcPr>
            <w:tcW w:w="1000" w:type="dxa"/>
            <w:vAlign w:val="bottom"/>
          </w:tcPr>
          <w:p>
            <w:pPr>
              <w:spacing w:after="0"/>
              <w:rPr>
                <w:sz w:val="19"/>
                <w:szCs w:val="19"/>
                <w:color w:val="auto"/>
              </w:rPr>
            </w:pPr>
          </w:p>
        </w:tc>
        <w:tc>
          <w:tcPr>
            <w:tcW w:w="9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Power of Attorney for officers and directors of Weatherford International Ltd., a Bermuda exempted company</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24.3**</w:t>
            </w:r>
          </w:p>
        </w:tc>
        <w:tc>
          <w:tcPr>
            <w:tcW w:w="109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Power of Attorney for officers and directors of Weatherford International, LLC, a Delaware limited liability company</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109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Form T-1 Statement of Eligibility under the Trust Indenture Act of 1939 of Deutsche Bank Trust Company Americas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right="9760" w:firstLine="8"/>
        <w:spacing w:after="0" w:line="261" w:lineRule="auto"/>
        <w:tabs>
          <w:tab w:leader="none" w:pos="4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Filed previously.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be filed by amendment or as an exhibit to a document to be incorporated by reference herein in connection with the issuance of the securities.</w:t>
      </w:r>
    </w:p>
    <w:p>
      <w:pPr>
        <w:spacing w:after="0" w:line="35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35" w:lineRule="exact"/>
        <w:rPr>
          <w:sz w:val="20"/>
          <w:szCs w:val="20"/>
          <w:color w:val="auto"/>
        </w:rPr>
      </w:pPr>
    </w:p>
    <w:p>
      <w:pPr>
        <w:ind w:left="900" w:hanging="446"/>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1" w:lineRule="exact"/>
        <w:rPr>
          <w:sz w:val="20"/>
          <w:szCs w:val="20"/>
          <w:color w:val="auto"/>
        </w:rPr>
      </w:pPr>
    </w:p>
    <w:p>
      <w:pPr>
        <w:ind w:left="1480" w:hanging="567"/>
        <w:spacing w:after="0"/>
        <w:tabs>
          <w:tab w:leader="none" w:pos="14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480" w:right="60" w:hanging="567"/>
        <w:spacing w:after="0" w:line="255" w:lineRule="auto"/>
        <w:tabs>
          <w:tab w:leader="none" w:pos="14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volume and price represent no more than a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480" w:right="200" w:hanging="567"/>
        <w:spacing w:after="0" w:line="282" w:lineRule="auto"/>
        <w:tabs>
          <w:tab w:leader="none" w:pos="14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rFonts w:ascii="Times New Roman" w:cs="Times New Roman" w:eastAsia="Times New Roman" w:hAnsi="Times New Roman"/>
          <w:sz w:val="18"/>
          <w:szCs w:val="18"/>
          <w:color w:val="auto"/>
        </w:rPr>
      </w:pPr>
    </w:p>
    <w:p>
      <w:pPr>
        <w:ind w:left="1500" w:righ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do not apply if the information required to be included in a post-effective amendment by those paragraphs is contained in reports filed with or furnished to the SEC by any registrant pursuant to Section 13 or Section 15(d) of the Securities Exchange Act of 1934 that incorporated by reference in the registration statement, or is contained in a form of prospectus filed pursuant to Rule 424(b) that is part of the registration statement.</w:t>
      </w:r>
    </w:p>
    <w:p>
      <w:pPr>
        <w:spacing w:after="0" w:line="87" w:lineRule="exact"/>
        <w:rPr>
          <w:rFonts w:ascii="Times New Roman" w:cs="Times New Roman" w:eastAsia="Times New Roman" w:hAnsi="Times New Roman"/>
          <w:sz w:val="18"/>
          <w:szCs w:val="18"/>
          <w:color w:val="auto"/>
        </w:rPr>
      </w:pPr>
    </w:p>
    <w:p>
      <w:pPr>
        <w:ind w:left="900" w:right="20" w:hanging="446"/>
        <w:spacing w:after="0" w:line="266"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900" w:right="840" w:hanging="446"/>
        <w:spacing w:after="0" w:line="282"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30" w:lineRule="exact"/>
        <w:rPr>
          <w:rFonts w:ascii="Times New Roman" w:cs="Times New Roman" w:eastAsia="Times New Roman" w:hAnsi="Times New Roman"/>
          <w:sz w:val="18"/>
          <w:szCs w:val="18"/>
          <w:color w:val="auto"/>
        </w:rPr>
      </w:pPr>
    </w:p>
    <w:p>
      <w:pPr>
        <w:ind w:left="1480" w:right="100" w:hanging="567"/>
        <w:spacing w:after="0" w:line="282" w:lineRule="auto"/>
        <w:tabs>
          <w:tab w:leader="none" w:pos="14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hanging="567"/>
        <w:spacing w:after="0" w:line="253" w:lineRule="auto"/>
        <w:tabs>
          <w:tab w:leader="none" w:pos="148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6" w:lineRule="exact"/>
        <w:rPr>
          <w:rFonts w:ascii="Times New Roman" w:cs="Times New Roman" w:eastAsia="Times New Roman" w:hAnsi="Times New Roman"/>
          <w:sz w:val="18"/>
          <w:szCs w:val="18"/>
          <w:color w:val="auto"/>
        </w:rPr>
      </w:pPr>
    </w:p>
    <w:p>
      <w:pPr>
        <w:ind w:left="900" w:right="80" w:hanging="446"/>
        <w:spacing w:after="0" w:line="258" w:lineRule="auto"/>
        <w:tabs>
          <w:tab w:leader="none" w:pos="9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of 1933 to any purchaser in the initial distribution of the securities, each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an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1480" w:right="260" w:hanging="567"/>
        <w:spacing w:after="0" w:line="282" w:lineRule="auto"/>
        <w:tabs>
          <w:tab w:leader="none" w:pos="148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registrants or used or referred to by an undersigned registrant;</w:t>
      </w:r>
    </w:p>
    <w:p>
      <w:pPr>
        <w:spacing w:after="0" w:line="67" w:lineRule="exact"/>
        <w:rPr>
          <w:rFonts w:ascii="Times New Roman" w:cs="Times New Roman" w:eastAsia="Times New Roman" w:hAnsi="Times New Roman"/>
          <w:sz w:val="18"/>
          <w:szCs w:val="18"/>
          <w:color w:val="auto"/>
        </w:rPr>
      </w:pPr>
    </w:p>
    <w:p>
      <w:pPr>
        <w:ind w:left="1480" w:right="160" w:hanging="567"/>
        <w:spacing w:after="0" w:line="282" w:lineRule="auto"/>
        <w:tabs>
          <w:tab w:leader="none" w:pos="148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an undersigned registrant or its securities provided by or on behalf of an undersigned registrant; and</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an undersigned registrant to the purchaser.</w:t>
      </w:r>
    </w:p>
    <w:p>
      <w:pPr>
        <w:spacing w:after="0" w:line="130" w:lineRule="exact"/>
        <w:rPr>
          <w:rFonts w:ascii="Times New Roman" w:cs="Times New Roman" w:eastAsia="Times New Roman" w:hAnsi="Times New Roman"/>
          <w:sz w:val="18"/>
          <w:szCs w:val="18"/>
          <w:color w:val="auto"/>
        </w:rPr>
      </w:pPr>
    </w:p>
    <w:p>
      <w:pPr>
        <w:ind w:left="460" w:right="160" w:hanging="452"/>
        <w:spacing w:after="0" w:line="258"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 that, for purposes of determining any liability under the Securities Act of 1933, each filing of a registrant’s annual report pursuant to Section 13(a) or Section 15(d) of the Securities Exchange Act of 1934 (and, w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Times New Roman" w:cs="Times New Roman" w:eastAsia="Times New Roman" w:hAnsi="Times New Roman"/>
          <w:sz w:val="18"/>
          <w:szCs w:val="18"/>
          <w:color w:val="auto"/>
        </w:rPr>
      </w:pPr>
    </w:p>
    <w:p>
      <w:pPr>
        <w:ind w:left="460" w:right="80" w:hanging="452"/>
        <w:spacing w:after="0" w:line="261"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85" w:lineRule="exact"/>
        <w:rPr>
          <w:rFonts w:ascii="Times New Roman" w:cs="Times New Roman" w:eastAsia="Times New Roman" w:hAnsi="Times New Roman"/>
          <w:sz w:val="18"/>
          <w:szCs w:val="18"/>
          <w:color w:val="auto"/>
        </w:rPr>
      </w:pPr>
    </w:p>
    <w:p>
      <w:pPr>
        <w:ind w:left="460" w:right="160" w:hanging="452"/>
        <w:spacing w:after="0" w:line="266"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 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91" w:lineRule="exact"/>
        <w:rPr>
          <w:sz w:val="20"/>
          <w:szCs w:val="20"/>
          <w:color w:val="auto"/>
        </w:rPr>
      </w:pPr>
    </w:p>
    <w:p>
      <w:pPr>
        <w:ind w:left="460" w:right="100" w:hanging="452"/>
        <w:spacing w:after="0" w:line="255"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900" w:right="40" w:hanging="446"/>
        <w:spacing w:after="0" w:line="261" w:lineRule="auto"/>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or 497(h) under the Securities Act shall be deemed to be part of this registration statement as of the time it was declared effective.</w:t>
      </w:r>
    </w:p>
    <w:p>
      <w:pPr>
        <w:spacing w:after="0" w:line="112" w:lineRule="exact"/>
        <w:rPr>
          <w:rFonts w:ascii="Times New Roman" w:cs="Times New Roman" w:eastAsia="Times New Roman" w:hAnsi="Times New Roman"/>
          <w:sz w:val="18"/>
          <w:szCs w:val="18"/>
          <w:color w:val="auto"/>
        </w:rPr>
      </w:pPr>
    </w:p>
    <w:p>
      <w:pPr>
        <w:ind w:left="900" w:right="20" w:hanging="446"/>
        <w:spacing w:after="0" w:line="266" w:lineRule="auto"/>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 to file an application for the purpose of determining the eligibility of the trustee to act under subsection</w:t>
      </w:r>
    </w:p>
    <w:p>
      <w:pPr>
        <w:spacing w:after="0" w:line="27" w:lineRule="exact"/>
        <w:rPr>
          <w:rFonts w:ascii="Times New Roman" w:cs="Times New Roman" w:eastAsia="Times New Roman" w:hAnsi="Times New Roman"/>
          <w:sz w:val="18"/>
          <w:szCs w:val="18"/>
          <w:color w:val="auto"/>
        </w:rPr>
      </w:pPr>
    </w:p>
    <w:p>
      <w:pPr>
        <w:ind w:left="460" w:right="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of Section 310 of the Trust Indenture Act in accordance with the rules and regulations prescribed by the under Section 305(b)(2) of the Trust Indenture Act.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1400"/>
          </w:cols>
          <w:pgMar w:left="240" w:top="455" w:right="2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Irish public limited company)</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Baar, Switzerland on May 3, 2017.</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Christina M. Ibrahim</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-127635</wp:posOffset>
            </wp:positionV>
            <wp:extent cx="2718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color w:val="auto"/>
        </w:rPr>
        <w:t>Executive Vice President, General Counsel and Secretary</w:t>
      </w:r>
    </w:p>
    <w:p>
      <w:pPr>
        <w:spacing w:after="0" w:line="21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Amendment No. 2 to the Registration Statement on Form S-3 (SEC Registration No. 333-216034) has been signed by the following persons in the capacities indicated below on May 3,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5"/>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A. McCollum</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 Bausch</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Douglas M. Mills</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E. Macaulay</w:t>
            </w:r>
          </w:p>
        </w:tc>
        <w:tc>
          <w:tcPr>
            <w:tcW w:w="4060" w:type="dxa"/>
            <w:vAlign w:val="bottom"/>
          </w:tcPr>
          <w:p>
            <w:pPr>
              <w:spacing w:after="0"/>
              <w:rPr>
                <w:sz w:val="19"/>
                <w:szCs w:val="19"/>
                <w:color w:val="auto"/>
              </w:rPr>
            </w:pPr>
          </w:p>
        </w:tc>
      </w:tr>
      <w:tr>
        <w:trPr>
          <w:trHeight w:val="427"/>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Mohamed A. Awad</w:t>
            </w:r>
          </w:p>
        </w:tc>
        <w:tc>
          <w:tcPr>
            <w:tcW w:w="4060" w:type="dxa"/>
            <w:vAlign w:val="bottom"/>
          </w:tcPr>
          <w:p>
            <w:pPr>
              <w:spacing w:after="0"/>
              <w:rPr>
                <w:sz w:val="19"/>
                <w:szCs w:val="19"/>
                <w:color w:val="auto"/>
              </w:rPr>
            </w:pPr>
          </w:p>
        </w:tc>
      </w:tr>
      <w:tr>
        <w:trPr>
          <w:trHeight w:val="427"/>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J. Butters</w:t>
            </w:r>
          </w:p>
        </w:tc>
        <w:tc>
          <w:tcPr>
            <w:tcW w:w="4060" w:type="dxa"/>
            <w:vAlign w:val="bottom"/>
          </w:tcPr>
          <w:p>
            <w:pPr>
              <w:spacing w:after="0"/>
              <w:rPr>
                <w:sz w:val="19"/>
                <w:szCs w:val="19"/>
                <w:color w:val="auto"/>
              </w:rPr>
            </w:pPr>
          </w:p>
        </w:tc>
      </w:tr>
    </w:tbl>
    <w:p>
      <w:pPr>
        <w:sectPr>
          <w:pgSz w:w="11900" w:h="16838" w:orient="portrait"/>
          <w:cols w:equalWidth="0" w:num="1">
            <w:col w:w="11380"/>
          </w:cols>
          <w:pgMar w:left="240" w:top="455" w:right="27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0"/>
                <w:szCs w:val="20"/>
                <w:color w:val="auto"/>
              </w:rPr>
            </w:pPr>
          </w:p>
        </w:tc>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rPr>
              <w:t>John D. Gass</w:t>
            </w:r>
          </w:p>
        </w:tc>
        <w:tc>
          <w:tcPr>
            <w:tcW w:w="250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rPr>
              <w:t>Sir Emyr Jones Parry</w:t>
            </w:r>
          </w:p>
        </w:tc>
        <w:tc>
          <w:tcPr>
            <w:tcW w:w="250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rPr>
              <w:t>Francis S. Kalman</w:t>
            </w:r>
          </w:p>
        </w:tc>
        <w:tc>
          <w:tcPr>
            <w:tcW w:w="250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9"/>
              </w:rPr>
              <w:t>Robert K. Moses, Jr.</w:t>
            </w:r>
          </w:p>
        </w:tc>
        <w:tc>
          <w:tcPr>
            <w:tcW w:w="250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8"/>
              </w:rPr>
              <w:t>Dr. Guillermo Ortiz</w:t>
            </w:r>
          </w:p>
        </w:tc>
        <w:tc>
          <w:tcPr>
            <w:tcW w:w="250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rPr>
              <w:t>Robert A. Rayne</w:t>
            </w:r>
          </w:p>
        </w:tc>
        <w:tc>
          <w:tcPr>
            <w:tcW w:w="250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Authorized U.S. Representative</w:t>
            </w:r>
          </w:p>
        </w:tc>
      </w:tr>
      <w:tr>
        <w:trPr>
          <w:trHeight w:val="228"/>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rPr>
              <w:t>Charity R. Kohl</w:t>
            </w:r>
          </w:p>
        </w:tc>
        <w:tc>
          <w:tcPr>
            <w:tcW w:w="2500" w:type="dxa"/>
            <w:vAlign w:val="bottom"/>
          </w:tcPr>
          <w:p>
            <w:pPr>
              <w:spacing w:after="0"/>
              <w:rPr>
                <w:sz w:val="19"/>
                <w:szCs w:val="19"/>
                <w:color w:val="auto"/>
              </w:rPr>
            </w:pPr>
          </w:p>
        </w:tc>
      </w:tr>
      <w:tr>
        <w:trPr>
          <w:trHeight w:val="670"/>
        </w:trPr>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Christina M. Ibrahim</w:t>
            </w:r>
          </w:p>
        </w:tc>
        <w:tc>
          <w:tcPr>
            <w:tcW w:w="2500" w:type="dxa"/>
            <w:vAlign w:val="bottom"/>
          </w:tcPr>
          <w:p>
            <w:pPr>
              <w:spacing w:after="0"/>
              <w:rPr>
                <w:sz w:val="24"/>
                <w:szCs w:val="24"/>
                <w:color w:val="auto"/>
              </w:rPr>
            </w:pPr>
          </w:p>
        </w:tc>
      </w:tr>
      <w:tr>
        <w:trPr>
          <w:trHeight w:val="205"/>
        </w:trPr>
        <w:tc>
          <w:tcPr>
            <w:tcW w:w="480" w:type="dxa"/>
            <w:vAlign w:val="bottom"/>
          </w:tcPr>
          <w:p>
            <w:pPr>
              <w:spacing w:after="0"/>
              <w:rPr>
                <w:sz w:val="17"/>
                <w:szCs w:val="17"/>
                <w:color w:val="auto"/>
              </w:rPr>
            </w:pPr>
          </w:p>
        </w:tc>
        <w:tc>
          <w:tcPr>
            <w:tcW w:w="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54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Christina M. Ibrahim</w:t>
            </w:r>
          </w:p>
        </w:tc>
        <w:tc>
          <w:tcPr>
            <w:tcW w:w="60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34"/>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Attorney in Fact</w:t>
            </w:r>
          </w:p>
        </w:tc>
        <w:tc>
          <w:tcPr>
            <w:tcW w:w="2500" w:type="dxa"/>
            <w:vAlign w:val="bottom"/>
          </w:tcPr>
          <w:p>
            <w:pPr>
              <w:spacing w:after="0"/>
              <w:rPr>
                <w:sz w:val="20"/>
                <w:szCs w:val="20"/>
                <w:color w:val="auto"/>
              </w:rPr>
            </w:pPr>
          </w:p>
        </w:tc>
      </w:tr>
    </w:tbl>
    <w:p>
      <w:pPr>
        <w:sectPr>
          <w:pgSz w:w="11900" w:h="16838" w:orient="portrait"/>
          <w:cols w:equalWidth="0" w:num="1">
            <w:col w:w="10219"/>
          </w:cols>
          <w:pgMar w:left="240" w:top="455" w:right="1440"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Weatherford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Bermuda exempted company)</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Houston, Texas on May 3, 2017.</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WEATHERFORD INTERNATIONAL LTD.</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Douglas M. Mills</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Douglas M.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Amendment No. 2 to the Registration Statement on Form S-3 (SEC Registration No. 333-216034) has been signed by the following persons in the capacities indicated below on May 3,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5"/>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Douglas M. Mills</w:t>
            </w: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78"/>
        </w:trPr>
        <w:tc>
          <w:tcPr>
            <w:tcW w:w="51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rPr>
              <w:t>Douglas M. Mills</w:t>
            </w:r>
          </w:p>
        </w:tc>
        <w:tc>
          <w:tcPr>
            <w:tcW w:w="6140" w:type="dxa"/>
            <w:vAlign w:val="bottom"/>
          </w:tcPr>
          <w:p>
            <w:pPr>
              <w:ind w:left="220"/>
              <w:spacing w:after="0" w:line="178" w:lineRule="exact"/>
              <w:rPr>
                <w:sz w:val="20"/>
                <w:szCs w:val="20"/>
                <w:color w:val="auto"/>
              </w:rPr>
            </w:pPr>
            <w:r>
              <w:rPr>
                <w:rFonts w:ascii="Times New Roman" w:cs="Times New Roman" w:eastAsia="Times New Roman" w:hAnsi="Times New Roman"/>
                <w:sz w:val="18"/>
                <w:szCs w:val="18"/>
                <w:color w:val="auto"/>
                <w:w w:val="99"/>
              </w:rPr>
              <w:t>(Principal Executive Officer, Principal Financial Officer and Principal Accounting</w:t>
            </w:r>
          </w:p>
        </w:tc>
      </w:tr>
      <w:tr>
        <w:trPr>
          <w:trHeight w:val="234"/>
        </w:trPr>
        <w:tc>
          <w:tcPr>
            <w:tcW w:w="5180" w:type="dxa"/>
            <w:vAlign w:val="bottom"/>
          </w:tcPr>
          <w:p>
            <w:pPr>
              <w:spacing w:after="0"/>
              <w:rPr>
                <w:sz w:val="20"/>
                <w:szCs w:val="20"/>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w:t>
            </w:r>
          </w:p>
        </w:tc>
      </w:tr>
      <w:tr>
        <w:trPr>
          <w:trHeight w:val="446"/>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Charity R. Kohl</w:t>
            </w: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President, Assistant Secretary and Authorized U.S. Representative</w:t>
            </w:r>
          </w:p>
        </w:tc>
      </w:tr>
      <w:tr>
        <w:trPr>
          <w:trHeight w:val="228"/>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Charity R. Kohl</w:t>
            </w:r>
          </w:p>
        </w:tc>
        <w:tc>
          <w:tcPr>
            <w:tcW w:w="6140" w:type="dxa"/>
            <w:vAlign w:val="bottom"/>
          </w:tcPr>
          <w:p>
            <w:pPr>
              <w:spacing w:after="0"/>
              <w:rPr>
                <w:sz w:val="19"/>
                <w:szCs w:val="19"/>
                <w:color w:val="auto"/>
              </w:rPr>
            </w:pPr>
          </w:p>
        </w:tc>
      </w:tr>
    </w:tbl>
    <w:p>
      <w:pPr>
        <w:sectPr>
          <w:pgSz w:w="11900" w:h="16838" w:orient="portrait"/>
          <w:cols w:equalWidth="0" w:num="1">
            <w:col w:w="11380"/>
          </w:cols>
          <w:pgMar w:left="240" w:top="455" w:right="2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Weatherford International,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Houston, Texas on May 3, 2017.</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WEATHERFORD INTERNATIONAL, LLC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E. Kyle Chapman</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 Kyle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Amendment No. 2 to the Registration Statement on Form S-3 (SEC Registration No. 333-216034) has been signed by the following persons in the capacities indicated below on May 3,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5"/>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/s/ E. Kyle Chapman</w:t>
            </w:r>
          </w:p>
        </w:tc>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w:t>
            </w:r>
          </w:p>
        </w:tc>
      </w:tr>
      <w:tr>
        <w:trPr>
          <w:trHeight w:val="228"/>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9"/>
              </w:rPr>
              <w:t>E. Kyle Chapman</w:t>
            </w:r>
          </w:p>
        </w:tc>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r>
        <w:trPr>
          <w:trHeight w:val="228"/>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rPr>
              <w:t>Kyle R. Pounds</w:t>
            </w:r>
          </w:p>
        </w:tc>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670"/>
        </w:trPr>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Charity R. Kohl</w:t>
            </w:r>
          </w:p>
        </w:tc>
        <w:tc>
          <w:tcPr>
            <w:tcW w:w="4700" w:type="dxa"/>
            <w:vAlign w:val="bottom"/>
          </w:tcPr>
          <w:p>
            <w:pPr>
              <w:spacing w:after="0"/>
              <w:rPr>
                <w:sz w:val="24"/>
                <w:szCs w:val="24"/>
                <w:color w:val="auto"/>
              </w:rPr>
            </w:pPr>
          </w:p>
        </w:tc>
      </w:tr>
      <w:tr>
        <w:trPr>
          <w:trHeight w:val="205"/>
        </w:trPr>
        <w:tc>
          <w:tcPr>
            <w:tcW w:w="480" w:type="dxa"/>
            <w:vAlign w:val="bottom"/>
          </w:tcPr>
          <w:p>
            <w:pPr>
              <w:spacing w:after="0"/>
              <w:rPr>
                <w:sz w:val="17"/>
                <w:szCs w:val="17"/>
                <w:color w:val="auto"/>
              </w:rPr>
            </w:pPr>
          </w:p>
        </w:tc>
        <w:tc>
          <w:tcPr>
            <w:tcW w:w="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54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Charity R. Kohl</w:t>
            </w:r>
          </w:p>
        </w:tc>
        <w:tc>
          <w:tcPr>
            <w:tcW w:w="60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234"/>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Attorney in Fact</w:t>
            </w:r>
          </w:p>
        </w:tc>
        <w:tc>
          <w:tcPr>
            <w:tcW w:w="4700" w:type="dxa"/>
            <w:vAlign w:val="bottom"/>
          </w:tcPr>
          <w:p>
            <w:pPr>
              <w:spacing w:after="0"/>
              <w:rPr>
                <w:sz w:val="20"/>
                <w:szCs w:val="20"/>
                <w:color w:val="auto"/>
              </w:rPr>
            </w:pPr>
          </w:p>
        </w:tc>
      </w:tr>
    </w:tbl>
    <w:p>
      <w:pPr>
        <w:sectPr>
          <w:pgSz w:w="11900" w:h="16838" w:orient="portrait"/>
          <w:cols w:equalWidth="0" w:num="1">
            <w:col w:w="11380"/>
          </w:cols>
          <w:pgMar w:left="240" w:top="455" w:right="2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6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7"/>
        </w:trPr>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0"/>
              </w:rPr>
              <w:t>1.1***</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7"/>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2.1**</w:t>
            </w:r>
          </w:p>
        </w:tc>
        <w:tc>
          <w:tcPr>
            <w:tcW w:w="500" w:type="dxa"/>
            <w:vAlign w:val="bottom"/>
          </w:tcPr>
          <w:p>
            <w:pPr>
              <w:spacing w:after="0"/>
              <w:rPr>
                <w:sz w:val="24"/>
                <w:szCs w:val="24"/>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Merger Agreement dated April 2, 2014, between Weatherford International Ltd., a Swiss joint stock corporation and Weatherford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International Limited, an Ireland limited liability company (incorporated by reference to Exhibit 2.1 to Weatherford International Ltd.’s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Current Report on Form 8-K (File No. 1-34258) filed on April 2, 2014)</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3.1**</w:t>
            </w:r>
          </w:p>
        </w:tc>
        <w:tc>
          <w:tcPr>
            <w:tcW w:w="500" w:type="dxa"/>
            <w:vAlign w:val="bottom"/>
          </w:tcPr>
          <w:p>
            <w:pPr>
              <w:spacing w:after="0"/>
              <w:rPr>
                <w:sz w:val="24"/>
                <w:szCs w:val="24"/>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Memorandum and Articles of Association of Weatherford International plc, an Irish public limited company (incorporated by reference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Exhibit 3.1 to Weatherford International plc’s Current Report on Form 8-K12B (File No. 1-36504) filed June 17, 2014)</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3.2**</w:t>
            </w:r>
          </w:p>
        </w:tc>
        <w:tc>
          <w:tcPr>
            <w:tcW w:w="500" w:type="dxa"/>
            <w:vAlign w:val="bottom"/>
          </w:tcPr>
          <w:p>
            <w:pPr>
              <w:spacing w:after="0"/>
              <w:rPr>
                <w:sz w:val="24"/>
                <w:szCs w:val="24"/>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Memorandum of Association of Weatherford International Ltd., a Bermuda exempted company (incorporated by reference to Annex II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proxy statement/prospectus included in Amendment No. 1 to the Registration Statement on Form S-4 of Weatherford International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Ltd., a Bermuda exempted company (File No. 333-85644) filed May 22, 2002)</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3.3**</w:t>
            </w:r>
          </w:p>
        </w:tc>
        <w:tc>
          <w:tcPr>
            <w:tcW w:w="500" w:type="dxa"/>
            <w:vAlign w:val="bottom"/>
          </w:tcPr>
          <w:p>
            <w:pPr>
              <w:spacing w:after="0"/>
              <w:rPr>
                <w:sz w:val="24"/>
                <w:szCs w:val="24"/>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Certificate of Deposit of Memorandum of Increase of Share Capital of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(incorporated by reference to Annex II to the proxy statement/prospectus included in Amendment No. 1 to the Registration Statement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Form S-4 of Weatherford International Ltd., a Bermuda exempted company (File No. 333-85644), filed May 22, 2002)</w:t>
            </w:r>
          </w:p>
        </w:tc>
        <w:tc>
          <w:tcPr>
            <w:tcW w:w="0" w:type="dxa"/>
            <w:vAlign w:val="bottom"/>
          </w:tcPr>
          <w:p>
            <w:pPr>
              <w:spacing w:after="0"/>
              <w:rPr>
                <w:sz w:val="1"/>
                <w:szCs w:val="1"/>
                <w:color w:val="auto"/>
              </w:rPr>
            </w:pPr>
          </w:p>
        </w:tc>
      </w:tr>
      <w:tr>
        <w:trPr>
          <w:trHeight w:val="324"/>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3.4**</w:t>
            </w:r>
          </w:p>
        </w:tc>
        <w:tc>
          <w:tcPr>
            <w:tcW w:w="500" w:type="dxa"/>
            <w:vAlign w:val="bottom"/>
          </w:tcPr>
          <w:p>
            <w:pPr>
              <w:spacing w:after="0"/>
              <w:rPr>
                <w:sz w:val="24"/>
                <w:szCs w:val="24"/>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Bye-Laws of Weatherford International Ltd., a Bermuda exempted company, as amended on May 10, 2016</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3.5**</w:t>
            </w:r>
          </w:p>
        </w:tc>
        <w:tc>
          <w:tcPr>
            <w:tcW w:w="500" w:type="dxa"/>
            <w:vAlign w:val="bottom"/>
          </w:tcPr>
          <w:p>
            <w:pPr>
              <w:spacing w:after="0"/>
              <w:rPr>
                <w:sz w:val="24"/>
                <w:szCs w:val="24"/>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Certificate of Assistant Secretary of Weatherford International Ltd., a Bermuda exempted company, as to the adoption of a resolution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increasing authorized share capital (incorporated by reference to Exhibit 4.1 to the Current Report on Form 8-K of Weatherford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International Ltd., a Bermuda exempted company (File No. 1-31339), filed May 15, 2006)</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3.6**</w:t>
            </w:r>
          </w:p>
        </w:tc>
        <w:tc>
          <w:tcPr>
            <w:tcW w:w="500" w:type="dxa"/>
            <w:vAlign w:val="bottom"/>
          </w:tcPr>
          <w:p>
            <w:pPr>
              <w:spacing w:after="0"/>
              <w:rPr>
                <w:sz w:val="24"/>
                <w:szCs w:val="24"/>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Certificate of Formation of Weatherford International, LLC, a Delaware limited liability company (incorporated by reference to Exhibit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4.7 to the Registration Statement on Form S-3 of Weatherford International Ltd., a Swiss joint-stock corporation (File No. 333-194431),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filed March 7, 2014)</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3.7**</w:t>
            </w:r>
          </w:p>
        </w:tc>
        <w:tc>
          <w:tcPr>
            <w:tcW w:w="500" w:type="dxa"/>
            <w:vAlign w:val="bottom"/>
          </w:tcPr>
          <w:p>
            <w:pPr>
              <w:spacing w:after="0"/>
              <w:rPr>
                <w:sz w:val="24"/>
                <w:szCs w:val="24"/>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Limited Liability Company Agreement of Weatherford International, LLC, a Delaware limited liability company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reference to Exhibit 4.8 to the Registration Statement on Form S-3 of Weatherford International Ltd., a Swiss joint-stock corporation (File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 333-194431), filed March 7, 2014)</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4.1**</w:t>
            </w:r>
          </w:p>
        </w:tc>
        <w:tc>
          <w:tcPr>
            <w:tcW w:w="500" w:type="dxa"/>
            <w:vAlign w:val="bottom"/>
          </w:tcPr>
          <w:p>
            <w:pPr>
              <w:spacing w:after="0"/>
              <w:rPr>
                <w:sz w:val="24"/>
                <w:szCs w:val="24"/>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Certificate of Assistant Secretary of Weatherford International Ltd., a Bermuda exempted company, as to the adoption of a resolution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increasing authorized share capital (incorporated by reference to Exhibit 4.1 to the Current Report on Form-8-K of Weatherford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International Ltd., a Bermuda exempted company (File No. 1-31339), filed May 15, 2006)</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4.2**</w:t>
            </w:r>
          </w:p>
        </w:tc>
        <w:tc>
          <w:tcPr>
            <w:tcW w:w="500" w:type="dxa"/>
            <w:vAlign w:val="bottom"/>
          </w:tcPr>
          <w:p>
            <w:pPr>
              <w:spacing w:after="0"/>
              <w:rPr>
                <w:sz w:val="24"/>
                <w:szCs w:val="24"/>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Indenture dated October 1, 2003, among Weatherford International Ltd., a Bermuda exempted company, Weatherford International,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 Delaware limited liability company, and Deutsche Bank Trust Company Americas, as trustee (incorporated by reference to Exhibit 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 Current Report on Form 8-K of Weatherford International Ltd., a Bermuda exempted company (File No. 1-31339), filed October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4.3**</w:t>
            </w:r>
          </w:p>
        </w:tc>
        <w:tc>
          <w:tcPr>
            <w:tcW w:w="500" w:type="dxa"/>
            <w:vAlign w:val="bottom"/>
          </w:tcPr>
          <w:p>
            <w:pPr>
              <w:spacing w:after="0"/>
              <w:rPr>
                <w:sz w:val="24"/>
                <w:szCs w:val="24"/>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First Supplemental Indenture dated March 25, 2008, among Weatherford International Ltd., a Bermuda exempted company, Weatherford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International, LLC, a Delaware limited liability company, and Deutsche Bank Trust Company Americas, as trustee, to the Indenture dated</w:t>
            </w:r>
          </w:p>
        </w:tc>
        <w:tc>
          <w:tcPr>
            <w:tcW w:w="0" w:type="dxa"/>
            <w:vAlign w:val="bottom"/>
          </w:tcPr>
          <w:p>
            <w:pPr>
              <w:spacing w:after="0"/>
              <w:rPr>
                <w:sz w:val="1"/>
                <w:szCs w:val="1"/>
                <w:color w:val="auto"/>
              </w:rPr>
            </w:pPr>
          </w:p>
        </w:tc>
      </w:tr>
    </w:tbl>
    <w:p>
      <w:pPr>
        <w:ind w:left="1460" w:right="180"/>
        <w:spacing w:after="0" w:line="261" w:lineRule="auto"/>
        <w:rPr>
          <w:sz w:val="20"/>
          <w:szCs w:val="20"/>
          <w:color w:val="auto"/>
        </w:rPr>
      </w:pPr>
      <w:r>
        <w:rPr>
          <w:rFonts w:ascii="Times New Roman" w:cs="Times New Roman" w:eastAsia="Times New Roman" w:hAnsi="Times New Roman"/>
          <w:sz w:val="18"/>
          <w:szCs w:val="18"/>
          <w:color w:val="auto"/>
        </w:rPr>
        <w:t>October 1, 2003 (including the form of notes issued pursuant thereto) (incorporated by reference to Exhibit 4.1 to the Current Report on Form 8-K of Weatherford International Ltd., a Bermuda exempted company (File No. 1-31339), filed March 25, 2008)</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w w:val="98"/>
              </w:rPr>
              <w:t>4.4**</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Second Supplemental Indenture dated January 8, 2009, among Weatherford International Ltd., a Bermuda exempted company, Weatherford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International, LLC, a Delaware limited liability company, and Deutsche Bank Trust Company Americas, as trustee, to the Indenture 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October 1, 2003 (including the form of notes issued pursuant thereto) (incorporated by reference to Exhibit 4.1 to the Current Report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Form 8-K of Weatherford International Ltd., a Bermuda exempted company (File No. 1-31339), filed January 8, 2009)</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4.5**</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Third Supplemental Indenture dated February 26, 2009,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Deutsche Bank Trust Company Americas, as trustee, to the Indenture dated as of October 1, 2003 (incorporated by reference to Exhibit 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 the Current Report on Form 8-K12B of Weatherford International Ltd., a Swiss joint-stock corporation (File No. 1-34258), filed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February 26, 2009)</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4.6**</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Fourth Supplemental Indenture dated as of September 23, 2010,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Deutsche Bank Trust Company Americas, as trustee, to the Indenture dated as of October 1, 2003 (including the form of notes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pursuant thereto and form of guarantee notation) (incorporated by reference to Exhibit 4.1 to the Quarterly Report on Form 10-Q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Weatherford International Ltd., a Swiss joint-stock corporation (File No. 1-34258) for the quarter ended September 30, 2010, filed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November 2, 2010)</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4.7**</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Form of Fifth Supplemental Indenture dated April 4, 2012,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Deutsche Bank Trust Company Americas, as trustee, to the Indenture dated as of October 1, 2003 (including the form of notes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pursuant thereto and form of guarantee notation) (incorporated by reference to Exhibit 4.1 to the Current Report on Form 8-K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Weatherford International Ltd., a Swiss joint-stock corporation (File No. 1-34258), filed April 4, 2012)</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4.8**</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Sixth Supplemental Indenture dated as of August 14, 2012,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Deutsche Bank Trust Company Americas, to the indenture dated as of October 1, 2003 (incorporated by reference to Exhibit 4.1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Current Report on Form 8-K of Weatherford International Ltd., a Swiss joint-stock corporation (File No. 1-34258), filed August 14, 2012)</w:t>
            </w:r>
          </w:p>
        </w:tc>
        <w:tc>
          <w:tcPr>
            <w:tcW w:w="0" w:type="dxa"/>
            <w:vAlign w:val="bottom"/>
          </w:tcPr>
          <w:p>
            <w:pPr>
              <w:spacing w:after="0"/>
              <w:rPr>
                <w:sz w:val="1"/>
                <w:szCs w:val="1"/>
                <w:color w:val="auto"/>
              </w:rPr>
            </w:pPr>
          </w:p>
        </w:tc>
      </w:tr>
      <w:tr>
        <w:trPr>
          <w:trHeight w:val="306"/>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4.9**</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Seventh Supplemental Indenture dated as of March 31, 2013,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Deutsche Bank Trust Company Americas, to the indenture dated as of October 1, 2003 (incorporated by reference to Exhibit 4.1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Quarterly Report on Form 10-Q for the quarter ended March 31, 2013 of Weatherford International Ltd., a Swiss joint-stock corporation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(File No. 1-34258), filed May 3, 2013)</w:t>
            </w:r>
          </w:p>
        </w:tc>
        <w:tc>
          <w:tcPr>
            <w:tcW w:w="0" w:type="dxa"/>
            <w:vAlign w:val="bottom"/>
          </w:tcPr>
          <w:p>
            <w:pPr>
              <w:spacing w:after="0"/>
              <w:rPr>
                <w:sz w:val="1"/>
                <w:szCs w:val="1"/>
                <w:color w:val="auto"/>
              </w:rPr>
            </w:pPr>
          </w:p>
        </w:tc>
      </w:tr>
      <w:tr>
        <w:trPr>
          <w:trHeight w:val="306"/>
        </w:trPr>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4.10**</w:t>
            </w: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Eighth Supplemental Indenture dated as of June 17, 2014,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Weatherford International, LLC, a Delaware limited liability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Deutsche Bank Trust Company Americas, as trustee, to the indenture dated as of October 1, 2003 (incorporated by reference to Exhibit 4.1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 Weatherford International plc’s Current Report on Form 8-K12B (File No. 1-36504) filed June 17, 2014)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w w:val="80"/>
              </w:rPr>
              <w:t>4.11**</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Ninth Supplemental Indenture dated as of June 7,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Weatherford International, LLC, a Delaware limited liability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Deutsche Bank Trust Company Americas, as trustee, to the indenture dated as of October 1, 2003 (incorporated by reference to Exhibit 4.1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 Weatherford International plc’s Current Report on Form 8-K (File No. 1-36504) filed June 7, 2016)</w:t>
            </w:r>
          </w:p>
        </w:tc>
        <w:tc>
          <w:tcPr>
            <w:tcW w:w="0" w:type="dxa"/>
            <w:vAlign w:val="bottom"/>
          </w:tcPr>
          <w:p>
            <w:pPr>
              <w:spacing w:after="0"/>
              <w:rPr>
                <w:sz w:val="1"/>
                <w:szCs w:val="1"/>
                <w:color w:val="auto"/>
              </w:rPr>
            </w:pPr>
          </w:p>
        </w:tc>
      </w:tr>
      <w:tr>
        <w:trPr>
          <w:trHeight w:val="306"/>
        </w:trPr>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4.12**</w:t>
            </w: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Tenth Supplemental Indenture dated as of June 17,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Weatherford International, LLC, a Delaware limited liability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Deutsche Bank Trust Company Americas, as trustee, to the indenture dated as of October 1, 2003 (incorporated by reference to Exhibit 4.1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 Weatherford International plc’s Current Report on Form 8-K (File No. 1-36504) filed June 17, 2016)</w:t>
            </w:r>
          </w:p>
        </w:tc>
        <w:tc>
          <w:tcPr>
            <w:tcW w:w="0" w:type="dxa"/>
            <w:vAlign w:val="bottom"/>
          </w:tcPr>
          <w:p>
            <w:pPr>
              <w:spacing w:after="0"/>
              <w:rPr>
                <w:sz w:val="1"/>
                <w:szCs w:val="1"/>
                <w:color w:val="auto"/>
              </w:rPr>
            </w:pPr>
          </w:p>
        </w:tc>
      </w:tr>
      <w:tr>
        <w:trPr>
          <w:trHeight w:val="306"/>
        </w:trPr>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4.13**</w:t>
            </w: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Eleventh Supplemental Indenture dated as of November 18,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Weatherford International, LLC, a Delaware limited liability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Deutsche Bank Trust Company Americas, as trustee, to the indenture dated as of October 1, 2003 (incorporated by reference to Exhibit 4.1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 Weatherford International plc’s Current Report on Form 8-K (File No. 1-36504) filed November 21, 2016)</w:t>
            </w:r>
          </w:p>
        </w:tc>
        <w:tc>
          <w:tcPr>
            <w:tcW w:w="0" w:type="dxa"/>
            <w:vAlign w:val="bottom"/>
          </w:tcPr>
          <w:p>
            <w:pPr>
              <w:spacing w:after="0"/>
              <w:rPr>
                <w:sz w:val="1"/>
                <w:szCs w:val="1"/>
                <w:color w:val="auto"/>
              </w:rPr>
            </w:pPr>
          </w:p>
        </w:tc>
      </w:tr>
      <w:tr>
        <w:trPr>
          <w:trHeight w:val="306"/>
        </w:trPr>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4.14**</w:t>
            </w: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Indenture dated June 18, 2007, among Weatherford International, LLC, a Delaware limited liability company, Weatherford International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Ltd., a Bermuda exempted company, and Deutsche Bank Trust Company Americas (incorporated by reference to Exhibit 4.1 to the Current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Report on Form 8-K of Weatherford International Ltd., a Bermuda exempted company (File No. 1-31339), filed June 18, 2007)</w:t>
            </w:r>
          </w:p>
        </w:tc>
        <w:tc>
          <w:tcPr>
            <w:tcW w:w="0" w:type="dxa"/>
            <w:vAlign w:val="bottom"/>
          </w:tcPr>
          <w:p>
            <w:pPr>
              <w:spacing w:after="0"/>
              <w:rPr>
                <w:sz w:val="1"/>
                <w:szCs w:val="1"/>
                <w:color w:val="auto"/>
              </w:rPr>
            </w:pPr>
          </w:p>
        </w:tc>
      </w:tr>
      <w:tr>
        <w:trPr>
          <w:trHeight w:val="306"/>
        </w:trPr>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4.15**</w:t>
            </w: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First Supplemental Indenture dated June 18, 2007,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Weatherford International Ltd., a Bermuda exempted company, and Deutsche Bank Trust Company Americas (including the form of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issued pursuant thereto) (incorporated by reference to Exhibit 4.2 to the Current Report on Form 8-K of Weatherford International Ltd.,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Bermuda exempted company (File No. 1-31339), filed June 18, 2007)</w:t>
            </w:r>
          </w:p>
        </w:tc>
        <w:tc>
          <w:tcPr>
            <w:tcW w:w="0" w:type="dxa"/>
            <w:vAlign w:val="bottom"/>
          </w:tcPr>
          <w:p>
            <w:pPr>
              <w:spacing w:after="0"/>
              <w:rPr>
                <w:sz w:val="1"/>
                <w:szCs w:val="1"/>
                <w:color w:val="auto"/>
              </w:rPr>
            </w:pPr>
          </w:p>
        </w:tc>
      </w:tr>
      <w:tr>
        <w:trPr>
          <w:trHeight w:val="306"/>
        </w:trPr>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4.16**</w:t>
            </w: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Second Supplemental Indenture dated as of February 26, 2009, among Weatherford International, LLC, a Delaware limited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company, Weatherford International Ltd., a Bermuda exempted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and Deutsche Bank Trust Company America (incorporated by reference to Exhibit 4.3 to the Current Report on Form 8-K of Weatherford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International Ltd., a Swiss joint-stock corporation (File No. 1-34258), filed February 26, 2009)</w:t>
            </w:r>
          </w:p>
        </w:tc>
        <w:tc>
          <w:tcPr>
            <w:tcW w:w="0" w:type="dxa"/>
            <w:vAlign w:val="bottom"/>
          </w:tcPr>
          <w:p>
            <w:pPr>
              <w:spacing w:after="0"/>
              <w:rPr>
                <w:sz w:val="1"/>
                <w:szCs w:val="1"/>
                <w:color w:val="auto"/>
              </w:rPr>
            </w:pPr>
          </w:p>
        </w:tc>
      </w:tr>
      <w:tr>
        <w:trPr>
          <w:trHeight w:val="306"/>
        </w:trPr>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4.17**</w:t>
            </w: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Third Supplemental Indenture dated as of August 14, 2012,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Weatherford International Ltd., a Bermuda exempted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Deutsche Bank Trust Company Americas to the indenture dated as of June 18, 2007 (incorporated by reference to Exhibit 4.2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Current Report on Form 8-K of Weatherford International Ltd., a Swiss joint-stock corporation (File No. 1-34258), filed August 14, 2012)</w:t>
            </w:r>
          </w:p>
        </w:tc>
        <w:tc>
          <w:tcPr>
            <w:tcW w:w="0" w:type="dxa"/>
            <w:vAlign w:val="bottom"/>
          </w:tcPr>
          <w:p>
            <w:pPr>
              <w:spacing w:after="0"/>
              <w:rPr>
                <w:sz w:val="1"/>
                <w:szCs w:val="1"/>
                <w:color w:val="auto"/>
              </w:rPr>
            </w:pPr>
          </w:p>
        </w:tc>
      </w:tr>
      <w:tr>
        <w:trPr>
          <w:trHeight w:val="306"/>
        </w:trPr>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4.18**</w:t>
            </w: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Fourth Supplemental Indenture dated as of March 31, 2013,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Weatherford International Ltd., a Bermuda exempted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Deutsche Bank Trust Company Americas to the indenture dated as of June 18, 2007 (incorporated by reference to Exhibit 4.2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Quarterly Report on Form 10-Q for the quarter ended March 31, 2013 of Weatherford International Ltd., a Swiss joint-stock corporation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(File No. 1-34258), filed May 3, 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w w:val="80"/>
              </w:rPr>
              <w:t>4.19**</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Fifth Supplemental Indenture dated as of June 17, 2014,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Weatherford International Ltd., a Bermuda exempted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Deutsche Bank Trust Company Americas, as trustee, to the indenture dated as of June 18, 2007 (incorporated by reference to Exhibit 4.2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Weatherford International plc’s Current Report on Form 8-K12B (File No. 1-36504) filed June 17, 2014)</w:t>
            </w:r>
          </w:p>
        </w:tc>
        <w:tc>
          <w:tcPr>
            <w:tcW w:w="0" w:type="dxa"/>
            <w:vAlign w:val="bottom"/>
          </w:tcPr>
          <w:p>
            <w:pPr>
              <w:spacing w:after="0"/>
              <w:rPr>
                <w:sz w:val="1"/>
                <w:szCs w:val="1"/>
                <w:color w:val="auto"/>
              </w:rPr>
            </w:pPr>
          </w:p>
        </w:tc>
      </w:tr>
      <w:tr>
        <w:trPr>
          <w:trHeight w:val="306"/>
        </w:trPr>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4.20**</w:t>
            </w: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Form of Warrant Agreement dated November 21, 2016, among Weatherford International plc, an Irish public limited company,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holder thereof (incorporated by reference to Exhibit 4.3 to Weatherford International plc’s Current Report on Form 8-K (File No. 1-36504)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filed November 21, 2016)</w:t>
            </w:r>
          </w:p>
        </w:tc>
        <w:tc>
          <w:tcPr>
            <w:tcW w:w="0" w:type="dxa"/>
            <w:vAlign w:val="bottom"/>
          </w:tcPr>
          <w:p>
            <w:pPr>
              <w:spacing w:after="0"/>
              <w:rPr>
                <w:sz w:val="1"/>
                <w:szCs w:val="1"/>
                <w:color w:val="auto"/>
              </w:rPr>
            </w:pPr>
          </w:p>
        </w:tc>
      </w:tr>
      <w:tr>
        <w:trPr>
          <w:trHeight w:val="306"/>
        </w:trPr>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4.21**</w:t>
            </w: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Registration Rights Agreement dated November 18, 2016,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Weatherford International Ltd., a Bermuda exempted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Morgan Stanley &amp; Co. LLC (incorporated by reference to Exhibit 4.2 to the Current Report on Form 8-K of Weatherford International plc,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an Irish public limited company (File No. 1-36504), filed November 21, 2016)</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Opinion of Latham &amp; Watkins LLP</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Opinion of Conyers Dill &amp; Pearman Limited</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Opinion of Matheson</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8"/>
              </w:rPr>
              <w:t>12.1*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23.1**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Consent of Latham &amp; Watkins LLP (included in its opinion filed as Exhibit 5.1)</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23.2**</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Consent of Conyers Dill &amp; Pearman Limited (included in its opinion filed as Exhibit 5.2)</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23.3**</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Consent of KPMG LLP</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23.4**</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Consent of Matheson (included in its opinion filed as exhibit 5.3 hereto)</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24.1**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Power of Attorney for officers and directors of Weatherford International plc, an Irish public limited company</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24.2**</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Power of Attorney for officers and directors of Weatherford International Ltd., a Bermuda exempted company</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24.3**</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Power of Attorney for officers and directors of Weatherford International, LLC, a Delaware limited liability company</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25.1**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Form T-1 Statement of Eligibility under the Trust Indenture Act of 1939 of Deutsche Bank Trust Company Americas</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9760" w:firstLine="8"/>
        <w:spacing w:after="0" w:line="261" w:lineRule="auto"/>
        <w:tabs>
          <w:tab w:leader="none" w:pos="4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Filed previously.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be filed by amendment or as an exhibit to a document to be incorporated by reference herein in connection with the issuance of the securities.</w:t>
      </w:r>
    </w:p>
    <w:p>
      <w:pPr>
        <w:sectPr>
          <w:pgSz w:w="11900" w:h="16838" w:orient="portrait"/>
          <w:cols w:equalWidth="0" w:num="1">
            <w:col w:w="11420"/>
          </w:cols>
          <w:pgMar w:left="240" w:top="455" w:right="2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Ended</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7"/>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gridSpan w:val="7"/>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5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ratios)</w:t>
            </w: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4"/>
                <w:szCs w:val="4"/>
                <w:color w:val="auto"/>
              </w:rPr>
            </w:pPr>
          </w:p>
        </w:tc>
        <w:tc>
          <w:tcPr>
            <w:tcW w:w="70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4"/>
                <w:szCs w:val="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4"/>
                <w:szCs w:val="4"/>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4"/>
                <w:szCs w:val="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5680" w:type="dxa"/>
            <w:vAlign w:val="bottom"/>
            <w:gridSpan w:val="3"/>
            <w:vMerge w:val="continue"/>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Income (Loss) from continuing operations before income taxes </w:t>
            </w:r>
            <w:r>
              <w:rPr>
                <w:rFonts w:ascii="Times New Roman" w:cs="Times New Roman" w:eastAsia="Times New Roman" w:hAnsi="Times New Roman"/>
                <w:sz w:val="15"/>
                <w:szCs w:val="15"/>
                <w:color w:val="auto"/>
              </w:rPr>
              <w:t>(a)</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$(2,868)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$(2,099)</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$(261)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3"/>
              </w:rPr>
              <w:t>$(207)</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$(339)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(b)</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506</w:t>
            </w: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474</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507</w:t>
            </w: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Interest factor portion of rentals </w:t>
            </w:r>
            <w:r>
              <w:rPr>
                <w:rFonts w:ascii="Times New Roman" w:cs="Times New Roman" w:eastAsia="Times New Roman" w:hAnsi="Times New Roman"/>
                <w:sz w:val="15"/>
                <w:szCs w:val="15"/>
                <w:color w:val="auto"/>
              </w:rPr>
              <w:t>(c)</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114</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0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Capitalized Interest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 before income taxes and fixed charges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(2,276)</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(1,511)</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$ 378</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$ 448</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Ratio of earnings to fixed charges </w:t>
            </w:r>
            <w:r>
              <w:rPr>
                <w:rFonts w:ascii="Times New Roman" w:cs="Times New Roman" w:eastAsia="Times New Roman" w:hAnsi="Times New Roman"/>
                <w:sz w:val="15"/>
                <w:szCs w:val="15"/>
                <w:color w:val="auto"/>
              </w:rPr>
              <w:t>(d)</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from continuing operations before income taxes has been adjusted to include only distributed income of less-than-fifty-percent-owned persons.</w:t>
      </w:r>
    </w:p>
    <w:p>
      <w:pPr>
        <w:spacing w:after="0" w:line="3"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consists of interest expense incurred from continuing operations and amortization of debt issuance costs.</w:t>
      </w:r>
    </w:p>
    <w:p>
      <w:pPr>
        <w:ind w:left="340" w:hanging="332"/>
        <w:spacing w:after="0" w:line="221" w:lineRule="auto"/>
        <w:tabs>
          <w:tab w:leader="none" w:pos="3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factor portion of rentals is estimated to be one-third of rental expense.</w:t>
      </w:r>
    </w:p>
    <w:p>
      <w:pPr>
        <w:ind w:left="340" w:right="20" w:hanging="332"/>
        <w:spacing w:after="0" w:line="239" w:lineRule="auto"/>
        <w:tabs>
          <w:tab w:leader="none" w:pos="3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2017 and years ended December 31, 2016, 2015, 2014, 2013 and 2012, earnings, as defined, before fixed charges were inadequate to cover fixed charges by $409 million, $2.9 billion, $2.1 billion, $266 million, $211 million and $349 million, respectively.</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decimal"/>
      <w:start w:val="713"/>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lvl w:ilvl="1">
      <w:lvlJc w:val="left"/>
      <w:lvlText w:val="(%2)"/>
      <w:numFmt w:val="lowerLetter"/>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lvl w:ilvl="1">
      <w:lvlJc w:val="left"/>
      <w:lvlText w:val="(%2)"/>
      <w:numFmt w:val="lowerLetter"/>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decimal"/>
      <w:start w:val="713"/>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1)"/>
      <w:numFmt w:val="lowerLetter"/>
      <w:start w:val="1"/>
    </w:lvl>
    <w:lvl w:ilvl="1">
      <w:lvlJc w:val="left"/>
      <w:lvlText w:val="(%2)"/>
      <w:numFmt w:val="decimal"/>
      <w:start w:val="1"/>
    </w:lvl>
  </w:abstractNum>
  <w:abstractNum w:abstractNumId="64">
    <w:nsid w:val="100F8FCA"/>
    <w:multiLevelType w:val="hybridMultilevel"/>
    <w:lvl w:ilvl="0">
      <w:lvlJc w:val="left"/>
      <w:lvlText w:val="%1"/>
      <w:numFmt w:val="decimal"/>
      <w:start w:val="1"/>
    </w:lvl>
    <w:lvl w:ilvl="1">
      <w:lvlJc w:val="left"/>
      <w:lvlText w:val="(%2)"/>
      <w:numFmt w:val="lowerRoman"/>
      <w:start w:val="1"/>
    </w:lvl>
  </w:abstractNum>
  <w:abstractNum w:abstractNumId="65">
    <w:nsid w:val="6590700B"/>
    <w:multiLevelType w:val="hybridMultilevel"/>
    <w:lvl w:ilvl="0">
      <w:lvlJc w:val="left"/>
      <w:lvlText w:val="(%1)"/>
      <w:numFmt w:val="decimal"/>
      <w:start w:val="2"/>
    </w:lvl>
    <w:lvl w:ilvl="1">
      <w:lvlJc w:val="left"/>
      <w:lvlText w:val="(%2)"/>
      <w:numFmt w:val="lowerRoman"/>
      <w:start w:val="1"/>
    </w:lvl>
  </w:abstractNum>
  <w:abstractNum w:abstractNumId="66">
    <w:nsid w:val="15014AC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67">
    <w:nsid w:val="5F5E7FD0"/>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68">
    <w:nsid w:val="98A314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69">
    <w:nsid w:val="799D0247"/>
    <w:multiLevelType w:val="hybridMultilevel"/>
    <w:lvl w:ilvl="0">
      <w:lvlJc w:val="left"/>
      <w:lvlText w:val="(%1)"/>
      <w:numFmt w:val="lowerLetter"/>
      <w:start w:val="5"/>
    </w:lvl>
    <w:lvl w:ilvl="1">
      <w:lvlJc w:val="left"/>
      <w:lvlText w:val="(%2)"/>
      <w:numFmt w:val="decimal"/>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2019-12-18T23:15:26Z</dcterms:created>
  <dcterms:modified xsi:type="dcterms:W3CDTF">2019-12-18T23:15:26Z</dcterms:modified>
</cp:coreProperties>
</file>