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333-194431</w:t>
      </w:r>
    </w:p>
    <w:p>
      <w:pPr>
        <w:spacing w:after="0" w:line="325" w:lineRule="exact"/>
        <w:rPr>
          <w:sz w:val="24"/>
          <w:szCs w:val="24"/>
          <w:color w:val="auto"/>
        </w:rPr>
      </w:pPr>
    </w:p>
    <w:p>
      <w:pPr>
        <w:ind w:right="80"/>
        <w:spacing w:after="0" w:line="244" w:lineRule="auto"/>
        <w:rPr>
          <w:sz w:val="20"/>
          <w:szCs w:val="20"/>
          <w:color w:val="auto"/>
        </w:rPr>
      </w:pPr>
      <w:r>
        <w:rPr>
          <w:rFonts w:ascii="Arial" w:cs="Arial" w:eastAsia="Arial" w:hAnsi="Arial"/>
          <w:sz w:val="18"/>
          <w:szCs w:val="18"/>
          <w:b w:val="1"/>
          <w:bCs w:val="1"/>
          <w:color w:val="8B3F4E"/>
        </w:rPr>
        <w:t>This preliminary prospectus supplement relates to an effective registration statement under the Securities Act of 1933, as amended, but the information in this preliminary prospectus supplement is not complete and may be changed. This preliminary prospectus supplement and the accompanying prospectus are not an offer to sell these securities and we are not soliciting an offer to buy these securities in any state or jurisdiction where the offer or sale is not permitted.</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8B3F4E"/>
        </w:rPr>
        <w:t>Subject to completion, dated November 16, 2016</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November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56908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Weatherford International plc</w:t>
      </w:r>
    </w:p>
    <w:p>
      <w:pPr>
        <w:spacing w:after="0" w:line="131"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84,500,000 ordinary shares</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Warrant to purchase 84,500,000 ordinary shares</w:t>
      </w:r>
    </w:p>
    <w:p>
      <w:pPr>
        <w:spacing w:after="0" w:line="10"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and 84,500,000 ordinary shares issuable upon exercise of the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We are offering directly to a selected institutional investor (i) 84,500,000 ordinary shares at a price of $5.40 per ordinary share, (ii) one warrant to purchase 84,500,000 ordinary shares on or prior to the date that is 30 months after the date such warrant is issued at an exercise price of $6.43 per ordinary share (the “Warrant”) and (iii) 84,500,000 ordinary shares issuable upon exercise of the Warrant at the public offering price per ordinary share set forth below. The ordinary shares, the Warrant, and the ordinary shares issuable upon the exercise of the Warrant are sometimes collectively referred to herein as the “securities.” See “Description of Our Ordinary Shares” and “Description of the Warrant” for a more complete description of the securities offered hereby, beginning on page S-15.</w:t>
      </w:r>
    </w:p>
    <w:p>
      <w:pPr>
        <w:spacing w:after="0" w:line="102" w:lineRule="exact"/>
        <w:rPr>
          <w:sz w:val="24"/>
          <w:szCs w:val="24"/>
          <w:color w:val="auto"/>
        </w:rPr>
      </w:pPr>
    </w:p>
    <w:p>
      <w:pPr>
        <w:ind w:right="20"/>
        <w:spacing w:after="0" w:line="238" w:lineRule="auto"/>
        <w:rPr>
          <w:sz w:val="20"/>
          <w:szCs w:val="20"/>
          <w:color w:val="auto"/>
        </w:rPr>
      </w:pPr>
      <w:r>
        <w:rPr>
          <w:rFonts w:ascii="Arial" w:cs="Arial" w:eastAsia="Arial" w:hAnsi="Arial"/>
          <w:sz w:val="18"/>
          <w:szCs w:val="18"/>
          <w:color w:val="auto"/>
        </w:rPr>
        <w:t>Our ordinary shares are listed for trading on the New York Stock Exchange (“NYSE”) under the symbol “WFT.” On November 15, 2016, the last reported sale price of our ordinary shares on the NYSE was $5.14 per share. There is no established public trading market for the Warrant, and we do not expect one to develop. We do not intend to apply to list the Warrant on any securities exchange.</w:t>
      </w:r>
    </w:p>
    <w:p>
      <w:pPr>
        <w:spacing w:after="0" w:line="78" w:lineRule="exact"/>
        <w:rPr>
          <w:sz w:val="24"/>
          <w:szCs w:val="24"/>
          <w:color w:val="auto"/>
        </w:rPr>
      </w:pPr>
    </w:p>
    <w:p>
      <w:pPr>
        <w:ind w:right="4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Before buying our ordinary shares, you should read the discussion of material risks described in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S-3 of this prospectus supplement for more information.</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584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tcPr>
          <w:p>
            <w:pPr>
              <w:ind w:left="3180"/>
              <w:spacing w:after="0"/>
              <w:rPr>
                <w:sz w:val="20"/>
                <w:szCs w:val="20"/>
                <w:color w:val="auto"/>
              </w:rPr>
            </w:pPr>
            <w:r>
              <w:rPr>
                <w:rFonts w:ascii="Arial" w:cs="Arial" w:eastAsia="Arial" w:hAnsi="Arial"/>
                <w:sz w:val="18"/>
                <w:szCs w:val="18"/>
                <w:b w:val="1"/>
                <w:bCs w:val="1"/>
                <w:color w:val="auto"/>
              </w:rPr>
              <w:t>Per ordinary</w:t>
            </w:r>
          </w:p>
        </w:tc>
        <w:tc>
          <w:tcPr>
            <w:tcW w:w="1080" w:type="dxa"/>
            <w:vAlign w:val="bottom"/>
            <w:tcBorders>
              <w:top w:val="single" w:sz="8" w:color="auto"/>
            </w:tcBorders>
          </w:tcPr>
          <w:p>
            <w:pPr>
              <w:spacing w:after="0"/>
              <w:rPr>
                <w:sz w:val="18"/>
                <w:szCs w:val="18"/>
                <w:color w:val="auto"/>
              </w:rPr>
            </w:pPr>
          </w:p>
        </w:tc>
      </w:tr>
      <w:tr>
        <w:trPr>
          <w:trHeight w:val="235"/>
        </w:trPr>
        <w:tc>
          <w:tcPr>
            <w:tcW w:w="584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ind w:left="3180"/>
              <w:spacing w:after="0"/>
              <w:rPr>
                <w:sz w:val="20"/>
                <w:szCs w:val="20"/>
                <w:color w:val="auto"/>
              </w:rPr>
            </w:pPr>
            <w:r>
              <w:rPr>
                <w:rFonts w:ascii="Arial" w:cs="Arial" w:eastAsia="Arial" w:hAnsi="Arial"/>
                <w:sz w:val="18"/>
                <w:szCs w:val="18"/>
                <w:b w:val="1"/>
                <w:bCs w:val="1"/>
                <w:color w:val="auto"/>
              </w:rPr>
              <w:t>share(1)</w:t>
            </w: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r>
      <w:tr>
        <w:trPr>
          <w:trHeight w:val="115"/>
        </w:trPr>
        <w:tc>
          <w:tcPr>
            <w:tcW w:w="58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4500" w:type="dxa"/>
            <w:vAlign w:val="bottom"/>
            <w:shd w:val="clear" w:color="auto" w:fill="CCEEFF"/>
          </w:tcPr>
          <w:p>
            <w:pPr>
              <w:ind w:left="3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r>
      <w:tr>
        <w:trPr>
          <w:trHeight w:val="282"/>
        </w:trPr>
        <w:tc>
          <w:tcPr>
            <w:tcW w:w="5840" w:type="dxa"/>
            <w:vAlign w:val="bottom"/>
          </w:tcPr>
          <w:p>
            <w:pPr>
              <w:spacing w:after="0"/>
              <w:rPr>
                <w:sz w:val="20"/>
                <w:szCs w:val="20"/>
                <w:color w:val="auto"/>
              </w:rPr>
            </w:pPr>
            <w:r>
              <w:rPr>
                <w:rFonts w:ascii="Arial" w:cs="Arial" w:eastAsia="Arial" w:hAnsi="Arial"/>
                <w:sz w:val="18"/>
                <w:szCs w:val="18"/>
                <w:color w:val="auto"/>
              </w:rPr>
              <w:t>Placement agent fees(2)</w:t>
            </w:r>
          </w:p>
        </w:tc>
        <w:tc>
          <w:tcPr>
            <w:tcW w:w="4500" w:type="dxa"/>
            <w:vAlign w:val="bottom"/>
          </w:tcPr>
          <w:p>
            <w:pPr>
              <w:ind w:left="3180"/>
              <w:spacing w:after="0"/>
              <w:rPr>
                <w:sz w:val="20"/>
                <w:szCs w:val="20"/>
                <w:color w:val="auto"/>
              </w:rPr>
            </w:pPr>
            <w:r>
              <w:rPr>
                <w:rFonts w:ascii="Arial" w:cs="Arial" w:eastAsia="Arial" w:hAnsi="Arial"/>
                <w:sz w:val="18"/>
                <w:szCs w:val="18"/>
                <w:color w:val="auto"/>
              </w:rPr>
              <w:t>$</w:t>
            </w:r>
          </w:p>
        </w:tc>
        <w:tc>
          <w:tcPr>
            <w:tcW w:w="108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124"/>
        </w:trPr>
        <w:tc>
          <w:tcPr>
            <w:tcW w:w="58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3"/>
        </w:trPr>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4500" w:type="dxa"/>
            <w:vAlign w:val="bottom"/>
            <w:tcBorders>
              <w:bottom w:val="single" w:sz="8" w:color="auto"/>
            </w:tcBorders>
            <w:shd w:val="clear" w:color="auto" w:fill="CCEEFF"/>
          </w:tcPr>
          <w:p>
            <w:pPr>
              <w:ind w:left="318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r>
    </w:tbl>
    <w:p>
      <w:pPr>
        <w:spacing w:after="0" w:line="67" w:lineRule="exact"/>
        <w:rPr>
          <w:sz w:val="24"/>
          <w:szCs w:val="24"/>
          <w:color w:val="auto"/>
        </w:rPr>
      </w:pPr>
    </w:p>
    <w:p>
      <w:pPr>
        <w:ind w:left="340" w:right="1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Warrant is being offered to the institutional investor for no additional consideration. The above proceeds do not include ordinary shares that may be issued upon the exercise of the Warrant.</w:t>
      </w:r>
    </w:p>
    <w:p>
      <w:pPr>
        <w:spacing w:after="0" w:line="54" w:lineRule="exact"/>
        <w:rPr>
          <w:rFonts w:ascii="Arial" w:cs="Arial" w:eastAsia="Arial" w:hAnsi="Arial"/>
          <w:sz w:val="14"/>
          <w:szCs w:val="14"/>
          <w:color w:val="auto"/>
        </w:rPr>
      </w:pPr>
    </w:p>
    <w:p>
      <w:pPr>
        <w:ind w:left="340" w:hanging="332"/>
        <w:spacing w:after="0" w:line="22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“Plan of Distribution (Conflicts of Interest)” beginning on page S-35 of this prospectus supplement for more information concerning placement agent compensation. We have retained J.P. Morgan Securities LLC as our exclusive placement agent to use its “best efforts” to solicit offers to purchase our securities in this offering. The placement agent has no obligation to buy any securities from us or to arrange for the purchase or sale of any specific number or dollar amount of securities.</w:t>
      </w:r>
    </w:p>
    <w:p>
      <w:pPr>
        <w:spacing w:after="0" w:line="77" w:lineRule="exact"/>
        <w:rPr>
          <w:sz w:val="24"/>
          <w:szCs w:val="24"/>
          <w:color w:val="auto"/>
        </w:rPr>
      </w:pPr>
    </w:p>
    <w:p>
      <w:pPr>
        <w:ind w:right="12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10" w:lineRule="exact"/>
        <w:rPr>
          <w:sz w:val="24"/>
          <w:szCs w:val="24"/>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94" w:lineRule="exact"/>
        <w:rPr>
          <w:sz w:val="24"/>
          <w:szCs w:val="24"/>
          <w:color w:val="auto"/>
        </w:rPr>
      </w:pPr>
    </w:p>
    <w:p>
      <w:pPr>
        <w:ind w:right="320"/>
        <w:spacing w:after="0" w:line="239" w:lineRule="auto"/>
        <w:rPr>
          <w:sz w:val="20"/>
          <w:szCs w:val="20"/>
          <w:color w:val="auto"/>
        </w:rPr>
      </w:pPr>
      <w:r>
        <w:rPr>
          <w:rFonts w:ascii="Arial" w:cs="Arial" w:eastAsia="Arial" w:hAnsi="Arial"/>
          <w:sz w:val="18"/>
          <w:szCs w:val="18"/>
          <w:color w:val="auto"/>
        </w:rPr>
        <w:t>Delivery of the ordinary shares and the Warrant offered hereby will be made on or about November , 2016 through the book-entry facilities of The Depository Trust Company, subject to customary closing conditions.</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J.P. Morgan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-305435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86" w:lineRule="exact"/>
        <w:rPr>
          <w:sz w:val="24"/>
          <w:szCs w:val="24"/>
          <w:color w:val="auto"/>
        </w:rPr>
      </w:pPr>
    </w:p>
    <w:p>
      <w:pPr>
        <w:spacing w:after="0"/>
        <w:tabs>
          <w:tab w:leader="none" w:pos="3440" w:val="left"/>
        </w:tabs>
        <w:rPr>
          <w:sz w:val="20"/>
          <w:szCs w:val="20"/>
          <w:color w:val="auto"/>
        </w:rPr>
      </w:pPr>
      <w:r>
        <w:rPr>
          <w:rFonts w:ascii="Arial" w:cs="Arial" w:eastAsia="Arial" w:hAnsi="Arial"/>
          <w:sz w:val="18"/>
          <w:szCs w:val="18"/>
          <w:color w:val="auto"/>
        </w:rPr>
        <w:t>Prospectus Supplement dated November</w:t>
      </w:r>
      <w:r>
        <w:rPr>
          <w:sz w:val="20"/>
          <w:szCs w:val="20"/>
          <w:color w:val="auto"/>
        </w:rPr>
        <w:tab/>
      </w:r>
      <w:r>
        <w:rPr>
          <w:rFonts w:ascii="Arial" w:cs="Arial" w:eastAsia="Arial" w:hAnsi="Arial"/>
          <w:sz w:val="16"/>
          <w:szCs w:val="16"/>
          <w:color w:val="auto"/>
        </w:rPr>
        <w:t>,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1300"/>
        <w:spacing w:after="0" w:line="357" w:lineRule="auto"/>
        <w:rPr>
          <w:sz w:val="20"/>
          <w:szCs w:val="20"/>
          <w:color w:val="auto"/>
        </w:rPr>
      </w:pPr>
      <w:r>
        <w:rPr>
          <w:rFonts w:ascii="Arial" w:cs="Arial" w:eastAsia="Arial" w:hAnsi="Arial"/>
          <w:sz w:val="32"/>
          <w:szCs w:val="32"/>
          <w:b w:val="1"/>
          <w:bCs w:val="1"/>
          <w:color w:val="auto"/>
        </w:rPr>
        <w:t>Table of contents Prospectus supplement</w:t>
      </w:r>
    </w:p>
    <w:p>
      <w:pPr>
        <w:spacing w:after="0" w:line="147"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to investors</w:t>
        </w:r>
      </w:hyperlink>
    </w:p>
    <w:p>
      <w:pPr>
        <w:spacing w:after="0" w:line="63"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Cautionary statement regarding forward-looking statements</w:t>
        </w:r>
      </w:hyperlink>
    </w:p>
    <w:p>
      <w:pPr>
        <w:spacing w:after="0" w:line="86"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supplement summary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Dilution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Capitalization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Dividend policy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Market price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the warrant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Irish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Certain Swiss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Plan of distribution (Conflicts of Interest)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Experts</w:t>
        </w:r>
      </w:hyperlink>
    </w:p>
    <w:p>
      <w:pPr>
        <w:spacing w:after="0" w:line="63" w:lineRule="exact"/>
        <w:rPr>
          <w:sz w:val="20"/>
          <w:szCs w:val="20"/>
          <w:color w:val="auto"/>
        </w:rPr>
      </w:pPr>
    </w:p>
    <w:p>
      <w:pPr>
        <w:ind w:right="1740"/>
        <w:spacing w:after="0" w:line="313"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Where you can find additional information</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Incorporation by reference</w:t>
        </w:r>
      </w:hyperlink>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Prospectus</w:t>
      </w:r>
    </w:p>
    <w:p>
      <w:pPr>
        <w:spacing w:after="0" w:line="387"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About this prospectus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Where you can find more information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Forward-looking statements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Ratio of earnings to fixed charges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securities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Selling securityholders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Plan of distribution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Experts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-1257300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5" w:lineRule="exact"/>
        <w:rPr>
          <w:sz w:val="20"/>
          <w:szCs w:val="20"/>
          <w:color w:val="auto"/>
        </w:rPr>
      </w:pPr>
    </w:p>
    <w:p>
      <w:pPr>
        <w:jc w:val="center"/>
        <w:ind w:left="-5159"/>
        <w:spacing w:after="0"/>
        <w:rPr>
          <w:sz w:val="20"/>
          <w:szCs w:val="20"/>
          <w:color w:val="auto"/>
        </w:rPr>
      </w:pPr>
      <w:r>
        <w:rPr>
          <w:rFonts w:ascii="Arial" w:cs="Arial" w:eastAsia="Arial" w:hAnsi="Arial"/>
          <w:sz w:val="18"/>
          <w:szCs w:val="18"/>
          <w:color w:val="auto"/>
        </w:rPr>
        <w:t>iii</w:t>
      </w:r>
    </w:p>
    <w:p>
      <w:pPr>
        <w:spacing w:after="0" w:line="63" w:lineRule="exact"/>
        <w:rPr>
          <w:sz w:val="20"/>
          <w:szCs w:val="20"/>
          <w:color w:val="auto"/>
        </w:rPr>
      </w:pPr>
    </w:p>
    <w:p>
      <w:pPr>
        <w:jc w:val="center"/>
        <w:ind w:left="-5159"/>
        <w:spacing w:after="0"/>
        <w:rPr>
          <w:sz w:val="20"/>
          <w:szCs w:val="20"/>
          <w:color w:val="auto"/>
        </w:rPr>
      </w:pPr>
      <w:r>
        <w:rPr>
          <w:rFonts w:ascii="Arial" w:cs="Arial" w:eastAsia="Arial" w:hAnsi="Arial"/>
          <w:sz w:val="18"/>
          <w:szCs w:val="18"/>
          <w:color w:val="auto"/>
        </w:rPr>
        <w:t>iii</w:t>
      </w:r>
    </w:p>
    <w:p>
      <w:pPr>
        <w:spacing w:after="0" w:line="63" w:lineRule="exact"/>
        <w:rPr>
          <w:sz w:val="20"/>
          <w:szCs w:val="20"/>
          <w:color w:val="auto"/>
        </w:rPr>
      </w:pPr>
    </w:p>
    <w:p>
      <w:pPr>
        <w:jc w:val="center"/>
        <w:ind w:left="-5139"/>
        <w:spacing w:after="0"/>
        <w:rPr>
          <w:sz w:val="20"/>
          <w:szCs w:val="20"/>
          <w:color w:val="auto"/>
        </w:rPr>
      </w:pPr>
      <w:r>
        <w:rPr>
          <w:rFonts w:ascii="Arial" w:cs="Arial" w:eastAsia="Arial" w:hAnsi="Arial"/>
          <w:sz w:val="18"/>
          <w:szCs w:val="18"/>
          <w:color w:val="auto"/>
        </w:rPr>
        <w:t>iv</w:t>
      </w:r>
    </w:p>
    <w:p>
      <w:pPr>
        <w:spacing w:after="0" w:line="63" w:lineRule="exact"/>
        <w:rPr>
          <w:sz w:val="20"/>
          <w:szCs w:val="20"/>
          <w:color w:val="auto"/>
        </w:rPr>
      </w:pPr>
    </w:p>
    <w:p>
      <w:pPr>
        <w:jc w:val="center"/>
        <w:ind w:left="-4999"/>
        <w:spacing w:after="0"/>
        <w:rPr>
          <w:sz w:val="20"/>
          <w:szCs w:val="20"/>
          <w:color w:val="auto"/>
        </w:rPr>
      </w:pPr>
      <w:r>
        <w:rPr>
          <w:rFonts w:ascii="Arial" w:cs="Arial" w:eastAsia="Arial" w:hAnsi="Arial"/>
          <w:sz w:val="16"/>
          <w:szCs w:val="16"/>
          <w:color w:val="auto"/>
        </w:rPr>
        <w:t>S-1</w:t>
      </w:r>
    </w:p>
    <w:p>
      <w:pPr>
        <w:spacing w:after="0" w:line="86" w:lineRule="exact"/>
        <w:rPr>
          <w:sz w:val="20"/>
          <w:szCs w:val="20"/>
          <w:color w:val="auto"/>
        </w:rPr>
      </w:pPr>
    </w:p>
    <w:p>
      <w:pPr>
        <w:jc w:val="center"/>
        <w:ind w:left="-4999"/>
        <w:spacing w:after="0"/>
        <w:rPr>
          <w:sz w:val="20"/>
          <w:szCs w:val="20"/>
          <w:color w:val="auto"/>
        </w:rPr>
      </w:pPr>
      <w:r>
        <w:rPr>
          <w:rFonts w:ascii="Arial" w:cs="Arial" w:eastAsia="Arial" w:hAnsi="Arial"/>
          <w:sz w:val="16"/>
          <w:szCs w:val="16"/>
          <w:color w:val="auto"/>
        </w:rPr>
        <w:t>S-3</w:t>
      </w:r>
    </w:p>
    <w:p>
      <w:pPr>
        <w:spacing w:after="0" w:line="86" w:lineRule="exact"/>
        <w:rPr>
          <w:sz w:val="20"/>
          <w:szCs w:val="20"/>
          <w:color w:val="auto"/>
        </w:rPr>
      </w:pPr>
    </w:p>
    <w:p>
      <w:pPr>
        <w:jc w:val="center"/>
        <w:ind w:left="-4999"/>
        <w:spacing w:after="0"/>
        <w:rPr>
          <w:sz w:val="20"/>
          <w:szCs w:val="20"/>
          <w:color w:val="auto"/>
        </w:rPr>
      </w:pPr>
      <w:r>
        <w:rPr>
          <w:rFonts w:ascii="Arial" w:cs="Arial" w:eastAsia="Arial" w:hAnsi="Arial"/>
          <w:sz w:val="16"/>
          <w:szCs w:val="16"/>
          <w:color w:val="auto"/>
        </w:rPr>
        <w:t>S-9</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S-10</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S-11</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S-13</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S-13</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S-14</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S-27</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S-28</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S-30</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S-34</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ectPr>
          <w:pgSz w:w="11900" w:h="16838" w:orient="portrait"/>
          <w:cols w:equalWidth="0" w:num="2">
            <w:col w:w="4980" w:space="720"/>
            <w:col w:w="56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265430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You should rely solely on the information contained in this preliminary prospectus supplement, the accompanying prospectus, or in any related free writing prospectus issued by us (which we refer to as an “Issuer free writing prospectus”) and the documents incorporated by reference in this preliminary prospectus supplement and the accompanying prospectus. We have not, and the placement agent has not, authorized any other person to provide you with different information. If anyone provides you with different or inconsistent information, you should not rely on it. We are not, and the placement agent is not, making an offer to sell these securities in any jurisdiction where the offer or sale is not permitted. You should assume that the information contained or incorporated by reference in this preliminary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This document contains two parts. The first part consists of this preliminary prospectus supplement, which describes the specific terms of this offering. The second part, the accompanying prospectus, provides more general information, some of which may not apply to this offering. </w:t>
      </w:r>
      <w:r>
        <w:rPr>
          <w:rFonts w:ascii="Arial" w:cs="Arial" w:eastAsia="Arial" w:hAnsi="Arial"/>
          <w:sz w:val="18"/>
          <w:szCs w:val="18"/>
          <w:b w:val="1"/>
          <w:bCs w:val="1"/>
          <w:color w:val="auto"/>
        </w:rPr>
        <w:t>If the</w:t>
      </w:r>
      <w:r>
        <w:rPr>
          <w:rFonts w:ascii="Arial" w:cs="Arial" w:eastAsia="Arial" w:hAnsi="Arial"/>
          <w:sz w:val="18"/>
          <w:szCs w:val="18"/>
          <w:color w:val="auto"/>
        </w:rPr>
        <w:t xml:space="preserve"> </w:t>
      </w:r>
      <w:r>
        <w:rPr>
          <w:rFonts w:ascii="Arial" w:cs="Arial" w:eastAsia="Arial" w:hAnsi="Arial"/>
          <w:sz w:val="18"/>
          <w:szCs w:val="18"/>
          <w:b w:val="1"/>
          <w:bCs w:val="1"/>
          <w:color w:val="auto"/>
        </w:rPr>
        <w:t>description of the offering varies between this preliminary prospectus supplement and the accompanying prospectus, you should rely on the information in this preliminary prospectus supplement.</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to investors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is not a prospectus within the meaning of the Irish Companies Act, the Prospectus (Directive 2003/71/EC) Regulations 2005 of Ireland (as amended) or the Prospectus Rules issued by the Central Bank of Ireland. No offer of shares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Financial Instruments) Regulations 2007 of Ireland (as amended) or the Markets in Financial Instruments Directive (2004/39/EC). Weatherford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information in this prospectus supplement and the accompanying prospectus, including in the documents incorporated by reference 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93"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17"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17" w:lineRule="exact"/>
        <w:rPr>
          <w:rFonts w:ascii="Arial" w:cs="Arial" w:eastAsia="Arial" w:hAnsi="Arial"/>
          <w:sz w:val="18"/>
          <w:szCs w:val="18"/>
          <w:color w:val="auto"/>
        </w:rPr>
      </w:pPr>
    </w:p>
    <w:p>
      <w:pPr>
        <w:ind w:left="220" w:right="28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redomestication from Switzerland to Ireland and to maintain our Swiss tax residency;</w:t>
      </w:r>
    </w:p>
    <w:p>
      <w:pPr>
        <w:spacing w:after="0" w:line="117"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24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4241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Prospectus supplement summary</w:t>
      </w:r>
    </w:p>
    <w:p>
      <w:pPr>
        <w:spacing w:after="0" w:line="14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incorporated by reference in this prospectus supplement and the accompanying prospectus. Please read “Risk Factors” and “Cautionary Statement Regarding Forward-Looking Statements” in this prospectus supplement and “Risk Factors” in our Annual Report on Form 10-K for the year ended December 31, 2015 and similar sections in any subsequent Exchange Act reports that we incorporate by reference in this prospectus supplement and the accompanying prospectus for more information about important risks that you should consider before investing in the ordinary shares.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Weatherford International plc, an Irish public limited company, together with its subsidiaries as the context requires (“Weatherford,” the “Company,” “we,” “us” and “our”), is a multinational oilfield service company and is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w:t>
      </w:r>
    </w:p>
    <w:p>
      <w:pPr>
        <w:spacing w:after="0" w:line="103"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Except for information specifically incorporated by reference into this prospectus supplement that may be accessed from our website, the information on, or otherwise accessible through, our website or any other website does not constitute a part of this prospectus supplement.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offering</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 November 15, 2016, we announced the private placement of $540 million in aggregate principal amount of 9.875% Senior Notes due 2024 (the “Notes”) pursuant to an offering conducted in accordance with Rule 144A and Regulation S of the Securities Act of 1933, as amended. We expect to receive net proceeds from the Notes offering of approximately $528 million after deducting the initial purchaser’s discount and estimated offering expenses payable by us. Any such sales of the Notes in the public market may affect the price of our ordinary shares. We expect to close the Notes offering on or about November 18, 2016. The completion of the Notes offering is not contingent on the completion of this offering and this offering is not contingent on the completion of the Notes offering.</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49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5491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1460"/>
          </w:cols>
          <w:pgMar w:left="240" w:top="459" w:right="19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w:t>
      </w:r>
    </w:p>
    <w:p>
      <w:pPr>
        <w:spacing w:after="0" w:line="131" w:lineRule="exact"/>
        <w:rPr>
          <w:sz w:val="20"/>
          <w:szCs w:val="20"/>
          <w:color w:val="auto"/>
        </w:rPr>
      </w:pPr>
    </w:p>
    <w:p>
      <w:pPr>
        <w:ind w:left="200"/>
        <w:spacing w:after="0" w:line="421" w:lineRule="auto"/>
        <w:rPr>
          <w:sz w:val="20"/>
          <w:szCs w:val="20"/>
          <w:color w:val="auto"/>
        </w:rPr>
      </w:pPr>
      <w:r>
        <w:rPr>
          <w:rFonts w:ascii="Arial" w:cs="Arial" w:eastAsia="Arial" w:hAnsi="Arial"/>
          <w:sz w:val="18"/>
          <w:szCs w:val="18"/>
          <w:b w:val="1"/>
          <w:bCs w:val="1"/>
          <w:color w:val="auto"/>
        </w:rPr>
        <w:t>Ordinary shares offered by us Warrant offered by us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84,500,000 ordinary shares.</w:t>
      </w:r>
    </w:p>
    <w:p>
      <w:pPr>
        <w:spacing w:after="0" w:line="13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A Warrant to purchase 84,500,000 of our ordinary shares on or prior to the date that is 30 months after the date such warrant is issued at an initial exercise price of $6.43 per share. This prospectus supplement also relates to the offering of the ordinary shares issuable upon exercise of the Warrant.</w:t>
      </w:r>
    </w:p>
    <w:p>
      <w:pPr>
        <w:spacing w:after="0" w:line="61" w:lineRule="exact"/>
        <w:rPr>
          <w:sz w:val="20"/>
          <w:szCs w:val="20"/>
          <w:color w:val="auto"/>
        </w:rPr>
      </w:pPr>
    </w:p>
    <w:p>
      <w:pPr>
        <w:sectPr>
          <w:pgSz w:w="11900" w:h="16838" w:orient="portrait"/>
          <w:cols w:equalWidth="0" w:num="2">
            <w:col w:w="2700" w:space="480"/>
            <w:col w:w="8280"/>
          </w:cols>
          <w:pgMar w:left="240" w:top="459" w:right="199" w:bottom="1440" w:gutter="0" w:footer="0" w:header="0"/>
          <w:type w:val="continuous"/>
        </w:sectPr>
      </w:pPr>
    </w:p>
    <w:p>
      <w:pPr>
        <w:ind w:left="200"/>
        <w:spacing w:after="0"/>
        <w:tabs>
          <w:tab w:leader="none" w:pos="3160" w:val="left"/>
        </w:tabs>
        <w:rPr>
          <w:sz w:val="20"/>
          <w:szCs w:val="20"/>
          <w:color w:val="auto"/>
        </w:rPr>
      </w:pPr>
      <w:r>
        <w:rPr>
          <w:rFonts w:ascii="Arial" w:cs="Arial" w:eastAsia="Arial" w:hAnsi="Arial"/>
          <w:sz w:val="18"/>
          <w:szCs w:val="18"/>
          <w:b w:val="1"/>
          <w:bCs w:val="1"/>
          <w:color w:val="auto"/>
        </w:rPr>
        <w:t>Ordinary shares outstanding after</w:t>
      </w:r>
      <w:r>
        <w:rPr>
          <w:sz w:val="20"/>
          <w:szCs w:val="20"/>
          <w:color w:val="auto"/>
        </w:rPr>
        <w:tab/>
      </w:r>
      <w:r>
        <w:rPr>
          <w:rFonts w:ascii="Arial" w:cs="Arial" w:eastAsia="Arial" w:hAnsi="Arial"/>
          <w:sz w:val="16"/>
          <w:szCs w:val="16"/>
          <w:color w:val="auto"/>
        </w:rPr>
        <w:t>980,978,754 ordinary shares (up to 1,065,478,754 ordinary shares assuming the exercise of the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this offering</w:t>
            </w:r>
          </w:p>
        </w:tc>
        <w:tc>
          <w:tcPr>
            <w:tcW w:w="8940" w:type="dxa"/>
            <w:vAlign w:val="bottom"/>
          </w:tcPr>
          <w:p>
            <w:pPr>
              <w:ind w:left="660"/>
              <w:spacing w:after="0"/>
              <w:rPr>
                <w:sz w:val="20"/>
                <w:szCs w:val="20"/>
                <w:color w:val="auto"/>
              </w:rPr>
            </w:pPr>
            <w:r>
              <w:rPr>
                <w:rFonts w:ascii="Arial" w:cs="Arial" w:eastAsia="Arial" w:hAnsi="Arial"/>
                <w:sz w:val="18"/>
                <w:szCs w:val="18"/>
                <w:color w:val="auto"/>
              </w:rPr>
              <w:t>Warrant).</w:t>
            </w:r>
          </w:p>
        </w:tc>
      </w:tr>
      <w:tr>
        <w:trPr>
          <w:trHeight w:val="307"/>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940" w:type="dxa"/>
            <w:vAlign w:val="bottom"/>
          </w:tcPr>
          <w:p>
            <w:pPr>
              <w:ind w:left="660"/>
              <w:spacing w:after="0"/>
              <w:rPr>
                <w:sz w:val="20"/>
                <w:szCs w:val="20"/>
                <w:color w:val="auto"/>
              </w:rPr>
            </w:pPr>
            <w:r>
              <w:rPr>
                <w:rFonts w:ascii="Arial" w:cs="Arial" w:eastAsia="Arial" w:hAnsi="Arial"/>
                <w:sz w:val="18"/>
                <w:szCs w:val="18"/>
                <w:color w:val="auto"/>
              </w:rPr>
              <w:t>We estimate that the net proceeds from this offering of securities, after deducting the placement agent</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fees and estimated offering expenses, will be approximately $448 million (without giving effect to any</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exercise of the Warrant). We intend to use the net proceeds from this offering and the proceeds from</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any exercise of the Warrant for general corporate purposes, including the repayment of debt.</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Dividend policy</w:t>
            </w:r>
          </w:p>
        </w:tc>
        <w:tc>
          <w:tcPr>
            <w:tcW w:w="8940" w:type="dxa"/>
            <w:vAlign w:val="bottom"/>
          </w:tcPr>
          <w:p>
            <w:pPr>
              <w:ind w:left="660"/>
              <w:spacing w:after="0"/>
              <w:rPr>
                <w:sz w:val="20"/>
                <w:szCs w:val="20"/>
                <w:color w:val="auto"/>
              </w:rPr>
            </w:pPr>
            <w:r>
              <w:rPr>
                <w:rFonts w:ascii="Arial" w:cs="Arial" w:eastAsia="Arial" w:hAnsi="Arial"/>
                <w:sz w:val="18"/>
                <w:szCs w:val="18"/>
                <w:color w:val="auto"/>
              </w:rPr>
              <w:t>We do not currently pay, and do not anticipate paying in the future, any cash dividends on our ordinary</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shares. Please read “Dividend Policy” in this prospectus supplement.</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Risk factors</w:t>
            </w:r>
          </w:p>
        </w:tc>
        <w:tc>
          <w:tcPr>
            <w:tcW w:w="8940" w:type="dxa"/>
            <w:vAlign w:val="bottom"/>
          </w:tcPr>
          <w:p>
            <w:pPr>
              <w:ind w:left="660"/>
              <w:spacing w:after="0"/>
              <w:rPr>
                <w:sz w:val="20"/>
                <w:szCs w:val="20"/>
                <w:color w:val="auto"/>
              </w:rPr>
            </w:pPr>
            <w:r>
              <w:rPr>
                <w:rFonts w:ascii="Arial" w:cs="Arial" w:eastAsia="Arial" w:hAnsi="Arial"/>
                <w:sz w:val="18"/>
                <w:szCs w:val="18"/>
                <w:color w:val="auto"/>
              </w:rPr>
              <w:t>Investing in our securities involves risks. Before deciding to invest in our securities, you should carefully</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read and consider the information set forth in the “Risk Factors” and “Cautionary Statement Regarding</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Forward-Looking Statements” sections of this prospectus supplement and the “Risk Factors” section of</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our Annual Report on Form 10-K, and all other information set forth in, or incorporated by reference</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into, this prospectus supplement.</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Conflicts of Interest</w:t>
            </w:r>
          </w:p>
        </w:tc>
        <w:tc>
          <w:tcPr>
            <w:tcW w:w="8940" w:type="dxa"/>
            <w:vAlign w:val="bottom"/>
          </w:tcPr>
          <w:p>
            <w:pPr>
              <w:ind w:left="660"/>
              <w:spacing w:after="0"/>
              <w:rPr>
                <w:sz w:val="20"/>
                <w:szCs w:val="20"/>
                <w:color w:val="auto"/>
              </w:rPr>
            </w:pPr>
            <w:r>
              <w:rPr>
                <w:rFonts w:ascii="Arial" w:cs="Arial" w:eastAsia="Arial" w:hAnsi="Arial"/>
                <w:sz w:val="18"/>
                <w:szCs w:val="18"/>
                <w:color w:val="auto"/>
              </w:rPr>
              <w:t>We may use a portion of the net proceeds of this offering to repay indebtedness owed by us under our</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revolving credit agreement or term loan agreement. See “Use of Proceeds.” Because a repayment of</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the outstanding borrowings under our revolving credit agreement or term loan agreement could result in</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at least 5% of the net proceeds of this offering being paid to an affiliate of the placement agent that is a</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lender under our revolving credit agreement and term loan agreement, this offering is being made in</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compliance with the requirements of Rule 5121 of the Financial Industry Regulatory Authority, Inc., or</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FINRA. For more information, see “Plan of Distribution (Conflicts of Interest)—Conflicts of Interest.”</w:t>
            </w:r>
          </w:p>
        </w:tc>
      </w:tr>
      <w:tr>
        <w:trPr>
          <w:trHeight w:val="324"/>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Trading symbol</w:t>
            </w:r>
          </w:p>
        </w:tc>
        <w:tc>
          <w:tcPr>
            <w:tcW w:w="8940" w:type="dxa"/>
            <w:vAlign w:val="bottom"/>
          </w:tcPr>
          <w:p>
            <w:pPr>
              <w:ind w:left="660"/>
              <w:spacing w:after="0"/>
              <w:rPr>
                <w:sz w:val="20"/>
                <w:szCs w:val="20"/>
                <w:color w:val="auto"/>
              </w:rPr>
            </w:pPr>
            <w:r>
              <w:rPr>
                <w:rFonts w:ascii="Arial" w:cs="Arial" w:eastAsia="Arial" w:hAnsi="Arial"/>
                <w:sz w:val="18"/>
                <w:szCs w:val="18"/>
                <w:color w:val="auto"/>
              </w:rPr>
              <w:t>Our ordinary shares are listed on the NYSE under the symbol “WFT.”</w:t>
            </w:r>
          </w:p>
        </w:tc>
      </w:tr>
      <w:tr>
        <w:trPr>
          <w:trHeight w:val="161"/>
        </w:trPr>
        <w:tc>
          <w:tcPr>
            <w:tcW w:w="2520" w:type="dxa"/>
            <w:vAlign w:val="bottom"/>
            <w:tcBorders>
              <w:bottom w:val="single" w:sz="8" w:color="auto"/>
            </w:tcBorders>
          </w:tcPr>
          <w:p>
            <w:pPr>
              <w:spacing w:after="0"/>
              <w:rPr>
                <w:sz w:val="13"/>
                <w:szCs w:val="13"/>
                <w:color w:val="auto"/>
              </w:rPr>
            </w:pPr>
          </w:p>
        </w:tc>
        <w:tc>
          <w:tcPr>
            <w:tcW w:w="8940" w:type="dxa"/>
            <w:vAlign w:val="bottom"/>
            <w:tcBorders>
              <w:bottom w:val="single" w:sz="8" w:color="auto"/>
            </w:tcBorders>
          </w:tcPr>
          <w:p>
            <w:pPr>
              <w:spacing w:after="0"/>
              <w:rPr>
                <w:sz w:val="13"/>
                <w:szCs w:val="13"/>
                <w:color w:val="auto"/>
              </w:rPr>
            </w:pPr>
          </w:p>
        </w:tc>
      </w:tr>
      <w:tr>
        <w:trPr>
          <w:trHeight w:val="359"/>
        </w:trPr>
        <w:tc>
          <w:tcPr>
            <w:tcW w:w="2520" w:type="dxa"/>
            <w:vAlign w:val="bottom"/>
          </w:tcPr>
          <w:p>
            <w:pPr>
              <w:spacing w:after="0"/>
              <w:rPr>
                <w:sz w:val="24"/>
                <w:szCs w:val="24"/>
                <w:color w:val="auto"/>
              </w:rPr>
            </w:pPr>
          </w:p>
        </w:tc>
        <w:tc>
          <w:tcPr>
            <w:tcW w:w="8940" w:type="dxa"/>
            <w:vAlign w:val="bottom"/>
          </w:tcPr>
          <w:p>
            <w:pPr>
              <w:ind w:left="30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supplement.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ordinary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trading price of our ordinary shares has historically fluctuated significantly. For example, since the beginning of 2014, the high closing price per ordinary share on the NYSE was $24.06; in 2016, the low closing price per share was $3.73; and on November 15, 2016, the last reported sale price of our ordinary shares on the NYSE was $5.14 per share. The price of our ordinary shares could be subject to wide fluctuations in the future in response to many events or factors, including those discussed in this risk factors section, as well as:</w:t>
      </w:r>
    </w:p>
    <w:p>
      <w:pPr>
        <w:spacing w:after="0" w:line="11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investors’ general perception of us;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04"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12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As of November 11, 2016, we had 897,277,419 ordinary shares issued and outstanding. As of November 11, 2016, 1,388,400 ordinary shares were reserved for issuance upon exercise of stock options (of which none were exercisable), 14,150,156 ordinary shares were reserved for issuance upon the vesting of restricted stock units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and 3,228,584 ordinary shares were authorized for issuance upon the vesting of performance share units. As of November 11, 2016, 163,394,484 were reserved for issuance upon the exchange of Weatherford International Ltd.’s, a Bermuda exempted company and our wholly owned, indirect subsidiary, 5.875% Exchangeable Senior Notes due 2021 for ordinary shares. The issuance of the ordinary shares offered hereby and the sale of additional shares that may become eligible for sale in the public market from time to time, could have the effect of depressing the market price for our ordinary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service debt.</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ordinary shares.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01"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Weatherford International plc has never declared or paid cash dividends on its share capital and it does not expect to pay any cash dividends in the near future.</w:t>
      </w:r>
    </w:p>
    <w:p>
      <w:pPr>
        <w:spacing w:after="0" w:line="8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payments, share repurchases and redemptions be funded from “distributable reserves.” See “Description of Our Ordinary Shares—Dividends.”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Swiss transfer stamp duty.</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transfer stamp duty will be due.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Weatherford International plc may be subject to Swiss dividend withholding tax.</w:t>
      </w:r>
    </w:p>
    <w:p>
      <w:pPr>
        <w:spacing w:after="0" w:line="1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99" w:lineRule="auto"/>
        <w:rPr>
          <w:sz w:val="20"/>
          <w:szCs w:val="20"/>
          <w:color w:val="auto"/>
        </w:rPr>
      </w:pPr>
      <w:r>
        <w:rPr>
          <w:rFonts w:ascii="Arial" w:cs="Arial" w:eastAsia="Arial" w:hAnsi="Arial"/>
          <w:sz w:val="16"/>
          <w:szCs w:val="16"/>
          <w:color w:val="auto"/>
        </w:rPr>
        <w:t>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3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Ownership, or deemed ownership, of 10% or more of Weatherford Ireland’s shares, or certain of its subsidiaries’ shares, by one or more U.S. persons could cause us to be subject to a substantial amount of additional U.S. federal income tax under the controlled foreign corporation (“CFC”) rules and may cause U.S. persons that own, or are deemed to own, 10% or more of our shares, or certain of our subsidiaries’ shares, to be subject to additional U.S. federal income taxation.</w:t>
      </w:r>
    </w:p>
    <w:p>
      <w:pPr>
        <w:spacing w:after="0" w:line="9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Currently, certain of our non-U.S. subsidiary corporations are not considered CFCs because they are less than 50% owned by our U.S. group of subsidiaries and other 10% or greater U.S. shareholders. However, there is a risk that if a U.S. shareholder holds 10% or more of the shares of Weatherford Ireland or one of these non-U.S. subsidiary corporations, directly, indirectly, constructively or by attribution, (such shareholder a “10% US Shareholder”) we or some of our subsidiaries could be classified as CFCs for U.S. federal income tax purposes. For purposes of determining CFC status, holders of options (including warrants and exchangeable debt) should, generally, be treated as owning the number of shares into which such options can be exchanged and such shares would be aggregated with other shares held by such holder directly, indirectly, constructively or by attribution for purposes of determining whether such holder was a 10% US Shareholder. If one or more of our subsidiaries is classified as a CFC, we (and any 10% US Shareholders) may be subject to U.S. income taxation at ordinary income tax rates on all or a portion of the CFC’s undistributed earnings and profits attributable to “subpart F income.” The amount of this additional tax could be substantial. The CFC rules, including the rules for determining direct, indirect or constructive ownership of our shares and our subsidiaries’ shares, are complex and U.S. persons, including individuals and entities, that hold, or are deemed to hold, our shares, warrants or exchangeable debt are urged to consult their tax advisors regarding the possible application of the CFC rules and income inclusion rules to them in their particular circumstances.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prohibited from fully using our U.S. net operating loss carryforwards, which could affect our financial performance.</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a result of the recent losses we have incurred in the United States, we have not recorded a federal income tax provision and have recorded a valuation allowance against all future tax benefits of our U.S. net operating loss carryforwards. As of September 30, 2016, we had gross net operating loss (“NOL”) and research tax credit carryforwards of approximately $1.4 billion and $29 million, respectively for federal income tax purposes, expiring in varying amounts through the year 2036.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September 30, 2016, we have not experienced an ownership change. Therefore our utilization of NOL carryforwards were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trading market for the Warrant to purchase ordinary shares in this offering.</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There is no established public trading market for the Warrant being sold in this offering, and we do not expect such a market to develop. This may negatively affect the market value of the Warrant and your ability to transfer or sell your shares. In addition, we do not intend to apply to list the Warrant on any securities exchange or other nationally recognized trading system. Without an active market, the liquidity of the Warrant will be limited.</w:t>
      </w:r>
    </w:p>
    <w:p>
      <w:pPr>
        <w:spacing w:after="0" w:line="8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The market price of our ordinary shares, which has been volatile and may continue to be volatile, may adversely affect the value of the Warrant sold in this offering and you may not be able to recover the value of your investment.</w:t>
      </w:r>
    </w:p>
    <w:p>
      <w:pPr>
        <w:spacing w:after="0" w:line="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market price of our ordinary shares, which has been volatile and may continue to be volatile, will affect the value of the Warrant sold in this offering. The market price of our ordinary shares will likely fluctuate in response to a number of factors including our financial condition and operating results, as well as economic, financial and other factors, many of which are beyond our control. For more information regarding such factors, see “—Risk Factors Relating to Our Ordinary Shares—The price of our ordinary shares may be volatile.” In order for you to recover the value of your investment in the Warrant, the market price of our ordinary shares must increase from the price in effect on the date of this prospectus supplement. However, there can be no assurance that the market price of our ordinary shares will exceed the price required for you to achieve a positive return on your investment upon a warrant exercise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redeem the holder of the Warrant if we experience a Fundamental Transaction.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holder of our Warrant may require us to redeem the Warrant if we experience a “Fundamental Transaction” (as defined in the Warrant), which includes but is not limited to a change of control, business combination, merger or sale of substantially all of the assets. There can be no assurance that in the event of a change of control we will be able to sufficiently compensate the holder of the Warrant for the impact the change of control has on the price of our ordinary shares. In addition, the Fundamental Transaction terms may delay a potential change of control even if such change may be beneficial to some or all our shareholders. These restrictions may also adversely affect the market price of our ordinary shares.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holder of the Warrant will have no rights as ordinary shareholders until they acquire our ordinary shares.</w:t>
      </w:r>
    </w:p>
    <w:p>
      <w:pPr>
        <w:spacing w:after="0" w:line="12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Until you become a holder of record of our ordinary shares issued upon settlement of your Warrant, you will have no rights with respect to such ordinary shares, including rights to vote or rights to respond to tender offers. Upon exercise of your Warrant, you will be entitled to exercise the rights of a shareholder only as to matters for which the record date occurs on or after the date you become the holder of record of such ordinary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Warrant included in this offering may not have any value.</w:t>
      </w:r>
    </w:p>
    <w:p>
      <w:pPr>
        <w:spacing w:after="0" w:line="12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Warrant has an exercise price of $6.43 per share. In the event the price of our ordinary shares does not exceed the exercise price of the Warrant on its exercise date, the Warrant may not have any value. If the Warrant is not exercised upon the expiration date, it will expire unexercised and you will not receive any of our ordinary shares.</w:t>
      </w:r>
    </w:p>
    <w:p>
      <w:pPr>
        <w:spacing w:after="0" w:line="8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Each purchaser in this offering will experience immediate and substantial dilution in the net tangible book value per ordinary share it purchases in this offering.</w:t>
      </w:r>
    </w:p>
    <w:p>
      <w:pPr>
        <w:spacing w:after="0" w:line="81"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Since the public offering price per ordinary share being offered is substantially higher than the net tangible book value per ordinary share outstanding prior to this offering, the purchasers in this offering will suffer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substantial dilution in the net tangible book value of the ordinary shares they purchase in this offering. Based on the public offering price of $5.40 per ordinary share, the purchasers will suffer immediate and substantial dilution of $5.68 per ordinary share, representing the difference in the as adjusted net tangible book value per ordinary share as of September 30, 2016 after giving effect to this offering. See the section entitled “Dilution” below for a more detailed discussion of the dilution the purchasers will incur if they purchase our securities in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purchasers in this offering may experience future dilution.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estimate that the net proceeds from this offering of securities, after deducting the placement agent fees and estimated offering expenses, will be approximately $448 million (without giving effect to any exercise of the Warrant). We intend to use the net proceeds from this offering and the proceeds from any exercise of the Warrant for general corporate purposes, including the repayment of debt.</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repayment of the outstanding borrowings under our revolving credit agreement or our term loan agreement may result in at least 5% of the net proceeds of this offering being paid to an affiliate of the placement agent that is a lender under our revolving credit agreement or our term loan agreement. Accordingly, this offering is being made in compliance with the requirements of FINRA Rule 5121. For more information, see “Plan of Distribution (Conflicts of Interest)—Conflicts of Interest.”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Purchasers of our ordinary shares in this offering will suffer immediate and substantial dilution in net tangible book value per ordinary share. Net tangible book value per share represents our total tangible assets (which excludes goodwill and other intangible assets), less our total liabilities, divided by the aggregate number of ordinary shares outstanding. Our net tangible book value as of September 30, 2016 was approximately $(721) million, or approximately $(0.80) per outstanding ordinary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After giving effect to the sale of the maximum number of ordinary shares offered hereby as set forth on the cover page of this prospectus</w:t>
      </w:r>
    </w:p>
    <w:p>
      <w:pPr>
        <w:spacing w:after="0"/>
        <w:rPr>
          <w:sz w:val="20"/>
          <w:szCs w:val="20"/>
          <w:color w:val="auto"/>
        </w:rPr>
      </w:pPr>
      <w:r>
        <w:rPr>
          <w:rFonts w:ascii="Arial" w:cs="Arial" w:eastAsia="Arial" w:hAnsi="Arial"/>
          <w:sz w:val="16"/>
          <w:szCs w:val="16"/>
          <w:color w:val="auto"/>
        </w:rPr>
        <w:t>supplement (and excluding ordinary shares issued and any proceeds received upon exercise of the Warrant), and after deducting the placement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agent’s fees and the estimated offering expenses payable by us, our as adjusted net tangible book value as of September 30, 2016 would have</w:t>
      </w:r>
    </w:p>
    <w:p>
      <w:pPr>
        <w:spacing w:after="0" w:line="234" w:lineRule="auto"/>
        <w:rPr>
          <w:sz w:val="20"/>
          <w:szCs w:val="20"/>
          <w:color w:val="auto"/>
        </w:rPr>
      </w:pPr>
      <w:r>
        <w:rPr>
          <w:rFonts w:ascii="Arial" w:cs="Arial" w:eastAsia="Arial" w:hAnsi="Arial"/>
          <w:sz w:val="18"/>
          <w:szCs w:val="18"/>
          <w:color w:val="auto"/>
        </w:rPr>
        <w:t>been approximately $(273) million, or $(0.28) per ordinary share. This amount represents an immediate increase in net tangible book value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$0.52 per ordinary share as a result of this offering. The following table illustrates this increase in our net tangible book value per ordinary share: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 per ordinary share</w:t>
            </w:r>
          </w:p>
        </w:tc>
        <w:tc>
          <w:tcPr>
            <w:tcW w:w="2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$ 5.40</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September 30, 2016</w:t>
            </w: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(0.80)</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2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0.52</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Adjusted net tangible book value per share as of September 30, 2016 after giving effect to this offering</w:t>
            </w: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(0.28)</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w:t>
            </w:r>
          </w:p>
        </w:tc>
      </w:tr>
      <w:tr>
        <w:trPr>
          <w:trHeight w:val="20"/>
        </w:trPr>
        <w:tc>
          <w:tcPr>
            <w:tcW w:w="9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Investors that acquire additional ordinary shares through the exercise of the Warrant offered hereby may experience additional dilution depending on our net tangible book value at the time of exercise.</w:t>
      </w:r>
    </w:p>
    <w:p>
      <w:pPr>
        <w:spacing w:after="0" w:line="101"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The amounts above are based on 896,478,754 ordinary shares outstanding as of September 30, 2016. The information above excludes the aggregate of up to 84,500,000 ordinary shares issuable upon exercise of the Warrant, and it also excludes, as of that date, the following:</w:t>
      </w:r>
    </w:p>
    <w:p>
      <w:pPr>
        <w:spacing w:after="0" w:line="68" w:lineRule="exact"/>
        <w:rPr>
          <w:sz w:val="20"/>
          <w:szCs w:val="20"/>
          <w:color w:val="auto"/>
        </w:rPr>
      </w:pPr>
    </w:p>
    <w:p>
      <w:pPr>
        <w:ind w:left="220" w:hanging="212"/>
        <w:spacing w:after="0" w:line="23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1,698,400 ordinary shares issuable upon the exercise of outstanding and vested stock options as of September 30, 2016, at a weighted average exercise price of $12.75 per ordinary share;</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15,181,843 ordinary shares subject to restricted share units outstanding as of September 30, 2016, at a weighted average grant date fair value of $9.38;</w:t>
      </w:r>
    </w:p>
    <w:p>
      <w:pPr>
        <w:spacing w:after="0" w:line="114" w:lineRule="exact"/>
        <w:rPr>
          <w:rFonts w:ascii="Arial" w:cs="Arial" w:eastAsia="Arial" w:hAnsi="Arial"/>
          <w:sz w:val="18"/>
          <w:szCs w:val="18"/>
          <w:color w:val="auto"/>
        </w:rPr>
      </w:pPr>
    </w:p>
    <w:p>
      <w:pPr>
        <w:ind w:left="220" w:right="260" w:hanging="212"/>
        <w:spacing w:after="0" w:line="23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3,228,584 ordinary shares subject to performance units outstanding as of September 30, 2016, at a weighted average grant date fair value of $7.21;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21,724,150 ordinary shares reserved as of September 30, 2016 for future issuance under equity incentive plans.</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2016:</w:t>
      </w:r>
    </w:p>
    <w:p>
      <w:pPr>
        <w:spacing w:after="0" w:line="11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20" w:right="500" w:hanging="212"/>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adjusted to give effect to the sale of $540 million of Weatherford Bermuda’s Senior Notes due 2024 that we expect to issue on or about November 18, 2016; and</w:t>
      </w:r>
    </w:p>
    <w:p>
      <w:pPr>
        <w:spacing w:after="0" w:line="114"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further adjusted to give effect to the issuance and sale of the securities offered hereby (but no exercise of the Warrant) after deducting fees payable to the placement agent and certain expenses payable in connection with this offering.</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amounts depicted on an as adjusted basis do not reflect net proceeds from future capital that may be received upon the exercise of the Warrant, as warrant exercises are not guaranteed events. If possible future capital is raised from warrant exercises and associated further ordinary share issuances were to be reflected, our capitalization would have been higher on an as adjusted basis at September 30, 2016 by the amounts of such net proceeds.</w:t>
      </w:r>
    </w:p>
    <w:p>
      <w:pPr>
        <w:spacing w:after="0" w:line="101"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which are incorporated by reference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September 30, 2016</w:t>
            </w:r>
          </w:p>
        </w:tc>
      </w:tr>
      <w:tr>
        <w:trPr>
          <w:trHeight w:val="177"/>
        </w:trPr>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12"/>
              <w:spacing w:after="0" w:line="177" w:lineRule="exact"/>
              <w:rPr>
                <w:sz w:val="20"/>
                <w:szCs w:val="20"/>
                <w:color w:val="auto"/>
              </w:rPr>
            </w:pPr>
            <w:r>
              <w:rPr>
                <w:rFonts w:ascii="Arial" w:cs="Arial" w:eastAsia="Arial" w:hAnsi="Arial"/>
                <w:sz w:val="18"/>
                <w:szCs w:val="18"/>
                <w:b w:val="1"/>
                <w:bCs w:val="1"/>
                <w:color w:val="auto"/>
              </w:rPr>
              <w:t>As</w:t>
            </w:r>
          </w:p>
        </w:tc>
        <w:tc>
          <w:tcPr>
            <w:tcW w:w="11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rPr>
              <w:t>As further</w:t>
            </w:r>
          </w:p>
        </w:tc>
        <w:tc>
          <w:tcPr>
            <w:tcW w:w="100" w:type="dxa"/>
            <w:vAlign w:val="bottom"/>
          </w:tcPr>
          <w:p>
            <w:pPr>
              <w:spacing w:after="0"/>
              <w:rPr>
                <w:sz w:val="15"/>
                <w:szCs w:val="15"/>
                <w:color w:val="auto"/>
              </w:rPr>
            </w:pPr>
          </w:p>
        </w:tc>
      </w:tr>
      <w:tr>
        <w:trPr>
          <w:trHeight w:val="221"/>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par value)</w:t>
            </w:r>
          </w:p>
        </w:tc>
        <w:tc>
          <w:tcPr>
            <w:tcW w:w="3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Actual</w:t>
            </w:r>
          </w:p>
        </w:tc>
        <w:tc>
          <w:tcPr>
            <w:tcW w:w="13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adjusted</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7"/>
              </w:rPr>
              <w:t>adjusted</w:t>
            </w:r>
          </w:p>
        </w:tc>
      </w:tr>
      <w:tr>
        <w:trPr>
          <w:trHeight w:val="196"/>
        </w:trPr>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380" w:type="dxa"/>
            <w:vAlign w:val="bottom"/>
            <w:gridSpan w:val="2"/>
            <w:shd w:val="clear" w:color="auto" w:fill="CCEEFF"/>
          </w:tcPr>
          <w:p>
            <w:pPr>
              <w:ind w:left="328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440</w:t>
            </w:r>
          </w:p>
        </w:tc>
        <w:tc>
          <w:tcPr>
            <w:tcW w:w="5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638</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7"/>
                <w:szCs w:val="17"/>
                <w:color w:val="auto"/>
              </w:rPr>
            </w:pPr>
          </w:p>
        </w:tc>
      </w:tr>
      <w:tr>
        <w:trPr>
          <w:trHeight w:val="270"/>
        </w:trPr>
        <w:tc>
          <w:tcPr>
            <w:tcW w:w="4680" w:type="dxa"/>
            <w:vAlign w:val="bottom"/>
            <w:gridSpan w:val="2"/>
          </w:tcPr>
          <w:p>
            <w:pPr>
              <w:spacing w:after="0"/>
              <w:rPr>
                <w:sz w:val="20"/>
                <w:szCs w:val="20"/>
                <w:color w:val="auto"/>
              </w:rPr>
            </w:pPr>
            <w:r>
              <w:rPr>
                <w:rFonts w:ascii="Arial" w:cs="Arial" w:eastAsia="Arial" w:hAnsi="Arial"/>
                <w:sz w:val="18"/>
                <w:szCs w:val="18"/>
                <w:color w:val="auto"/>
              </w:rPr>
              <w:t>Long-term debt, including current maturities:</w:t>
            </w:r>
          </w:p>
        </w:tc>
        <w:tc>
          <w:tcPr>
            <w:tcW w:w="3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facility(1)</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330</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Other short-term bank loans</w:t>
            </w:r>
          </w:p>
        </w:tc>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43</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43</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short-term borrowings</w:t>
            </w:r>
          </w:p>
        </w:tc>
        <w:tc>
          <w:tcPr>
            <w:tcW w:w="3380" w:type="dxa"/>
            <w:vAlign w:val="bottom"/>
            <w:gridSpan w:val="2"/>
            <w:shd w:val="clear" w:color="auto" w:fill="CCEEFF"/>
          </w:tcPr>
          <w:p>
            <w:pPr>
              <w:ind w:left="32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r>
      <w:tr>
        <w:trPr>
          <w:trHeight w:val="277"/>
        </w:trPr>
        <w:tc>
          <w:tcPr>
            <w:tcW w:w="4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6.35% Senior Notes due 2017</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6.00% Senior Notes due 2018</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66</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9.625%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2019</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490</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490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7"/>
                <w:szCs w:val="17"/>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5.125%</w:t>
            </w:r>
          </w:p>
        </w:tc>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2020</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363</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363</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5.875%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Exchangeable Senior Notes due 2021(2)</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7"/>
              </w:rPr>
              <w:t>1,142</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1,142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7"/>
                <w:szCs w:val="17"/>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7.750%</w:t>
            </w:r>
          </w:p>
        </w:tc>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2021</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738</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738</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4.50% Senior Notes due 2022</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642</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642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7"/>
                <w:szCs w:val="17"/>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8.250%</w:t>
            </w:r>
          </w:p>
        </w:tc>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2023</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738</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738</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9.875%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2024</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528</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6.50% Senior Notes due 2036</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446</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446</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6.80% Senior Notes due 2037</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255</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255</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7.00% Senior Notes due 2038</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455</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455</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9.875%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2039</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245</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245</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6.75% Senior Notes due 2040</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456</w:t>
            </w:r>
          </w:p>
        </w:tc>
        <w:tc>
          <w:tcPr>
            <w:tcW w:w="500" w:type="dxa"/>
            <w:vAlign w:val="bottom"/>
          </w:tcPr>
          <w:p>
            <w:pPr>
              <w:spacing w:after="0"/>
              <w:rPr>
                <w:sz w:val="17"/>
                <w:szCs w:val="17"/>
                <w:color w:val="auto"/>
              </w:rPr>
            </w:pPr>
          </w:p>
        </w:tc>
        <w:tc>
          <w:tcPr>
            <w:tcW w:w="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456</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5.95% Senior Notes due 2042</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368</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368</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7"/>
                <w:szCs w:val="17"/>
                <w:color w:val="auto"/>
              </w:rPr>
            </w:pPr>
          </w:p>
        </w:tc>
      </w:tr>
      <w:tr>
        <w:trPr>
          <w:trHeight w:val="215"/>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Secured Term Loan Agreement</w:t>
            </w:r>
          </w:p>
        </w:tc>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483</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483</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r>
      <w:tr>
        <w:trPr>
          <w:trHeight w:val="357"/>
        </w:trPr>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80" w:type="dxa"/>
            <w:vAlign w:val="bottom"/>
            <w:gridSpan w:val="2"/>
          </w:tcPr>
          <w:p>
            <w:pPr>
              <w:ind w:left="840"/>
              <w:spacing w:after="0"/>
              <w:rPr>
                <w:sz w:val="20"/>
                <w:szCs w:val="20"/>
                <w:color w:val="auto"/>
              </w:rPr>
            </w:pPr>
            <w:r>
              <w:rPr>
                <w:rFonts w:ascii="Arial" w:cs="Arial" w:eastAsia="Arial" w:hAnsi="Arial"/>
                <w:sz w:val="18"/>
                <w:szCs w:val="18"/>
                <w:color w:val="auto"/>
              </w:rPr>
              <w:t>S-11</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September 30, 2016</w:t>
            </w:r>
          </w:p>
        </w:tc>
      </w:tr>
      <w:tr>
        <w:trPr>
          <w:trHeight w:val="177"/>
        </w:trPr>
        <w:tc>
          <w:tcPr>
            <w:tcW w:w="82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72"/>
              <w:spacing w:after="0" w:line="177" w:lineRule="exact"/>
              <w:rPr>
                <w:sz w:val="20"/>
                <w:szCs w:val="20"/>
                <w:color w:val="auto"/>
              </w:rPr>
            </w:pPr>
            <w:r>
              <w:rPr>
                <w:rFonts w:ascii="Arial" w:cs="Arial" w:eastAsia="Arial" w:hAnsi="Arial"/>
                <w:sz w:val="18"/>
                <w:szCs w:val="18"/>
                <w:b w:val="1"/>
                <w:bCs w:val="1"/>
                <w:color w:val="auto"/>
              </w:rPr>
              <w:t>As</w:t>
            </w:r>
          </w:p>
        </w:tc>
        <w:tc>
          <w:tcPr>
            <w:tcW w:w="1040" w:type="dxa"/>
            <w:vAlign w:val="bottom"/>
            <w:tcBorders>
              <w:top w:val="single" w:sz="8" w:color="auto"/>
            </w:tcBorders>
            <w:gridSpan w:val="2"/>
          </w:tcPr>
          <w:p>
            <w:pPr>
              <w:ind w:left="200"/>
              <w:spacing w:after="0" w:line="177" w:lineRule="exact"/>
              <w:rPr>
                <w:sz w:val="20"/>
                <w:szCs w:val="20"/>
                <w:color w:val="auto"/>
              </w:rPr>
            </w:pPr>
            <w:r>
              <w:rPr>
                <w:rFonts w:ascii="Arial" w:cs="Arial" w:eastAsia="Arial" w:hAnsi="Arial"/>
                <w:sz w:val="18"/>
                <w:szCs w:val="18"/>
                <w:b w:val="1"/>
                <w:bCs w:val="1"/>
                <w:color w:val="auto"/>
                <w:w w:val="95"/>
              </w:rPr>
              <w:t>As further</w:t>
            </w:r>
          </w:p>
        </w:tc>
        <w:tc>
          <w:tcPr>
            <w:tcW w:w="100" w:type="dxa"/>
            <w:vAlign w:val="bottom"/>
          </w:tcPr>
          <w:p>
            <w:pPr>
              <w:spacing w:after="0"/>
              <w:rPr>
                <w:sz w:val="15"/>
                <w:szCs w:val="15"/>
                <w:color w:val="auto"/>
              </w:rPr>
            </w:pPr>
          </w:p>
        </w:tc>
      </w:tr>
      <w:tr>
        <w:trPr>
          <w:trHeight w:val="221"/>
        </w:trPr>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par value)</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Actual</w:t>
            </w: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adjusted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7"/>
              </w:rPr>
              <w:t>adjusted</w:t>
            </w: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4.82% secured borrowing</w:t>
            </w:r>
          </w:p>
        </w:tc>
        <w:tc>
          <w:tcPr>
            <w:tcW w:w="8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r>
      <w:tr>
        <w:trPr>
          <w:trHeight w:val="210"/>
        </w:trPr>
        <w:tc>
          <w:tcPr>
            <w:tcW w:w="8260" w:type="dxa"/>
            <w:vAlign w:val="bottom"/>
          </w:tcPr>
          <w:p>
            <w:pPr>
              <w:spacing w:after="0" w:line="202" w:lineRule="exact"/>
              <w:rPr>
                <w:sz w:val="20"/>
                <w:szCs w:val="20"/>
                <w:color w:val="auto"/>
              </w:rPr>
            </w:pPr>
            <w:r>
              <w:rPr>
                <w:rFonts w:ascii="Arial" w:cs="Arial" w:eastAsia="Arial" w:hAnsi="Arial"/>
                <w:sz w:val="18"/>
                <w:szCs w:val="18"/>
                <w:color w:val="auto"/>
              </w:rPr>
              <w:t>Other long-term debt</w:t>
            </w:r>
          </w:p>
        </w:tc>
        <w:tc>
          <w:tcPr>
            <w:tcW w:w="86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137</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137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8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7,119</w:t>
            </w: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7,647</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7,647</w:t>
            </w:r>
          </w:p>
        </w:tc>
        <w:tc>
          <w:tcPr>
            <w:tcW w:w="100" w:type="dxa"/>
            <w:vAlign w:val="bottom"/>
            <w:shd w:val="clear" w:color="auto" w:fill="CCEEFF"/>
          </w:tcPr>
          <w:p>
            <w:pPr>
              <w:spacing w:after="0"/>
              <w:rPr>
                <w:sz w:val="17"/>
                <w:szCs w:val="17"/>
                <w:color w:val="auto"/>
              </w:rPr>
            </w:pP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Total indebtedness</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6"/>
              </w:rPr>
              <w:t>$ 7,492</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7,690</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r>
      <w:tr>
        <w:trPr>
          <w:trHeight w:val="75"/>
        </w:trPr>
        <w:tc>
          <w:tcPr>
            <w:tcW w:w="8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260" w:type="dxa"/>
            <w:vAlign w:val="bottom"/>
          </w:tcPr>
          <w:p>
            <w:pPr>
              <w:spacing w:after="0" w:line="206" w:lineRule="exact"/>
              <w:rPr>
                <w:sz w:val="20"/>
                <w:szCs w:val="20"/>
                <w:color w:val="auto"/>
              </w:rPr>
            </w:pPr>
            <w:r>
              <w:rPr>
                <w:rFonts w:ascii="Arial" w:cs="Arial" w:eastAsia="Arial" w:hAnsi="Arial"/>
                <w:sz w:val="18"/>
                <w:szCs w:val="18"/>
                <w:color w:val="auto"/>
              </w:rPr>
              <w:t>Ordinary shares of Weatherford Ireland—$0.001 par value; authorized 1,356, issued and outstanding</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260" w:type="dxa"/>
            <w:vAlign w:val="bottom"/>
          </w:tcPr>
          <w:p>
            <w:pPr>
              <w:ind w:left="220"/>
              <w:spacing w:after="0" w:line="200" w:lineRule="exact"/>
              <w:rPr>
                <w:sz w:val="20"/>
                <w:szCs w:val="20"/>
                <w:color w:val="auto"/>
              </w:rPr>
            </w:pPr>
            <w:r>
              <w:rPr>
                <w:rFonts w:ascii="Arial" w:cs="Arial" w:eastAsia="Arial" w:hAnsi="Arial"/>
                <w:sz w:val="18"/>
                <w:szCs w:val="18"/>
                <w:color w:val="auto"/>
              </w:rPr>
              <w:t>896, actual and as adjusted, 981 as further adjusted</w:t>
            </w:r>
          </w:p>
        </w:tc>
        <w:tc>
          <w:tcPr>
            <w:tcW w:w="8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84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in excess of par value</w:t>
            </w: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6,273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6,273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6,271</w:t>
            </w:r>
          </w:p>
        </w:tc>
        <w:tc>
          <w:tcPr>
            <w:tcW w:w="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Retained deficit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(2,401)</w:t>
            </w:r>
          </w:p>
        </w:tc>
        <w:tc>
          <w:tcPr>
            <w:tcW w:w="3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(2,401)</w:t>
            </w:r>
          </w:p>
        </w:tc>
        <w:tc>
          <w:tcPr>
            <w:tcW w:w="3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(2,401)</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(1,549)</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(1,549)</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(1,549)</w:t>
            </w: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Weatherford Ireland shareholders’ equity</w:t>
            </w:r>
          </w:p>
        </w:tc>
        <w:tc>
          <w:tcPr>
            <w:tcW w:w="8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2,324</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2,324</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8"/>
                <w:szCs w:val="18"/>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r>
      <w:tr>
        <w:trPr>
          <w:trHeight w:val="217"/>
        </w:trPr>
        <w:tc>
          <w:tcPr>
            <w:tcW w:w="82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6"/>
              </w:rPr>
              <w:t>$ 2,383</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2,383</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8"/>
                <w:szCs w:val="18"/>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6"/>
              </w:rPr>
              <w:t>$ 9,875</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10,073</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10,521</w:t>
            </w:r>
          </w:p>
        </w:tc>
        <w:tc>
          <w:tcPr>
            <w:tcW w:w="100" w:type="dxa"/>
            <w:vAlign w:val="bottom"/>
            <w:shd w:val="clear" w:color="auto" w:fill="CCEEFF"/>
          </w:tcPr>
          <w:p>
            <w:pPr>
              <w:spacing w:after="0"/>
              <w:rPr>
                <w:sz w:val="17"/>
                <w:szCs w:val="17"/>
                <w:color w:val="auto"/>
              </w:rPr>
            </w:pP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2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 November 11, 2016, we had $600 million outstanding under our amended and restated credit agreement with, among others, JPMorgan Chase Bank, N.A., as administrative agent and lender (the “Revolving Credit Agreement”), and there were $61 million in outstanding letters of credit under the Revolving Credit Agreement. Our Revolving Credit Agreement can be used for a combination of borrowings, including letters of credit, and the indebtedness incurred thereunder is structurally senior to the notes to the extent the Revolving Credit Agreement is guaranteed by entities that will not guarantee the notes. Amounts borrowed under the Revolving Credit Agreement fluctuate during each quarter based on working capital requirements and typically are lower at the end of a quarter.</w:t>
      </w:r>
    </w:p>
    <w:p>
      <w:pPr>
        <w:spacing w:after="0" w:line="55" w:lineRule="exact"/>
        <w:rPr>
          <w:rFonts w:ascii="Arial" w:cs="Arial" w:eastAsia="Arial" w:hAnsi="Arial"/>
          <w:sz w:val="14"/>
          <w:szCs w:val="14"/>
          <w:color w:val="auto"/>
        </w:rPr>
      </w:pPr>
    </w:p>
    <w:p>
      <w:pPr>
        <w:ind w:left="340" w:right="60" w:hanging="332"/>
        <w:spacing w:after="0" w:line="226"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June 7, 2016, we closed the sale of our previously announced underwritten public offering of $1.265 billion aggregate principal amount of Exchangeable Notes. The amount shown in the table above for the Exchangeable Notes represents their principal amount. However, in accordance with ASC 470-20, we will separately account for the debt and equity components of the notes. Specifically, the initial carrying amount of the debt component will be valued using our cost of capital for a similar instrument that does not have an exchange feature, and the related debt discount will be credited to capital in excess of par value and amortized into interest expense over the term of the notes.</w:t>
      </w:r>
    </w:p>
    <w:p>
      <w:pPr>
        <w:spacing w:after="0" w:line="100"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Reports on Form 10-K and Form 10-Q which are incorporated by reference in this prospectus supplement.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have never declared or paid cash dividends on our shares. We intend to retain any future earnings and do not expect to pay any cash dividends in the near future.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future dividend policy is within the discretion of our board of directors and will depend upon then existing conditions, including our results of operations, financial condition, capital requirements, investment opportunities, statutory restrictions on our ability to pay dividends and other factors our board of directors may deem relevant.</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price of our ordinary shares</w:t>
      </w:r>
    </w:p>
    <w:p>
      <w:pPr>
        <w:spacing w:after="0" w:line="158"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Our shares are traded under the symbol “WFT” on the NYSE. As of November 15, 2016, there were 1,718 shareholders of record. The following table sets forth, for the periods indicated, the range of high and low sales prices per share for our ordinary shares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High</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jc w:val="right"/>
              <w:ind w:right="6252"/>
              <w:spacing w:after="0" w:line="202" w:lineRule="exact"/>
              <w:rPr>
                <w:sz w:val="20"/>
                <w:szCs w:val="20"/>
                <w:color w:val="auto"/>
              </w:rPr>
            </w:pPr>
            <w:r>
              <w:rPr>
                <w:rFonts w:ascii="Arial" w:cs="Arial" w:eastAsia="Arial" w:hAnsi="Arial"/>
                <w:sz w:val="18"/>
                <w:szCs w:val="18"/>
                <w:b w:val="1"/>
                <w:bCs w:val="1"/>
                <w:color w:val="auto"/>
                <w:w w:val="89"/>
              </w:rPr>
              <w:t>2016</w:t>
            </w:r>
          </w:p>
        </w:tc>
        <w:tc>
          <w:tcPr>
            <w:tcW w:w="3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8.80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Fourth Quarter (through November 15, 2016)</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6740" w:type="dxa"/>
            <w:vAlign w:val="bottom"/>
            <w:gridSpan w:val="2"/>
          </w:tcPr>
          <w:p>
            <w:pPr>
              <w:jc w:val="right"/>
              <w:ind w:right="6252"/>
              <w:spacing w:after="0"/>
              <w:rPr>
                <w:sz w:val="20"/>
                <w:szCs w:val="20"/>
                <w:color w:val="auto"/>
              </w:rPr>
            </w:pPr>
            <w:r>
              <w:rPr>
                <w:rFonts w:ascii="Arial" w:cs="Arial" w:eastAsia="Arial" w:hAnsi="Arial"/>
                <w:sz w:val="18"/>
                <w:szCs w:val="18"/>
                <w:b w:val="1"/>
                <w:bCs w:val="1"/>
                <w:color w:val="auto"/>
                <w:w w:val="94"/>
              </w:rPr>
              <w:t>2015</w:t>
            </w:r>
          </w:p>
        </w:tc>
        <w:tc>
          <w:tcPr>
            <w:tcW w:w="3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13.12</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14.91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12.35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11.49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jc w:val="right"/>
              <w:ind w:right="6252"/>
              <w:spacing w:after="0" w:line="202" w:lineRule="exact"/>
              <w:rPr>
                <w:sz w:val="20"/>
                <w:szCs w:val="20"/>
                <w:color w:val="auto"/>
              </w:rPr>
            </w:pPr>
            <w:r>
              <w:rPr>
                <w:rFonts w:ascii="Arial" w:cs="Arial" w:eastAsia="Arial" w:hAnsi="Arial"/>
                <w:sz w:val="18"/>
                <w:szCs w:val="18"/>
                <w:b w:val="1"/>
                <w:bCs w:val="1"/>
                <w:color w:val="auto"/>
                <w:w w:val="89"/>
              </w:rPr>
              <w:t>2014</w:t>
            </w:r>
          </w:p>
        </w:tc>
        <w:tc>
          <w:tcPr>
            <w:tcW w:w="3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17.53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23.25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16.68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24.88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Fourth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20.89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15, 2016, the closing price of our ordinary shares was $5.14 per share.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our ordinary shares</w:t>
      </w:r>
    </w:p>
    <w:p>
      <w:pPr>
        <w:spacing w:after="0" w:line="158"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structure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November 11, 2016,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8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7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November 11, 2016, our issued share capital is $897,277, comprised of approximately 897,277,419 ordinary shares with a nominal value of $0.001 per 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Preemption rights, share warrants and options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115"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17" w:lineRule="exact"/>
        <w:rPr>
          <w:rFonts w:ascii="Arial" w:cs="Arial" w:eastAsia="Arial" w:hAnsi="Arial"/>
          <w:sz w:val="18"/>
          <w:szCs w:val="18"/>
          <w:color w:val="auto"/>
        </w:rPr>
      </w:pPr>
    </w:p>
    <w:p>
      <w:pPr>
        <w:ind w:left="220" w:right="580" w:hanging="212"/>
        <w:spacing w:after="0" w:line="23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determination as to whether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 our unconsolidated financial position and accord with accepted accounting practice. The relevant entity financial statements are filed in the Companies Registration Office (the official public registry for companies in Ireland).</w:t>
      </w:r>
    </w:p>
    <w:p>
      <w:pPr>
        <w:spacing w:after="0" w:line="103"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repurchases, redemptions and conversions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articles of association provide that, unless our directors determine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2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0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may also issue redeemable shares and redeem them out of distributable profits or the proceeds of a new issue of shares for that purpose.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given by its shareholders at a general meeting, which would take effect on the same terms and be subject to the same conditions as applicable to purchases by our subsidiaries.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our subsidiaries may purchase our ordinary shares on-market on a recognized stock exchange such as NYSE or off-market.</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Lien on shares, calls on shares and forfeiture of shares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and division; subdivision</w:t>
      </w:r>
    </w:p>
    <w:p>
      <w:pPr>
        <w:spacing w:after="0" w:line="13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Reduction of share capital</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meetings of shareholders</w:t>
      </w:r>
    </w:p>
    <w:p>
      <w:pPr>
        <w:spacing w:after="0" w:line="13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provided under Irish law, notice of an annual or extraordinary general meeting must be given to all our shareholders and to our auditors.</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Extraordinary general meetings of shareholders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1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10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0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for general meetings</w:t>
      </w:r>
    </w:p>
    <w:p>
      <w:pPr>
        <w:spacing w:after="0" w:line="1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17"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17"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14"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shareholder or shareholders holding shares in our capital conferring the right to vote at the meeting being shares on which an aggregate sum has been paid-up equal to not less than one tenth of the total sum paid-up on all the shares conferring that right.</w:t>
      </w:r>
    </w:p>
    <w:p>
      <w:pPr>
        <w:spacing w:after="0" w:line="101"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68"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17"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Variation of rights attaching to a class or series of shares</w:t>
      </w:r>
    </w:p>
    <w:p>
      <w:pPr>
        <w:spacing w:after="0" w:line="1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Irish law, shareholders have the right to:</w:t>
      </w:r>
    </w:p>
    <w:p>
      <w:pPr>
        <w:spacing w:after="0" w:line="11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14" w:lineRule="exact"/>
        <w:rPr>
          <w:rFonts w:ascii="Arial" w:cs="Arial" w:eastAsia="Arial" w:hAnsi="Arial"/>
          <w:sz w:val="18"/>
          <w:szCs w:val="18"/>
          <w:color w:val="auto"/>
        </w:rPr>
      </w:pPr>
    </w:p>
    <w:p>
      <w:pPr>
        <w:ind w:left="220" w:right="42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0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34"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01" w:lineRule="exact"/>
        <w:rPr>
          <w:sz w:val="20"/>
          <w:szCs w:val="20"/>
          <w:color w:val="auto"/>
        </w:rPr>
      </w:pPr>
    </w:p>
    <w:p>
      <w:pPr>
        <w:jc w:val="both"/>
        <w:ind w:right="320"/>
        <w:spacing w:after="0" w:line="299"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Appraisal rights</w:t>
      </w:r>
    </w:p>
    <w:p>
      <w:pPr>
        <w:spacing w:after="0" w:line="1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0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0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of interests in shares</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114" w:lineRule="exact"/>
        <w:rPr>
          <w:sz w:val="20"/>
          <w:szCs w:val="20"/>
          <w:color w:val="auto"/>
        </w:rPr>
      </w:pPr>
    </w:p>
    <w:p>
      <w:pPr>
        <w:ind w:left="220" w:right="8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on those shares, whether in respect of capital or otherwise.</w:t>
      </w:r>
    </w:p>
    <w:p>
      <w:pPr>
        <w:spacing w:after="0" w:line="10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w:t>
      </w:r>
    </w:p>
    <w:p>
      <w:pPr>
        <w:spacing w:after="0" w:line="1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17" w:lineRule="exact"/>
        <w:rPr>
          <w:sz w:val="20"/>
          <w:szCs w:val="20"/>
          <w:color w:val="auto"/>
        </w:rPr>
      </w:pPr>
    </w:p>
    <w:p>
      <w:pPr>
        <w:ind w:left="220" w:right="8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114" w:lineRule="exact"/>
        <w:rPr>
          <w:rFonts w:ascii="Arial" w:cs="Arial" w:eastAsia="Arial" w:hAnsi="Arial"/>
          <w:sz w:val="18"/>
          <w:szCs w:val="18"/>
          <w:color w:val="auto"/>
        </w:rPr>
      </w:pPr>
    </w:p>
    <w:p>
      <w:pPr>
        <w:ind w:left="220" w:right="6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the securities in the target company must have sufficient time and information to enable them to reach a properly informed decision on the offer; where it advises the holders of securities, the board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target company must give its views on the effects of implementation of the offer on employment, conditions of employment and the locations of the target company’s places of business;</w:t>
      </w:r>
    </w:p>
    <w:p>
      <w:pPr>
        <w:spacing w:after="0" w:line="114" w:lineRule="exact"/>
        <w:rPr>
          <w:sz w:val="20"/>
          <w:szCs w:val="20"/>
          <w:color w:val="auto"/>
        </w:rPr>
      </w:pPr>
    </w:p>
    <w:p>
      <w:pPr>
        <w:ind w:left="22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of the target company must act in our interests as a whole and must not deny the holders of securities the opportunity to decide on the merits of the offer;</w:t>
      </w:r>
    </w:p>
    <w:p>
      <w:pPr>
        <w:spacing w:after="0" w:line="114" w:lineRule="exact"/>
        <w:rPr>
          <w:rFonts w:ascii="Arial" w:cs="Arial" w:eastAsia="Arial" w:hAnsi="Arial"/>
          <w:sz w:val="18"/>
          <w:szCs w:val="18"/>
          <w:color w:val="auto"/>
        </w:rPr>
      </w:pPr>
    </w:p>
    <w:p>
      <w:pPr>
        <w:ind w:left="220" w:right="18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17"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name; formation; fiscal year; registered office</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directors</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17"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17" w:lineRule="exact"/>
        <w:rPr>
          <w:rFonts w:ascii="Arial" w:cs="Arial" w:eastAsia="Arial" w:hAnsi="Arial"/>
          <w:sz w:val="18"/>
          <w:szCs w:val="18"/>
          <w:color w:val="auto"/>
        </w:rPr>
      </w:pPr>
    </w:p>
    <w:p>
      <w:pPr>
        <w:jc w:val="both"/>
        <w:ind w:left="220" w:right="160" w:hanging="212"/>
        <w:spacing w:after="0" w:line="23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election at an annual general meeting, by any shareholder who holds ordinary shares or other shares in our capital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113" w:lineRule="exact"/>
        <w:rPr>
          <w:rFonts w:ascii="Arial" w:cs="Arial" w:eastAsia="Arial" w:hAnsi="Arial"/>
          <w:sz w:val="18"/>
          <w:szCs w:val="18"/>
          <w:color w:val="auto"/>
        </w:rPr>
      </w:pPr>
    </w:p>
    <w:p>
      <w:pPr>
        <w:ind w:left="220" w:right="160" w:hanging="212"/>
        <w:spacing w:after="0" w:line="237"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our capital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Directors shall be appointed as follows:</w:t>
      </w:r>
    </w:p>
    <w:p>
      <w:pPr>
        <w:spacing w:after="0" w:line="117" w:lineRule="exact"/>
        <w:rPr>
          <w:sz w:val="20"/>
          <w:szCs w:val="20"/>
          <w:color w:val="auto"/>
        </w:rPr>
      </w:pPr>
    </w:p>
    <w:p>
      <w:pPr>
        <w:ind w:left="220" w:right="38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17" w:lineRule="exact"/>
        <w:rPr>
          <w:rFonts w:ascii="Arial" w:cs="Arial" w:eastAsia="Arial" w:hAnsi="Arial"/>
          <w:sz w:val="18"/>
          <w:szCs w:val="18"/>
          <w:color w:val="auto"/>
        </w:rPr>
      </w:pPr>
    </w:p>
    <w:p>
      <w:pPr>
        <w:jc w:val="both"/>
        <w:ind w:left="220" w:hanging="212"/>
        <w:spacing w:after="0" w:line="237"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Removal of directors</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Duration; dissolution; rights upon liquidation</w:t>
      </w:r>
    </w:p>
    <w:p>
      <w:pPr>
        <w:spacing w:after="0" w:line="13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ordinary shares are listed on the NYSE under the symbol “WFT.” We do not intend to apply to list the Warrant on any securities exchange or to arrange for quotation of the Warrant on any automated dealer quotation system.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liability for further calls or assessments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and registration of shares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07"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0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the warrant</w:t>
      </w:r>
    </w:p>
    <w:p>
      <w:pPr>
        <w:spacing w:after="0" w:line="158"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The following summary of certain terms and provisions of the Warrant is not complete and is subject to, and qualified in its entirety by reference to, the terms and provisions set forth in the form of Warrant to be filed as an exhibit to the registration statement of which this prospectus forms a part.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w:t>
      </w:r>
      <w:r>
        <w:rPr>
          <w:rFonts w:ascii="Arial" w:cs="Arial" w:eastAsia="Arial" w:hAnsi="Arial"/>
          <w:sz w:val="18"/>
          <w:szCs w:val="18"/>
          <w:color w:val="auto"/>
        </w:rPr>
        <w:t>. The Warrant will be issued and delivered through the facilities of DTC.</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i w:val="1"/>
          <w:iCs w:val="1"/>
          <w:color w:val="auto"/>
        </w:rPr>
        <w:t>Exercisability and duration</w:t>
      </w:r>
      <w:r>
        <w:rPr>
          <w:rFonts w:ascii="Arial" w:cs="Arial" w:eastAsia="Arial" w:hAnsi="Arial"/>
          <w:sz w:val="18"/>
          <w:szCs w:val="18"/>
          <w:color w:val="auto"/>
        </w:rPr>
        <w:t>. The Warrant is exercisable immediately and at any time prior to May 21, 2019 (30 months after its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 Warrant will be exercisable, at the option of the holder, in whole or in part, by delivery of a written notice of the holder’s election to exercise the Warrant. Within one trading day following an exercise of the Warrant, the holder shall deliver payment of an amount equal to the exercise price in effect on the date of such exercise multiplied by the number of warrant shares as to which the Warrant was so exercised in cash or via wire transfer of immediately available funds. As an alternative to payment in immediately available funds, the holder may, only if at the time of exercise a registration statement is not effective (or the prospectus contained therein is not available for use), in its sole discretion, elect to exercise the Warrant through a net share exercise, in which case the holder would receive upon such exercise the net number of ordinary shares determined according to the formula set forth in the Warrant.</w:t>
      </w:r>
    </w:p>
    <w:p>
      <w:pPr>
        <w:spacing w:after="0" w:line="8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Fractional shares</w:t>
      </w:r>
      <w:r>
        <w:rPr>
          <w:rFonts w:ascii="Arial" w:cs="Arial" w:eastAsia="Arial" w:hAnsi="Arial"/>
          <w:sz w:val="18"/>
          <w:szCs w:val="18"/>
          <w:color w:val="auto"/>
        </w:rPr>
        <w:t>. No fractional ordinary shares are to be issued upon exercise of the Warrant, but rather the number of ordinary shares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shall be rounded to the nearest whole number.</w:t>
      </w:r>
    </w:p>
    <w:p>
      <w:pPr>
        <w:spacing w:after="0" w:line="61"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The exercise price per ordinary share purchasable upon the exercise of the Warrant is $6.43 per share. The exercise price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 is subject to appropriate adjustment in the event of certain share dividends, subdivisions or combinations affecting the ordinary shares. Under certain circumstances, including if the Company issues or sells, or in accordance with the Warrant is deemed to have issued or sold, any ordinary shares (or securities convertible into ordinary shares) for a consideration per share less than the Exercise Price in effect immediately prior to such issuance or sale or deemed issuance or sale, then immediately after such issuance, the Exercise Price then in effect shall be reduced to an amount equal to the price per share in such new issuance.</w:t>
      </w:r>
    </w:p>
    <w:p>
      <w:pPr>
        <w:spacing w:after="0" w:line="82"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b w:val="1"/>
          <w:bCs w:val="1"/>
          <w:i w:val="1"/>
          <w:iCs w:val="1"/>
          <w:color w:val="auto"/>
        </w:rPr>
        <w:t>Exercise Limitations</w:t>
      </w:r>
      <w:r>
        <w:rPr>
          <w:rFonts w:ascii="Arial" w:cs="Arial" w:eastAsia="Arial" w:hAnsi="Arial"/>
          <w:sz w:val="16"/>
          <w:szCs w:val="16"/>
          <w:color w:val="auto"/>
        </w:rPr>
        <w:t>. A holder will not have the right to exercise any portion of the Warrant if the holder (together with its affiliates)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beneficially own in excess of 9.99% of the total number of issued and outstanding ordinary shares immediately after giving effect to such exercise.</w:t>
      </w:r>
    </w:p>
    <w:p>
      <w:pPr>
        <w:spacing w:after="0" w:line="1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Exchange Listing</w:t>
      </w:r>
      <w:r>
        <w:rPr>
          <w:rFonts w:ascii="Arial" w:cs="Arial" w:eastAsia="Arial" w:hAnsi="Arial"/>
          <w:sz w:val="18"/>
          <w:szCs w:val="18"/>
          <w:color w:val="auto"/>
        </w:rPr>
        <w:t>. We do not plan to apply to list the Warrant on the NYSE or any other national securities exchange or automated quotation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w:t>
      </w:r>
    </w:p>
    <w:p>
      <w:pPr>
        <w:spacing w:after="0" w:line="61" w:lineRule="exact"/>
        <w:rPr>
          <w:sz w:val="20"/>
          <w:szCs w:val="20"/>
          <w:color w:val="auto"/>
        </w:rPr>
      </w:pPr>
    </w:p>
    <w:p>
      <w:pPr>
        <w:ind w:right="120"/>
        <w:spacing w:after="0"/>
        <w:rPr>
          <w:sz w:val="20"/>
          <w:szCs w:val="20"/>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In the event of a Change of Control, as described in the Warrant, which generally includes a consolidation or merger,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assignment, transfer, conveyance or other disposal of all or substantially all of the properties or assets of the Company, the acquisition of more than 50% of the outstanding ordinary shares of the Company or other similar transactions, the holder of the Warrant shall have the right to require the Company to purchase the Warrant from the holder for the “Holder Black Scholes Value” (as defined in the Warrant) at the time of the redemption. Similarly, in the event of a Change of Control, the Company shall have the right to redeem the Warrant for the “Company Black Scholes Value” (as defined in the Warrant).</w:t>
      </w:r>
    </w:p>
    <w:p>
      <w:pPr>
        <w:spacing w:after="0" w:line="8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Charges, taxes, and expenses</w:t>
      </w:r>
      <w:r>
        <w:rPr>
          <w:rFonts w:ascii="Arial" w:cs="Arial" w:eastAsia="Arial" w:hAnsi="Arial"/>
          <w:sz w:val="18"/>
          <w:szCs w:val="18"/>
          <w:color w:val="auto"/>
        </w:rPr>
        <w:t>. Issuance and delivery of ordinary shares upon exercise of the Warrant shall be made without charge to the 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documentary, stamp, transfer or similar taxes. We will be responsible for any fees and expenses in respect of the issuance of ordinary shares upon exercise through the facilities of DTC.</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No Rights as a Shareholder</w:t>
      </w:r>
      <w:r>
        <w:rPr>
          <w:rFonts w:ascii="Arial" w:cs="Arial" w:eastAsia="Arial" w:hAnsi="Arial"/>
          <w:sz w:val="18"/>
          <w:szCs w:val="18"/>
          <w:color w:val="auto"/>
        </w:rPr>
        <w:t>. Except by virtue of such holder’s ownership of ordinary shares, the holder of a Warrant does not have the rights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privileges of a holder of the ordinary shares, including any voting rights, until the holder exercises the warrant.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Irish tax considerations</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following is a summary of certain Irish tax consequences of the purchase, ownership and disposition of Weatherford International plc shares and the Warrant. The summary does not purport to be a comprehensive description of all of the tax considerations that may be relevant to a decision to purchase, own or dispose of the shares and the Warrant. The summary relates only to the position of persons who are the absolute beneficial owners of the shares and the Warrant and may not apply to certain other classes of persons such as dealers in securities or shares.</w:t>
      </w:r>
    </w:p>
    <w:p>
      <w:pPr>
        <w:spacing w:after="0" w:line="75"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and Warrant should consult their own advisors as to the Irish or other tax consequences of the purchase, beneficial ownership and disposition of the shares including, in particular, the effect of any state or local tax 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2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w:t>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Tax on chargeable gains</w:t>
      </w:r>
      <w:r>
        <w:rPr>
          <w:rFonts w:ascii="Arial" w:cs="Arial" w:eastAsia="Arial" w:hAnsi="Arial"/>
          <w:sz w:val="18"/>
          <w:szCs w:val="18"/>
          <w:color w:val="auto"/>
        </w:rPr>
        <w:t>. Weatherford International plc shareholders or holders of the Warrant that are not resident or ordinarily resident in</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for Irish tax purposes and do not hold the shares or the Warrant in connection with a trade carried on by such shareholders or holders of the Warrant through an Irish branch or agency will not be liable for Irish tax on chargeable gains realized on a subsequent disposal of the shares or the Warrant. A shareholder of Weatherford International plc or holder of the Warrant who is an individual and who is temporarily not a resident in Ireland may, under Irish anti-avoidance legislation, still be liable to Irish tax on any chargeable gain realized upon subsequent disposal of the shares or the Warrant.</w:t>
      </w:r>
    </w:p>
    <w:p>
      <w:pPr>
        <w:spacing w:after="0" w:line="8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Stamp duty</w:t>
      </w:r>
      <w:r>
        <w:rPr>
          <w:rFonts w:ascii="Arial" w:cs="Arial" w:eastAsia="Arial" w:hAnsi="Arial"/>
          <w:sz w:val="18"/>
          <w:szCs w:val="18"/>
          <w:color w:val="auto"/>
        </w:rPr>
        <w:t>. There is no Irish stamp duty on the issuance of new shares of an Irish incorporated company. The rate of stamp duty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8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subject to Irish stamp duty. On the basis that most shares in Weatherford International plc are expected to be held through DTC, it is anticipated that most transfers of shares will be exempt from Irish stamp duty.</w:t>
      </w:r>
    </w:p>
    <w:p>
      <w:pPr>
        <w:spacing w:after="0" w:line="7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holds such shares outside of DTC may be subject to Irish stamp duty. Shareholders wishing to transfer their shares into (or out of) DTC may do so without giving rise to Irish stamp duty provided:</w:t>
      </w:r>
    </w:p>
    <w:p>
      <w:pPr>
        <w:spacing w:after="0" w:line="108"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jc w:val="center"/>
        <w:ind w:left="5520" w:right="500" w:hanging="5512"/>
        <w:spacing w:after="0" w:line="411" w:lineRule="auto"/>
        <w:tabs>
          <w:tab w:leader="none" w:pos="2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subsequent sale of such shares by a beneficial owner to a third party. S-28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0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rate of stamp duty on the grant or transfer of the Warrant is 1% of the price paid or the market value of the Warrant, whichever is greater, and is payable by the transferee.</w:t>
      </w:r>
    </w:p>
    <w:p>
      <w:pPr>
        <w:spacing w:after="0" w:line="8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(“CAT”) comprises principally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Weatherford International plc shares or the Warrant irrespective of the place of residence, ordinary residence or domicile of the parties. This is because Weatherford International plc shares and the Warrant are regarded as property situated in Ireland as the share register of Weatherford International plc must be held in Ireland. The person who receives the gift or inheritance has primary liability for CAT.</w:t>
      </w:r>
    </w:p>
    <w:p>
      <w:pPr>
        <w:spacing w:after="0" w:line="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Swiss tax considerations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is a summary of certain Swiss tax consequences of the (i) purchase, ownership and disposition of Weatherford International plc shares and (ii) the issuance, ownership, exercise or other disposition of the Warrant for non-Swiss holders. The summary does not purport to be a comprehensive description of all of the Swiss tax considerations that may be relevant to a decision to purchase, own and dispose of the shares respectively to acquire, own and exercise or dispose of the Warrant.</w:t>
      </w:r>
    </w:p>
    <w:p>
      <w:pPr>
        <w:spacing w:after="0" w:line="10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in the shares and the Warrant should consult their own advisors as to the Swiss or other tax consequences of the purchase, beneficial ownership and disposition of the shares and the Warrant including, in particular, the effect of any federal or cantonal/communal tax laws.</w:t>
      </w:r>
    </w:p>
    <w:p>
      <w:pPr>
        <w:spacing w:after="0" w:line="1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Swiss tax consequences to potential Swiss holders (Swiss tax residents or non-Swiss holders with any other taxable presence in Switzerland) of Weatherford International plc shares and the Warrant are not covered in this summary. It is recommended that any Swiss holders consult their own advisors as to the Swiss or other tax consequences of the purchase, beneficial ownership and disposition of the shares respectively the acquisition, beneficial ownership, exercise or disposition of the Warrant.</w:t>
      </w:r>
    </w:p>
    <w:p>
      <w:pPr>
        <w:spacing w:after="0" w:line="10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Swiss tax consequences discussed below are not a complete analysis or listing of all the possible Swiss tax consequences that may be relevant to non-Swiss holder. You should consult your own tax advisor in respect of the Swiss tax consequences related to the receipt, ownership, purchase, sale, exercise or other disposition of Weatherford International plc shares and the Warrant as well as the procedures for claiming a refund of Swiss withholding tax on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ownership and disposition of Weatherford International plc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income tax on dividends and similar distributions</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wealth tax</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non-Swiss holder will not be subject to Swiss wealth taxes (net wealth tax or annual capital tax) unless the holder’s Weatherford International plc shares are attributable to a permanent establishment, a fixed place of business maintained in Switzerland or another taxable presence in Switzerland of such non-Swiss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income tax on capital gains upon disposal, exchange or other disposition of Weatherford International plc shares</w:t>
      </w:r>
    </w:p>
    <w:p>
      <w:pPr>
        <w:spacing w:after="0" w:line="12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withholding tax on distributions to shareholders</w:t>
      </w:r>
    </w:p>
    <w:p>
      <w:pPr>
        <w:spacing w:after="0" w:line="12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 basis any payments made to a holder of Weatherford International plc shares and pay such withheld amounts to the Swiss federal tax authorities. Please see “—Refund of Swiss Withholding Tax on Dividends and Other Distributions.”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Exemption from Swiss withholding tax on distributions to shareholders</w:t>
      </w:r>
    </w:p>
    <w:p>
      <w:pPr>
        <w:spacing w:after="0" w:line="124"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01"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Weatherford International plc is required to remit on a net basis the purchase price with the Swiss withholding tax deducted to a holder of Weatherford International plc shares and pay the withholding tax to the Swiss federal tax authorities.</w:t>
      </w:r>
    </w:p>
    <w:p>
      <w:pPr>
        <w:spacing w:after="0" w:line="10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0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 of Swiss withholding tax on dividends and other distributions</w:t>
      </w:r>
    </w:p>
    <w:p>
      <w:pPr>
        <w:spacing w:after="0" w:line="10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Non-Swiss holders</w:t>
      </w:r>
      <w:r>
        <w:rPr>
          <w:rFonts w:ascii="Arial" w:cs="Arial" w:eastAsia="Arial" w:hAnsi="Arial"/>
          <w:sz w:val="16"/>
          <w:szCs w:val="16"/>
          <w:color w:val="auto"/>
        </w:rPr>
        <w:t>. If the shareholder that receives a distribution from Weatherford International plc is not a Swiss tax resident, does not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International plc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7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 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International plc.</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113"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beneficial ownership;</w:t>
      </w:r>
    </w:p>
    <w:p>
      <w:pPr>
        <w:ind w:left="220" w:hanging="212"/>
        <w:spacing w:after="0" w:line="234"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residency; and</w:t>
      </w: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stamp duties</w:t>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Swiss transfer stamp duty in relation to the transfer of Weatherford International plc shares</w:t>
      </w:r>
      <w:r>
        <w:rPr>
          <w:rFonts w:ascii="Arial" w:cs="Arial" w:eastAsia="Arial" w:hAnsi="Arial"/>
          <w:sz w:val="18"/>
          <w:szCs w:val="18"/>
          <w:color w:val="auto"/>
        </w:rPr>
        <w:t>. The purchase or sale of Weatherford International plc</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83" w:lineRule="exact"/>
        <w:rPr>
          <w:sz w:val="20"/>
          <w:szCs w:val="20"/>
          <w:color w:val="auto"/>
        </w:rPr>
      </w:pPr>
    </w:p>
    <w:p>
      <w:pPr>
        <w:jc w:val="both"/>
        <w:ind w:right="320"/>
        <w:spacing w:after="0" w:line="247" w:lineRule="auto"/>
        <w:rPr>
          <w:sz w:val="20"/>
          <w:szCs w:val="20"/>
          <w:color w:val="auto"/>
        </w:rPr>
      </w:pPr>
      <w:r>
        <w:rPr>
          <w:rFonts w:ascii="Arial" w:cs="Arial" w:eastAsia="Arial" w:hAnsi="Arial"/>
          <w:sz w:val="18"/>
          <w:szCs w:val="18"/>
          <w:i w:val="1"/>
          <w:iCs w:val="1"/>
          <w:color w:val="auto"/>
        </w:rPr>
        <w:t>Swiss issuance stamp duty on the issuance of Weatherford International plc shares</w:t>
      </w:r>
      <w:r>
        <w:rPr>
          <w:rFonts w:ascii="Arial" w:cs="Arial" w:eastAsia="Arial" w:hAnsi="Arial"/>
          <w:sz w:val="18"/>
          <w:szCs w:val="18"/>
          <w:color w:val="auto"/>
        </w:rPr>
        <w:t>. For sake of completeness, it shall be mentioned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paid to Weatherford International plc for the issuance of new shares, to the extent no exemption applies, is subject to issuance stamp duty levied at 1%. Weatherford International plc will be liable to Swiss issuance stamp duty.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exercise or disposition of the Warrant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income tax</w:t>
      </w:r>
    </w:p>
    <w:p>
      <w:pPr>
        <w:spacing w:after="0" w:line="12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 non-Swiss holder will not be subject to Swiss income tax neither during the holding period nor on capital gains realized upon disposal, exchange or other disposition of the Warrant unless the holder’s Warrant is attributable to a permanent establishment, a fixed place of business maintained in Switzerland or another taxable presence in Switzerland of such non-Swiss holder.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wealth tax</w:t>
      </w:r>
    </w:p>
    <w:p>
      <w:pPr>
        <w:spacing w:after="0" w:line="12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 non-Swiss holder will not be subject to Swiss wealth taxes unless the holder’s Warrant is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withholding tax</w:t>
      </w:r>
    </w:p>
    <w:p>
      <w:pPr>
        <w:spacing w:after="0" w:line="124"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While a conversion of the Warrants into ordinary shares by way of a cash exercise does not trigger Swiss withholding tax consequences, a conversion by way of a cashless exercise might trigger Swiss withholding tax consequences.</w:t>
      </w: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Further, any payments from Weatherford International plc to the holders of Warrants to compensate them for distributions made to shareholders in Weatherford International plc might also be subject to Swiss withholding tax.</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Non-Swiss tax resident holders of the Warrant that do not hold the Warrant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are met. The procedures for claiming treaty refunds (and the time frame required for obtaining a refund) may differ from country to country.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stamp duties</w:t>
      </w:r>
    </w:p>
    <w:p>
      <w:pPr>
        <w:spacing w:after="0" w:line="106"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i w:val="1"/>
          <w:iCs w:val="1"/>
          <w:color w:val="auto"/>
        </w:rPr>
        <w:t>Swiss issuance stamp duty in relation to the issuance of the warrant</w:t>
      </w:r>
      <w:r>
        <w:rPr>
          <w:rFonts w:ascii="Arial" w:cs="Arial" w:eastAsia="Arial" w:hAnsi="Arial"/>
          <w:sz w:val="18"/>
          <w:szCs w:val="18"/>
          <w:color w:val="auto"/>
        </w:rPr>
        <w:t>. Straight derivatives for tax purposes such as the Warrant in the case at</w:t>
      </w:r>
      <w:r>
        <w:rPr>
          <w:rFonts w:ascii="Arial" w:cs="Arial" w:eastAsia="Arial" w:hAnsi="Arial"/>
          <w:sz w:val="18"/>
          <w:szCs w:val="18"/>
          <w:i w:val="1"/>
          <w:iCs w:val="1"/>
          <w:color w:val="auto"/>
        </w:rPr>
        <w:t xml:space="preserve"> </w:t>
      </w:r>
      <w:r>
        <w:rPr>
          <w:rFonts w:ascii="Arial" w:cs="Arial" w:eastAsia="Arial" w:hAnsi="Arial"/>
          <w:sz w:val="18"/>
          <w:szCs w:val="18"/>
          <w:color w:val="auto"/>
        </w:rPr>
        <w:t>hand does not qualify as taxable security in the meaning of the Swiss Federal Stamp Duty Act and are therefore not subject to Swiss issuance stamp duty.</w:t>
      </w:r>
    </w:p>
    <w:p>
      <w:pPr>
        <w:spacing w:after="0" w:line="7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Swiss transfer stamp duty in relation to the exercise or disposition of the warrant</w:t>
      </w:r>
      <w:r>
        <w:rPr>
          <w:rFonts w:ascii="Arial" w:cs="Arial" w:eastAsia="Arial" w:hAnsi="Arial"/>
          <w:sz w:val="18"/>
          <w:szCs w:val="18"/>
          <w:color w:val="auto"/>
        </w:rPr>
        <w:t>. Straight derivatives for tax purposes such as the Warrant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at hand does not qualify as taxable security in the meaning of the Swiss Federal Stamp Duty Act and are therefore not subject to Swiss transfer stamp duty.</w:t>
      </w:r>
    </w:p>
    <w:p>
      <w:pPr>
        <w:spacing w:after="0" w:line="77"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Swiss issuance stamp duty on the issuance of Weatherford International plc shares</w:t>
      </w:r>
      <w:r>
        <w:rPr>
          <w:rFonts w:ascii="Arial" w:cs="Arial" w:eastAsia="Arial" w:hAnsi="Arial"/>
          <w:sz w:val="18"/>
          <w:szCs w:val="18"/>
          <w:color w:val="auto"/>
        </w:rPr>
        <w:t>. For sake of completeness, it shall be mentioned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paid to Weatherford International plc for the issuance of new shares as a result of the exercise of the Warrant, to the extent no exemption applies, is subject to issuance stamp duty levied at 1%. Weatherford International plc will be liable for Swiss issuance stamp duty.</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Plan of distribution (Conflicts of Interest)</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J.P. Morgan Securities LLC, referred to as the placement agent, has entered into a placement agency agreement with us in which it has agreed to act as placement agent in connection with the offering. Subject to the terms and conditions contained in the placement agency agreement, the placement agent is using its best efforts to introduce us to certain potential investors who will purchase the ordinary shares and the Warrant. The placement agent has no obligation to buy any of the ordinary shares and the Warrant from us nor is the placement agent required to arrange the purchase or sale of any specific number or dollar amount of the ordinary shares and the Warrant, but has agreed to use its best efforts to arrange for the sale of all of the ordinary shares and the Warrant.</w:t>
      </w:r>
    </w:p>
    <w:p>
      <w:pPr>
        <w:spacing w:after="0" w:line="102"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have agreed to indemnify the placement agent and certain other persons against certain liabilities under the Securities Act. The placement agent has informed us that it will not engage in overallotment, stabilizing transactions or syndicate covering transactions in connection with this offering.</w:t>
      </w:r>
    </w:p>
    <w:p>
      <w:pPr>
        <w:spacing w:after="0" w:line="100"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We have agreed to pay the placement agent a fee equal to % of the proceeds of this offering and to reimburse the placement agent for reasonable expenses that it incurs in connection with the offering.</w:t>
      </w:r>
    </w:p>
    <w:p>
      <w:pPr>
        <w:spacing w:after="0" w:line="10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following table shows the per ordinary share and Warrant and total fees we will pay to the placement agent assuming the sale of all of the ordinary shares and the Warrant offered pursuant to this prospectus supplement: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ordinary share and Warrant</w:t>
            </w:r>
          </w:p>
        </w:tc>
        <w:tc>
          <w:tcPr>
            <w:tcW w:w="478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r>
      <w:tr>
        <w:trPr>
          <w:trHeight w:val="203"/>
        </w:trPr>
        <w:tc>
          <w:tcPr>
            <w:tcW w:w="6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w:t>
            </w:r>
          </w:p>
        </w:tc>
        <w:tc>
          <w:tcPr>
            <w:tcW w:w="4780" w:type="dxa"/>
            <w:vAlign w:val="bottom"/>
            <w:tcBorders>
              <w:bottom w:val="single" w:sz="8" w:color="auto"/>
            </w:tcBorders>
          </w:tcPr>
          <w:p>
            <w:pPr>
              <w:jc w:val="right"/>
              <w:ind w:right="432"/>
              <w:spacing w:after="0" w:line="202" w:lineRule="exact"/>
              <w:rPr>
                <w:sz w:val="20"/>
                <w:szCs w:val="20"/>
                <w:color w:val="auto"/>
              </w:rPr>
            </w:pPr>
            <w:r>
              <w:rPr>
                <w:rFonts w:ascii="Arial" w:cs="Arial" w:eastAsia="Arial" w:hAnsi="Arial"/>
                <w:sz w:val="18"/>
                <w:szCs w:val="18"/>
                <w:color w:val="auto"/>
              </w:rPr>
              <w:t>$</w:t>
            </w:r>
          </w:p>
        </w:tc>
      </w:tr>
    </w:tbl>
    <w:p>
      <w:pPr>
        <w:spacing w:after="0" w:line="11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and our officers and directors have agreed to a 60-day “lock-up” with respect to the ordinary shares and other of our securities that they beneficially own. This means that, subject to certain exceptions, for a period of 60 days following the closing of this offering, we and such persons may not offer, sell, pledge or otherwise dispose of these securities without the prior written consent of the placement agent.</w:t>
      </w:r>
    </w:p>
    <w:p>
      <w:pPr>
        <w:spacing w:after="0" w:line="100"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This is a brief summary of certain provisions of the placement agency agreement that we have entered into and does not purport to be a complete statement of its terms and conditions. A copy of the placement agency agreement will be filed with the SEC and incorporated by reference into the registration statement of which this prospectus supplement forms a part. See “Where You Can Find More Information” on page S-37.</w:t>
      </w:r>
    </w:p>
    <w:p>
      <w:pPr>
        <w:spacing w:after="0" w:line="7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placement agent and certain of its affiliates have provided in the past, and may provide from time to time in the future, certain commercial banking, financial advisory, investment banking and other services for us and our affiliates in the ordinary course of their business, for which they have received and may continue to receive customary fees and commissions. In addition, from time to time, the placement agent and certain of its affiliates may effect transactions for their own account or the account of customers, and hold on behalf of themselves or their customers, long or short positions in our debt or equity securities or loans, and may do so in the future.</w:t>
      </w:r>
    </w:p>
    <w:p>
      <w:pPr>
        <w:spacing w:after="0" w:line="103"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transfer agent for our ordinary shares to be issued in this offering is DTC. We currently anticipate that the closing of the securities will take place on or about November 21, 2016. At the closing, DTC will credit the ordinary shares and the Warrant to the respective accounts of the investors.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an affiliate of the placement agent is a lender under our revolving credit agreement and our term loan agreement and may receive 5% or more of the net proceeds of this offering if we repay amounts outstanding under our revolving credit agreement or our term loan agreement using the net proceeds from this offering, it is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the placement agent will not confirm sales to any account over which it exercises discretionary authority without the specific written approval of the transaction from the account holder. Please read “Use of Proceeds.”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validity of the ordinary shares and the Warrant being offered by this prospectus supplement and the accompanying prospectus with respect to the laws of Ireland will be passed upon for us by Matheson, and certain other legal matters will be passed upon for us by Latham &amp; Watkins LLP. Certain legal matters will be passed upon for the placement agent by Morrison &amp; Foerster LLP, New York, New York.</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ordinary shares are listed on the NYSE under the symbol “WFT.” Our reports and other information filed with the SEC can also be inspected at the offices of the NYSE, 20 Broad Street, New York, New York 10005.</w:t>
      </w:r>
    </w:p>
    <w:p>
      <w:pPr>
        <w:spacing w:after="0" w:line="8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We also make available free of charge on our Internet website at </w:t>
      </w:r>
      <w:r>
        <w:rPr>
          <w:rFonts w:ascii="Arial" w:cs="Arial" w:eastAsia="Arial" w:hAnsi="Arial"/>
          <w:sz w:val="18"/>
          <w:szCs w:val="18"/>
          <w:i w:val="1"/>
          <w:iCs w:val="1"/>
          <w:u w:val="single" w:color="auto"/>
          <w:color w:val="auto"/>
        </w:rPr>
        <w:t>www.weatherford.com</w:t>
      </w:r>
      <w:r>
        <w:rPr>
          <w:rFonts w:ascii="Arial" w:cs="Arial" w:eastAsia="Arial" w:hAnsi="Arial"/>
          <w:sz w:val="18"/>
          <w:szCs w:val="18"/>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15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15" w:lineRule="exact"/>
        <w:rPr>
          <w:sz w:val="20"/>
          <w:szCs w:val="20"/>
          <w:color w:val="auto"/>
        </w:rPr>
      </w:pPr>
    </w:p>
    <w:p>
      <w:pPr>
        <w:ind w:left="5520" w:right="2020" w:hanging="5512"/>
        <w:spacing w:after="0" w:line="411" w:lineRule="auto"/>
        <w:tabs>
          <w:tab w:leader="none" w:pos="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as filed with the SEC on February 16, 2016; S-36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60" w:hanging="212"/>
        <w:spacing w:after="0" w:line="23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Report on Form 10-Q for the quarters ended March 31, 2016, June 30, 2016 and September 30, 2016, as filed with the SEC on May 5, 2016, July 29, 2016 and October 28, 2016, respectively;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26, 2016; and</w:t>
      </w:r>
    </w:p>
    <w:p>
      <w:pPr>
        <w:spacing w:after="0" w:line="112"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Reports on Form 8-K or Form 8-K/A, as filed with the SEC on February 4, 2016, March 3, 2016, May 10, 2016, May 27,</w:t>
      </w:r>
    </w:p>
    <w:p>
      <w:pPr>
        <w:ind w:left="220"/>
        <w:spacing w:after="0" w:line="238" w:lineRule="auto"/>
        <w:rPr>
          <w:rFonts w:ascii="Arial" w:cs="Arial" w:eastAsia="Arial" w:hAnsi="Arial"/>
          <w:sz w:val="18"/>
          <w:szCs w:val="18"/>
          <w:color w:val="auto"/>
        </w:rPr>
      </w:pPr>
      <w:r>
        <w:rPr>
          <w:rFonts w:ascii="Arial" w:cs="Arial" w:eastAsia="Arial" w:hAnsi="Arial"/>
          <w:sz w:val="18"/>
          <w:szCs w:val="18"/>
          <w:color w:val="auto"/>
        </w:rPr>
        <w:t>2016, June 7, 2016, June 8, 2016, June 10, 2016, June 15, 2016, June 16, 2016, June 17, 2016, June 21, 2016 (as amended on Form 8-K/A filed on July 8, 2016), July 22, 2016 and September 27, 2016 and November 9, 2016 (in each case, excluding any information furnished pursuant to Item 2.02 or Item 7.01 of any such Current Report on Form 8-K).</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Weatherford International plc</w:t>
      </w:r>
    </w:p>
    <w:p>
      <w:pPr>
        <w:jc w:val="center"/>
        <w:ind w:right="-279"/>
        <w:spacing w:after="0" w:line="234" w:lineRule="auto"/>
        <w:rPr>
          <w:sz w:val="20"/>
          <w:szCs w:val="20"/>
          <w:color w:val="auto"/>
        </w:rPr>
      </w:pPr>
      <w:r>
        <w:rPr>
          <w:rFonts w:ascii="Arial" w:cs="Arial" w:eastAsia="Arial" w:hAnsi="Arial"/>
          <w:sz w:val="18"/>
          <w:szCs w:val="18"/>
          <w:color w:val="auto"/>
        </w:rPr>
        <w:t>Attention: Investor Relations</w:t>
      </w:r>
    </w:p>
    <w:p>
      <w:pPr>
        <w:jc w:val="center"/>
        <w:ind w:right="-279"/>
        <w:spacing w:after="0" w:line="235" w:lineRule="auto"/>
        <w:rPr>
          <w:sz w:val="20"/>
          <w:szCs w:val="20"/>
          <w:color w:val="auto"/>
        </w:rPr>
      </w:pPr>
      <w:r>
        <w:rPr>
          <w:rFonts w:ascii="Arial" w:cs="Arial" w:eastAsia="Arial" w:hAnsi="Arial"/>
          <w:sz w:val="18"/>
          <w:szCs w:val="18"/>
          <w:color w:val="auto"/>
        </w:rPr>
        <w:t>2000 St. James Place</w:t>
      </w:r>
    </w:p>
    <w:p>
      <w:pPr>
        <w:jc w:val="center"/>
        <w:ind w:right="-279"/>
        <w:spacing w:after="0" w:line="235" w:lineRule="auto"/>
        <w:rPr>
          <w:sz w:val="20"/>
          <w:szCs w:val="20"/>
          <w:color w:val="auto"/>
        </w:rPr>
      </w:pPr>
      <w:r>
        <w:rPr>
          <w:rFonts w:ascii="Arial" w:cs="Arial" w:eastAsia="Arial" w:hAnsi="Arial"/>
          <w:sz w:val="18"/>
          <w:szCs w:val="18"/>
          <w:color w:val="auto"/>
        </w:rPr>
        <w:t>Houston, Texas 77056</w:t>
      </w:r>
    </w:p>
    <w:p>
      <w:pPr>
        <w:spacing w:after="0" w:line="1" w:lineRule="exact"/>
        <w:rPr>
          <w:sz w:val="20"/>
          <w:szCs w:val="20"/>
          <w:color w:val="auto"/>
        </w:rPr>
      </w:pPr>
    </w:p>
    <w:p>
      <w:pPr>
        <w:ind w:left="5520" w:right="4840" w:hanging="406"/>
        <w:spacing w:after="0" w:line="493" w:lineRule="auto"/>
        <w:tabs>
          <w:tab w:leader="none" w:pos="55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836-4000 S-37</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172085</wp:posOffset>
            </wp:positionV>
            <wp:extent cx="875030" cy="386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Guarantees of Debt Securities</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351"/>
        </w:trPr>
        <w:tc>
          <w:tcPr>
            <w:tcW w:w="4840" w:type="dxa"/>
            <w:vAlign w:val="bottom"/>
          </w:tcPr>
          <w:p>
            <w:pPr>
              <w:jc w:val="center"/>
              <w:ind w:right="838"/>
              <w:spacing w:after="0"/>
              <w:rPr>
                <w:sz w:val="20"/>
                <w:szCs w:val="20"/>
                <w:color w:val="auto"/>
              </w:rPr>
            </w:pPr>
            <w:r>
              <w:rPr>
                <w:rFonts w:ascii="Arial" w:cs="Arial" w:eastAsia="Arial" w:hAnsi="Arial"/>
                <w:sz w:val="29"/>
                <w:szCs w:val="29"/>
                <w:b w:val="1"/>
                <w:bCs w:val="1"/>
                <w:color w:val="auto"/>
                <w:w w:val="93"/>
              </w:rPr>
              <w:t>Weatherford International Ltd.</w:t>
            </w:r>
          </w:p>
        </w:tc>
        <w:tc>
          <w:tcPr>
            <w:tcW w:w="5000" w:type="dxa"/>
            <w:vAlign w:val="bottom"/>
          </w:tcPr>
          <w:p>
            <w:pPr>
              <w:jc w:val="center"/>
              <w:ind w:left="858"/>
              <w:spacing w:after="0"/>
              <w:rPr>
                <w:sz w:val="20"/>
                <w:szCs w:val="20"/>
                <w:color w:val="auto"/>
              </w:rPr>
            </w:pPr>
            <w:r>
              <w:rPr>
                <w:rFonts w:ascii="Arial" w:cs="Arial" w:eastAsia="Arial" w:hAnsi="Arial"/>
                <w:sz w:val="29"/>
                <w:szCs w:val="29"/>
                <w:b w:val="1"/>
                <w:bCs w:val="1"/>
                <w:color w:val="auto"/>
                <w:w w:val="94"/>
              </w:rPr>
              <w:t>Weatherford International, LLC</w:t>
            </w:r>
          </w:p>
        </w:tc>
      </w:tr>
      <w:tr>
        <w:trPr>
          <w:trHeight w:val="234"/>
        </w:trPr>
        <w:tc>
          <w:tcPr>
            <w:tcW w:w="4840" w:type="dxa"/>
            <w:vAlign w:val="bottom"/>
          </w:tcPr>
          <w:p>
            <w:pPr>
              <w:jc w:val="center"/>
              <w:ind w:right="838"/>
              <w:spacing w:after="0"/>
              <w:rPr>
                <w:sz w:val="20"/>
                <w:szCs w:val="20"/>
                <w:color w:val="auto"/>
              </w:rPr>
            </w:pPr>
            <w:r>
              <w:rPr>
                <w:rFonts w:ascii="Arial" w:cs="Arial" w:eastAsia="Arial" w:hAnsi="Arial"/>
                <w:sz w:val="18"/>
                <w:szCs w:val="18"/>
                <w:b w:val="1"/>
                <w:bCs w:val="1"/>
                <w:color w:val="auto"/>
                <w:w w:val="90"/>
              </w:rPr>
              <w:t>(a Bermuda exempted company )</w:t>
            </w:r>
          </w:p>
        </w:tc>
        <w:tc>
          <w:tcPr>
            <w:tcW w:w="500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(a Delaware limited liability company)</w:t>
            </w:r>
          </w:p>
        </w:tc>
      </w:tr>
      <w:tr>
        <w:trPr>
          <w:trHeight w:val="396"/>
        </w:trPr>
        <w:tc>
          <w:tcPr>
            <w:tcW w:w="4840" w:type="dxa"/>
            <w:vAlign w:val="bottom"/>
          </w:tcPr>
          <w:p>
            <w:pPr>
              <w:jc w:val="center"/>
              <w:ind w:right="838"/>
              <w:spacing w:after="0"/>
              <w:rPr>
                <w:sz w:val="20"/>
                <w:szCs w:val="20"/>
                <w:color w:val="auto"/>
              </w:rPr>
            </w:pPr>
            <w:r>
              <w:rPr>
                <w:rFonts w:ascii="Arial" w:cs="Arial" w:eastAsia="Arial" w:hAnsi="Arial"/>
                <w:sz w:val="25"/>
                <w:szCs w:val="25"/>
                <w:b w:val="1"/>
                <w:bCs w:val="1"/>
                <w:color w:val="auto"/>
                <w:w w:val="90"/>
              </w:rPr>
              <w:t>Debt Securities</w:t>
            </w:r>
          </w:p>
        </w:tc>
        <w:tc>
          <w:tcPr>
            <w:tcW w:w="5000" w:type="dxa"/>
            <w:vAlign w:val="bottom"/>
          </w:tcPr>
          <w:p>
            <w:pPr>
              <w:jc w:val="center"/>
              <w:ind w:left="858"/>
              <w:spacing w:after="0"/>
              <w:rPr>
                <w:sz w:val="20"/>
                <w:szCs w:val="20"/>
                <w:color w:val="auto"/>
              </w:rPr>
            </w:pPr>
            <w:r>
              <w:rPr>
                <w:rFonts w:ascii="Arial" w:cs="Arial" w:eastAsia="Arial" w:hAnsi="Arial"/>
                <w:sz w:val="25"/>
                <w:szCs w:val="25"/>
                <w:b w:val="1"/>
                <w:bCs w:val="1"/>
                <w:color w:val="auto"/>
                <w:w w:val="88"/>
              </w:rPr>
              <w:t>Debt Securities</w:t>
            </w:r>
          </w:p>
        </w:tc>
      </w:tr>
      <w:tr>
        <w:trPr>
          <w:trHeight w:val="329"/>
        </w:trPr>
        <w:tc>
          <w:tcPr>
            <w:tcW w:w="4840" w:type="dxa"/>
            <w:vAlign w:val="bottom"/>
          </w:tcPr>
          <w:p>
            <w:pPr>
              <w:jc w:val="center"/>
              <w:ind w:right="838"/>
              <w:spacing w:after="0"/>
              <w:rPr>
                <w:sz w:val="20"/>
                <w:szCs w:val="20"/>
                <w:color w:val="auto"/>
              </w:rPr>
            </w:pPr>
            <w:r>
              <w:rPr>
                <w:rFonts w:ascii="Arial" w:cs="Arial" w:eastAsia="Arial" w:hAnsi="Arial"/>
                <w:sz w:val="25"/>
                <w:szCs w:val="25"/>
                <w:b w:val="1"/>
                <w:bCs w:val="1"/>
                <w:color w:val="auto"/>
                <w:w w:val="89"/>
              </w:rPr>
              <w:t>Guarantees of Debt Securities</w:t>
            </w:r>
          </w:p>
        </w:tc>
        <w:tc>
          <w:tcPr>
            <w:tcW w:w="5000" w:type="dxa"/>
            <w:vAlign w:val="bottom"/>
          </w:tcPr>
          <w:p>
            <w:pPr>
              <w:jc w:val="center"/>
              <w:ind w:left="858"/>
              <w:spacing w:after="0"/>
              <w:rPr>
                <w:sz w:val="20"/>
                <w:szCs w:val="20"/>
                <w:color w:val="auto"/>
              </w:rPr>
            </w:pPr>
            <w:r>
              <w:rPr>
                <w:rFonts w:ascii="Arial" w:cs="Arial" w:eastAsia="Arial" w:hAnsi="Arial"/>
                <w:sz w:val="25"/>
                <w:szCs w:val="25"/>
                <w:b w:val="1"/>
                <w:bCs w:val="1"/>
                <w:color w:val="auto"/>
                <w:w w:val="90"/>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4 and “</w:t>
      </w:r>
      <w:hyperlink w:anchor="page5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6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November 16, 2016.</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80" w:type="dxa"/>
            <w:vAlign w:val="bottom"/>
          </w:tcPr>
          <w:p>
            <w:pPr>
              <w:jc w:val="right"/>
              <w:ind w:right="483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ABOUT THIS PROSPECTUS</w:t>
              </w:r>
            </w:hyperlink>
          </w:p>
        </w:tc>
        <w:tc>
          <w:tcPr>
            <w:tcW w:w="2200" w:type="dxa"/>
            <w:vAlign w:val="bottom"/>
            <w:gridSpan w:val="6"/>
          </w:tcPr>
          <w:p>
            <w:pPr>
              <w:spacing w:after="0"/>
              <w:rPr>
                <w:sz w:val="16"/>
                <w:szCs w:val="16"/>
                <w:color w:val="auto"/>
              </w:rPr>
            </w:pPr>
          </w:p>
        </w:tc>
        <w:tc>
          <w:tcPr>
            <w:tcW w:w="68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ABOUT US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2"/>
          </w:tcPr>
          <w:p>
            <w:pPr>
              <w:spacing w:after="0"/>
              <w:rPr>
                <w:sz w:val="17"/>
                <w:szCs w:val="17"/>
                <w:color w:val="auto"/>
              </w:rPr>
            </w:pPr>
          </w:p>
        </w:tc>
        <w:tc>
          <w:tcPr>
            <w:tcW w:w="620" w:type="dxa"/>
            <w:vAlign w:val="bottom"/>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RISK FACTORS</w:t>
              </w:r>
            </w:hyperlink>
          </w:p>
        </w:tc>
        <w:tc>
          <w:tcPr>
            <w:tcW w:w="3180" w:type="dxa"/>
            <w:vAlign w:val="bottom"/>
            <w:gridSpan w:val="10"/>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RATIO OF EARNINGS TO FIXED CHARGES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SELLING SECURITYHOLDERS</w:t>
              </w:r>
            </w:hyperlink>
          </w:p>
        </w:tc>
        <w:tc>
          <w:tcPr>
            <w:tcW w:w="1920" w:type="dxa"/>
            <w:vAlign w:val="bottom"/>
            <w:gridSpan w:val="5"/>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PLAN OF DISTRIBUTION</w:t>
              </w:r>
            </w:hyperlink>
          </w:p>
        </w:tc>
        <w:tc>
          <w:tcPr>
            <w:tcW w:w="2380" w:type="dxa"/>
            <w:vAlign w:val="bottom"/>
            <w:gridSpan w:val="7"/>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2980" w:type="dxa"/>
            <w:vAlign w:val="bottom"/>
            <w:gridSpan w:val="9"/>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bl>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Bahnhofstrasse 1, 6340 Baar, Switzerland and our telephone number at that location is +41.22.816.1500.</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2015, as filed with the SEC on February 16, 2016;</w:t>
      </w:r>
    </w:p>
    <w:p>
      <w:pPr>
        <w:spacing w:after="0" w:line="153" w:lineRule="exact"/>
        <w:rPr>
          <w:rFonts w:ascii="Arial" w:cs="Arial" w:eastAsia="Arial" w:hAnsi="Arial"/>
          <w:sz w:val="16"/>
          <w:szCs w:val="16"/>
          <w:color w:val="auto"/>
        </w:rPr>
      </w:pPr>
    </w:p>
    <w:p>
      <w:pPr>
        <w:ind w:left="900" w:right="66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February 4, 2016, March 3, 2016, May 10, 2016, May 27, 2016, June 7, 2016, June 8, 2016, June 10, 2016, June 15, 2016, June 16, 2016, June 17, 2016, June 21, 2016, July 8, 2016, July 22, 2016, September 27, 2016 and November 9, 2016; and</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high level of indebtedness and our ability to service our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0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5"/>
              </w:rPr>
              <w:t>Nine Months</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87"/>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the nine months ended September 30, 2016 and for the years ended December 31, 2015, 2014, 2013 and 2012, earnings before fixed charges were inadequate to cover fixed charges by $2.3 billion, $2.1 billion, $266 million, $211 million and $349 million, respectively.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the ordinary shares, warrants, debt securities and guarantees that may be offered under this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Latham &amp; Watkins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43"/>
          <w:szCs w:val="43"/>
          <w:b w:val="1"/>
          <w:bCs w:val="1"/>
          <w:color w:val="auto"/>
        </w:rPr>
        <w:t>Weatherford International plc</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i w:val="1"/>
          <w:iCs w:val="1"/>
          <w:color w:val="auto"/>
        </w:rPr>
        <w:t>84,500,000 ordinary shares</w:t>
      </w:r>
    </w:p>
    <w:p>
      <w:pPr>
        <w:spacing w:after="0" w:line="50"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i w:val="1"/>
          <w:iCs w:val="1"/>
          <w:color w:val="auto"/>
        </w:rPr>
        <w:t>Warrant to purchase 84,500,000 ordinary shares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i w:val="1"/>
          <w:iCs w:val="1"/>
          <w:color w:val="auto"/>
        </w:rPr>
        <w:t>and 84,500,000 ordinary shares issuable upon exercise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990600</wp:posOffset>
            </wp:positionV>
            <wp:extent cx="1569085" cy="702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40"/>
        <w:spacing w:after="0"/>
        <w:rPr>
          <w:sz w:val="20"/>
          <w:szCs w:val="20"/>
          <w:color w:val="auto"/>
        </w:rPr>
      </w:pPr>
      <w:r>
        <w:rPr>
          <w:rFonts w:ascii="Arial" w:cs="Arial" w:eastAsia="Arial" w:hAnsi="Arial"/>
          <w:sz w:val="43"/>
          <w:szCs w:val="43"/>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2016</w:t>
      </w:r>
    </w:p>
    <w:sectPr>
      <w:pgSz w:w="11900" w:h="16838" w:orient="portrait"/>
      <w:cols w:equalWidth="0" w:num="1">
        <w:col w:w="11060"/>
      </w:cols>
      <w:pgMar w:left="240" w:top="45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713"/>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713"/>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2019-12-09T00:43:35Z</dcterms:created>
  <dcterms:modified xsi:type="dcterms:W3CDTF">2019-12-09T00:43:35Z</dcterms:modified>
</cp:coreProperties>
</file>