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333-194431</w:t>
      </w:r>
    </w:p>
    <w:p>
      <w:pPr>
        <w:spacing w:after="0" w:line="141" w:lineRule="exact"/>
        <w:rPr>
          <w:sz w:val="24"/>
          <w:szCs w:val="24"/>
          <w:color w:val="auto"/>
        </w:rPr>
      </w:pPr>
    </w:p>
    <w:p>
      <w:pPr>
        <w:ind w:right="160"/>
        <w:spacing w:after="0" w:line="244" w:lineRule="auto"/>
        <w:rPr>
          <w:sz w:val="20"/>
          <w:szCs w:val="20"/>
          <w:color w:val="auto"/>
        </w:rPr>
      </w:pPr>
      <w:r>
        <w:rPr>
          <w:rFonts w:ascii="Arial" w:cs="Arial" w:eastAsia="Arial" w:hAnsi="Arial"/>
          <w:sz w:val="18"/>
          <w:szCs w:val="18"/>
          <w:b w:val="1"/>
          <w:bCs w:val="1"/>
          <w:color w:val="CC062A"/>
        </w:rPr>
        <w:t>This preliminary prospectus supplement and the accompanying prospectus relate to an effective registration statement filed with the Securities and Exchange Commission, but is not complete and may be changed. This preliminary prospectus supplement and the accompanying prospectus are not an offer to sell the securities described herein, and are not soliciting an offer to buy such securities, in any state or jurisdiction where such offer or sale is not permitted.</w:t>
      </w:r>
    </w:p>
    <w:p>
      <w:pPr>
        <w:spacing w:after="0" w:line="122"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CC062A"/>
        </w:rPr>
        <w:t>SUBJECT TO COMPLETION, DATED SEPTEMBER 21, 2015</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161290</wp:posOffset>
            </wp:positionV>
            <wp:extent cx="139763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65"/>
          <w:szCs w:val="65"/>
          <w:b w:val="1"/>
          <w:bCs w:val="1"/>
          <w:color w:val="auto"/>
        </w:rPr>
        <w:t>Weatherford International plc</w:t>
      </w:r>
    </w:p>
    <w:p>
      <w:pPr>
        <w:spacing w:after="0" w:line="160"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460"/>
        <w:spacing w:after="0"/>
        <w:tabs>
          <w:tab w:leader="none" w:pos="1880" w:val="left"/>
        </w:tabs>
        <w:rPr>
          <w:sz w:val="20"/>
          <w:szCs w:val="20"/>
          <w:color w:val="auto"/>
        </w:rPr>
      </w:pPr>
      <w:r>
        <w:rPr>
          <w:rFonts w:ascii="Arial" w:cs="Arial" w:eastAsia="Arial" w:hAnsi="Arial"/>
          <w:sz w:val="18"/>
          <w:szCs w:val="18"/>
          <w:color w:val="auto"/>
        </w:rPr>
        <w:t>We are selling</w:t>
      </w:r>
      <w:r>
        <w:rPr>
          <w:sz w:val="20"/>
          <w:szCs w:val="20"/>
          <w:color w:val="auto"/>
        </w:rPr>
        <w:tab/>
      </w:r>
      <w:r>
        <w:rPr>
          <w:rFonts w:ascii="Arial" w:cs="Arial" w:eastAsia="Arial" w:hAnsi="Arial"/>
          <w:sz w:val="16"/>
          <w:szCs w:val="16"/>
          <w:color w:val="auto"/>
        </w:rPr>
        <w:t>ordinary shares in this offering.</w:t>
      </w:r>
    </w:p>
    <w:p>
      <w:pPr>
        <w:spacing w:after="0" w:line="158" w:lineRule="exact"/>
        <w:rPr>
          <w:sz w:val="24"/>
          <w:szCs w:val="24"/>
          <w:color w:val="auto"/>
        </w:rPr>
      </w:pPr>
    </w:p>
    <w:p>
      <w:pPr>
        <w:ind w:left="460"/>
        <w:spacing w:after="0"/>
        <w:tabs>
          <w:tab w:leader="none" w:pos="9900" w:val="left"/>
        </w:tabs>
        <w:rPr>
          <w:sz w:val="20"/>
          <w:szCs w:val="20"/>
          <w:color w:val="auto"/>
        </w:rPr>
      </w:pPr>
      <w:r>
        <w:rPr>
          <w:rFonts w:ascii="Arial" w:cs="Arial" w:eastAsia="Arial" w:hAnsi="Arial"/>
          <w:sz w:val="18"/>
          <w:szCs w:val="18"/>
          <w:color w:val="auto"/>
        </w:rPr>
        <w:t>We have granted the underwriters an option to purchase, on the same terms and conditions as set forth below, up to an additional</w:t>
      </w:r>
      <w:r>
        <w:rPr>
          <w:sz w:val="20"/>
          <w:szCs w:val="20"/>
          <w:color w:val="auto"/>
        </w:rPr>
        <w:tab/>
      </w:r>
      <w:r>
        <w:rPr>
          <w:rFonts w:ascii="Arial" w:cs="Arial" w:eastAsia="Arial" w:hAnsi="Arial"/>
          <w:sz w:val="15"/>
          <w:szCs w:val="15"/>
          <w:color w:val="auto"/>
        </w:rPr>
        <w:t>ordinary shares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within 30 days from the date of this prospectus.</w:t>
      </w:r>
    </w:p>
    <w:p>
      <w:pPr>
        <w:spacing w:after="0" w:line="151"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Our ordinary shares are listed for trading on the New York Stock Exchange (“NYSE”) under the symbol “WFT.” On September 18, 2015, the last reported sale price of our ordinary shares on the NYSE was $10.12 per share.</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Concurrently with this offering of ordinary shares, under a separate prospectus supplement, Weatherford International Ltd., our wholly owned subsidiary, is</w:t>
      </w:r>
    </w:p>
    <w:p>
      <w:pPr>
        <w:spacing w:after="0" w:line="38" w:lineRule="exact"/>
        <w:rPr>
          <w:sz w:val="24"/>
          <w:szCs w:val="24"/>
          <w:color w:val="auto"/>
        </w:rPr>
      </w:pPr>
    </w:p>
    <w:p>
      <w:pPr>
        <w:spacing w:after="0"/>
        <w:tabs>
          <w:tab w:leader="none" w:pos="1080" w:val="left"/>
          <w:tab w:leader="none" w:pos="4320" w:val="left"/>
        </w:tabs>
        <w:rPr>
          <w:sz w:val="20"/>
          <w:szCs w:val="20"/>
          <w:color w:val="auto"/>
        </w:rPr>
      </w:pPr>
      <w:r>
        <w:rPr>
          <w:rFonts w:ascii="Arial" w:cs="Arial" w:eastAsia="Arial" w:hAnsi="Arial"/>
          <w:sz w:val="18"/>
          <w:szCs w:val="18"/>
          <w:color w:val="auto"/>
        </w:rPr>
        <w:t>offering $</w:t>
      </w:r>
      <w:r>
        <w:rPr>
          <w:sz w:val="20"/>
          <w:szCs w:val="20"/>
          <w:color w:val="auto"/>
        </w:rPr>
        <w:tab/>
      </w:r>
      <w:r>
        <w:rPr>
          <w:rFonts w:ascii="Arial" w:cs="Arial" w:eastAsia="Arial" w:hAnsi="Arial"/>
          <w:sz w:val="18"/>
          <w:szCs w:val="18"/>
          <w:color w:val="auto"/>
        </w:rPr>
        <w:t>million aggregate principal amount (or $</w:t>
      </w:r>
      <w:r>
        <w:rPr>
          <w:sz w:val="20"/>
          <w:szCs w:val="20"/>
          <w:color w:val="auto"/>
        </w:rPr>
        <w:tab/>
      </w:r>
      <w:r>
        <w:rPr>
          <w:rFonts w:ascii="Arial" w:cs="Arial" w:eastAsia="Arial" w:hAnsi="Arial"/>
          <w:sz w:val="16"/>
          <w:szCs w:val="16"/>
          <w:color w:val="auto"/>
        </w:rPr>
        <w:t>million aggregate principal amount if the underwriters in that offering exercise in full their option to</w:t>
      </w:r>
    </w:p>
    <w:p>
      <w:pPr>
        <w:spacing w:after="0" w:line="9" w:lineRule="exact"/>
        <w:rPr>
          <w:sz w:val="24"/>
          <w:szCs w:val="24"/>
          <w:color w:val="auto"/>
        </w:rPr>
      </w:pPr>
    </w:p>
    <w:p>
      <w:pPr>
        <w:ind w:right="40"/>
        <w:spacing w:after="0" w:line="290" w:lineRule="auto"/>
        <w:rPr>
          <w:sz w:val="20"/>
          <w:szCs w:val="20"/>
          <w:color w:val="auto"/>
        </w:rPr>
      </w:pPr>
      <w:r>
        <w:rPr>
          <w:rFonts w:ascii="Arial" w:cs="Arial" w:eastAsia="Arial" w:hAnsi="Arial"/>
          <w:sz w:val="16"/>
          <w:szCs w:val="16"/>
          <w:color w:val="auto"/>
        </w:rPr>
        <w:t>purchase additional notes with respect to that offering) of % Mandatory Exchangeable Subordinated Notes due 2018 that will be fully and unconditionally guaranteed by us on a subordinated basis and mandatorily exchangeable into our ordinary shares. We cannot give any assurance that the concurrent mandatory exchangeable subordinated notes offering will be completed. This offering is not contingent on the completion of the mandatory exchangeable subordinated notes offering or any potential acquisition, and the mandatory exchangeable subordinated notes offering is not contingent on the completion of this offering. This prospectus supplement is not an offer to sell or a solicitation of an offer to buy the Mandatory Exchangeable Subordinated Notes. For more information, see “Prospectus Supplement Summary—About the Mandatory Exchangeable Subordinated Notes Offering”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114935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2" w:lineRule="exact"/>
        <w:rPr>
          <w:sz w:val="24"/>
          <w:szCs w:val="24"/>
          <w:color w:val="auto"/>
        </w:rPr>
      </w:pPr>
    </w:p>
    <w:p>
      <w:pPr>
        <w:ind w:right="240" w:firstLine="456"/>
        <w:spacing w:after="0" w:line="335"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ordinary shares involves risks. Before buying our ordinary shares, you should read the discussion of material risks described in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 for more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84455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11"/>
                <w:szCs w:val="11"/>
                <w:color w:val="auto"/>
              </w:rPr>
              <w:t>(1)</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Please read “Underwriting (Conflicts of Interest)” for a description of all underwriting compensation payable in connection with this offering.</w:t>
      </w:r>
    </w:p>
    <w:p>
      <w:pPr>
        <w:spacing w:after="0" w:line="175" w:lineRule="exact"/>
        <w:rPr>
          <w:sz w:val="24"/>
          <w:szCs w:val="24"/>
          <w:color w:val="auto"/>
        </w:rPr>
      </w:pPr>
    </w:p>
    <w:p>
      <w:pPr>
        <w:ind w:right="3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described herein or passed upon the adequacy or accuracy of this prospectus. Any representation to the contrary is a criminal offense.</w:t>
      </w:r>
    </w:p>
    <w:p>
      <w:pPr>
        <w:spacing w:after="0" w:line="61" w:lineRule="exact"/>
        <w:rPr>
          <w:sz w:val="24"/>
          <w:szCs w:val="24"/>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For the avoidance of doubt, this document is not intended to be and is not a prospectus for the purposes of the Companies Act 2014 of Ireland (the “Irish Companies Act”), the Prospectus Directive (2003/71/EC) Regulations 2005 of Ireland (as amended) or the Prospectus Rules issued by the Central Bank of Ireland, and the Central Bank of Ireland has not approved this document.</w:t>
      </w:r>
    </w:p>
    <w:p>
      <w:pPr>
        <w:spacing w:after="0" w:line="125" w:lineRule="exact"/>
        <w:rPr>
          <w:sz w:val="24"/>
          <w:szCs w:val="24"/>
          <w:color w:val="auto"/>
        </w:rPr>
      </w:pPr>
    </w:p>
    <w:p>
      <w:pPr>
        <w:ind w:left="460"/>
        <w:spacing w:after="0"/>
        <w:tabs>
          <w:tab w:leader="none" w:pos="5460" w:val="left"/>
        </w:tabs>
        <w:rPr>
          <w:sz w:val="20"/>
          <w:szCs w:val="20"/>
          <w:color w:val="auto"/>
        </w:rPr>
      </w:pPr>
      <w:r>
        <w:rPr>
          <w:rFonts w:ascii="Arial" w:cs="Arial" w:eastAsia="Arial" w:hAnsi="Arial"/>
          <w:sz w:val="18"/>
          <w:szCs w:val="18"/>
          <w:color w:val="auto"/>
        </w:rPr>
        <w:t>The underwriters expect to deliver the shares on or about September</w:t>
      </w:r>
      <w:r>
        <w:rPr>
          <w:sz w:val="20"/>
          <w:szCs w:val="20"/>
          <w:color w:val="auto"/>
        </w:rPr>
        <w:tab/>
      </w:r>
      <w:r>
        <w:rPr>
          <w:rFonts w:ascii="Arial" w:cs="Arial" w:eastAsia="Arial" w:hAnsi="Arial"/>
          <w:sz w:val="16"/>
          <w:szCs w:val="16"/>
          <w:color w:val="auto"/>
        </w:rPr>
        <w:t>, 2015 through the book-entry facilities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148590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48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580" w:type="dxa"/>
            <w:vAlign w:val="bottom"/>
            <w:vMerge w:val="restart"/>
          </w:tcPr>
          <w:p>
            <w:pPr>
              <w:ind w:left="3480"/>
              <w:spacing w:after="0"/>
              <w:rPr>
                <w:sz w:val="20"/>
                <w:szCs w:val="20"/>
                <w:color w:val="auto"/>
              </w:rPr>
            </w:pPr>
            <w:r>
              <w:rPr>
                <w:rFonts w:ascii="Arial" w:cs="Arial" w:eastAsia="Arial" w:hAnsi="Arial"/>
                <w:sz w:val="32"/>
                <w:szCs w:val="32"/>
                <w:b w:val="1"/>
                <w:bCs w:val="1"/>
                <w:color w:val="auto"/>
                <w:w w:val="89"/>
              </w:rPr>
              <w:t>Wells Fargo Securities</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6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144780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230" w:right="239" w:bottom="1107"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tabs>
          <w:tab w:leader="none" w:pos="3080" w:val="left"/>
        </w:tabs>
        <w:rPr>
          <w:sz w:val="20"/>
          <w:szCs w:val="20"/>
          <w:color w:val="auto"/>
        </w:rPr>
      </w:pPr>
      <w:r>
        <w:rPr>
          <w:rFonts w:ascii="Arial" w:cs="Arial" w:eastAsia="Arial" w:hAnsi="Arial"/>
          <w:sz w:val="18"/>
          <w:szCs w:val="18"/>
          <w:color w:val="auto"/>
        </w:rPr>
        <w:t>Prospectus Supplement dated September</w:t>
      </w:r>
      <w:r>
        <w:rPr>
          <w:sz w:val="20"/>
          <w:szCs w:val="20"/>
          <w:color w:val="auto"/>
        </w:rPr>
        <w:tab/>
      </w:r>
      <w:r>
        <w:rPr>
          <w:rFonts w:ascii="Arial" w:cs="Arial" w:eastAsia="Arial" w:hAnsi="Arial"/>
          <w:sz w:val="15"/>
          <w:szCs w:val="15"/>
          <w:color w:val="auto"/>
        </w:rPr>
        <w:t>, 2015</w:t>
      </w:r>
    </w:p>
    <w:p>
      <w:pPr>
        <w:sectPr>
          <w:pgSz w:w="11900" w:h="16838" w:orient="portrait"/>
          <w:cols w:equalWidth="0" w:num="1">
            <w:col w:w="11420"/>
          </w:cols>
          <w:pgMar w:left="240" w:top="230" w:right="239" w:bottom="110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Prospectus Supplement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17"/>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7580" w:type="dxa"/>
            <w:vAlign w:val="bottom"/>
            <w:gridSpan w:val="9"/>
            <w:vMerge w:val="restart"/>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3360" w:type="dxa"/>
            <w:vAlign w:val="bottom"/>
            <w:tcBorders>
              <w:bottom w:val="single" w:sz="8" w:color="0000EE"/>
            </w:tcBorders>
            <w:gridSpan w:val="17"/>
            <w:vMerge w:val="continue"/>
          </w:tcPr>
          <w:p>
            <w:pPr>
              <w:spacing w:after="0"/>
              <w:rPr>
                <w:sz w:val="13"/>
                <w:szCs w:val="13"/>
                <w:color w:val="auto"/>
              </w:rPr>
            </w:pPr>
          </w:p>
        </w:tc>
        <w:tc>
          <w:tcPr>
            <w:tcW w:w="7580" w:type="dxa"/>
            <w:vAlign w:val="bottom"/>
            <w:gridSpan w:val="9"/>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NOTICE TO INVESTORS</w:t>
              </w:r>
            </w:hyperlink>
          </w:p>
        </w:tc>
        <w:tc>
          <w:tcPr>
            <w:tcW w:w="9000" w:type="dxa"/>
            <w:vAlign w:val="bottom"/>
            <w:gridSpan w:val="19"/>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CAUTIONARY STATEMENT REGARDING FORWARD-LOOKING STATEMENTS</w:t>
              </w:r>
            </w:hyperlink>
          </w:p>
        </w:tc>
        <w:tc>
          <w:tcPr>
            <w:tcW w:w="47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PROSPECTUS SUPPLEMENT SUMMARY</w:t>
              </w:r>
            </w:hyperlink>
          </w:p>
        </w:tc>
        <w:tc>
          <w:tcPr>
            <w:tcW w:w="772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400" w:type="dxa"/>
            <w:vAlign w:val="bottom"/>
            <w:gridSpan w:val="2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DIVIDEND POLICY</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MARKET PRICE OF OUR ORDINARY SHARES</w:t>
              </w:r>
            </w:hyperlink>
          </w:p>
        </w:tc>
        <w:tc>
          <w:tcPr>
            <w:tcW w:w="728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DESCRIPTION OF OUR ORDINARY SHARES</w:t>
              </w:r>
            </w:hyperlink>
          </w:p>
        </w:tc>
        <w:tc>
          <w:tcPr>
            <w:tcW w:w="742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MATERIAL UNITED STATES FEDERAL INCOME TAX CONSIDERATIONS</w:t>
              </w:r>
            </w:hyperlink>
          </w:p>
        </w:tc>
        <w:tc>
          <w:tcPr>
            <w:tcW w:w="518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S-26</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CERTAIN IRISH TAX CONSIDERATIONS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CERTAIN SWISS TAX CONSIDERATIONS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UNDERWRITING (CONFLICTS OF INTEREST)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S-35</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732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S-40</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9520" w:type="dxa"/>
            <w:vAlign w:val="bottom"/>
            <w:gridSpan w:val="2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S-40</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WHERE YOU CAN FIND ADDITIONAL INFORMATION</w:t>
              </w:r>
            </w:hyperlink>
          </w:p>
        </w:tc>
        <w:tc>
          <w:tcPr>
            <w:tcW w:w="66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S-40</w:t>
            </w: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INCORPORATION BY REFERENCE</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S-41</w:t>
            </w:r>
          </w:p>
        </w:tc>
        <w:tc>
          <w:tcPr>
            <w:tcW w:w="0" w:type="dxa"/>
            <w:vAlign w:val="bottom"/>
          </w:tcPr>
          <w:p>
            <w:pPr>
              <w:spacing w:after="0"/>
              <w:rPr>
                <w:sz w:val="1"/>
                <w:szCs w:val="1"/>
                <w:color w:val="auto"/>
              </w:rPr>
            </w:pPr>
          </w:p>
        </w:tc>
      </w:tr>
      <w:tr>
        <w:trPr>
          <w:trHeight w:val="451"/>
        </w:trPr>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20" w:type="dxa"/>
            <w:vAlign w:val="bottom"/>
            <w:gridSpan w:val="3"/>
          </w:tcPr>
          <w:p>
            <w:pPr>
              <w:ind w:left="9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940" w:type="dxa"/>
            <w:vAlign w:val="bottom"/>
            <w:gridSpan w:val="26"/>
            <w:vMerge w:val="restart"/>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ABOUT THIS PROSPECTUS</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26"/>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0000EE"/>
            </w:tcBorders>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ABOUT US</w:t>
              </w:r>
            </w:hyperlink>
          </w:p>
        </w:tc>
        <w:tc>
          <w:tcPr>
            <w:tcW w:w="8760" w:type="dxa"/>
            <w:vAlign w:val="bottom"/>
            <w:gridSpan w:val="17"/>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FORWARD LOOKING STATEMENTS</w:t>
              </w:r>
            </w:hyperlink>
          </w:p>
        </w:tc>
        <w:tc>
          <w:tcPr>
            <w:tcW w:w="860" w:type="dxa"/>
            <w:vAlign w:val="bottom"/>
            <w:tcBorders>
              <w:top w:val="single" w:sz="8" w:color="0000EE"/>
            </w:tcBorders>
            <w:gridSpan w:val="9"/>
          </w:tcPr>
          <w:p>
            <w:pPr>
              <w:spacing w:after="0"/>
              <w:rPr>
                <w:sz w:val="17"/>
                <w:szCs w:val="17"/>
                <w:color w:val="auto"/>
              </w:rPr>
            </w:pPr>
          </w:p>
        </w:tc>
        <w:tc>
          <w:tcPr>
            <w:tcW w:w="72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75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gridSpan w:val="6"/>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75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DESCRIPTION OF SECURITIES</w:t>
              </w:r>
            </w:hyperlink>
          </w:p>
        </w:tc>
        <w:tc>
          <w:tcPr>
            <w:tcW w:w="940" w:type="dxa"/>
            <w:vAlign w:val="bottom"/>
            <w:tcBorders>
              <w:top w:val="single" w:sz="8" w:color="0000EE"/>
            </w:tcBorders>
            <w:gridSpan w:val="7"/>
          </w:tcPr>
          <w:p>
            <w:pPr>
              <w:spacing w:after="0"/>
              <w:rPr>
                <w:sz w:val="17"/>
                <w:szCs w:val="17"/>
                <w:color w:val="auto"/>
              </w:rPr>
            </w:pPr>
          </w:p>
        </w:tc>
        <w:tc>
          <w:tcPr>
            <w:tcW w:w="75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SELLING SECURITYHOLDERS</w:t>
              </w:r>
            </w:hyperlink>
          </w:p>
        </w:tc>
        <w:tc>
          <w:tcPr>
            <w:tcW w:w="84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894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952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You should rely solely on the information contained in this prospectus supplement, the accompanying prospectus, or in any related free writing prospectus issued by us (which we refer to as an “Issuer free writing prospectus”) and the documents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contained or incorporated by reference in this prospectus supplement, the accompanying prospectus, any related issuer free writing prospectus, or any document incorporated by reference is accurate only as of the date on the front cover of those documents. Our business, financial condition, results of operations and prospects may have changed since that date.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This document contains two parts. The first part consists of this prospectus supplement, which describes the specific terms of this offering. The second part, the accompanying prospectus, provides more general information, some of which may not apply to this offering. </w:t>
      </w:r>
      <w:r>
        <w:rPr>
          <w:rFonts w:ascii="Arial" w:cs="Arial" w:eastAsia="Arial" w:hAnsi="Arial"/>
          <w:sz w:val="16"/>
          <w:szCs w:val="16"/>
          <w:b w:val="1"/>
          <w:bCs w:val="1"/>
          <w:color w:val="auto"/>
        </w:rPr>
        <w:t>If the description of the offering varies</w:t>
      </w:r>
      <w:r>
        <w:rPr>
          <w:rFonts w:ascii="Arial" w:cs="Arial" w:eastAsia="Arial" w:hAnsi="Arial"/>
          <w:sz w:val="16"/>
          <w:szCs w:val="16"/>
          <w:color w:val="auto"/>
        </w:rPr>
        <w:t xml:space="preserve"> </w:t>
      </w:r>
      <w:r>
        <w:rPr>
          <w:rFonts w:ascii="Arial" w:cs="Arial" w:eastAsia="Arial" w:hAnsi="Arial"/>
          <w:sz w:val="16"/>
          <w:szCs w:val="16"/>
          <w:b w:val="1"/>
          <w:bCs w:val="1"/>
          <w:color w:val="auto"/>
        </w:rPr>
        <w:t>between this prospectus supplement and the accompanying prospectus, you should rely on the information in this prospectus supplement.</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Before purchasing any securities, you should carefully read both this prospectus supplement and the accompanying prospectus, together with the additional information described under the heading “Where You Can Find Additional Information.”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INVESTORS</w:t>
      </w:r>
    </w:p>
    <w:p>
      <w:pPr>
        <w:spacing w:after="0" w:line="16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This document is not a prospectus within the meaning of the Irish Companies Act, the Prospectus (Directive 2003/71/EC) Regulations 2005 of Ireland (as amended) or the Prospectus Rules issued by the Central Bank of Ireland. No offer of shares to the public is made, or will be made, that requires the publication of a prospectus pursuant to Irish prospectus law (within the meaning of Part 23 of the Irish Companies Act) or the Prospectus Directive (2003/71/EC) (as amended). This document has not been approved or reviewed by or registered with the Central Bank of Ireland or any other competent authority or regulatory authority in the European Economic Area. This document does not constitute investment advice or the provision of investment services within the meaning of the European Communities (Markets in Capital Instruments) Regulations 2007 of Ireland (as amended) or the Markets in Financial Instruments Directive (2004/39/EC). Weatherford is not an authorized investment firm within the meaning of the European Communities (Markets in Financial Instruments) Regulations 2007 of Ireland (as amended) or the Markets in Financial Instruments Directive (2004/39/EC) and the recipients of this document should seek independent legal and financial advice in determining their actions in respect of or pursuant to this document.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information in this prospectus supplement and the accompanying prospectus, including in the documents incorporated by reference herein and therein, contains various statements relating to future financial performance and results, including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07"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5"/>
          <w:szCs w:val="15"/>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w:t>
      </w:r>
    </w:p>
    <w:p>
      <w:pPr>
        <w:spacing w:after="0" w:line="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supplement and the accompanying prospectus and in our other disclosures. These risks and uncertainties include, but are not limited to, those described under “Risk Factors” in this prospectus supplement, the accompanying prospectus, our most recent Annual Report on Form 10-K (the “Form 10-K”) and the following:</w:t>
      </w:r>
    </w:p>
    <w:p>
      <w:pPr>
        <w:spacing w:after="0" w:line="24"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126" w:lineRule="exact"/>
        <w:rPr>
          <w:rFonts w:ascii="Arial" w:cs="Arial" w:eastAsia="Arial" w:hAnsi="Arial"/>
          <w:sz w:val="16"/>
          <w:szCs w:val="16"/>
          <w:color w:val="auto"/>
        </w:rPr>
      </w:pPr>
    </w:p>
    <w:p>
      <w:pPr>
        <w:ind w:left="660" w:right="62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03" w:lineRule="exact"/>
        <w:rPr>
          <w:rFonts w:ascii="Arial" w:cs="Arial" w:eastAsia="Arial" w:hAnsi="Arial"/>
          <w:sz w:val="18"/>
          <w:szCs w:val="18"/>
          <w:color w:val="auto"/>
        </w:rPr>
      </w:pPr>
    </w:p>
    <w:p>
      <w:pPr>
        <w:ind w:left="660" w:right="84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2015 cost reduction plans;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03" w:lineRule="exact"/>
        <w:rPr>
          <w:rFonts w:ascii="Arial" w:cs="Arial" w:eastAsia="Arial" w:hAnsi="Arial"/>
          <w:sz w:val="18"/>
          <w:szCs w:val="18"/>
          <w:color w:val="auto"/>
        </w:rPr>
      </w:pPr>
    </w:p>
    <w:p>
      <w:pPr>
        <w:ind w:left="660" w:right="560" w:hanging="206"/>
        <w:spacing w:after="0" w:line="32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potential charges arising out of the SEC’s and DOJ’s investigation into the circumstances surrounding the prior material weakness in our internal controls over financial reporting for income taxes and the restatements of our historical financial statements in 2011 and 2012;</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Organization of Petroleum Exporting Countries;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redomestication from Switzerland to Ireland and to maintain our Swiss tax residency;</w:t>
      </w:r>
    </w:p>
    <w:p>
      <w:pPr>
        <w:spacing w:after="0" w:line="126"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20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U.S. Securities and Exchange Commission (“SEC”) under the Securities Exchange Act of 1934, as amended (the “Exchange Act”), and the Securities Act. For additional information regarding risks and uncertainties, see our other filings with the SEC.</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200" w:right="120" w:firstLine="443"/>
        <w:spacing w:after="0" w:line="289" w:lineRule="auto"/>
        <w:rPr>
          <w:sz w:val="20"/>
          <w:szCs w:val="20"/>
          <w:color w:val="auto"/>
        </w:rPr>
      </w:pPr>
      <w:r>
        <w:rPr>
          <w:rFonts w:ascii="Arial" w:cs="Arial" w:eastAsia="Arial" w:hAnsi="Arial"/>
          <w:sz w:val="16"/>
          <w:szCs w:val="16"/>
          <w:i w:val="1"/>
          <w:iCs w:val="1"/>
          <w:color w:val="auto"/>
        </w:rPr>
        <w:t>This summary highlights information contained elsewhere in this prospectus supplement and the accompanying prospectus. It does not contain all of the information that you should consider before making an investment decision. We urge you to read the entire prospectus supplement, the accompanying prospectus and the documents incorporated by reference in this prospectus supplement and the accompanying prospectus carefully, including the historical financial statements and notes to those financial statements incorporated by reference in this prospectus supplement and the accompanying prospectus. Please read “Risk Factors” and “Cautionary Statement Regarding Forward-Looking Statements” in this prospectus supplement and “Risk Factors” in our Annual Report on Form 10-K for the year ended December 31, 2014 and similar sections in any subsequent Exchange Act reports that we incorporate by reference in this prospectus supplement and the accompanying prospectus for more information about important risks that you should consider before investing in the ordinary shares.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Weatherford International plc, a public limited company, together with its subsidiaries as the context requires (“Weatherford,” the “Company,” “we,” “us” and “our”), is a multinational oilfield service company. Weatherford is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99"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We principally provide equipment and services to the oil and natural gas exploration and production industry, both on land and offshore, through our product service line groups: (1) Formation Evaluation and Well Construction, (2) Completion and Production, and (3) Land Drilling Rigs, which together comprise a total of 14 service lines.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the Mandatory Exchangeable Subordinated Notes Offering</w:t>
      </w:r>
    </w:p>
    <w:p>
      <w:pPr>
        <w:spacing w:after="0" w:line="164"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Concurrently with this offering of ordinary shares, under a separate prospectus supplement, Weatherford International Ltd. (“Weatherford Bermuda”), our wholly owned subsidiary, is offering $ million aggregate principal amount (or $ million aggregate principal amount if the underwriters in that offering exercise in full their over-allotment option with respect to that offering) of % Mandatory Exchangeable Subordinated Notes due 2018 (the “Mandatory Exchangeable Subordinated Notes”) that will be fully and unconditionally guaranteed by us on a subordinated basis and mandatorily exchangeable into our ordinary shares (the “Subordinated Notes Offering”).</w:t>
      </w:r>
    </w:p>
    <w:p>
      <w:pPr>
        <w:spacing w:after="0" w:line="129"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The foregoing description and any other information regarding the Subordinated Notes Offering is included herein solely for informational purposes. The Subordinated Notes Offering is not part of the offering to which this prospectus supplement relates. The Mandatory Exchangeable Subordinated Notes will be offered in a registered offering under the Securities Act by means of a separate prospectus supplement and accompanying prospectus. This prospectus supplement is not an offer to sell or a solicitation of an offer to buy any securities in such Subordinated Notes Offering.</w:t>
      </w:r>
    </w:p>
    <w:p>
      <w:pPr>
        <w:spacing w:after="0" w:line="99" w:lineRule="exact"/>
        <w:rPr>
          <w:sz w:val="20"/>
          <w:szCs w:val="20"/>
          <w:color w:val="auto"/>
        </w:rPr>
      </w:pPr>
    </w:p>
    <w:p>
      <w:pPr>
        <w:ind w:left="200" w:right="80" w:firstLine="443"/>
        <w:spacing w:after="0" w:line="306" w:lineRule="auto"/>
        <w:rPr>
          <w:sz w:val="20"/>
          <w:szCs w:val="20"/>
          <w:color w:val="auto"/>
        </w:rPr>
      </w:pPr>
      <w:r>
        <w:rPr>
          <w:rFonts w:ascii="Arial" w:cs="Arial" w:eastAsia="Arial" w:hAnsi="Arial"/>
          <w:sz w:val="16"/>
          <w:szCs w:val="16"/>
          <w:color w:val="auto"/>
        </w:rPr>
        <w:t>The amount and terms and conditions of the Subordinated Notes Offering will be subject to market conditions. There can be no assurance that we will be able to complete the Subordinated Notes Offering on terms and conditions acceptable to us. This offering is not contingent on the consummation of the Subordinated Notes Offering or any potential acquisition, and the Subordinated Notes Offering is not contingent upon completion of this offering.</w:t>
      </w:r>
    </w:p>
    <w:p>
      <w:pPr>
        <w:spacing w:after="0" w:line="93"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We cannot assure you that we will complete any potential acquisition, the Subordinated Notes Offering or any of the other financing transactions on the terms contemplated by this prospectus supplement or at all.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41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741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Corporate Information</w:t>
      </w:r>
    </w:p>
    <w:p>
      <w:pPr>
        <w:spacing w:after="0" w:line="164"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We are incorporated in Ireland, however, we are a Swiss tax resident.</w:t>
      </w:r>
    </w:p>
    <w:p>
      <w:pPr>
        <w:spacing w:after="0" w:line="29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760"/>
          </w:cols>
          <w:pgMar w:left="240" w:top="459" w:right="8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63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763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3180" w:type="dxa"/>
            <w:vAlign w:val="bottom"/>
          </w:tcPr>
          <w:p>
            <w:pPr>
              <w:ind w:left="1320"/>
              <w:spacing w:after="0"/>
              <w:rPr>
                <w:sz w:val="20"/>
                <w:szCs w:val="20"/>
                <w:color w:val="auto"/>
              </w:rPr>
            </w:pPr>
            <w:r>
              <w:rPr>
                <w:rFonts w:ascii="Arial" w:cs="Arial" w:eastAsia="Arial" w:hAnsi="Arial"/>
                <w:sz w:val="18"/>
                <w:szCs w:val="18"/>
                <w:b w:val="1"/>
                <w:bCs w:val="1"/>
                <w:color w:val="auto"/>
              </w:rPr>
              <w:t>The Offering</w:t>
            </w:r>
          </w:p>
        </w:tc>
        <w:tc>
          <w:tcPr>
            <w:tcW w:w="110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8"/>
                <w:szCs w:val="18"/>
                <w:color w:val="auto"/>
              </w:rPr>
              <w:t>Issuer</w:t>
            </w:r>
          </w:p>
        </w:tc>
        <w:tc>
          <w:tcPr>
            <w:tcW w:w="3180" w:type="dxa"/>
            <w:vAlign w:val="bottom"/>
          </w:tcPr>
          <w:p>
            <w:pPr>
              <w:ind w:left="480"/>
              <w:spacing w:after="0"/>
              <w:rPr>
                <w:sz w:val="20"/>
                <w:szCs w:val="20"/>
                <w:color w:val="auto"/>
              </w:rPr>
            </w:pPr>
            <w:r>
              <w:rPr>
                <w:rFonts w:ascii="Arial" w:cs="Arial" w:eastAsia="Arial" w:hAnsi="Arial"/>
                <w:sz w:val="18"/>
                <w:szCs w:val="18"/>
                <w:color w:val="auto"/>
              </w:rPr>
              <w:t>Weatherford International plc.</w:t>
            </w: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78"/>
        </w:trPr>
        <w:tc>
          <w:tcPr>
            <w:tcW w:w="372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3180" w:type="dxa"/>
            <w:vAlign w:val="bottom"/>
          </w:tcPr>
          <w:p>
            <w:pPr>
              <w:ind w:left="1700"/>
              <w:spacing w:after="0"/>
              <w:rPr>
                <w:sz w:val="20"/>
                <w:szCs w:val="20"/>
                <w:color w:val="auto"/>
              </w:rPr>
            </w:pPr>
            <w:r>
              <w:rPr>
                <w:rFonts w:ascii="Arial" w:cs="Arial" w:eastAsia="Arial" w:hAnsi="Arial"/>
                <w:sz w:val="18"/>
                <w:szCs w:val="18"/>
                <w:color w:val="auto"/>
              </w:rPr>
              <w:t>ordinary shares.</w:t>
            </w: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78"/>
        </w:trPr>
        <w:tc>
          <w:tcPr>
            <w:tcW w:w="372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4280" w:type="dxa"/>
            <w:vAlign w:val="bottom"/>
            <w:gridSpan w:val="2"/>
          </w:tcPr>
          <w:p>
            <w:pPr>
              <w:ind w:left="480"/>
              <w:spacing w:after="0"/>
              <w:rPr>
                <w:sz w:val="20"/>
                <w:szCs w:val="20"/>
                <w:color w:val="auto"/>
              </w:rPr>
            </w:pPr>
            <w:r>
              <w:rPr>
                <w:rFonts w:ascii="Arial" w:cs="Arial" w:eastAsia="Arial" w:hAnsi="Arial"/>
                <w:sz w:val="18"/>
                <w:szCs w:val="18"/>
                <w:color w:val="auto"/>
                <w:w w:val="92"/>
              </w:rPr>
              <w:t>The underwriters have a 30-day option to purchase</w:t>
            </w:r>
          </w:p>
        </w:tc>
        <w:tc>
          <w:tcPr>
            <w:tcW w:w="3040" w:type="dxa"/>
            <w:vAlign w:val="bottom"/>
          </w:tcPr>
          <w:p>
            <w:pPr>
              <w:ind w:left="220"/>
              <w:spacing w:after="0"/>
              <w:rPr>
                <w:sz w:val="20"/>
                <w:szCs w:val="20"/>
                <w:color w:val="auto"/>
              </w:rPr>
            </w:pPr>
            <w:r>
              <w:rPr>
                <w:rFonts w:ascii="Arial" w:cs="Arial" w:eastAsia="Arial" w:hAnsi="Arial"/>
                <w:sz w:val="18"/>
                <w:szCs w:val="18"/>
                <w:color w:val="auto"/>
              </w:rPr>
              <w:t>ordinary shares.</w:t>
            </w:r>
          </w:p>
        </w:tc>
      </w:tr>
      <w:tr>
        <w:trPr>
          <w:trHeight w:val="372"/>
        </w:trPr>
        <w:tc>
          <w:tcPr>
            <w:tcW w:w="3720" w:type="dxa"/>
            <w:vAlign w:val="bottom"/>
          </w:tcPr>
          <w:p>
            <w:pPr>
              <w:spacing w:after="0"/>
              <w:rPr>
                <w:sz w:val="20"/>
                <w:szCs w:val="20"/>
                <w:color w:val="auto"/>
              </w:rPr>
            </w:pPr>
            <w:r>
              <w:rPr>
                <w:rFonts w:ascii="Arial" w:cs="Arial" w:eastAsia="Arial" w:hAnsi="Arial"/>
                <w:sz w:val="18"/>
                <w:szCs w:val="18"/>
                <w:color w:val="auto"/>
              </w:rPr>
              <w:t>Ordinary shares outstanding after this offering</w:t>
            </w:r>
          </w:p>
        </w:tc>
        <w:tc>
          <w:tcPr>
            <w:tcW w:w="3180" w:type="dxa"/>
            <w:vAlign w:val="bottom"/>
          </w:tcPr>
          <w:p>
            <w:pPr>
              <w:ind w:left="1700"/>
              <w:spacing w:after="0"/>
              <w:rPr>
                <w:sz w:val="20"/>
                <w:szCs w:val="20"/>
                <w:color w:val="auto"/>
              </w:rPr>
            </w:pPr>
            <w:r>
              <w:rPr>
                <w:rFonts w:ascii="Arial" w:cs="Arial" w:eastAsia="Arial" w:hAnsi="Arial"/>
                <w:sz w:val="18"/>
                <w:szCs w:val="18"/>
                <w:color w:val="auto"/>
              </w:rPr>
              <w:t>ordinary shares (</w:t>
            </w:r>
          </w:p>
        </w:tc>
        <w:tc>
          <w:tcPr>
            <w:tcW w:w="4140" w:type="dxa"/>
            <w:vAlign w:val="bottom"/>
            <w:gridSpan w:val="2"/>
          </w:tcPr>
          <w:p>
            <w:pPr>
              <w:ind w:left="100"/>
              <w:spacing w:after="0"/>
              <w:rPr>
                <w:sz w:val="20"/>
                <w:szCs w:val="20"/>
                <w:color w:val="auto"/>
              </w:rPr>
            </w:pPr>
            <w:r>
              <w:rPr>
                <w:rFonts w:ascii="Arial" w:cs="Arial" w:eastAsia="Arial" w:hAnsi="Arial"/>
                <w:sz w:val="18"/>
                <w:szCs w:val="18"/>
                <w:color w:val="auto"/>
                <w:w w:val="91"/>
              </w:rPr>
              <w:t>ordinary shares if the underwriters exercise their option</w:t>
            </w:r>
          </w:p>
        </w:tc>
      </w:tr>
      <w:tr>
        <w:trPr>
          <w:trHeight w:val="222"/>
        </w:trPr>
        <w:tc>
          <w:tcPr>
            <w:tcW w:w="3720" w:type="dxa"/>
            <w:vAlign w:val="bottom"/>
          </w:tcPr>
          <w:p>
            <w:pPr>
              <w:spacing w:after="0"/>
              <w:rPr>
                <w:sz w:val="19"/>
                <w:szCs w:val="19"/>
                <w:color w:val="auto"/>
              </w:rPr>
            </w:pPr>
          </w:p>
        </w:tc>
        <w:tc>
          <w:tcPr>
            <w:tcW w:w="4280" w:type="dxa"/>
            <w:vAlign w:val="bottom"/>
            <w:gridSpan w:val="2"/>
          </w:tcPr>
          <w:p>
            <w:pPr>
              <w:ind w:left="480"/>
              <w:spacing w:after="0"/>
              <w:rPr>
                <w:sz w:val="20"/>
                <w:szCs w:val="20"/>
                <w:color w:val="auto"/>
              </w:rPr>
            </w:pPr>
            <w:r>
              <w:rPr>
                <w:rFonts w:ascii="Arial" w:cs="Arial" w:eastAsia="Arial" w:hAnsi="Arial"/>
                <w:sz w:val="18"/>
                <w:szCs w:val="18"/>
                <w:color w:val="auto"/>
              </w:rPr>
              <w:t>to purchase additional ordinary shares in full).</w:t>
            </w:r>
            <w:r>
              <w:rPr>
                <w:rFonts w:ascii="Arial" w:cs="Arial" w:eastAsia="Arial" w:hAnsi="Arial"/>
                <w:sz w:val="11"/>
                <w:szCs w:val="11"/>
                <w:color w:val="auto"/>
              </w:rPr>
              <w:t>1</w:t>
            </w:r>
          </w:p>
        </w:tc>
        <w:tc>
          <w:tcPr>
            <w:tcW w:w="3040" w:type="dxa"/>
            <w:vAlign w:val="bottom"/>
          </w:tcPr>
          <w:p>
            <w:pPr>
              <w:spacing w:after="0"/>
              <w:rPr>
                <w:sz w:val="19"/>
                <w:szCs w:val="19"/>
                <w:color w:val="auto"/>
              </w:rPr>
            </w:pPr>
          </w:p>
        </w:tc>
      </w:tr>
      <w:tr>
        <w:trPr>
          <w:trHeight w:val="358"/>
        </w:trPr>
        <w:tc>
          <w:tcPr>
            <w:tcW w:w="3720" w:type="dxa"/>
            <w:vAlign w:val="bottom"/>
          </w:tcPr>
          <w:p>
            <w:pPr>
              <w:spacing w:after="0"/>
              <w:rPr>
                <w:sz w:val="20"/>
                <w:szCs w:val="20"/>
                <w:color w:val="auto"/>
              </w:rPr>
            </w:pPr>
            <w:r>
              <w:rPr>
                <w:rFonts w:ascii="Arial" w:cs="Arial" w:eastAsia="Arial" w:hAnsi="Arial"/>
                <w:sz w:val="18"/>
                <w:szCs w:val="18"/>
                <w:color w:val="auto"/>
              </w:rPr>
              <w:t>Use of proceeds</w:t>
            </w: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92"/>
              </w:rPr>
              <w:t>We intend to use the net proceeds from this offering to pre-fund potential acquisitions and for</w:t>
            </w:r>
          </w:p>
        </w:tc>
      </w:tr>
      <w:tr>
        <w:trPr>
          <w:trHeight w:val="216"/>
        </w:trPr>
        <w:tc>
          <w:tcPr>
            <w:tcW w:w="3720" w:type="dxa"/>
            <w:vAlign w:val="bottom"/>
          </w:tcPr>
          <w:p>
            <w:pPr>
              <w:spacing w:after="0"/>
              <w:rPr>
                <w:sz w:val="18"/>
                <w:szCs w:val="18"/>
                <w:color w:val="auto"/>
              </w:rPr>
            </w:pP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87"/>
              </w:rPr>
              <w:t>general corporate purposes. Pending such use, we expect that the borrowings under our revolving</w:t>
            </w:r>
          </w:p>
        </w:tc>
      </w:tr>
      <w:tr>
        <w:trPr>
          <w:trHeight w:val="216"/>
        </w:trPr>
        <w:tc>
          <w:tcPr>
            <w:tcW w:w="3720" w:type="dxa"/>
            <w:vAlign w:val="bottom"/>
          </w:tcPr>
          <w:p>
            <w:pPr>
              <w:spacing w:after="0"/>
              <w:rPr>
                <w:sz w:val="18"/>
                <w:szCs w:val="18"/>
                <w:color w:val="auto"/>
              </w:rPr>
            </w:pP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91"/>
              </w:rPr>
              <w:t>credit facility and commercial paper program will be temporarily reduced from the proceeds of</w:t>
            </w:r>
          </w:p>
        </w:tc>
      </w:tr>
      <w:tr>
        <w:trPr>
          <w:trHeight w:val="222"/>
        </w:trPr>
        <w:tc>
          <w:tcPr>
            <w:tcW w:w="3720" w:type="dxa"/>
            <w:vAlign w:val="bottom"/>
          </w:tcPr>
          <w:p>
            <w:pPr>
              <w:spacing w:after="0"/>
              <w:rPr>
                <w:sz w:val="19"/>
                <w:szCs w:val="19"/>
                <w:color w:val="auto"/>
              </w:rPr>
            </w:pPr>
          </w:p>
        </w:tc>
        <w:tc>
          <w:tcPr>
            <w:tcW w:w="3180" w:type="dxa"/>
            <w:vAlign w:val="bottom"/>
          </w:tcPr>
          <w:p>
            <w:pPr>
              <w:ind w:left="480"/>
              <w:spacing w:after="0"/>
              <w:rPr>
                <w:sz w:val="20"/>
                <w:szCs w:val="20"/>
                <w:color w:val="auto"/>
              </w:rPr>
            </w:pPr>
            <w:r>
              <w:rPr>
                <w:rFonts w:ascii="Arial" w:cs="Arial" w:eastAsia="Arial" w:hAnsi="Arial"/>
                <w:sz w:val="18"/>
                <w:szCs w:val="18"/>
                <w:color w:val="auto"/>
                <w:w w:val="92"/>
              </w:rPr>
              <w:t>this offering. See “Use of Proceeds.”</w:t>
            </w:r>
          </w:p>
        </w:tc>
        <w:tc>
          <w:tcPr>
            <w:tcW w:w="110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358"/>
        </w:trPr>
        <w:tc>
          <w:tcPr>
            <w:tcW w:w="3720" w:type="dxa"/>
            <w:vAlign w:val="bottom"/>
          </w:tcPr>
          <w:p>
            <w:pPr>
              <w:spacing w:after="0"/>
              <w:rPr>
                <w:sz w:val="20"/>
                <w:szCs w:val="20"/>
                <w:color w:val="auto"/>
              </w:rPr>
            </w:pPr>
            <w:r>
              <w:rPr>
                <w:rFonts w:ascii="Arial" w:cs="Arial" w:eastAsia="Arial" w:hAnsi="Arial"/>
                <w:sz w:val="18"/>
                <w:szCs w:val="18"/>
                <w:color w:val="auto"/>
              </w:rPr>
              <w:t>Dividend policy</w:t>
            </w: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91"/>
              </w:rPr>
              <w:t>We do not currently pay, and do not anticipate paying in the future, any cash dividends on our</w:t>
            </w:r>
          </w:p>
        </w:tc>
      </w:tr>
      <w:tr>
        <w:trPr>
          <w:trHeight w:val="222"/>
        </w:trPr>
        <w:tc>
          <w:tcPr>
            <w:tcW w:w="3720" w:type="dxa"/>
            <w:vAlign w:val="bottom"/>
          </w:tcPr>
          <w:p>
            <w:pPr>
              <w:spacing w:after="0"/>
              <w:rPr>
                <w:sz w:val="19"/>
                <w:szCs w:val="19"/>
                <w:color w:val="auto"/>
              </w:rPr>
            </w:pP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rPr>
              <w:t>ordinary shares. Please read “Dividend Policy” in this prospectus supplement.</w:t>
            </w:r>
          </w:p>
        </w:tc>
      </w:tr>
      <w:tr>
        <w:trPr>
          <w:trHeight w:val="358"/>
        </w:trPr>
        <w:tc>
          <w:tcPr>
            <w:tcW w:w="3720" w:type="dxa"/>
            <w:vAlign w:val="bottom"/>
          </w:tcPr>
          <w:p>
            <w:pPr>
              <w:spacing w:after="0"/>
              <w:rPr>
                <w:sz w:val="20"/>
                <w:szCs w:val="20"/>
                <w:color w:val="auto"/>
              </w:rPr>
            </w:pPr>
            <w:r>
              <w:rPr>
                <w:rFonts w:ascii="Arial" w:cs="Arial" w:eastAsia="Arial" w:hAnsi="Arial"/>
                <w:sz w:val="18"/>
                <w:szCs w:val="18"/>
                <w:color w:val="auto"/>
              </w:rPr>
              <w:t>Risk factors</w:t>
            </w: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90"/>
              </w:rPr>
              <w:t>Investing in our ordinary shares involves risks. Before deciding to invest in our ordinary shares,</w:t>
            </w:r>
          </w:p>
        </w:tc>
      </w:tr>
      <w:tr>
        <w:trPr>
          <w:trHeight w:val="216"/>
        </w:trPr>
        <w:tc>
          <w:tcPr>
            <w:tcW w:w="3720" w:type="dxa"/>
            <w:vAlign w:val="bottom"/>
          </w:tcPr>
          <w:p>
            <w:pPr>
              <w:spacing w:after="0"/>
              <w:rPr>
                <w:sz w:val="18"/>
                <w:szCs w:val="18"/>
                <w:color w:val="auto"/>
              </w:rPr>
            </w:pP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96"/>
              </w:rPr>
              <w:t>you should carefully read and consider the information set forth in the “Risk Factors” and</w:t>
            </w:r>
          </w:p>
        </w:tc>
      </w:tr>
      <w:tr>
        <w:trPr>
          <w:trHeight w:val="216"/>
        </w:trPr>
        <w:tc>
          <w:tcPr>
            <w:tcW w:w="3720" w:type="dxa"/>
            <w:vAlign w:val="bottom"/>
          </w:tcPr>
          <w:p>
            <w:pPr>
              <w:spacing w:after="0"/>
              <w:rPr>
                <w:sz w:val="18"/>
                <w:szCs w:val="18"/>
                <w:color w:val="auto"/>
              </w:rPr>
            </w:pP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93"/>
              </w:rPr>
              <w:t>“Cautionary Statement Regarding Forward-Looking Statements” sections of this prospectus</w:t>
            </w:r>
          </w:p>
        </w:tc>
      </w:tr>
      <w:tr>
        <w:trPr>
          <w:trHeight w:val="216"/>
        </w:trPr>
        <w:tc>
          <w:tcPr>
            <w:tcW w:w="3720" w:type="dxa"/>
            <w:vAlign w:val="bottom"/>
          </w:tcPr>
          <w:p>
            <w:pPr>
              <w:spacing w:after="0"/>
              <w:rPr>
                <w:sz w:val="18"/>
                <w:szCs w:val="18"/>
                <w:color w:val="auto"/>
              </w:rPr>
            </w:pP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w w:val="90"/>
              </w:rPr>
              <w:t>supplement and the “Risk Factors” section of the Form 10-K, and all other information set forth</w:t>
            </w:r>
          </w:p>
        </w:tc>
      </w:tr>
      <w:tr>
        <w:trPr>
          <w:trHeight w:val="222"/>
        </w:trPr>
        <w:tc>
          <w:tcPr>
            <w:tcW w:w="3720" w:type="dxa"/>
            <w:vAlign w:val="bottom"/>
          </w:tcPr>
          <w:p>
            <w:pPr>
              <w:spacing w:after="0"/>
              <w:rPr>
                <w:sz w:val="19"/>
                <w:szCs w:val="19"/>
                <w:color w:val="auto"/>
              </w:rPr>
            </w:pPr>
          </w:p>
        </w:tc>
        <w:tc>
          <w:tcPr>
            <w:tcW w:w="7320" w:type="dxa"/>
            <w:vAlign w:val="bottom"/>
            <w:gridSpan w:val="3"/>
          </w:tcPr>
          <w:p>
            <w:pPr>
              <w:ind w:left="480"/>
              <w:spacing w:after="0"/>
              <w:rPr>
                <w:sz w:val="20"/>
                <w:szCs w:val="20"/>
                <w:color w:val="auto"/>
              </w:rPr>
            </w:pPr>
            <w:r>
              <w:rPr>
                <w:rFonts w:ascii="Arial" w:cs="Arial" w:eastAsia="Arial" w:hAnsi="Arial"/>
                <w:sz w:val="18"/>
                <w:szCs w:val="18"/>
                <w:color w:val="auto"/>
              </w:rPr>
              <w:t>in, or incorporated by reference into, this prospectus supplement.</w:t>
            </w:r>
          </w:p>
        </w:tc>
      </w:tr>
      <w:tr>
        <w:trPr>
          <w:trHeight w:val="365"/>
        </w:trPr>
        <w:tc>
          <w:tcPr>
            <w:tcW w:w="3720" w:type="dxa"/>
            <w:vAlign w:val="bottom"/>
          </w:tcPr>
          <w:p>
            <w:pPr>
              <w:spacing w:after="0"/>
              <w:rPr>
                <w:sz w:val="20"/>
                <w:szCs w:val="20"/>
                <w:color w:val="auto"/>
              </w:rPr>
            </w:pPr>
            <w:r>
              <w:rPr>
                <w:rFonts w:ascii="Arial" w:cs="Arial" w:eastAsia="Arial" w:hAnsi="Arial"/>
                <w:sz w:val="18"/>
                <w:szCs w:val="18"/>
                <w:color w:val="auto"/>
              </w:rPr>
              <w:t>Trading symbol</w:t>
            </w:r>
          </w:p>
        </w:tc>
        <w:tc>
          <w:tcPr>
            <w:tcW w:w="3180" w:type="dxa"/>
            <w:vAlign w:val="bottom"/>
          </w:tcPr>
          <w:p>
            <w:pPr>
              <w:ind w:left="480"/>
              <w:spacing w:after="0"/>
              <w:rPr>
                <w:sz w:val="20"/>
                <w:szCs w:val="20"/>
                <w:color w:val="auto"/>
              </w:rPr>
            </w:pPr>
            <w:r>
              <w:rPr>
                <w:rFonts w:ascii="Arial" w:cs="Arial" w:eastAsia="Arial" w:hAnsi="Arial"/>
                <w:sz w:val="18"/>
                <w:szCs w:val="18"/>
                <w:color w:val="auto"/>
              </w:rPr>
              <w:t>WFT.</w:t>
            </w: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156" w:lineRule="exact"/>
        <w:rPr>
          <w:sz w:val="20"/>
          <w:szCs w:val="20"/>
          <w:color w:val="auto"/>
        </w:rPr>
      </w:pPr>
    </w:p>
    <w:p>
      <w:pPr>
        <w:ind w:left="620" w:right="660" w:hanging="423"/>
        <w:spacing w:after="0" w:line="228" w:lineRule="auto"/>
        <w:tabs>
          <w:tab w:leader="none" w:pos="62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The number of ordinary shares to be outstanding after this offering is based on 776,885,410 shares outstanding as of September 15, 2015, and excludes:</w:t>
      </w:r>
    </w:p>
    <w:p>
      <w:pPr>
        <w:spacing w:after="0" w:line="62" w:lineRule="exact"/>
        <w:rPr>
          <w:rFonts w:ascii="Arial" w:cs="Arial" w:eastAsia="Arial" w:hAnsi="Arial"/>
          <w:sz w:val="22"/>
          <w:szCs w:val="22"/>
          <w:color w:val="auto"/>
          <w:vertAlign w:val="superscript"/>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4,456,520 ordinary shares that have been authorized for issuance upon exercise of stock options;</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8,818,456 ordinary shares that have been authorized for issuance upon the vesting of restricted stock units;</w:t>
      </w:r>
    </w:p>
    <w:p>
      <w:pPr>
        <w:spacing w:after="0" w:line="103"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2,857,025 ordinary shares that have been authorized for issuance upon the vesting of performance share units; and</w:t>
      </w:r>
    </w:p>
    <w:p>
      <w:pPr>
        <w:spacing w:after="0" w:line="103" w:lineRule="exact"/>
        <w:rPr>
          <w:rFonts w:ascii="Arial" w:cs="Arial" w:eastAsia="Arial" w:hAnsi="Arial"/>
          <w:sz w:val="18"/>
          <w:szCs w:val="18"/>
          <w:color w:val="auto"/>
        </w:rPr>
      </w:pPr>
    </w:p>
    <w:p>
      <w:pPr>
        <w:ind w:left="840" w:right="600" w:hanging="211"/>
        <w:spacing w:after="0" w:line="268" w:lineRule="auto"/>
        <w:tabs>
          <w:tab w:leader="none" w:pos="1235" w:val="left"/>
        </w:tabs>
        <w:numPr>
          <w:ilvl w:val="1"/>
          <w:numId w:val="4"/>
        </w:numPr>
        <w:rPr>
          <w:rFonts w:ascii="Arial" w:cs="Arial" w:eastAsia="Arial" w:hAnsi="Arial"/>
          <w:sz w:val="18"/>
          <w:szCs w:val="18"/>
          <w:color w:val="auto"/>
        </w:rPr>
      </w:pPr>
      <w:r>
        <w:rPr>
          <w:rFonts w:ascii="Arial" w:cs="Arial" w:eastAsia="Arial" w:hAnsi="Arial"/>
          <w:sz w:val="18"/>
          <w:szCs w:val="18"/>
          <w:color w:val="auto"/>
        </w:rPr>
        <w:t>ordinary shares to be reserved for issuance upon exchange of the Mandatory Exchangeable Subordinated Notes being offered by us in connection with the Subordinated Notes Offering.</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42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34429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Concurrent subordinated notes offering</w:t>
            </w: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3"/>
              </w:rPr>
              <w:t>Concurrently with this offering of ordinary shares, under a separate prospectus supplement,</w:t>
            </w:r>
          </w:p>
        </w:tc>
      </w:tr>
      <w:tr>
        <w:trPr>
          <w:trHeight w:val="216"/>
        </w:trPr>
        <w:tc>
          <w:tcPr>
            <w:tcW w:w="3480" w:type="dxa"/>
            <w:vAlign w:val="bottom"/>
          </w:tcPr>
          <w:p>
            <w:pPr>
              <w:spacing w:after="0"/>
              <w:rPr>
                <w:sz w:val="18"/>
                <w:szCs w:val="18"/>
                <w:color w:val="auto"/>
              </w:rPr>
            </w:pPr>
          </w:p>
        </w:tc>
        <w:tc>
          <w:tcPr>
            <w:tcW w:w="3340" w:type="dxa"/>
            <w:vAlign w:val="bottom"/>
          </w:tcPr>
          <w:p>
            <w:pPr>
              <w:ind w:left="720"/>
              <w:spacing w:after="0"/>
              <w:rPr>
                <w:sz w:val="20"/>
                <w:szCs w:val="20"/>
                <w:color w:val="auto"/>
              </w:rPr>
            </w:pPr>
            <w:r>
              <w:rPr>
                <w:rFonts w:ascii="Arial" w:cs="Arial" w:eastAsia="Arial" w:hAnsi="Arial"/>
                <w:sz w:val="18"/>
                <w:szCs w:val="18"/>
                <w:color w:val="auto"/>
                <w:w w:val="94"/>
              </w:rPr>
              <w:t>Weatherford Bermuda is offering $</w:t>
            </w:r>
          </w:p>
        </w:tc>
        <w:tc>
          <w:tcPr>
            <w:tcW w:w="3160" w:type="dxa"/>
            <w:vAlign w:val="bottom"/>
          </w:tcPr>
          <w:p>
            <w:pPr>
              <w:ind w:left="140"/>
              <w:spacing w:after="0"/>
              <w:rPr>
                <w:sz w:val="20"/>
                <w:szCs w:val="20"/>
                <w:color w:val="auto"/>
              </w:rPr>
            </w:pPr>
            <w:r>
              <w:rPr>
                <w:rFonts w:ascii="Arial" w:cs="Arial" w:eastAsia="Arial" w:hAnsi="Arial"/>
                <w:sz w:val="18"/>
                <w:szCs w:val="18"/>
                <w:color w:val="auto"/>
                <w:w w:val="94"/>
              </w:rPr>
              <w:t>million aggregate principal amount (or $</w:t>
            </w:r>
          </w:p>
        </w:tc>
        <w:tc>
          <w:tcPr>
            <w:tcW w:w="1040" w:type="dxa"/>
            <w:vAlign w:val="bottom"/>
          </w:tcPr>
          <w:p>
            <w:pPr>
              <w:ind w:left="140"/>
              <w:spacing w:after="0"/>
              <w:rPr>
                <w:sz w:val="20"/>
                <w:szCs w:val="20"/>
                <w:color w:val="auto"/>
              </w:rPr>
            </w:pPr>
            <w:r>
              <w:rPr>
                <w:rFonts w:ascii="Arial" w:cs="Arial" w:eastAsia="Arial" w:hAnsi="Arial"/>
                <w:sz w:val="18"/>
                <w:szCs w:val="18"/>
                <w:color w:val="auto"/>
              </w:rPr>
              <w:t>million</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8"/>
              </w:rPr>
              <w:t>aggregate principal amount if the underwriters in that offering exercise in full their over-</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3"/>
              </w:rPr>
              <w:t>allotment option with respect to that offering) of   % Mandatory Exchangeable Subordinated</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0"/>
              </w:rPr>
              <w:t>Notes due 2018 that will be fully and unconditionally guaranteed by us on a subordinated basis</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89"/>
              </w:rPr>
              <w:t>and mandatorily exchangeable into our ordinary shares. The Subordinated Notes Offering is not</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1"/>
              </w:rPr>
              <w:t>part of the offering to which this prospectus supplement relates. This offering is not contingent</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1"/>
              </w:rPr>
              <w:t>on the consummation of the Subordinated Notes Offering or any potential acquisition, and the</w:t>
            </w:r>
          </w:p>
        </w:tc>
      </w:tr>
      <w:tr>
        <w:trPr>
          <w:trHeight w:val="222"/>
        </w:trPr>
        <w:tc>
          <w:tcPr>
            <w:tcW w:w="3480" w:type="dxa"/>
            <w:vAlign w:val="bottom"/>
          </w:tcPr>
          <w:p>
            <w:pPr>
              <w:spacing w:after="0"/>
              <w:rPr>
                <w:sz w:val="19"/>
                <w:szCs w:val="19"/>
                <w:color w:val="auto"/>
              </w:rPr>
            </w:pPr>
          </w:p>
        </w:tc>
        <w:tc>
          <w:tcPr>
            <w:tcW w:w="6500" w:type="dxa"/>
            <w:vAlign w:val="bottom"/>
            <w:gridSpan w:val="2"/>
          </w:tcPr>
          <w:p>
            <w:pPr>
              <w:ind w:left="720"/>
              <w:spacing w:after="0"/>
              <w:rPr>
                <w:sz w:val="20"/>
                <w:szCs w:val="20"/>
                <w:color w:val="auto"/>
              </w:rPr>
            </w:pPr>
            <w:r>
              <w:rPr>
                <w:rFonts w:ascii="Arial" w:cs="Arial" w:eastAsia="Arial" w:hAnsi="Arial"/>
                <w:sz w:val="18"/>
                <w:szCs w:val="18"/>
                <w:color w:val="auto"/>
                <w:w w:val="92"/>
              </w:rPr>
              <w:t>Subordinated Notes Offering is not contingent upon completion of this offering.</w:t>
            </w:r>
          </w:p>
        </w:tc>
        <w:tc>
          <w:tcPr>
            <w:tcW w:w="1040" w:type="dxa"/>
            <w:vAlign w:val="bottom"/>
          </w:tcPr>
          <w:p>
            <w:pPr>
              <w:spacing w:after="0"/>
              <w:rPr>
                <w:sz w:val="19"/>
                <w:szCs w:val="19"/>
                <w:color w:val="auto"/>
              </w:rPr>
            </w:pPr>
          </w:p>
        </w:tc>
      </w:tr>
      <w:tr>
        <w:trPr>
          <w:trHeight w:val="358"/>
        </w:trPr>
        <w:tc>
          <w:tcPr>
            <w:tcW w:w="3480" w:type="dxa"/>
            <w:vAlign w:val="bottom"/>
          </w:tcPr>
          <w:p>
            <w:pPr>
              <w:spacing w:after="0"/>
              <w:rPr>
                <w:sz w:val="20"/>
                <w:szCs w:val="20"/>
                <w:color w:val="auto"/>
              </w:rPr>
            </w:pPr>
            <w:r>
              <w:rPr>
                <w:rFonts w:ascii="Arial" w:cs="Arial" w:eastAsia="Arial" w:hAnsi="Arial"/>
                <w:sz w:val="18"/>
                <w:szCs w:val="18"/>
                <w:color w:val="auto"/>
              </w:rPr>
              <w:t>Conflicts of interest</w:t>
            </w: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89"/>
              </w:rPr>
              <w:t>Because affiliates of Citigroup Global Markets Inc. and Wells Fargo Securities, LLC are lenders</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3"/>
              </w:rPr>
              <w:t>under our revolving credit facility and may receive more than 5% of the net proceeds of this</w:t>
            </w:r>
          </w:p>
        </w:tc>
      </w:tr>
      <w:tr>
        <w:trPr>
          <w:trHeight w:val="216"/>
        </w:trPr>
        <w:tc>
          <w:tcPr>
            <w:tcW w:w="3480" w:type="dxa"/>
            <w:vAlign w:val="bottom"/>
          </w:tcPr>
          <w:p>
            <w:pPr>
              <w:spacing w:after="0"/>
              <w:rPr>
                <w:sz w:val="18"/>
                <w:szCs w:val="18"/>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89"/>
              </w:rPr>
              <w:t>offering due to our repayment of portions of the revolving credit facility by us, such underwriters</w:t>
            </w:r>
          </w:p>
        </w:tc>
      </w:tr>
      <w:tr>
        <w:trPr>
          <w:trHeight w:val="222"/>
        </w:trPr>
        <w:tc>
          <w:tcPr>
            <w:tcW w:w="3480" w:type="dxa"/>
            <w:vAlign w:val="bottom"/>
          </w:tcPr>
          <w:p>
            <w:pPr>
              <w:spacing w:after="0"/>
              <w:rPr>
                <w:sz w:val="19"/>
                <w:szCs w:val="19"/>
                <w:color w:val="auto"/>
              </w:rPr>
            </w:pPr>
          </w:p>
        </w:tc>
        <w:tc>
          <w:tcPr>
            <w:tcW w:w="7540" w:type="dxa"/>
            <w:vAlign w:val="bottom"/>
            <w:gridSpan w:val="3"/>
          </w:tcPr>
          <w:p>
            <w:pPr>
              <w:ind w:left="720"/>
              <w:spacing w:after="0"/>
              <w:rPr>
                <w:sz w:val="20"/>
                <w:szCs w:val="20"/>
                <w:color w:val="auto"/>
              </w:rPr>
            </w:pPr>
            <w:r>
              <w:rPr>
                <w:rFonts w:ascii="Arial" w:cs="Arial" w:eastAsia="Arial" w:hAnsi="Arial"/>
                <w:sz w:val="18"/>
                <w:szCs w:val="18"/>
                <w:color w:val="auto"/>
                <w:w w:val="97"/>
              </w:rPr>
              <w:t>may be deemed to have a “conflict of interest” under Rule 5121 of the Financial Industry</w:t>
            </w:r>
          </w:p>
        </w:tc>
      </w:tr>
    </w:tbl>
    <w:p>
      <w:pPr>
        <w:ind w:left="4400" w:right="100"/>
        <w:spacing w:after="0" w:line="252" w:lineRule="auto"/>
        <w:rPr>
          <w:sz w:val="20"/>
          <w:szCs w:val="20"/>
          <w:color w:val="auto"/>
        </w:rPr>
      </w:pPr>
      <w:r>
        <w:rPr>
          <w:rFonts w:ascii="Arial" w:cs="Arial" w:eastAsia="Arial" w:hAnsi="Arial"/>
          <w:sz w:val="18"/>
          <w:szCs w:val="18"/>
          <w:color w:val="auto"/>
        </w:rPr>
        <w:t>Regulatory Authority, Inc. (“FINRA”) Rules. Accordingly, this offering is being made in compliance with the requirements of FINRA Rule 5121. The appointment of a “qualified independent underwriter” is not required in connection with this offering as a “bona fide public market,” as defined in Rule 5121, exists for our ordinary shares. In addition, affiliates of certain of the underwriters may hold notes under our commercial paper program. See “Underwriting (Conflicts of Interest).”</w:t>
      </w:r>
    </w:p>
    <w:p>
      <w:pPr>
        <w:spacing w:after="0" w:line="135"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Unless we specifically state otherwise, all information in this prospectus supplement assumes no exercise by the underwriters of their option to purchase up to additional ordinary shares in this offering or by the underwriters in the concurrent Subordinated Notes Offering of their over-allotment option to purchase additional Mandatory Exchangeable Subordinated Notes.</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Investing in our ordinary shares involves a high degree of risk. Before deciding whether to purchase our ordinary shares, you should carefully consider the risks and uncertainties described below as well as those described under “Risk Factors” in the Form 10-K and in our subsequent Quarterly Reports on Form 10-Q, together with all of the other information included in, or incorporated by reference into, this prospectus. See “Incorporation by Reference.”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w:t>
      </w:r>
      <w:r>
        <w:rPr>
          <w:rFonts w:ascii="Arial" w:cs="Arial" w:eastAsia="Arial" w:hAnsi="Arial"/>
          <w:sz w:val="16"/>
          <w:szCs w:val="16"/>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ordinary shares may be volatile.</w:t>
      </w:r>
    </w:p>
    <w:p>
      <w:pPr>
        <w:spacing w:after="0" w:line="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trading price of our ordinary shares has historically fluctuated significantly. For example, since the beginning of 2014, the high sale price per ordinary share on the NYSE was $24.88 and the low sale price per share was $7.21, and on September 18, 2015, the last reported sale price of our ordinary shares on the NYSE was $10.12 per share. The price of our ordinary shares could be subject to wide fluctuations in the future in response to many events or factors, including those discussed in this risk factors section, as well as:</w:t>
      </w:r>
    </w:p>
    <w:p>
      <w:pPr>
        <w:spacing w:after="0" w:line="49"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market prices of oil and natural gas;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expectations as to future financial performance or buy/sell recommendations of securities analysts;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strategic alliances or joint ventures involving us or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of our current stockholders, including sales of ordinary shares by our directors and executive officers;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a competitor’s, announcement of new products, services or innovations;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General market conditions and domestic or international macroeconomic factors unrelated to our performance may also affect the price of our ordinary shares. For these reasons, investors should not rely on recent trends to predict future prices of our ordinary shares or financial results.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issuances of equity or equity-linked securities by us may cause the market price of ordinary shares to fall.</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15, 2015, we had 776,885,410 ordinary shares issued and outstanding. As of September 15, 2015, 4,456,520 ordinary shares were authorized for issuance upon exercise of stock options (of which 2,989,310 were exercisable), 8,818,456 ordinary shares were authorized for issuance upon the vesting of restricted stock units and 2,857,025 ordinary shares were authorized for issuance upon the vesting of performance share units. In addition, concurrently with this offering, Weatherford Bermuda, our wholly-owned subsidiary, is also offering up to $ million aggregate principal amount (or $ million aggregate principal amount if the underwriters of that offering exercise their option with respect to that offering in full) of the Mandatory Exchangeable Subordinated Notes, which are mandatorily exchangeable into our ordinary shares. The issuance of the ordinary shares offered hereby, the exchange of the Mandatory Exchangeable Subordinated Notes, and the sale of additional shares that may become eligible for sale in the public market from time to time, could have the effect of depressing the market price for our ordinary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addition, the price of our ordinary shares could also be negatively affected by possible sales (including short sales) of our ordinary shares by investors who view the Mandatory Exchangeable Subordinated Notes as a more attractive means of equity participation in us and by the hedging or arbitrage trading activity that we expect to develop involving our ordinary shares as a result of the issuance of the Mandatory Exchangeable Subordinated Notes.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holding company structure may impact our ability to service debt.</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a holding company with no material assets other than the capital stock of our subsidiaries. As a result, our ability to repay our indebtedness is dependent on the generation of cash flow by our subsidiaries and their ability to make such cash available to us, by dividend, loan, debt repayment or otherwise. Our subsidiaries do not have any obligation to make funds available to us to repay our indebtedness. Dividends from subsidiaries that are not wholly owned are shared with other equity owners. In addition, cash at our international operations is also subject to foreign withholding taxes upon repatriation.</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our subsidiaries may not be able to, or be permitted to, make distributions to enable us to repay our indebtedness. Each of our subsidiaries is a distinct legal entity and, under certain circumstances, legal restrictions, as well as the financial condition and operating requirements of our subsidiaries, may limit our ability to obtain cash from our subsidiaries. Our rights to participate in any distribution of our subsidiaries’ assets upon their liquidation, reorganization or insolvency would generally be subject to the prior claims of the subsidiaries’ creditors, including any trade creditors.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ordinary shares.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It may not be possible to enforce court judgments obtained in the United States against Weatherford in Ireland based on the civil liability provisions of the U.S. federal or state securities laws. In addition, there is some uncertainty as to whether the courts of Ireland would recognize or enforce judgments of U.S. courts obtained against Weatherford or its directors or officers based on the civil liabilities provisions of the U.S. federal or state securities laws or hear actions against Weatherford or those persons based on those laws. Weatherford has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3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an Irish company, Weatherford International plc is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ordinary shares may have more difficulty protecting their interests than would holders of securities of a corporation incorporated in a jurisdiction of the United States.</w:t>
      </w:r>
    </w:p>
    <w:p>
      <w:pPr>
        <w:spacing w:after="0" w:line="131"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Weatherford International plc has never declared or paid cash dividends on its share capital and it does not expect to pay any cash dividends in the near future.</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Weatherford International plc has never declared or paid cash dividends on its share capital and does not expect to pay any cash dividends in the near future. If Weatherford International plc proposes to pay dividends in the future, it must do so in accordance with Irish law, which provides that distributions including dividend payments, share repurchases and redemptions be funded from “distributable reserves.” See “Description of Our Ordinary Shares—Dividends.” Any future determination as to the payment of dividends will, subject to Irish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legal requirements, be at the sole discretion of Weatherford International plc’s board of directors and will depend on Weatherford International plc’s consolidated financial condition, results of operations, capital requirements, compliance with existing and future borrowing arrangements, and other factors Weatherford International plc’s board of directors deems relevant. Accordingly, holders of ordinary shares must rely on increases in the trading price of their shares for returns on their investment in the foreseeable future.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Irish stamp duty.</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Weatherford International plc’s ordinary shares are traded on a recognized stock exchange in the United States, an exemption from this stamp duty is available to transfers by shareholders who hold ordinary shares beneficially through brokers which in turn hold those shares through the Depository Trust Company (“DTC”) to holders who also hold through DTC. However, a transfer by or to a record holder who holds ordinary shares directly in his, her or its own name could be subject to this stamp duty. Weatherford International plc, in its absolute discretion and insofar as the Irish Companies Act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transfer of ordinary shares may be subject to Swiss stamp taxes.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certain circumstances, the transfer of shares in an Irish incorporated, but Swiss tax resident company, will be subject to Swiss stamp taxes irrespective of the place of residency of the purchaser or seller if (i) the transaction takes place through or with a Swiss bank or other Swiss securities dealer, as those terms are defined in the Swiss Federal Stamp Tax Act, and (ii) no exemption applies in the specific case. The applicable stamp tax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 If a purchase or sale is not entered into through or with a Swiss bank or other Swiss securities dealer, then no Swiss stamp tax will be due.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paid by Weatherford International plc may be subject to Swiss dividend withholding tax.</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certain circumstances, as a Swiss tax resident company, Weatherford International plc will be required to deduct Swiss dividend withholding tax (currently at the rate of 35%) from dividends paid to Weatherford International plc’s shareholders. Such Swiss withholding tax is due regardless of the place of residency of the shareholder. Shareholders that are resident in the United States, EU countries and other countries with which Switzerland has signed a tax treaty may be entitled to a partial or full refund of the Swiss withholding tax. Swiss withholding tax could adversely affect the price of ordinary shares and the value of the notes.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347" w:lineRule="auto"/>
        <w:rPr>
          <w:sz w:val="20"/>
          <w:szCs w:val="20"/>
          <w:color w:val="auto"/>
        </w:rPr>
      </w:pPr>
      <w:r>
        <w:rPr>
          <w:rFonts w:ascii="Arial" w:cs="Arial" w:eastAsia="Arial" w:hAnsi="Arial"/>
          <w:sz w:val="15"/>
          <w:szCs w:val="15"/>
          <w:b w:val="1"/>
          <w:bCs w:val="1"/>
          <w:i w:val="1"/>
          <w:iCs w:val="1"/>
          <w:color w:val="auto"/>
        </w:rPr>
        <w:t>U.S. persons that own, or are deemed to own, 10% or more of our shares may be subject to U.S. federal income taxation under the CFC rules and may also subject the Company to increased taxation. The potential for shareholders to be taxed under the CFC rules may impact demand for our shares.</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Currently, certain of our subsidiary corporations are not considered controlled foreign corporations (“CFCs”) because they are less than 50% owned by our U.S. group of subsidiaries and other 10% or greater U.S. shareholders. However, there is a risk that if a U.S. shareholder holds 10% or more of our shares, directly, indirectly, constructively or by attribution, that some of our subsidiaries could be classified as CFCs for U.S. federal income tax purposes. If one or more of our subsidiaries is classified as a CFC, any shareholder that is a U.S. person that owns, directly or indirectly, constructively or by attribution, 10% or more of our outstanding shares, as well as the Company, may be subject to U.S. income taxation at ordinary income tax rates on all or a portion of the CFC’s undistributed earnings and profits attributable to “subpart F income.” The CFC rules are complex and U.S. persons that hold our shares are urged to consult their own tax advisors regarding the possible application of the CFC rules to them in their particular circumstances. The risk of being subject to increased taxation may deter our current shareholders from acquiring additional ordinary shares or new shareholders from establishing a position in our ordinary shares. Either of these scenarios could impact the demand for, and value of, our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risks in connection with future acquisitions and the integration of significant acquisitions may be difficult.</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periodically evaluate potential acquisitions that appear to fit within our overall business strategy. The integration of businesses that we may acquire is likely to be a complex, time-consuming and expensive process and we may not realize the anticipated revenues or other benefits associated with our acquisitions. If we fail in any acquisition integration efforts and are unable to efficiently operate as a combined organization utilizing common information and communication systems, operating procedures, financial controls and human resources practices, our business, financial condition and results of operations may be adversely affected.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acquisitions and other strategic transactions may involve other risks, including:</w:t>
      </w:r>
    </w:p>
    <w:p>
      <w:pPr>
        <w:spacing w:after="0" w:line="7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mistaken assumptions regarding revenues and costs, including synergies and potential growth;</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assumption of unknown liabilities for which we are not indemnified or for which indemnity is inadequate;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mistaken assumptions regarding overall financing costs;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our management’s attention to evaluating, negotiating and integrating significant acquisitions and strategic transactions;</w:t>
      </w:r>
    </w:p>
    <w:p>
      <w:pPr>
        <w:spacing w:after="0" w:line="103"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challenge and cost of integrating acquired operations, information management and other technology systems and business cultures with those of ours while carrying on our ongoing business;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associated with coordinating geographically separate assets;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challenge of attracting and retaining personnel associated with acquired operations.</w:t>
      </w:r>
    </w:p>
    <w:p>
      <w:pPr>
        <w:spacing w:after="0" w:line="18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process of integrating operations could cause an interruption of, or loss of momentum in, the activities of our business. Members of our senior management and other staff may be required to devote considerable amounts of time to this integration process, which will decrease the time they will have to manage our business. If our senior management and staff are not able to effectively manage the integration process, or if any significant business activities are interrupted as a result of the integration process, our business could suffer.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Despite our current debt levels, we may incur substantially more debt or take other actions which would intensify the risks discussed above as well as those incorporated by reference in this prospectus supplement relating to our indebtedness.</w:t>
      </w:r>
    </w:p>
    <w:p>
      <w:pPr>
        <w:spacing w:after="0" w:line="37" w:lineRule="exact"/>
        <w:rPr>
          <w:sz w:val="20"/>
          <w:szCs w:val="20"/>
          <w:color w:val="auto"/>
        </w:rPr>
      </w:pPr>
    </w:p>
    <w:p>
      <w:pPr>
        <w:ind w:right="660" w:firstLine="456"/>
        <w:spacing w:after="0" w:line="305" w:lineRule="auto"/>
        <w:rPr>
          <w:sz w:val="20"/>
          <w:szCs w:val="20"/>
          <w:color w:val="auto"/>
        </w:rPr>
      </w:pPr>
      <w:r>
        <w:rPr>
          <w:rFonts w:ascii="Arial" w:cs="Arial" w:eastAsia="Arial" w:hAnsi="Arial"/>
          <w:sz w:val="15"/>
          <w:szCs w:val="15"/>
          <w:color w:val="auto"/>
        </w:rPr>
        <w:t>As of June 30, 2015, we had total consolidated indebtedness of $7.8 billion, substantially all of which was unsecured indebtedness of Weatherford Bermuda guaranteed by Weatherford International plc and/or Weatherford Bermuda. After giving effect to the issuance of the Mandatory Exchangeable</w:t>
      </w:r>
    </w:p>
    <w:p>
      <w:pPr>
        <w:ind w:right="20"/>
        <w:spacing w:after="0" w:line="287" w:lineRule="auto"/>
        <w:rPr>
          <w:sz w:val="20"/>
          <w:szCs w:val="20"/>
          <w:color w:val="auto"/>
        </w:rPr>
      </w:pPr>
      <w:r>
        <w:rPr>
          <w:rFonts w:ascii="Arial" w:cs="Arial" w:eastAsia="Arial" w:hAnsi="Arial"/>
          <w:sz w:val="16"/>
          <w:szCs w:val="16"/>
          <w:color w:val="auto"/>
        </w:rPr>
        <w:t>Subordinated Notes in the Subordinated Notes Offering, our total indebtedness would have been $ billion as of June 30, 2015, substantially all of which would have been unsecured indebtedness. Despite our current consolidated debt levels, we may be able to incur substantial additional debt in the future, including secured debt, subject to the restrictions contained in our debt instruments and credit facilities. Weatherford Bermuda and Weatherford International plc will not be restricted under the terms of the indenture governing the Mandatory Exchangeable Subordinated Notes from incurring additional debt, securing existing or future debt, recapitalizing debt or taking a number of other actions that are not limited by the terms of the indenture governing the Mandatory Exchangeable Subordinated Notes that could have the effect of diminishing our ability to make payments on the Mandatory Exchangeable Subordinated Notes when due. Our level of indebtedness could affect our operations in several ways, including requiring us to direct a significant portion of our cash flows to service our indebtedness. In addition, high levels of debt increase our vulnerability to general adverse economic and industry conditions and increase the risk that we may default on our debt obligations.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We intend to use the net proceeds from this offering to pre-fund potential acquisitions and for general corporate purposes. Pending such use, we expect that the borrowings under our revolving credit facility and commercial paper program will be temporarily reduced from the proceeds of this offering.</w:t>
      </w:r>
    </w:p>
    <w:p>
      <w:pPr>
        <w:spacing w:after="0" w:line="72"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As of September 14, 2015, we had approximately $680 million of borrowings outstanding under our $2.25 billion revolving credit facility, which is due on July 13, 2017. Interest on our revolving credit facility currently accrues at the London Interbank Offered Rate plus 1.475%. The weighted average interest rate on the amounts outstanding under our revolving credit facility as of September 14, 2015 was 1.682%. As of September 14, 2015, we had approximately</w:t>
      </w:r>
    </w:p>
    <w:p>
      <w:pPr>
        <w:spacing w:after="0" w:line="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$735.8 million of borrowings outstanding under our commercial paper program at a weighted average interest rate of 1.093%. The proceeds from these borrowings were used for working capital and general corporate purposes.</w:t>
      </w:r>
    </w:p>
    <w:p>
      <w:pPr>
        <w:spacing w:after="0" w:line="12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Affiliates of Citigroup Global Markets Inc. and Wells Fargo Securities, LLC are lenders under our revolving credit facility. To the extent we use proceeds from this offering to repay indebtedness under our revolving credit facility, such affiliates may receive proceeds from this offering. In addition, affiliates of certain of the underwriters may hold notes under our commercial paper program. See “Underwriting (Conflicts of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2015:</w:t>
      </w:r>
    </w:p>
    <w:p>
      <w:pPr>
        <w:spacing w:after="0" w:line="77"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adjusted to give effect to this offering as if it had occurred on June 30, 2015;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further adjusted to also give effect to the anticipated borrowings pursuant to the Subordinated Notes Offering as if it had occurred on June 30, 2015.</w:t>
      </w:r>
    </w:p>
    <w:p>
      <w:pPr>
        <w:spacing w:after="0" w:line="20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table should be read in conjunction with, and is qualified in its entirety by reference to, “Use of Proceeds” in this prospectus supplement and “Management’s Discussion and Analysis of Financial Condition and Results of Operations” and the financial statements and the related notes in our Form 10-K and in our Quarterly Reports on Form 10-Q, which are incorporated by reference in this prospectus supplement.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June 30, 2015</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As Further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Actual</w:t>
            </w:r>
          </w:p>
        </w:tc>
        <w:tc>
          <w:tcPr>
            <w:tcW w:w="2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900" w:type="dxa"/>
            <w:vAlign w:val="bottom"/>
            <w:tcBorders>
              <w:top w:val="single" w:sz="8" w:color="auto"/>
            </w:tcBorders>
            <w:gridSpan w:val="7"/>
          </w:tcPr>
          <w:p>
            <w:pPr>
              <w:jc w:val="center"/>
              <w:ind w:right="32"/>
              <w:spacing w:after="0" w:line="129" w:lineRule="exact"/>
              <w:rPr>
                <w:sz w:val="20"/>
                <w:szCs w:val="20"/>
                <w:color w:val="auto"/>
              </w:rPr>
            </w:pPr>
            <w:r>
              <w:rPr>
                <w:rFonts w:ascii="Arial" w:cs="Arial" w:eastAsia="Arial" w:hAnsi="Arial"/>
                <w:sz w:val="14"/>
                <w:szCs w:val="14"/>
                <w:b w:val="1"/>
                <w:bCs w:val="1"/>
                <w:color w:val="auto"/>
                <w:w w:val="88"/>
              </w:rPr>
              <w:t>(In millions, except number par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value)</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Cash and cash equivalents</w:t>
            </w:r>
          </w:p>
        </w:tc>
        <w:tc>
          <w:tcPr>
            <w:tcW w:w="5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Long-term debt, including current maturities: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5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Revolving credit facility(1)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 short-term bank loans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ind w:left="880"/>
              <w:spacing w:after="0"/>
              <w:rPr>
                <w:sz w:val="20"/>
                <w:szCs w:val="20"/>
                <w:color w:val="auto"/>
              </w:rPr>
            </w:pPr>
            <w:r>
              <w:rPr>
                <w:rFonts w:ascii="Arial" w:cs="Arial" w:eastAsia="Arial" w:hAnsi="Arial"/>
                <w:sz w:val="18"/>
                <w:szCs w:val="18"/>
                <w:color w:val="auto"/>
              </w:rPr>
              <w:t>Total short-term borrowings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1,148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5.50% Senior Notes due 2016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6.35% Senior Notes due 2017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606</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606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6.00% Senior Notes due 2018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9.625% Senior Notes due 2019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1,016</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1,016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5.125% Senior Notes due 2020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4.50% Senior Notes due 2022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683</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683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6.50% Senior Notes due 2036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6.80% Senior Notes due 2037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298</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298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7.00% Senior Notes due 2038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9.875% Senior Notes due 2039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247</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6.75% Senior Notes due 2040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7980" w:type="dxa"/>
            <w:vAlign w:val="bottom"/>
            <w:gridSpan w:val="3"/>
          </w:tcPr>
          <w:p>
            <w:pPr>
              <w:ind w:left="440"/>
              <w:spacing w:after="0"/>
              <w:rPr>
                <w:sz w:val="20"/>
                <w:szCs w:val="20"/>
                <w:color w:val="auto"/>
              </w:rPr>
            </w:pPr>
            <w:r>
              <w:rPr>
                <w:rFonts w:ascii="Arial" w:cs="Arial" w:eastAsia="Arial" w:hAnsi="Arial"/>
                <w:sz w:val="18"/>
                <w:szCs w:val="18"/>
                <w:color w:val="auto"/>
              </w:rPr>
              <w:t>5.95% Senior Notes due 2042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441</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441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Mandatory Exchangeable Subordinated Notes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ind w:left="440"/>
              <w:spacing w:after="0"/>
              <w:rPr>
                <w:sz w:val="20"/>
                <w:szCs w:val="20"/>
                <w:color w:val="auto"/>
              </w:rPr>
            </w:pPr>
            <w:r>
              <w:rPr>
                <w:rFonts w:ascii="Arial" w:cs="Arial" w:eastAsia="Arial" w:hAnsi="Arial"/>
                <w:sz w:val="18"/>
                <w:szCs w:val="18"/>
                <w:color w:val="auto"/>
                <w:w w:val="93"/>
              </w:rPr>
              <w:t>Other long-term debt</w:t>
            </w:r>
          </w:p>
        </w:tc>
        <w:tc>
          <w:tcPr>
            <w:tcW w:w="5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179</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1"/>
              </w:rPr>
              <w:t>Long-term debt</w:t>
            </w:r>
          </w:p>
        </w:tc>
        <w:tc>
          <w:tcPr>
            <w:tcW w:w="5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Total indebtedness</w:t>
            </w:r>
          </w:p>
        </w:tc>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20" w:type="dxa"/>
            <w:vAlign w:val="bottom"/>
            <w:gridSpan w:val="2"/>
            <w:vMerge w:val="continue"/>
          </w:tcPr>
          <w:p>
            <w:pPr>
              <w:spacing w:after="0"/>
              <w:rPr>
                <w:sz w:val="19"/>
                <w:szCs w:val="19"/>
                <w:color w:val="auto"/>
              </w:rPr>
            </w:pPr>
          </w:p>
        </w:tc>
        <w:tc>
          <w:tcPr>
            <w:tcW w:w="5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7,824</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80" w:type="dxa"/>
            <w:vAlign w:val="bottom"/>
            <w:gridSpan w:val="3"/>
          </w:tcPr>
          <w:p>
            <w:pPr>
              <w:ind w:left="440"/>
              <w:spacing w:after="0"/>
              <w:rPr>
                <w:sz w:val="20"/>
                <w:szCs w:val="20"/>
                <w:color w:val="auto"/>
              </w:rPr>
            </w:pPr>
            <w:r>
              <w:rPr>
                <w:rFonts w:ascii="Arial" w:cs="Arial" w:eastAsia="Arial" w:hAnsi="Arial"/>
                <w:sz w:val="18"/>
                <w:szCs w:val="18"/>
                <w:color w:val="auto"/>
                <w:w w:val="91"/>
              </w:rPr>
              <w:t>Ordinary Shares—$0.001 par value; Authorized 1,356, Issued and Outstanding 777, actual; Issued and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ind w:left="660"/>
              <w:spacing w:after="0"/>
              <w:rPr>
                <w:sz w:val="20"/>
                <w:szCs w:val="20"/>
                <w:color w:val="auto"/>
              </w:rPr>
            </w:pPr>
            <w:r>
              <w:rPr>
                <w:rFonts w:ascii="Arial" w:cs="Arial" w:eastAsia="Arial" w:hAnsi="Arial"/>
                <w:sz w:val="18"/>
                <w:szCs w:val="18"/>
                <w:color w:val="auto"/>
              </w:rPr>
              <w:t>Outstanding</w:t>
            </w:r>
          </w:p>
        </w:tc>
        <w:tc>
          <w:tcPr>
            <w:tcW w:w="5960" w:type="dxa"/>
            <w:vAlign w:val="bottom"/>
          </w:tcPr>
          <w:p>
            <w:pPr>
              <w:ind w:left="60"/>
              <w:spacing w:after="0"/>
              <w:rPr>
                <w:sz w:val="20"/>
                <w:szCs w:val="20"/>
                <w:color w:val="auto"/>
              </w:rPr>
            </w:pPr>
            <w:r>
              <w:rPr>
                <w:rFonts w:ascii="Arial" w:cs="Arial" w:eastAsia="Arial" w:hAnsi="Arial"/>
                <w:sz w:val="18"/>
                <w:szCs w:val="18"/>
                <w:color w:val="auto"/>
              </w:rPr>
              <w:t>, as adjusted and as further adjusted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Capital in Excess of Par Value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5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1,820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1,820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(1,090)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ind w:left="440"/>
              <w:spacing w:after="0"/>
              <w:rPr>
                <w:sz w:val="20"/>
                <w:szCs w:val="20"/>
                <w:color w:val="auto"/>
              </w:rPr>
            </w:pPr>
            <w:r>
              <w:rPr>
                <w:rFonts w:ascii="Arial" w:cs="Arial" w:eastAsia="Arial" w:hAnsi="Arial"/>
                <w:sz w:val="18"/>
                <w:szCs w:val="18"/>
                <w:color w:val="auto"/>
              </w:rPr>
              <w:t>Weatherford Shareholders’ Equity</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6,172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ind w:left="88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6,247</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14,071</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20" w:hanging="332"/>
        <w:spacing w:after="0" w:line="25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maintain a $2.25 billion unsecured, revolving credit agreement that matures on July 13, 2017. The revolving credit agreement can be used for a combination of borrowings, support for our $2.25 billion commercial paper program and issuances of letters of credit. This agreement requires that we maintain a debt-to-total capitalization ratio of less than 60%. At June 30, 2015, we had $1.3 billion available under the Credit Agreement, and there were $16 million in outstanding letters of credit under the revolving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never declared or paid cash dividends on our shares. We intend to retain any future earnings and do not expect to pay any cash dividends in the near future.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future dividend policy is within the discretion of our board of directors and will depend upon then existing conditions, including our results of operations, financial condition, capital requirements, investment opportunities, statutory restrictions on our ability to pay dividends and other factors our board of directors may deem relevant.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OUR ORDINARY SHARES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shares are traded under the symbol “WFT” on the NYSE. As of September 11, 2015, there were 1,966 shareholders of record. The following table sets forth, for the periods indicated, the range of high and low sales prices per share for our ordinary shares as reported on the NYSE.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3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$13.12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$14.91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Third Quarter (through September 18, 2015)</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3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13.07</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$23.25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$24.88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$20.89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10.07</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$13.70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11.08</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$14.65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11.66</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080" w:type="dxa"/>
            <w:vAlign w:val="bottom"/>
            <w:gridSpan w:val="3"/>
            <w:shd w:val="clear" w:color="auto" w:fill="CCEEFF"/>
          </w:tcPr>
          <w:p>
            <w:pPr>
              <w:jc w:val="center"/>
              <w:ind w:left="2652"/>
              <w:spacing w:after="0"/>
              <w:rPr>
                <w:sz w:val="20"/>
                <w:szCs w:val="20"/>
                <w:color w:val="auto"/>
              </w:rPr>
            </w:pPr>
            <w:r>
              <w:rPr>
                <w:rFonts w:ascii="Arial" w:cs="Arial" w:eastAsia="Arial" w:hAnsi="Arial"/>
                <w:sz w:val="18"/>
                <w:szCs w:val="18"/>
                <w:color w:val="auto"/>
                <w:w w:val="90"/>
              </w:rPr>
              <w:t>$15.80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13.60</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080" w:type="dxa"/>
            <w:vAlign w:val="bottom"/>
            <w:gridSpan w:val="3"/>
          </w:tcPr>
          <w:p>
            <w:pPr>
              <w:jc w:val="center"/>
              <w:ind w:left="2652"/>
              <w:spacing w:after="0"/>
              <w:rPr>
                <w:sz w:val="20"/>
                <w:szCs w:val="20"/>
                <w:color w:val="auto"/>
              </w:rPr>
            </w:pPr>
            <w:r>
              <w:rPr>
                <w:rFonts w:ascii="Arial" w:cs="Arial" w:eastAsia="Arial" w:hAnsi="Arial"/>
                <w:sz w:val="18"/>
                <w:szCs w:val="18"/>
                <w:color w:val="auto"/>
                <w:w w:val="90"/>
              </w:rPr>
              <w:t>$17.38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14.44</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18, 2015, the closing price of our ordinary shares was $10.12 per share.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ORDINARY SHARES</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description is a summary of our share capital. This summary does not purport to be complete and the statements in this summary are qualified in their entirety by reference to, and are subject to, the detailed provisions of the Irish Companies Act and our memorandum and articles of association, which is incorporated herein by reference. We encourage you to read those laws and documents carefully.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of September 15, 2015, our authorized share capital is €40,000 and $1,356,000 divided into 40,000 deferred ordinary shares with a nominal value of €1.00 per share and 1,356,000,000 ordinary shares with a nominal value of $0.001 per share. The authorized share capital includes 40,000 deferred ordinary shares with a nominal value of €1.00 per share in order to satisfy statutory requirements for the incorporation of all Irish public limited companies.</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allot and issue shares subject to the maximum authorized share capital contained in the memorandum and articles of association. The authorized maximum may be increased or reduced by a simple majority of votes cast, in person or by proxy, at a general meeting of shareholders (referred to under Irish law as an “ordinary resolution”). We may from time to time issue shares with such preferred or deferred or other special rights or such restrictions, whether in regard to dividend, voting, return of capital or otherwise, as determined by an ordinary resolution of the shareholders.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Irish law, the board of directors of a company may issue new ordinary shares having the rights provided for in the articles of association without shareholder approval once authorized to do so by the articles of association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Because of this requirement of Irish law, we have been authorized in our articles of association and by ordinary resolution to issue new ordinary shares having the rights provided for in the articles of association without shareholder approval for a period of five years from June 6, 2014, up to the maximum authorized, but unissued, share capital. The rights and restrictions to which the ordinary shares are subject are prescribed by our articles of association.</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Irish law does not recognize fractional shares held of record. Accordingly, our articles of association do not provide for the issuance of fractional shares, and the official Irish register does not reflect any fractional shares.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Whenever an alteration or reorganization of our share capital would result in any shareholder becoming entitled to fractions of a share, our directors may, on behalf of those shareholders that would become entitled to fractions of a share arrange for the sale of the shares representing fractions and distribute the net proceeds of such sale in due proportion among the shareholders who would have been entitled to the fractions and for this purpose our directors may authorize any person to execute any instruments or other documents required to transfer the shares representing fractions to the transferee thereof. The transferee shall not be bound to see to the application of the purchase money, nor shall his title to the shares be affected by any irregularity or invalidity in the proceedings relating to the sale.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September 15, 2015, our issued share capital is $776,885, comprised of approximately 776,885,410 ordinary shares with a nominal value of $0.001 per share and 7 deferred ordinary shares with a nominal value of €1.00 per share.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However, we opted out of these preemption rights in our articles of association and by special resolution as permitted under Irish law. Because Irish law requires this opt-out to be renewed every five years by a special resolution of the shareholders, this opt-out must be so renewed in accordance with Irish statutory requirements. A “special resolution” requires the approval of not less than 75% of the votes cast, in person or by proxy, at a general meeting of our shareholders at which a quorum is present. If the opt-out is not renewed, shares to be issued for cash must be offered to our existing shareholders on a pro rata basis to their existing shareholding before the shares may be issued to any new shareholders. Statutory preemption rights do not apply:</w:t>
      </w:r>
    </w:p>
    <w:p>
      <w:pPr>
        <w:spacing w:after="0" w:line="26"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shares are issued for non-cash consideration (such as in a stock-for-stock acquisition);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the issue of non-equity shares (that is, shares that have the right to participate only up to a specified amount in any income or capital distribution); or</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shares are issued pursuant to employee equity compensation plans.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Irish law, we are prohibited from allotting shares without consideration. Accordingly, at least the nominal value of the shares issued underlying any restricted share award, restricted share unit, performance share awards, bonus shares or any other share-based grants must be paid pursuant to the Irish Companies Act.</w:t>
      </w:r>
    </w:p>
    <w:p>
      <w:pPr>
        <w:spacing w:after="0" w:line="127"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articles of association provide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Irish Companies Act provides that directors may issue share warrants or options without shareholder approval once authorized to do so by the articles of association or an ordinary resolution of shareholders. We are subject to the rules of the NYSE and the U.S. federal tax laws that require shareholder approval of certain equity plan and share issuances. Our board of directors may issue shares upon exercise of warrants or options without shareholder approval or authorization (up to the relevant maximum authorized share capital for the time being in effect).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jc w:val="both"/>
        <w:ind w:right="280" w:firstLine="456"/>
        <w:spacing w:after="0" w:line="294" w:lineRule="auto"/>
        <w:rPr>
          <w:sz w:val="20"/>
          <w:szCs w:val="20"/>
          <w:color w:val="auto"/>
        </w:rPr>
      </w:pPr>
      <w:r>
        <w:rPr>
          <w:rFonts w:ascii="Arial" w:cs="Arial" w:eastAsia="Arial" w:hAnsi="Arial"/>
          <w:sz w:val="16"/>
          <w:szCs w:val="16"/>
          <w:color w:val="auto"/>
        </w:rPr>
        <w:t>Under Irish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and includes reserves created by way of a court-approved share capital reduction. In addition, no distribution or dividend may be made unless our net assets are equal to, or in excess of, the aggregate of our paid-up share capital plus undistributable reserves and the distribution or dividend does not reduce our net assets below such aggregate.</w:t>
      </w:r>
    </w:p>
    <w:p>
      <w:pPr>
        <w:spacing w:after="0" w:line="10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Undistributable reserves include the share premium account, the capital redemption reserve fund and the amount by which our accumulated unrealized profits, so far as not previously utilized by any capitalization, exceed our accumulated unrealized losses, so far as not previously written off in a reduction or reorganization of capital.</w:t>
      </w:r>
    </w:p>
    <w:p>
      <w:pPr>
        <w:spacing w:after="0" w:line="12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determination as to whether or not we have sufficient distributable profits to fund a dividend must be made by reference to our “relevant entity financial statements.” The “relevant entity financial statements” will be either the last set of unconsolidated annual audited financial statements or “initial” or “interim” financial statements properly prepared in accordance with the Irish Companies Act, which give a “true and fair view”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our unconsolidated financial position and accord with accepted accounting practice. The relevant entity financial statements are filed in the Companies Registration Office (the official public registry for companies in Ireland).</w:t>
      </w:r>
    </w:p>
    <w:p>
      <w:pPr>
        <w:spacing w:after="0" w:line="118"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Our articles of association authorize the board of directors to declare dividends without shareholder approval to the extent that the declaration of such dividends appears justified by profits. Our directors may also recommend a dividend to be approved and declared by the shareholders at an annual general meeting and may direct that the payment be made by distribution of assets, shares or cash. No dividend may exceed the amount recommended by our directors.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Dividends may be declared and paid in the form of cash, property, stock or other non-cash assets and may be paid in dollars or any other currency.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may deduct from any dividend payable to any shareholder any amounts payable by such shareholder to us in relation to the ordinary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Redemptions and Conversions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articles of association provide that, unless our directors determines otherwise, any ordinary share that we have agreed to acquire shall be automatically converted into a redeemable share. Accordingly, for purposes of Irish law, the repurchase of ordinary shares by Weatherford may technically be effected as a redemption.</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our articles of association did not contain such provision, all repurchases by us would be subject to many of the same rules that apply to purchases of our shares by subsidiaries described below under “—Purchases by Subsidiaries” including the shareholder approval requirements described below and the requirement that any on-market purchases be effected on a “recognized stock exchange.” Except where otherwise noted, references elsewhere in this prospectus supplement to repurchasing or buying back our shares refer to the redemption of shares by Weatherford or the purchase of shares of Weatherford by a subsidiary of Weatherford, in each case in accordance with our memorandum and articles of association and Irish law as described below.</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and Redemptions</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Irish law, repurchased and redeemed shares may be cancelled or held as treasury shares. The aggregate nominal value of shares held in treasury at any time must not exceed 10% of the aggregate nominal value of our issued share capital. We may not exercise any voting rights in respect of any shares held as treasury shares. We may cancel treasury shares or re-issue them subject to certain conditions.</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also issue redeemable shares and redeem them out of distributable profits or the proceeds of a new issue of shares for that purpose. We may only issue redeemable shares if the nominal value of the issued share capital that is not redeemable is not less than 10% of the aggregate nominal value of our entire issued share capital. All redeemable shares must also be fully paid-up and the terms of redemption of the shares must provide for payment on redemption. We may also be given authority to purchase our own shares on-market on a recognized stock exchange such as the NYSE or off-market with such authority to be given by its shareholders at a general meeting, which would take effect on the same terms and be subject to the same conditions as applicable to purchases by our subsidiaries.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by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Irish law, our subsidiaries may purchase our ordinary shares on-market on a recognized stock exchange such as NYSE or off-market.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one of our subsidiaries to make on-market purchases of ordinary shares, our shareholders must provide general authorization for such purchase by way of ordinary resolution. However, as long as this general authority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has been granted, no specific shareholder authority for a particular on-market purchase of ordinary shares by one of our subsidiaries is required. For a purchase by a subsidiary of the ordinary shares off-market, the proposed purchase contract must be authorized by special resolution of our shareholders before the contract is executed. The person whose shares are to be bought back cannot vote in favor of the special resolution, and, for at least 21 days prior to the special resolution being passed, the purchase contract must be on display or must be available for inspection by our shareholders at our registered office.</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number of shares in our capital held by our subsidiaries at any time will count as treasury shares and will be included in any calculation of the permitted treasury share threshold of 10% of the nominal value of our issued share capital. While a subsidiary holds shares in our capital, such subsidiary cannot exercise any voting rights in respect of those shares. The acquisition of ordinary shares by a subsidiary must be funded out of distributable profits of the subsidiary.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Lien on Shares, Calls on Shares and Forfeiture of Shares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articles of association provide that we will have a first and paramount lien on every share for all moneys, whether currently due or not, payable in respect of such share. Subject to the terms of their allotment, directors may call for any unpaid amounts in respect of any shares to be paid, and if payment is not made, the shares may be forfeited. The provision is a standard inclusion in the articles of association of an Irish public limited company such as Weatherford and will only be applicable to our shares that have not been fully paid-up.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Division; Subdivision</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articles of association provide that we may, by ordinary resolution, consolidate and divide all or any of our share capital into shares of larger nominal value than our existing shares, or subdivide our shares into smaller amounts than is fixed by our memorandum of association.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 of Share Capital</w:t>
      </w:r>
    </w:p>
    <w:p>
      <w:pPr>
        <w:spacing w:after="0" w:line="8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We may, by ordinary resolution, effect a reduction in our authorized but unissued share capital by cancelling unissued shares. We also may, by special resolution and subject to confirmation by the Irish High Court, reduce or cancel our issued share capital in any way permitted by the Irish Companies Act.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Meetings of Shareholders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matter of Irish law, we are required to hold an annual general meeting at intervals of no more than 15 months from the previous annual general meeting, provided that an annual general meeting is held in each calendar year following the first annual general meeting and no more than nine months after our fiscal year-end.</w:t>
      </w:r>
    </w:p>
    <w:p>
      <w:pPr>
        <w:spacing w:after="0" w:line="12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articles provide that business may be properly brought before a meeting if directed by a court of competent jurisdiction or if the chairman decides in his discretion that it may be regarded as within the scope of the meeting. The provisions of our articles of association relating to general meetings shall apply to every general meeting of the holders of any class of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provided under Irish law, notice of an annual or extraordinary general meeting must be given to all our shareholders and to our auditors.</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articles of association provide for the minimum statutory notice periods of 21 days’ notice in writing for an annual meeting or an extraordinary general meeting to approve a special resolution and 14 days’ notice in writing for any other extraordinary general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Extraordinary General Meetings of Shareholders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provided under Irish law, extraordinary general meetings may be convened:</w:t>
      </w:r>
    </w:p>
    <w:p>
      <w:pPr>
        <w:spacing w:after="0" w:line="77"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our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requisition of our shareholders holding not less than 10% of our paid-up share capital carrying voting rights;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requisition of our auditors;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exceptional cases, by court order.</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Extraordinary general meetings are typically held for the purpose of approving shareholder resolutions as may be required from time to time. At any extraordinary general meeting only such business shall be conducted as is set forth in the notice thereof.</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the case of an extraordinary general meeting convened by our shareholders, the proposed purpose of the meeting must be set out in the requisition notice. Upon receipt of any such valid requisition notice, our directors have 21 days to convene a meeting of our shareholders to vote on the matters set out in the requisition notice. This meeting must be held within two months of the receipt of the requisition notice. If our directors do not convene the meeting within such</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2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our directors become aware that our net assets are not greater than half of the amount of our called-up share capital, they must convene an extraordinary general meeting of our shareholders not later than 28 days from the date that our directors learn of this fact to consider how to address the situation (the meeting to be held within 56 days of that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for General Meetings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articles of association provide that no business shall be transacted at any general meeting unless a quorum is present. A quorum shall be two or more persons holding or representing by proxy more than 50% of the total issued voting rights of our shares, provided that if we only have one shareholder, one shareholder present in person or by proxy shall constitute a quorum.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8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Under our articles of association, each of our shareholders is entitled to one vote for each ordinary share that he or she holds as of the record date for the meeting. Neither Irish law nor any of our constituent document places limitations on the right of nonresident or foreign owners to vote or hold our shares.</w:t>
      </w:r>
    </w:p>
    <w:p>
      <w:pPr>
        <w:spacing w:after="0" w:line="7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Except where a greater majority is required by the Irish Companies Act or otherwise prescribed by the articles of association, any question, business or resolution proposed at any general meeting shall be decided by an ordinary resolution (i.e., by a simple majority of the votes cast, in person or by proxy, at a general meeting, provided a quorum is present).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any of our general meetings, all resolutions will be decided on a show of hands unless a poll is demanded by:</w:t>
      </w:r>
    </w:p>
    <w:p>
      <w:pPr>
        <w:spacing w:after="0" w:line="77"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chairman;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three shareholders present in person or by proxy;</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shareholder or shareholders present in person or proxy and holding not less than one-tenth of the total voting rights of all shareholders having the right to vote at such meeting;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8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shareholder or shareholders holding shares in our capital conferring the right to vote at the meeting being shares on which an aggregate sum has been paid-up equal to not less than one tenth of the total sum paid-up on all the shares conferring that right.</w:t>
      </w:r>
    </w:p>
    <w:p>
      <w:pPr>
        <w:spacing w:after="0" w:line="118"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Irish law requires approval of certain matters by “special resolutions” of the shareholders at a general meeting (i.e., by not less than 75% of the votes cast, in person or by proxy, at a general meeting, provided a quorum is present). Examples of matters requiring special resolutions include:</w:t>
      </w:r>
    </w:p>
    <w:p>
      <w:pPr>
        <w:spacing w:after="0" w:line="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amending our objects or memorandum of association;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amending our articles of association;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a change of our name;</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re-registration from a public limited company to a private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memorandum or articles of association do not provide otherwise);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of our own shares off-market;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of our issued share capital;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that we be wound-up by the Irish courts;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winding-up;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 Attaching to a Class or Series of Shares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matter of Irish law, unless the memorandum or articles of association provide otherwise, any variation of class rights attaching to our issued shares must be approved: (i) in writing by the holders of 75% or more of the issued shares in that class or (ii)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of Books and Records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Irish law, shareholders have the right to:</w:t>
      </w:r>
    </w:p>
    <w:p>
      <w:pPr>
        <w:spacing w:after="0" w:line="7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receive a copy of our memorandum and articles of association and any act of the Irish government that alters our memorandum of association;</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 and obtain copies of the minutes of our general meetings and resolutions;</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we maintain;</w:t>
      </w:r>
    </w:p>
    <w:p>
      <w:pPr>
        <w:spacing w:after="0" w:line="37"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that have previously been sent to shareholders prior to an annual general meeting; and</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balance sheets of any of our subsidiaries that have previously been sent to shareholders prior to an annual general meeting for the preceding 10 years.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auditors’ report must be circulated to the shareholders with our financial statements prepared in accordance with Irish law 21 days before the annual general meeting.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are two principal methods used to acquire listed Irish public companies: (i) a takeover offer; or (ii) a scheme of arrangement. Each method is subject to the Irish Takeover Panel Act 1997, as amended, and the Irish Takeover Rules made thereunder. See “—Anti-Takeover Measures” below.</w:t>
      </w:r>
    </w:p>
    <w:p>
      <w:pPr>
        <w:spacing w:after="0" w:line="7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a takeover offer, the bidder will make a general offer to the target shareholders to acquire their shares. The offer must be conditional on the bidder acquiring, or having agreed to acquire (pursuant to the offer, or otherwise) securities conferring more than 50% of the voting rights of the target. The bidder may require any remaining shareholders to transfer their shares on the terms of the offer (i.e., a “squeeze out”) if it has acquired, pursuant to the offer, not less than a specific percentage of the target shares to which the offer relates. The percentage for companies listed on regulated markets in the European Economic Area (“EEA”) is 90%. As we are not listed on an EEA regulated market (NYSE only), the relevant applicable percentage for us is 80%. Dissenting shareholders have the right to apply to the High Court of Ireland for relief.</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scheme of arrangement is a statutory procedure which can be utilized to acquire an Irish company. A scheme of arrangement involves the target company putting an acquisition proposal to its shareholders, which can be (i) a transfer scheme, pursuant to which their shares are transferred to the bidder in return for the relevant consideration or (ii) a cancellation scheme, pursuant to which their shares are cancelled in return for the relevant consideration, with the result in each case that the bidder will become the 100% owner of the target company. A scheme of arrangement requires the approval of a majority in number of the shareholders of each class, representing not less than 75% of the shares of each class, present and voting, in person or by proxy, at a general, or relevant class, meeting of the target company. The scheme also requires the sanction of the High Court of Ireland. Subject to the requisite shareholder approval and sanction of the High Court, the scheme will be binding on all shareholders. Dissenting shareholders have the right to appear at the High Court hearing and make representations in objection to the scheme.</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There is also a statutory procedure under the European Communities (Cross-Border Mergers) Regulations 2008 whereby a variety of business combinations between Irish companies and other EEA incorporated companies (including mergers) can be effected, although, to date, it has been rarely used for listed public company acquisitions. Among other matters, a cross border merger will require the approval of not less than 75% of the votes cast, in person or by proxy, at a general meeting together with the sanction of the High Court of Ireland.</w:t>
      </w:r>
    </w:p>
    <w:p>
      <w:pPr>
        <w:spacing w:after="0" w:line="13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Irish Companies Act also contains statutory provisions relating to mergers between Irish companies and mergers between Irish companies and companies from different states within the EEA which are based on the European Communities (Cross-Border Mergers) Regulations 2008.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8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Under a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High Court of Ireland for relief.</w:t>
      </w:r>
    </w:p>
    <w:p>
      <w:pPr>
        <w:spacing w:after="0" w:line="9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scheme of arrangement which has been approved by the requisite shareholder majority and sanctioned by the High Court of Ireland will be binding on all shareholders. Dissenting shareholders have the right to appear at the High Court hearing and make representations in objection to the scheme.</w:t>
      </w:r>
    </w:p>
    <w:p>
      <w:pPr>
        <w:spacing w:after="0" w:line="7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Under the European Communities (Cross-Border Mergers) Regulations 2008 governing the merger of an Irish public limited company such as us and a company incorporated in the EEA, a shareholder (i) who voted against the special resolution approving the merger or (ii) of a company in which 90% of the shares are held by the other party to the merger, has the right to request that the company acquire his or her shares for cash at a price determined in accordance with the share exchange ratio set out in the merger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Similar rights apply under the Irish Companies Act in the case of a merger of an Irish public limited company such as us into another company to which the provisions of the Irish Companies Act apply.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Interests in Shares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Irish Companies Act, there is a notification requirement for shareholders who acquire or cease to be interested in 3% of the shares of an Irish public limited company. A shareholder therefore must make such a notification to us if, as a result of a transaction, the shareholder will be interested in 3% or more of our relevant share capital; or if, as a result of a transaction, a shareholder who was interested in more than 3% of our relevant share capital ceases to be so interested. Where a shareholder is interested in more than 3% of our relevant share capital (i.e., voting shares), any alteration of his or her interest that brings his or her total holding through the nearest whole percentage number, whether an increase or a reduction, must be notified to us.</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relevant percentage figure is calculated by reference to the aggregate nominal value of the shares in which the shareholder is interested as a proportion of the entire nominal value of our ordinary share capital. Where the percentage level of the shareholder’s interest does not amount to a whole percentage, this figure may be rounded down to the previous whole number. All such disclosures should be notified to the company within five business days of the alteration of the shareholder’s interests that gave rise to the requirement to notify.</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of our shares, held by such person, shall be enforceable by such person, whether directly or indirectly, by action or legal proceeding. However, such person may apply to the High Court of Ireland to have the rights attaching to the shares concerned reinstated.</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the above disclosure requirement, under the Irish Companies Act, we may, by notice in writing, require a person whom we know or have reasonable cause to believe, to be, or at any time during the three years immediately preceding the date on which such notice is issued, to have been, interested in shares comprised in our relevant share capital: (i) to indicate whether or not it is the case and (ii) where such person holds or has during that time held an interest in our shares, to give such further information as we may require, including particulars of such person’s own past or present interests in the shares. Any information given in response to the notice is required to be given in writing within such reasonable time as we may specify in the notice.</w:t>
      </w:r>
    </w:p>
    <w:p>
      <w:pPr>
        <w:spacing w:after="0" w:line="10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Where such a notice is served by us on a person who is or was interested in our shares and that person fails to give us any of the requested information within the reasonable time specified, we may apply to the High Court of Ireland for an order directing that the affected shares be made subject to certain restrictions. Under the Irish Companies Act, the restrictions that may be placed on the shares by the High Court of Ireland are as follows:</w:t>
      </w:r>
    </w:p>
    <w:p>
      <w:pPr>
        <w:spacing w:after="0" w:line="12"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transfer of those shares, or, in the case of unissued shares, any transfer of the right to be issued with shares and any issue of shares, shall be void;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payment shall be made of any sums due from Weatherford on those shares, whether in respect of capital or otherwise.</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 the shares are subject to these restrictions, the High Court of Ireland may order the shares to be sold and may also direct that the shares shall cease to be subject to these restrictions.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transaction in which a third party seeks to acquire 30% or more of our voting rights will be subject to the Irish Takeover Panel Act 1997, as amended, and the Irish Takeover Rules made thereunder.</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Irish Takeover Rules regulate the conduct of takeovers of, and certain other transactions affecting, Irish public companies listed on certain stock exchanges (including the NYSE). The Irish Takeover Rules are administered by the Irish Takeover Panel, which has supervisory jurisdiction over such transactions. Among other matters, the Irish Takeover Rules operate to ensure that no offer is frustrated or unfairly prejudiced and, in the case of multiple bidders, that there is a level playing field.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Irish Takeover Rules are based on the following general principles which will apply to the conduct of takeovers:</w:t>
      </w:r>
    </w:p>
    <w:p>
      <w:pPr>
        <w:spacing w:after="0" w:line="77" w:lineRule="exact"/>
        <w:rPr>
          <w:sz w:val="20"/>
          <w:szCs w:val="20"/>
          <w:color w:val="auto"/>
        </w:rPr>
      </w:pPr>
    </w:p>
    <w:p>
      <w:pPr>
        <w:ind w:left="660" w:right="1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holders of securities of the target company should be afforded equivalent treatment and, if a person acquires control of a company, the other holders of securities must be protected;</w:t>
      </w:r>
    </w:p>
    <w:p>
      <w:pPr>
        <w:spacing w:after="0" w:line="37" w:lineRule="exact"/>
        <w:rPr>
          <w:rFonts w:ascii="Arial" w:cs="Arial" w:eastAsia="Arial" w:hAnsi="Arial"/>
          <w:sz w:val="18"/>
          <w:szCs w:val="18"/>
          <w:color w:val="auto"/>
        </w:rPr>
      </w:pPr>
    </w:p>
    <w:p>
      <w:pPr>
        <w:ind w:left="660" w:right="20" w:hanging="206"/>
        <w:spacing w:after="0" w:line="30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the target company must act in our interests as a whole and must not deny the holders of securities the opportunity to decide on the merits of the offer;</w:t>
      </w:r>
    </w:p>
    <w:p>
      <w:pPr>
        <w:spacing w:after="0" w:line="37" w:lineRule="exact"/>
        <w:rPr>
          <w:rFonts w:ascii="Arial" w:cs="Arial" w:eastAsia="Arial" w:hAnsi="Arial"/>
          <w:sz w:val="18"/>
          <w:szCs w:val="18"/>
          <w:color w:val="auto"/>
        </w:rPr>
      </w:pPr>
    </w:p>
    <w:p>
      <w:pPr>
        <w:ind w:left="660" w:right="200" w:hanging="206"/>
        <w:spacing w:after="0" w:line="32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 w:lineRule="exact"/>
        <w:rPr>
          <w:rFonts w:ascii="Arial" w:cs="Arial" w:eastAsia="Arial" w:hAnsi="Arial"/>
          <w:sz w:val="16"/>
          <w:szCs w:val="16"/>
          <w:color w:val="auto"/>
        </w:rPr>
      </w:pPr>
    </w:p>
    <w:p>
      <w:pPr>
        <w:ind w:left="660" w:right="62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Irish Takeover Rules include mandatory bid rules, share dealing restrictions, confidentiality objections and restrictions on frustrating actions. In particular, the board of directors of a target is not permitted without shareholder approval at a duly convened general meeting to take certain actions which might frustrate a takeover once the board has received an approach which may lead to an offer or has reason to believe an offer is, or may be, imminent.</w:t>
      </w:r>
    </w:p>
    <w:p>
      <w:pPr>
        <w:spacing w:after="0" w:line="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although the ability of the board of directors to do so would be subject to their fiduciary duties and, during the course of an offer, the Irish Takeover Rules. However, there is no directly relevant case law on this issue.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articles of association allocate authority over the day-to-day management of our affairs to the board of directors. The board of directors may then delegate any of its powers, authorities and discretions (with power to sub-delegate) to any committee, consisting of such person or persons (whether directors or not) as it thinks 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but regardless, the board of directors will remain responsible, as a matter of Irish law, for the proper management of our affairs. Committees may meet and adjourn as they determine proper. Unless otherwise determined by the board of directors, the quorum necessary for the transaction of business at any committee meeting shall be a majority of the members of such committee then in office unless the committee shall consist of one or two members, in which case one member shall constitute a quorum.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8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current legal and commercial name is Weatherford International public limited company. We were incorporated in Ireland on March 3, 2014 as a private limited company with registration number 540406, and re-registered as a public limited company on May 29, 2014. Our fiscal year ends on December 31st and our registered address is 70 Sir Rogerson’s Quay, Dublin 2, 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Directors</w:t>
      </w:r>
    </w:p>
    <w:p>
      <w:pPr>
        <w:spacing w:after="0" w:line="8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Our articles of association provide that the number of directors will not be less than three nor more than 14, subject to (i) automatic increases to accommodate the exercise of the rights of holders of any class or series of shares in issue having special rights to nominate or appoint directors in accordance with the terms of issue of such class or series and/or (ii) any resolution passed increasing the number of directors. The authorized number of directors (within such fixed maximum and fixed minimum numbers) is determined by our directors.</w:t>
      </w:r>
    </w:p>
    <w:p>
      <w:pPr>
        <w:spacing w:after="0" w:line="13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At each annual general meeting of our shareholders, all of our directors serving on the board of directors shall retire from office and be re-eligible for re-election. Upon the resignation or termination of office of any director, if a new director shall be appointed to the board he will be designated to fill the vacancy arising.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person shall be appointed as a director unless nominated as follows:</w:t>
      </w:r>
    </w:p>
    <w:p>
      <w:pPr>
        <w:spacing w:after="0" w:line="7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the affirmative vote of two-thirds of our board of directors;</w:t>
      </w:r>
    </w:p>
    <w:p>
      <w:pPr>
        <w:spacing w:after="0" w:line="103" w:lineRule="exact"/>
        <w:rPr>
          <w:rFonts w:ascii="Arial" w:cs="Arial" w:eastAsia="Arial" w:hAnsi="Arial"/>
          <w:sz w:val="18"/>
          <w:szCs w:val="18"/>
          <w:color w:val="auto"/>
        </w:rPr>
      </w:pPr>
    </w:p>
    <w:p>
      <w:pPr>
        <w:jc w:val="both"/>
        <w:ind w:left="660" w:right="20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election at an annual general meeting, by any shareholder who holds ordinary shares or other shares in our capital carrying the general right to vote at our general meetings, who is a shareholder at the time of the giving of the notice and at the time of the relevant annual general meeting and who timely complies with the notice procedures set out in our articles of association;</w:t>
      </w:r>
    </w:p>
    <w:p>
      <w:pPr>
        <w:spacing w:after="0" w:line="45"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election at an extraordinary general meeting requisitioned in accordance with section 178 of the Irish Companies Act, by any shareholder or shareholders who holds ordinary shares or other shares in our capital carrying the general right to vote at our general meetings and who makes such nomination in the written requisition of the extraordinary general meeting and timely complies with the notice procedures set forth in our articles of association; or</w:t>
      </w:r>
    </w:p>
    <w:p>
      <w:pPr>
        <w:spacing w:after="0" w:line="48"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holders of any class or series of our shares then in issue having special rights to nominate or appoint directors in accordance with the terms of issue of such class or series, but only to the extent provided in such terms of issue.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shall be appointed as follows:</w:t>
      </w:r>
    </w:p>
    <w:p>
      <w:pPr>
        <w:spacing w:after="0" w:line="77"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our shareholders by ordinary resolution at the annual general meeting in each year or at any extraordinary general meeting called for the purpose;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our board in accordance with our articles of association; and</w:t>
      </w:r>
    </w:p>
    <w:p>
      <w:pPr>
        <w:spacing w:after="0" w:line="103" w:lineRule="exact"/>
        <w:rPr>
          <w:rFonts w:ascii="Arial" w:cs="Arial" w:eastAsia="Arial" w:hAnsi="Arial"/>
          <w:sz w:val="18"/>
          <w:szCs w:val="18"/>
          <w:color w:val="auto"/>
        </w:rPr>
      </w:pPr>
    </w:p>
    <w:p>
      <w:pPr>
        <w:ind w:left="660" w:right="500" w:hanging="206"/>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 long as there is in office a sufficient number of directors to constitute a quorum of the board in accordance with our articles of association, our directors shall have the power at any time and from time to time to appoint any person to be director, either to fill a vacancy in the board or as an addition to the existing directors provided that the total number of directors shall not at any time exceed the maximum number provided for in the articles of association.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8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Under the Irish Companies Act and notwithstanding anything contained in our memorandum and articles of association or in any agreement between Weatherford and a director, shareholders may, by an ordinary resolution, remove a director from office before the expiration of his or her term, at a shareholders’ meeting at which the director is entitled to be heard. Our articles of association provide that we may, by ordinary resolution, remove any director before the expiration of his period of office notwithstanding anything in any agreement between Weatherford and the removed director. The power of removal is without prejudice to any claim for damages for breach of contract (e.g., employment contract) that the director may have against Weatherford in respect of his removal.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Dissolution; Rights upon Liquidation</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duration of existence is unlimited. We may be dissolved and wound-up at any time by way of a shareholders’ voluntary winding-up or a creditors’ winding-up.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rights of our shareholders to a return of our assets on dissolution or winding-up, following the settlement of all claims of creditors, may be prescribed in our articles of association. If our articles of association contain no specific provisions in respect of a dissolution or winding-up, then, subject to the priorities of any creditors, the assets will be distributed to our shareholders in proportion to the paid-up nominal value of the shares held. Our articles of association provide that our ordinary shareholders are entitled to participate pro rata in a winding-up.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ordinary shares are listed on the NYSE under the symbol “WFT.”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for Further Calls or Assessments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shares issued in this offering will be duly and validly issued as fully paid-up.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Registration of Shares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register of members (our “Official Share Register”), which we are required to maintain under the Irish Companies Act, is maintained by our transfer agent. Registration in the Official Share Register will be determinative of membership. A person who holds shares beneficially will not have his, or her, name entered in the Official Share Register, and for the purposes of Irish law, will not be the registered holder of such shares. Instead, any depository or other nominee whose name is entered in the Official Share Register will be the registered holder of such shares. Accordingly, a transfer of shares from a person who holds shares beneficially to a person who also holds shares beneficially through a depository or other nominee will not be registered in Official Share Register, as the depository or other nominee will remain the registered holder of such shares.</w:t>
      </w:r>
    </w:p>
    <w:p>
      <w:pPr>
        <w:spacing w:after="0" w:line="10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 written instrument of transfer is generally required under Irish law in order to effect a transfer of the registered interest in shares and update the Official Share Register. Accordingly, a written instrument of transfer will be required for transfers of shares: (i) from a registered holder of shares to any other person;</w:t>
      </w:r>
    </w:p>
    <w:p>
      <w:pPr>
        <w:ind w:right="140" w:firstLine="8"/>
        <w:spacing w:after="0" w:line="295"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a person who holds shares beneficially (where the registered interest is held by the depository or other nominee) to another person who wishes, on transfer, to be registered as the registered holder of such shares; (iii) from a person who holds shares beneficially to another person who also wishes, on transfer, to hold such shares beneficially but where the transfer involves a change in the depository or other nominee that is the registered holder of the shares to be transferred; or (iv) by a registered holder into his or her own broker account (or vice versa).</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Such instruments of transfer may give rise to Irish stamp duty, which must be paid prior to registration of the transfer in our Official Share Register. However, 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1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articles of association delegate to our secretary, any assistant secretary or a relevant authorized delegate the authority to execute an instrument of transfer on behalf of a transferor.</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help ensure that our Official Share Register is regularly updated to reflect trading of our shares occurring through electronic systems, we intend to regularly produce such instruments of transfer as may be required to effect any transfers of registered interests in shares. These may involve transactions for which we pay stamp duty, subject to the reimbursement and set-off rights described above. In the event that we notify one or both of the parties to a share transfer that we believe stamp duty is required to be paid in connection with such transfer and that we will not pay such stamp duty, such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transferee named therein will be registered as the registered holder of the relevant shares on our Official Share Register (subject to the matters described below).</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registration of transfers may be suspended by our directors at such times and for such period, not exceeding in the whole 30 days in each year, as our directors may from time to time determine.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discussion describes the material U.S. federal income tax consequences to U.S. Holders (defined below) under present law of an investment in our ordinary shares. The discussion below applies only to U.S. Holders that acquire our ordinary shares in this offering, hold our ordinary shares as capital assets within the meaning of Section 1221 of the U.S. Internal Revenue Code of 1986, as amended (the “Code”) and that have the U.S. dollar as their functional currency. The discussion below is based on the Code, existing and, in some cases, proposed U.S. Treasury regulations, as well as judicial and administrative interpretations thereof, all as of date of this prospectus supplement. All of the foregoing authorities are subject to change or differing interpretation, which change or differing interpretation could apply retroactively and could affect the tax consequences described below. There can be no assurance that the U.S. Internal Revenue Service will not assert a different position concerning any of the tax consequences discussed below or that any such position would not be sustained by a court. This summary does not address any estate or gift tax consequences or any state, local, or non-U.S. tax consequences, nor does it address the Medicare contribution tax on net investment income.</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discussion does not describe all of the tax consequences that may be relevant to any particular investor or to persons in special tax situations such as:</w:t>
      </w:r>
    </w:p>
    <w:p>
      <w:pPr>
        <w:spacing w:after="0" w:line="37"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 dealers;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holding our ordinary shares as part of a straddle, hedging, constructive sale, conversion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that actually or constructively own (or are deemed to own) 10% or more of our voting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who acquired our ordinary shares pursuant to the exercise of any employee share option or otherwise as compensation;</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shareholders who purchase or sell their shares as part of a wash sale for tax purposes;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holding our ordinary shares through partnerships or other pass-through entities.</w:t>
      </w:r>
    </w:p>
    <w:p>
      <w:pPr>
        <w:spacing w:after="0" w:line="1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PROSPECTIVE PURCHASERS ARE URGED TO CONSULT THEIR TAX ADVISORS ABOUT THE APPLICATION OF THE U.S. FEDERAL TAX RULES TO THEIR PARTICULAR CIRCUMSTANCES AS WELL AS THE STATE, LOCAL AND NON-U.S. TAX CONSEQUENCES TO THEM OF THE PURCHASE, OWNERSHIP AND DISPOSITION OF OUR ORDINARY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discussion below of the U.S. federal income tax consequences to “U.S. Holders” applies to a holder that is a beneficial owner of our ordinary shares and is, for U.S. federal income tax purposes,</w:t>
      </w:r>
    </w:p>
    <w:p>
      <w:pPr>
        <w:spacing w:after="0" w:line="3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organized under the laws of the United States, any State thereof or the District of Columbia;</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or (2) has a valid election in effect under applicable U.S. Treasury regulations to be treated as a U.S. person.</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tax treatment of an entity treated as a partnership for U.S. federal income tax purposes that holds our ordinary shares generally will depend on such partner’s status and the activities of the partnership. A U.S. Holder that is a partner in such a partnership should consult its tax advisor.</w:t>
      </w:r>
    </w:p>
    <w:p>
      <w:pPr>
        <w:spacing w:after="0" w:line="7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This discussion assumes that we are not, and will not become, a passive foreign investment company, as described below under “—Passive Foreign Investment Company Rules.”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 on Our Ordinary Shares</w:t>
      </w:r>
    </w:p>
    <w:p>
      <w:pPr>
        <w:spacing w:after="0" w:line="8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gross amount of distributions made by us with respect to our ordinary shares (including the amount of any non-U.S. taxes withheld therefrom, if any) generally will be includable in a U.S. Holder’s gross income in the year received as dividend income, but only to the extent that such distributions are paid out of our current or accumulated earnings and profits as determined under U.S. federal income tax principles. The dividends will not be eligible for the dividends-received deduction allowed to corporations in respect of dividends received from other U.S. corporations. With respect to certain non-corporate U.S. Holders (including individuals), dividends may be taxed at the lower capital gains rate applicable to “qualified dividend income,” provided that (1) either our ordinary shares are readily tradable on an established securities market in the United States or we qualify for benefits under the income tax treaty between the U.S. and Switzerland, which we expect to be the case, (2) certain holding period requirements are met and (3) the U.S. Holder is not under an obligation to make related payments with respect to positions in substantially similar or related property. Under U.S. Internal Revenue Service authority, common or ordinary shares generally are considered, for purposes of clause (1) above to be readily tradable on an established securities market in the United States if they are listed on the NYSE, as are our ordinary shares.</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dividends will generally be foreign source and considered “passive category” income. Non-U.S. taxes withheld therefrom, if any, may be used as a credit against or a deduction (in lieu of credit) in computing the U.S. Holder’s U.S. federal income tax liability, subject to applicable limitations. Non-U.S. taxes eligible for credit are calculated separately with respect to specific classes of foreign source income. An election to deduct non-U.S. taxes instead of claiming foreign tax credits applies to all non-U.S. taxes paid or accrued in the taxable year. If we are a “United States-owned foreign corporation,” however, a portion of the dividends allocable to our U.S. source earnings and profits may be re-characterized as U.S. source. A “United States-owned foreign corporation” is any foreign corporation in which U.S. persons own, directly or indirectly, 50% or more (by vote or by value) of the stock. In general, United States-owned foreign corporations with less than 10% of earnings and profits attributable to sources within the United States are excepted from these rules. The rules governing the treatment of foreign taxes and foreign tax credits are complex, and U.S. Holders should consult their tax advisors about the impact of these rules in their particular situations.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of Our Ordinary Shares</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Upon a sale or other taxable disposition of our ordinary shares, a U.S. Holder will recognize a capital gain or loss for U.S. federal income tax purposes in an amount equal to the difference between the amount realized (generally, the sum of cash and the fair market value of other property received) and the U.S. Holder’s tax basis in such ordinary shares. Any such gain or loss generally will be U.S. source gain or loss and will be treated as long-term capital gain or loss if the U.S. Holder’s holding period in our ordinary shares exceeds one year at the time of the disposition. Non-corporate U.S. Holders (including individuals) generally will be subject to U.S. federal income tax on long-term capital gain at preferential rates. The deductibility of capital losses is subject to significant limitations.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would be classified as a passive foreign investment company (a “PFIC”), for any taxable year if either: (a) at least 75% of our gross income is “passive income” for purposes of the PFIC rules or (b) at least 50% of the value of our assets (determined on the basis of a quarterly average)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 Under the PFIC rules, if we were considered a PFIC at any time that a U.S. Holder holds our ordinary shares, we would continue to be treated as a PFIC with respect to such holder’s investment unless (i) we cease to be a PFIC and (ii) the U.S. Holder has made a “deemed sale” election under the PFIC rules.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Based on our current and projected methods of operation, we do not expect to be treated as a PFIC for U.S. federal income tax purposes for the current taxable year or in the foreseeable future. This is a factual determination, however, that must be made annually after the close of each taxable year. Therefore, there can be no assurance that we will not be classified as a PFIC for the current taxable year or for any future taxable year.</w:t>
      </w:r>
    </w:p>
    <w:p>
      <w:pPr>
        <w:spacing w:after="0" w:line="9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If we are treated as a PFIC with respect to a U.S. Holder for any taxable year, the U.S. Holder generally would suffer adverse tax consequences, that may include having gains realized on the disposition of the ordinary shares treated as ordinary income rather than capital gain and being subject to punitive interest charges on the receipt of certain distributions and on the proceeds of the sale or other disposition of the ordinary shares. In addition, the U.S. Holder would be deemed to own shares in any of our subsidiaries that are also PFICs and generally would be subject to the treatment described above with respect to any distribution on or disposition of such shares. An election for mark-to-market treatment, however, likely would not be available with respect to any such subsidiaries. If we are considered a PFIC, a U.S. Holder will also be subject to information reporting requirements on an annual basis. U.S. Holders should consult their tax advisors about the potential application of the PFIC rules to an investment in our ordinary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and Backup Withholding</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Distributions with respect to our ordinary shares and proceeds from the sale or other taxable disposition of our ordinary shares may be subject to information reporting to the U.S. Internal Revenue Service and possible U.S. backup withholding. Backup withholding will not apply, however, to a U.S. Holder who furnishes a correct U.S. federal taxpayer identification number and makes any other required certification or who is otherwise exempt from backup withholding. U.S. Holders who are required to establish their exempt status may be required to provide such certification on U.S. Internal Revenue Service Form W-9. U.S. Holders should consult their tax advisors regarding the application of the U.S. information reporting and backup withholding rules.</w:t>
      </w:r>
    </w:p>
    <w:p>
      <w:pPr>
        <w:spacing w:after="0" w:line="10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a U.S. Holder’s U.S. federal income tax liability, and such U.S. Holder may obtain a refund from the U.S. Internal Revenue Service of any excess amounts withheld under the backup withholding rules by timely filing an appropriate claim for refund with the U.S. Internal Revenue Service and furnishing any required information.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U.S. Holders who are individuals and certain entities may be required to report information relating to our ordinary shares, subject to certain exceptions (including an exception for shares held in accounts maintained by certain U.S. financial institutions). Substantial penalties may apply if the U.S. Holder fails to comply with these reporting requirements. U.S. Holders should consult their tax advisors regarding their reporting obligations with respect to their ownership and disposition of our ordinary shares.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IRISH TAX CONSIDERATIONS</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is a summary of certain Irish tax consequences of the purchase, ownership and disposition of Weatherford International plc shares. The summary does not purport to be a comprehensive description of all of the tax considerations that may be relevant to a decision to purchase, own or dispose of the shares. The summary relates only to the position of persons who are the absolute beneficial owners of the shares and may not apply to certain other classes of persons such as dealers in securities or shares.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summary is based upon current Irish tax laws and practice of the Irish Revenue Commissioners, which are subject to prospective or retroactive change. The summary does not constitute tax or legal advice and the comments below are of a general nature only. Each potential investor in the shares should consult their own advisors as to the Irish or other tax consequences of the purchase, beneficial ownership and disposition of the shares including, in particular, the effect of any state or local tax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Holders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77"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payment of dividends by Weatherford International plc will not be subject to any dividend withholding tax in Ireland provided Weatherford International plc is not a tax resident in Ireland. Weatherford International plc is not currently a tax resident in Ireland.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or Other Taxable Disposition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Tax on Chargeable Gains</w:t>
      </w:r>
      <w:r>
        <w:rPr>
          <w:rFonts w:ascii="Arial" w:cs="Arial" w:eastAsia="Arial" w:hAnsi="Arial"/>
          <w:sz w:val="16"/>
          <w:szCs w:val="16"/>
          <w:color w:val="auto"/>
        </w:rPr>
        <w:t>. Weatherford International plc shareholders that are not resident or ordinarily resident in Ireland for Irish tax purposes and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hold the shares in connection with a trade carried on by such shareholders through an Irish branch or agency will not be liable for Irish tax on chargeable gains realized on a subsequent disposal of the shares. A shareholder of Weatherford International plc who is an individual and who is temporarily not a resident in Ireland may, under Irish anti-avoidance legislation, still be liable to Irish tax on any chargeable gain realized upon subsequent disposal of the shares.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Stamp Duty</w:t>
      </w:r>
      <w:r>
        <w:rPr>
          <w:rFonts w:ascii="Arial" w:cs="Arial" w:eastAsia="Arial" w:hAnsi="Arial"/>
          <w:sz w:val="18"/>
          <w:szCs w:val="18"/>
          <w:color w:val="auto"/>
        </w:rPr>
        <w:t>. There is no Irish stamp duty on the issuance of new shares of an Irish incorporated company. The rate of stamp duty (where applicable)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transfers of shares of Irish incorporated companies is 1% of the price paid or the market value of the shares acquired, whichever is greater. Where Irish stamp duty arises it is generally a liability of the transferee. The Irish stamp duty treatment will vary depending on whether the shares are held through The Depository Trust Company (“DTC”) or not.</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u w:val="single" w:color="auto"/>
          <w:color w:val="auto"/>
        </w:rPr>
        <w:t>Shares Held Through DTC</w:t>
      </w:r>
      <w:r>
        <w:rPr>
          <w:rFonts w:ascii="Arial" w:cs="Arial" w:eastAsia="Arial" w:hAnsi="Arial"/>
          <w:sz w:val="18"/>
          <w:szCs w:val="18"/>
          <w:color w:val="auto"/>
        </w:rPr>
        <w:t>. A transfer of Weatherford International plc shares effected by means of the transfer of book-entry interests in DTC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subject to Irish stamp duty. On the basis that most shares in Weatherford International plc are expected to be held through DTC, it is anticipated that most transfers of shares will be exempt from Irish stamp duty.</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u w:val="single" w:color="auto"/>
          <w:color w:val="auto"/>
        </w:rPr>
        <w:t>Shares Held Outside of DTC or Transferred Into or Out of DTC</w:t>
      </w:r>
      <w:r>
        <w:rPr>
          <w:rFonts w:ascii="Arial" w:cs="Arial" w:eastAsia="Arial" w:hAnsi="Arial"/>
          <w:sz w:val="18"/>
          <w:szCs w:val="18"/>
          <w:color w:val="auto"/>
        </w:rPr>
        <w:t>. A transfer of Weatherford International plc shares where any party to the transfer holds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shares outside of DTC may be subject to Irish stamp duty. Shareholders wishing to transfer their shares into (or out of) DTC may do so without giving rise to Irish stamp duty provided:</w:t>
      </w:r>
    </w:p>
    <w:p>
      <w:pPr>
        <w:spacing w:after="0" w:line="46"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transfer into (or out of) DTC is not effected in contemplation of a subsequent sale of such shares by a beneficial owner to a third party.</w:t>
      </w:r>
    </w:p>
    <w:p>
      <w:pPr>
        <w:spacing w:after="0" w:line="20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registered holder may transfer shares into his or her own broker account (or vice versa) without giving rise to Irish stamp duty, provided that there is no change in the beneficial ownership of the shares as a result of the transfer and the transfer is not made in contemplation of a subsequent sale of the shares to a third 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Any transfer of Weatherford International plc’s ordinary shares that is subject to Irish stamp duty will not be registered in the name of the transferee unless an instrument of transfer is duly stamped and provided to the transfer agent. Weatherford International plc, in its absolute discretion and insofar as the Irish Companies Act 2014 or any other applicable law permit, may, or may provide that a subsidiary of Weatherford International plc will, pay Irish stamp duty arising on a transfer of ordinary shares on behalf of the transferee of such ordinary shares. If stamp duty resulting from the transfer of ordinary shares which would otherwise be payable by the transferee is paid by Weatherford International plc or any of its subsidiaries on behalf of the transferee, then in those circumstances, Weatherford International plc will, on its behalf or on behalf of its subsidiary (as the case may be), be entitled to (i) seek reimbursement of the stamp duty from the transferee or the transferor (at its discretion), (ii) set-off the stamp duty against any dividends payable to the transferee of those ordinary shares and (iii) claim a first and permanent lien on the ordinary shares on which stamp duty has been paid by Weatherford International plc or its subsidiary for the amount of stamp duty paid. Weatherford International plc’s lien shall extend to all dividends paid on those ordinary shares. Parties to a share transfer may assume that any Irish stamp duty arising in respect of a transaction in Weatherford International plc’s shares has been paid unless one or both of such parties is otherwise notified by Weatherford International plc.</w:t>
      </w:r>
    </w:p>
    <w:p>
      <w:pPr>
        <w:spacing w:after="0" w:line="11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Capital Acquisitions Tax</w:t>
      </w:r>
      <w:r>
        <w:rPr>
          <w:rFonts w:ascii="Arial" w:cs="Arial" w:eastAsia="Arial" w:hAnsi="Arial"/>
          <w:sz w:val="18"/>
          <w:szCs w:val="18"/>
          <w:color w:val="auto"/>
        </w:rPr>
        <w:t>. Irish capital acquisitions tax (“CAT”) comprises principally gift tax and inheritance tax. CAT could apply to a gift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inheritance of Weatherford International plc shares irrespective of the place of residence, ordinary residence or domicile of the parties. This is because Weatherford International plc shares are regarded as property situated in Ireland as the share register of Weatherford International plc must be held in Ireland. The person who receives the gift or inheritance has primary liability for CAT.</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are exempt from CAT. Children have a tax-free threshold of €225,000 in respect of taxable gifts or inheritances received from their parents. Weatherford International plc shareholders should consult their own tax advisors as to whether CAT is creditable or deductible in computing any domestic tax liabilities.</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SWISS TAX CONSIDERATIONS</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is a summary of certain Swiss tax consequences of the purchase, ownership and disposition of Weatherford International plc shares for non-Swiss holders. The summary does not purport to be a comprehensive description of all of the Swiss tax considerations that may be relevant to a decision to purchase, own or dispose of the shares.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summary is based upon current Swiss tax laws, applicable court decisions and the practice of the relevant Swiss tax administrations, which are subject to prospective or retroactive change. The summary does not constitute tax or legal advice and the comments below are of a general nature only. Each potential investor in the shares should consult their own advisors as to the Swiss or other tax consequences of the purchase, beneficial ownership and disposition of the shares including, in particular, the effect of any federal or cantonal/communal tax laws.</w:t>
      </w:r>
    </w:p>
    <w:p>
      <w:pPr>
        <w:spacing w:after="0" w:line="9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Swiss tax consequences to potential Swiss holders of Weatherford International plc shares are not covered in this summary. It is recommended that any Swiss holders consult their own advisors as to the Swiss or other tax consequences of the purchase, beneficial ownership and disposition of the shares.</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Swiss tax consequences discussed below are not a complete analysis or listing of all the possible Swiss tax consequences that may be relevant to you. You should consult your own tax advisor in respect of the Swiss tax consequences related to the receipt, ownership, purchase, sale or other disposition of Weatherford International plc shares and the procedures for claiming a refund of Swiss withholding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Income Tax on Dividends and Similar Distributions</w:t>
      </w:r>
    </w:p>
    <w:p>
      <w:pPr>
        <w:spacing w:after="0" w:line="8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 non-Swiss holder will not be subject to Swiss income taxes on dividend income and similar distributions in respect of Weatherford International plc shares, unless the shares are attributable to a permanent establishment, a fixed place of business maintained in Switzerland or another taxable presence in Switzerland of such non-Swiss holder. However, dividends and similar distributions are subject to Swiss withholding tax. See “—Swiss Withholding Tax-Distributions to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Wealth Tax</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 non-Swiss holder will not be subject to Swiss wealth taxes unless the holder’s Weatherford International plc shares are attributable to a permanent establishment, a fixed place of business maintained in Switzerland or another taxable presence in Switzerland of such non-Swiss holder.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Income Tax on Capital Gains upon Disposal, Exchange or other Disposition of Weatherford International plc Shares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 non-Swiss holder will not be subject to Swiss income tax on capital gains upon disposal, exchange or other disposition of the shares unless the holder’s shares are attributable to a permanent establishment, a fixed place of business maintained in Switzerland or another taxable presence in Switzerland of such non-Swiss holder.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Withholding Tax on Distributions to Shareholders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Swiss withholding tax of 35% is due on dividends and similar distributions to the shareholders of Weatherford International plc regardless of the place of residency of such shareholders (subject to the exceptions discussed under “—Exemption from Swiss Withholding Tax on Distributions to Shareholders” below). Weatherford International plc, as a Swiss tax resident company, will be required to withhold at such rate and remit on a net basis any payments made to a holder of Weatherford International plc shares and pay such withheld amounts to the Swiss federal tax authorities. Please see “—Refund of Swiss Withholding Tax on Dividends and Other Distributions.”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Swiss Withholding Tax on Distributions to Shareholders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present Swiss tax law, distributions to shareholders in relation to a reduction of par value are exempt from Swiss withholding tax. Also exempt from Swiss withholding tax are distributions to shareholders that are made out of qualifying capital contribution reserves (Kapitaleinlagereserven) according to the relevant Swiss tax laws (often called “qualifying additional paid-in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Shares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Based on the present Swiss tax laws, repurchases of shares for the purposes of capital reduction are treated as a partial liquidation subject to the 35% Swiss withholding tax. However, for shares repurchased for capital reduction, the portion of the repurchase price attributable to (i) the par value of the shares repurchased, and (ii) qualifying capital contribution reserves according to the applicable Swiss tax laws will not be subject to the Swiss withholding tax.</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Weatherford International plc is required to remit on a net basis the purchase price with the Swiss withholding tax deducted to a holder of Weatherford International plc shares and pay the withholding tax to the Swiss federal tax authorities.</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With respect to the refund of Swiss withholding tax from the repurchase of shares, see “—Refund of Swiss Withholding Tax on Dividends and Other Distributions” below.</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repurchase of shares for purposes other than capital reduction, such as to retain such shares as treasury shares, will generally not be subject to Swiss withholding tax provided that a certain maximum percentage threshold for treasury shares (typically 10%) is observed and that the treasury shares are re-sold or used within certain time limits as foreseen by the applicable Swiss tax 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Refund of Swiss Withholding Tax on Dividends and Other Distributions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Non-Swiss Holders</w:t>
      </w:r>
      <w:r>
        <w:rPr>
          <w:rFonts w:ascii="Arial" w:cs="Arial" w:eastAsia="Arial" w:hAnsi="Arial"/>
          <w:sz w:val="16"/>
          <w:szCs w:val="16"/>
          <w:color w:val="auto"/>
        </w:rPr>
        <w:t>. If the shareholder that receives a distribution from Weatherford International plc is not a Swiss tax resident, does not hold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Weatherford International plc shares in connection with a permanent establishment or a fixed place of business maintained in Switzerland, and resides in a country that has concluded a treaty for the avoidance of double taxation with Switzerland for which the conditions for the application and protection of and by the treaty are met, then the shareholder may be entitled to a full or partial refund of the withholding tax described above. The procedures for claiming treaty refunds (and the time frame required for obtaining a refund) may differ from country to country.</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Switzerland has entered into bilateral treaties for the avoidance of double taxation with respect to income taxes with numerous countries, including the United States, whereby under certain circumstances all or part of the withholding tax may be refunded.</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U.S. Holders</w:t>
      </w:r>
      <w:r>
        <w:rPr>
          <w:rFonts w:ascii="Arial" w:cs="Arial" w:eastAsia="Arial" w:hAnsi="Arial"/>
          <w:sz w:val="18"/>
          <w:szCs w:val="18"/>
          <w:color w:val="auto"/>
        </w:rPr>
        <w:t>. The Swiss-U.S. tax treaty provides that U.S. residents eligible for benefits under the treaty can seek a refund of the Swiss withholding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dividends for the portion exceeding 15% (leading to a refund of 20%) or a 100% refund in the case of qualified pension funds. For sake of completeness, it shall be mentioned that a 5% treaty rate would apply for a U.S. corporate shareholder holding a qualifying investment of at least 10% in Weatherford International plc.</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general rule, the refund will be granted under the treaty if the U.S. resident can show evidence of:</w:t>
      </w:r>
    </w:p>
    <w:p>
      <w:pPr>
        <w:spacing w:after="0" w:line="77"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ownership;</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residency;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meeting the U.S.-Swiss tax treaty’s limitation on benefits requirements.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claim for refund must be filed with the Swiss federal tax authorities (Eigerstrasse 65, 3003 Berne, Switzerland), not later than December 31 of the third year following the year in which the dividend payments became due. The relevant Swiss tax form is Form 82C for companies, 82E for other entities and 82I for individuals. These forms can be obtained from any Swiss Consulate General in the United States or from the Swiss federal tax authorities at the address mentioned above. Each form needs to be filled out in triplicate, with each copy duly completed and signed before a notary public in the United States. You must also include evidence that the withholding tax was withheld at the source.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Stamp Duties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Stamp Duties in Relation to the Transfer of Weatherford International plc Shares</w:t>
      </w:r>
      <w:r>
        <w:rPr>
          <w:rFonts w:ascii="Arial" w:cs="Arial" w:eastAsia="Arial" w:hAnsi="Arial"/>
          <w:sz w:val="16"/>
          <w:szCs w:val="16"/>
          <w:color w:val="auto"/>
        </w:rPr>
        <w:t>. The purchase or sale of Weatherford International plc shares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Swiss federal stamp taxes irrespective of the place of residency of the purchaser or seller if the transaction takes place through or with a Swiss bank or other Swiss securities dealer, as those terms are defined in the Swiss Federal Stamp Tax Act and no exemption applies in the specific case. If a purchase or sale is not entered into through or with a Swiss bank or other Swiss securities dealer, then no stamp tax will be due. The applicable stamp tax rate would be 0.15% for each of the two parties to a transaction provided that no (partial) exemption applies and is calculated based on the purchase price or sale proceeds. If the transaction does not involve cash consideration, the transfer stamp duty is computed on the basis of the market value of the consideration.</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sake of completeness, it shall be mentioned that the proceeds paid to Weatherford International plc for the issuance of new shares, to the extent no exemption applies, is subject to issuance stamp duty levied at 1%. Weatherford International plc will be liable to issuance stamp duty.</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EACH SHAREHOLDER SHOULD CONSULT HIS OR HER TAX ADVISOR AS TO THE PARTICULAR CONSEQUENCES THAT MAY APPLY TO SUCH SHAREHOLDER.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6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Citigroup Global Markets Inc. and Wells Fargo Securities, LLC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number of ordinary shares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0640" w:type="dxa"/>
            <w:vAlign w:val="bottom"/>
          </w:tcPr>
          <w:p>
            <w:pPr>
              <w:jc w:val="center"/>
              <w:ind w:left="9852"/>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0640" w:type="dxa"/>
            <w:vAlign w:val="bottom"/>
          </w:tcPr>
          <w:p>
            <w:pPr>
              <w:jc w:val="center"/>
              <w:ind w:left="9872"/>
              <w:spacing w:after="0" w:line="149" w:lineRule="exact"/>
              <w:rPr>
                <w:sz w:val="20"/>
                <w:szCs w:val="20"/>
                <w:color w:val="auto"/>
              </w:rPr>
            </w:pPr>
            <w:r>
              <w:rPr>
                <w:rFonts w:ascii="Arial" w:cs="Arial" w:eastAsia="Arial" w:hAnsi="Arial"/>
                <w:sz w:val="14"/>
                <w:szCs w:val="14"/>
                <w:b w:val="1"/>
                <w:bCs w:val="1"/>
                <w:color w:val="auto"/>
                <w:w w:val="92"/>
              </w:rPr>
              <w:t>of Ordinary</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vMerge w:val="continue"/>
          </w:tcPr>
          <w:p>
            <w:pPr>
              <w:spacing w:after="0"/>
              <w:rPr>
                <w:sz w:val="12"/>
                <w:szCs w:val="12"/>
                <w:color w:val="auto"/>
              </w:rPr>
            </w:pPr>
          </w:p>
        </w:tc>
        <w:tc>
          <w:tcPr>
            <w:tcW w:w="10640" w:type="dxa"/>
            <w:vAlign w:val="bottom"/>
          </w:tcPr>
          <w:p>
            <w:pPr>
              <w:jc w:val="center"/>
              <w:ind w:left="9872"/>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Citigroup Global Markets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6985</wp:posOffset>
            </wp:positionV>
            <wp:extent cx="4457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underwriting agreement provides that the obligations of the underwriters to purchase the ordinary shares included in this offering are subject to approval of legal matters by counsel and to other conditions. The underwriters are obligated to purchase all the ordinary shares (other than those covered by the underwriters’ option to purchase additional ordinary shares described below) if they purchase any of the ordinary shares.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Ordinary shares sold by the underwriters to the public will initially be offered at the public offering price set forth on the cover of this prospectus</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supplement. Any ordinary shares sold by the underwriters to securities dealers may be sold at a discount from the public offering price not to exceed $ per share. If all the ordinary shares are not sold at the initial offering price, the underwriters may change the offering price and the other selling terms.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sell more ordinary shares than the total number set forth in the table above, we have granted to the underwriters an option, exercisable</w:t>
      </w:r>
    </w:p>
    <w:p>
      <w:pPr>
        <w:spacing w:after="0" w:line="3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30 days from the date of this prospectus supplement, to purchase up to additional ordinary shares at the public offering price less the underwriting discount. To the extent the option is exercised, each underwriter must purchase a number of additional ordinary shares approximately proportionate to that underwriter’s initial purchase commitment. Any ordinary shares issued or sold under the option will be issued and sold on the same terms and conditions as the other ordinary shares that are the subject of this offering.</w:t>
      </w:r>
    </w:p>
    <w:p>
      <w:pPr>
        <w:spacing w:after="0" w:line="13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our executive officers and directors have agreed that, subject to certain limited exceptions, for a period of 60 days from the date of this prospectus supplement, we and they will not, without the prior written consent of Citigroup Global Markets Inc., dispose of or hedge any ordinary shares or any securities convertible into or exchangeable for our ordinary shares. Citigroup Global Markets Inc. in its sole discretion may release any of the securities subject to these lock-up agreements at any time without notice.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are listed on the New York Stock Exchange under the symbol “WFT.”</w:t>
      </w:r>
    </w:p>
    <w:p>
      <w:pPr>
        <w:spacing w:after="0" w:line="15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ordinary shares.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20" w:type="dxa"/>
            <w:vAlign w:val="bottom"/>
            <w:gridSpan w:val="4"/>
          </w:tcPr>
          <w:p>
            <w:pPr>
              <w:ind w:left="500"/>
              <w:spacing w:after="0"/>
              <w:rPr>
                <w:sz w:val="20"/>
                <w:szCs w:val="20"/>
                <w:color w:val="auto"/>
              </w:rPr>
            </w:pPr>
            <w:r>
              <w:rPr>
                <w:rFonts w:ascii="Arial" w:cs="Arial" w:eastAsia="Arial" w:hAnsi="Arial"/>
                <w:sz w:val="14"/>
                <w:szCs w:val="14"/>
                <w:b w:val="1"/>
                <w:bCs w:val="1"/>
                <w:color w:val="auto"/>
              </w:rPr>
              <w:t>Paid by Weatherford</w:t>
            </w:r>
          </w:p>
        </w:tc>
      </w:tr>
      <w:tr>
        <w:trPr>
          <w:trHeight w:val="142"/>
        </w:trPr>
        <w:tc>
          <w:tcPr>
            <w:tcW w:w="9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No Exercise</w:t>
            </w:r>
          </w:p>
        </w:tc>
        <w:tc>
          <w:tcPr>
            <w:tcW w:w="1520" w:type="dxa"/>
            <w:vAlign w:val="bottom"/>
            <w:tcBorders>
              <w:top w:val="single" w:sz="8" w:color="auto"/>
            </w:tcBorders>
            <w:gridSpan w:val="2"/>
          </w:tcPr>
          <w:p>
            <w:pPr>
              <w:ind w:left="760"/>
              <w:spacing w:after="0" w:line="142" w:lineRule="exact"/>
              <w:rPr>
                <w:sz w:val="20"/>
                <w:szCs w:val="20"/>
                <w:color w:val="auto"/>
              </w:rPr>
            </w:pPr>
            <w:r>
              <w:rPr>
                <w:rFonts w:ascii="Arial" w:cs="Arial" w:eastAsia="Arial" w:hAnsi="Arial"/>
                <w:sz w:val="14"/>
                <w:szCs w:val="14"/>
                <w:b w:val="1"/>
                <w:bCs w:val="1"/>
                <w:color w:val="auto"/>
                <w:w w:val="85"/>
              </w:rPr>
              <w:t>Full Exercise</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ordinary share</w:t>
            </w:r>
          </w:p>
        </w:tc>
        <w:tc>
          <w:tcPr>
            <w:tcW w:w="1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356"/>
        </w:trPr>
        <w:tc>
          <w:tcPr>
            <w:tcW w:w="5600" w:type="dxa"/>
            <w:vAlign w:val="bottom"/>
            <w:gridSpan w:val="2"/>
          </w:tcPr>
          <w:p>
            <w:pPr>
              <w:spacing w:after="0"/>
              <w:rPr>
                <w:sz w:val="20"/>
                <w:szCs w:val="20"/>
                <w:color w:val="auto"/>
              </w:rPr>
            </w:pPr>
            <w:r>
              <w:rPr>
                <w:rFonts w:ascii="Arial" w:cs="Arial" w:eastAsia="Arial" w:hAnsi="Arial"/>
                <w:sz w:val="18"/>
                <w:szCs w:val="18"/>
                <w:color w:val="auto"/>
                <w:w w:val="95"/>
              </w:rPr>
              <w:t>We estimate that our portion of the total expenses of this offering will be $</w:t>
            </w:r>
          </w:p>
        </w:tc>
        <w:tc>
          <w:tcPr>
            <w:tcW w:w="1680" w:type="dxa"/>
            <w:vAlign w:val="bottom"/>
          </w:tcPr>
          <w:p>
            <w:pPr>
              <w:jc w:val="right"/>
              <w:ind w:right="139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920" w:type="dxa"/>
            <w:vAlign w:val="bottom"/>
          </w:tcPr>
          <w:p>
            <w:pPr>
              <w:spacing w:after="0"/>
              <w:rPr>
                <w:sz w:val="24"/>
                <w:szCs w:val="24"/>
                <w:color w:val="auto"/>
              </w:rPr>
            </w:pPr>
          </w:p>
        </w:tc>
        <w:tc>
          <w:tcPr>
            <w:tcW w:w="4680" w:type="dxa"/>
            <w:vAlign w:val="bottom"/>
          </w:tcPr>
          <w:p>
            <w:pPr>
              <w:ind w:left="4160"/>
              <w:spacing w:after="0"/>
              <w:rPr>
                <w:sz w:val="20"/>
                <w:szCs w:val="20"/>
                <w:color w:val="auto"/>
              </w:rPr>
            </w:pPr>
            <w:r>
              <w:rPr>
                <w:rFonts w:ascii="Arial" w:cs="Arial" w:eastAsia="Arial" w:hAnsi="Arial"/>
                <w:sz w:val="18"/>
                <w:szCs w:val="18"/>
                <w:color w:val="auto"/>
              </w:rPr>
              <w:t>S-35</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offering, the underwriters may purchase and sell ordinary shares in the open market. Purchases and sales in the open market may include short sales, purchases to cover short positions, which may include purchases pursuant to the underwriters’ option to purchase additional ordinary shares, and stabilizing purchases.</w:t>
      </w:r>
    </w:p>
    <w:p>
      <w:pPr>
        <w:spacing w:after="0" w:line="4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Short sales involve secondary market sales by the underwriters of a greater number of ordinary shares than they are required to purchase in the offering.</w:t>
      </w:r>
    </w:p>
    <w:p>
      <w:pPr>
        <w:sectPr>
          <w:pgSz w:w="11900" w:h="16838" w:orient="portrait"/>
          <w:cols w:equalWidth="0" w:num="1">
            <w:col w:w="11400"/>
          </w:cols>
          <w:pgMar w:left="240" w:top="459" w:right="259" w:bottom="1440" w:gutter="0" w:footer="0" w:header="0"/>
        </w:sectPr>
      </w:pPr>
    </w:p>
    <w:p>
      <w:pPr>
        <w:spacing w:after="0" w:line="8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373"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“Covered” short sales are sales of ordinary shares in an amount up to the number of ordinary shares represented by the underwriters’ option to purchase additional ordinary shares.</w:t>
      </w:r>
    </w:p>
    <w:p>
      <w:pPr>
        <w:spacing w:after="0" w:line="3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“Naked” short sales are sales of ordinary shares in an amount in excess of the number of ordinary shares represented by the underwriters’ option to purchase additional ordinary shares.</w:t>
      </w:r>
    </w:p>
    <w:p>
      <w:pPr>
        <w:spacing w:after="0" w:line="37" w:lineRule="exact"/>
        <w:rPr>
          <w:sz w:val="20"/>
          <w:szCs w:val="20"/>
          <w:color w:val="auto"/>
        </w:rPr>
      </w:pPr>
    </w:p>
    <w:p>
      <w:pPr>
        <w:sectPr>
          <w:pgSz w:w="11900" w:h="16838" w:orient="portrait"/>
          <w:cols w:equalWidth="0" w:num="2">
            <w:col w:w="1080" w:space="400"/>
            <w:col w:w="9920"/>
          </w:cols>
          <w:pgMar w:left="240" w:top="459" w:right="259" w:bottom="1440" w:gutter="0" w:footer="0" w:header="0"/>
          <w:type w:val="continuous"/>
        </w:sectPr>
      </w:pPr>
    </w:p>
    <w:p>
      <w:pPr>
        <w:ind w:left="660" w:right="22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Covering transactions involve purchases of ordinary shares either pursuant to the underwriters’ option to purchase additional ordinary shares or in the open market in order to cover short positions.</w:t>
      </w:r>
    </w:p>
    <w:p>
      <w:pPr>
        <w:sectPr>
          <w:pgSz w:w="11900" w:h="16838" w:orient="portrait"/>
          <w:cols w:equalWidth="0" w:num="1">
            <w:col w:w="11400"/>
          </w:cols>
          <w:pgMar w:left="240" w:top="459" w:right="259" w:bottom="1440" w:gutter="0" w:footer="0" w:header="0"/>
          <w:type w:val="continuous"/>
        </w:sectPr>
      </w:pPr>
    </w:p>
    <w:p>
      <w:pPr>
        <w:spacing w:after="0" w:line="17"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389"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close a naked short position, the underwriters must purchase ordinary shares in the open market. A naked short position is more likely to be created if the underwriters are concerned that there may be downward pressure on the price of the ordinary shares in the open market after pricing that could adversely affect investors who purchase in the offering.</w:t>
      </w:r>
    </w:p>
    <w:p>
      <w:pPr>
        <w:spacing w:after="0" w:line="4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close a covered short position, the underwriters must purchase ordinary shares in the open market or must exercise the option to purchase additional ordinary shares. In determining the source of ordinary shares to close the covered short position, the underwriters will consider, among other things, the price of ordinary shares available for purchase in the open market as compared to the price at which they may purchase ordinary shares through the underwriters’ option to purchase additional ordinary shares.</w:t>
      </w:r>
    </w:p>
    <w:p>
      <w:pPr>
        <w:spacing w:after="0" w:line="18" w:lineRule="exact"/>
        <w:rPr>
          <w:sz w:val="20"/>
          <w:szCs w:val="20"/>
          <w:color w:val="auto"/>
        </w:rPr>
      </w:pPr>
    </w:p>
    <w:p>
      <w:pPr>
        <w:sectPr>
          <w:pgSz w:w="11900" w:h="16838" w:orient="portrait"/>
          <w:cols w:equalWidth="0" w:num="2">
            <w:col w:w="1080" w:space="400"/>
            <w:col w:w="9920"/>
          </w:cols>
          <w:pgMar w:left="240" w:top="459" w:right="259" w:bottom="1440" w:gutter="0" w:footer="0" w:header="0"/>
          <w:type w:val="continuous"/>
        </w:sect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Stabilizing transactions involve bids to purchase ordinary shares so long as the stabilizing bids do not exceed a specified maximum.</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ordinary shares. They may also cause the price of the ordinary shares to be higher than the price that would otherwise exist in the open market in the absence of these transactions. The underwriters may conduct these transactions on the New York Stock Exchange, in the over-the-counter market or otherwise. If the underwriters commence any of these transactions, they may discontinue them at any time.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jc w:val="both"/>
        <w:ind w:right="160" w:firstLine="456"/>
        <w:spacing w:after="0" w:line="284" w:lineRule="auto"/>
        <w:rPr>
          <w:sz w:val="20"/>
          <w:szCs w:val="20"/>
          <w:color w:val="auto"/>
        </w:rPr>
      </w:pPr>
      <w:r>
        <w:rPr>
          <w:rFonts w:ascii="Arial" w:cs="Arial" w:eastAsia="Arial" w:hAnsi="Arial"/>
          <w:sz w:val="16"/>
          <w:szCs w:val="16"/>
          <w:color w:val="auto"/>
        </w:rPr>
        <w:t>Because affiliates of Citigroup Capital Markets Inc. and Wells Fargo Securities, LLC are lenders under our revolving credit facility and will receive more than 5% of the net proceeds of this offering due to our repayment of portions of our revolving credit facility by us, such underwriters may be deemed to have a “conflict of interest” under Rule 5121 of the FINRA Rules. Accordingly, this offering is being made in compliance with the requirements of FINRA Rule 5121.</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appointment of a “qualified independent underwriter” is not required in connection with this offering as a “bona fide public market,” as defined in Rule 5121, exists for our ordinary shares.</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Affiliates of some of the underwriters are lenders, and in some cases agents or managers for the lenders, under Weatherford’s revolving credit facility and its other credit facilities. In addition, affiliates of certain of the underwriters may hold notes under our commercial paper program. Certain of the underwriters or their affiliates that have a lending relationship with us routinely hedge their credit exposure to us consistent with their customary risk management policies. A typical such hedging strategy would include these underwriters or their affiliates hedging such exposure by entering into transactions which consist of either the purchase of credit default swaps or the creation of short positions in our securities.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ordinary shares described in this prospectus supplement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ordinary shares shall require us or any underwriter to publish a prospectus pursuant to Article 3 of the Prospectus Directive.</w:t>
      </w:r>
    </w:p>
    <w:p>
      <w:pPr>
        <w:spacing w:after="0" w:line="18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ordinary shares to be offered so as to enable an investor to decide to purchase or subscribe for the ordinary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sellers of the ordinary shares have not authorized and do not authorize the making of any offer of ordinary shares through any financial intermediary on their behalf, other than offers made by the underwriters with a view to the final placement of the ordinary shares as contemplated in this prospectus supplement. Accordingly, no purchaser of the ordinary shares, other than the underwriters, is authorized to make any further offer of the ordinary shares on behalf of the sellers or the underwriters.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ordinary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ordinary shares have not been offered or sold and will not be offered or sold, directly or indirectly, to the public in France. Neither this prospectus supplement nor any other offering material relating to the ordinary shares has been or will be:</w:t>
      </w:r>
    </w:p>
    <w:p>
      <w:pPr>
        <w:spacing w:after="0" w:line="18"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ordinary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160" w:hanging="206"/>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The ordinary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ordinary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ordinary shares which are or are intended to be disposed of only to persons outside Hong Kong or only to “professional investors” within the meaning of the Securities and Futures Ordinance (Cap. 571, Laws of Hong Kong) and any rules made thereunder.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ordinary shares offered in this prospectus supplement have not been and will not be registered under the Financial Instruments and Exchange Law of Japan. The ordinary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ordinary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ordinary shares, debentures and units of ordinary shares and debentures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46" w:lineRule="exact"/>
        <w:rPr>
          <w:sz w:val="20"/>
          <w:szCs w:val="20"/>
          <w:color w:val="auto"/>
        </w:rPr>
      </w:pPr>
    </w:p>
    <w:p>
      <w:pPr>
        <w:ind w:left="660" w:right="40" w:hanging="206"/>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ordinary shares, debentures and units of ordinary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validity of the ordinary shares being offered by this prospectus supplement and the accompanying prospectus with respect to the laws of Ireland will be passed upon for us by Matheson, and certain other legal matters will be passed upon for us by Latham &amp; Watkins LLP. Certain legal matters will be passed on for the underwriters by Vinson &amp; Elkins L.L.P., Houston, Texas. Certain legal matters of Irish law will be passed upon by A&amp;L Goodbody.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consolidated financial statements and schedule of Weatherford International plc as of December 31, 2014 and December 31, 2013, and for each of the years in the two-year period ended December 31, 2014, and management’s assessment of the effectiveness of internal control over financial reporting as of December 31, 2014 have been incorporated by reference herein in reliance upon the reports of KPMG LLP, independent registered public accounting firm, incorporated by reference herein, and upon the authority of said firm as experts in accounting and auditing.</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consolidated financial statements of Weatherford International Ltd. as of December 31, 2012, and for the year ended December 31, 2012, included in Weatherford International Ltd.’s Annual Report on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We are subject to the informational requirements of the Exchange Act and, in accordance therewith, file annual, quarterly and current reports, proxy statements and other information with the SEC. You may read and copy any reports, statements or other information we file at the SEC’s public reference room at 100 F Street, N.E., Washington, D.C. 20549. Please call the SEC at 1-800-SEC-0330 for further information on the public reference room. Our SEC filings also are available to the public from commercial document retrieval services and at the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ordinary shares are listed on the NYSE under the symbol “WFT.” Our reports and other information filed with the SEC can also be inspected at the offices of the NYSE, 20 Broad Street, New York, New York 10005.</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also make available free of charge on our Internet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all of the documents that we file with the SEC as soon as reasonably practicable after we electronically file those documents with the SEC. Information contained on our website is not incorporated by reference into this prospectus supplement, and you should not consider information contained on our website as part of this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except for any information superseded by information in this prospectus supplement. Except to the extent that therein information is deemed furnished and not filed pursuant to securities laws and regulations, this prospectus supplement incorporates by reference the documents set forth below that we previously filed with the SEC. You should not assume that the information in this prospectus supplement is current as of the date other than the date on the cover page of this prospectus supplement. These documents contain important information about us. Information that we file later with the SEC will automatically update and supersede this information.</w:t>
      </w:r>
    </w:p>
    <w:p>
      <w:pPr>
        <w:spacing w:after="0" w:line="24"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ordinary shares contained in our Current Report on Form 8-K12B, as filed with the SEC on June 17, 2014;</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 as filed with the SEC on February 18, 2015;</w:t>
      </w:r>
    </w:p>
    <w:p>
      <w:pPr>
        <w:spacing w:after="0" w:line="103"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2015 and June 30, 2015 as filed with the SEC on April 24, 2015 and July 24, 2015, respectively; and</w:t>
      </w:r>
    </w:p>
    <w:p>
      <w:pPr>
        <w:spacing w:after="0" w:line="37"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as filed with the SEC on January 6, 2015, January 28, 2015, February 5, 2015, April 23, 2015, May 4, 2015, June 16, 2015, July 1, 2015 and August 4, 2015 (in each case, excluding any information furnished pursuant to Item 2.02 or Item 7.01 of any such Current Report on Form 8-K).</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supplement and any exhibit specifically incorporated by reference in those documents, at no cost, by writing or telephoning us at the following address or phone number: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Weatherford International plc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40" w:right="5140" w:hanging="375"/>
        <w:spacing w:after="0" w:line="517" w:lineRule="auto"/>
        <w:tabs>
          <w:tab w:leader="none" w:pos="5581" w:val="left"/>
        </w:tabs>
        <w:numPr>
          <w:ilvl w:val="0"/>
          <w:numId w:val="31"/>
        </w:numPr>
        <w:rPr>
          <w:rFonts w:ascii="Arial" w:cs="Arial" w:eastAsia="Arial" w:hAnsi="Arial"/>
          <w:sz w:val="16"/>
          <w:szCs w:val="16"/>
          <w:color w:val="auto"/>
        </w:rPr>
      </w:pPr>
      <w:r>
        <w:rPr>
          <w:rFonts w:ascii="Arial" w:cs="Arial" w:eastAsia="Arial" w:hAnsi="Arial"/>
          <w:sz w:val="16"/>
          <w:szCs w:val="16"/>
          <w:color w:val="auto"/>
        </w:rPr>
        <w:t>836-4000 S-41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172085</wp:posOffset>
            </wp:positionV>
            <wp:extent cx="1397635" cy="617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Irish public limited company)</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Ordinary Shares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Guarantees of Debt Securities</w:t>
      </w:r>
    </w:p>
    <w:p>
      <w:pPr>
        <w:spacing w:after="0" w:line="218" w:lineRule="exact"/>
        <w:rPr>
          <w:sz w:val="20"/>
          <w:szCs w:val="20"/>
          <w:color w:val="auto"/>
        </w:rPr>
      </w:pPr>
    </w:p>
    <w:tbl>
      <w:tblPr>
        <w:tblLayout w:type="fixed"/>
        <w:tblInd w:w="1660" w:type="dxa"/>
        <w:tblCellMar>
          <w:top w:w="0" w:type="dxa"/>
          <w:left w:w="0" w:type="dxa"/>
          <w:bottom w:w="0" w:type="dxa"/>
          <w:right w:w="0" w:type="dxa"/>
        </w:tblCellMar>
      </w:tblPr>
      <w:tr>
        <w:trPr>
          <w:trHeight w:val="212"/>
        </w:trPr>
        <w:tc>
          <w:tcPr>
            <w:tcW w:w="4080" w:type="dxa"/>
            <w:vAlign w:val="bottom"/>
          </w:tcPr>
          <w:p>
            <w:pPr>
              <w:jc w:val="center"/>
              <w:ind w:right="1574"/>
              <w:spacing w:after="0"/>
              <w:rPr>
                <w:sz w:val="20"/>
                <w:szCs w:val="20"/>
                <w:color w:val="auto"/>
              </w:rPr>
            </w:pPr>
            <w:r>
              <w:rPr>
                <w:rFonts w:ascii="Arial" w:cs="Arial" w:eastAsia="Arial" w:hAnsi="Arial"/>
                <w:sz w:val="18"/>
                <w:szCs w:val="18"/>
                <w:b w:val="1"/>
                <w:bCs w:val="1"/>
                <w:color w:val="auto"/>
                <w:w w:val="94"/>
              </w:rPr>
              <w:t>Weatherford International Ltd.</w:t>
            </w:r>
          </w:p>
        </w:tc>
        <w:tc>
          <w:tcPr>
            <w:tcW w:w="4200" w:type="dxa"/>
            <w:vAlign w:val="bottom"/>
          </w:tcPr>
          <w:p>
            <w:pPr>
              <w:jc w:val="center"/>
              <w:ind w:left="1594"/>
              <w:spacing w:after="0"/>
              <w:rPr>
                <w:sz w:val="20"/>
                <w:szCs w:val="20"/>
                <w:color w:val="auto"/>
              </w:rPr>
            </w:pPr>
            <w:r>
              <w:rPr>
                <w:rFonts w:ascii="Arial" w:cs="Arial" w:eastAsia="Arial" w:hAnsi="Arial"/>
                <w:sz w:val="18"/>
                <w:szCs w:val="18"/>
                <w:b w:val="1"/>
                <w:bCs w:val="1"/>
                <w:color w:val="auto"/>
                <w:w w:val="95"/>
              </w:rPr>
              <w:t>Weatherford International, LLC</w:t>
            </w:r>
          </w:p>
        </w:tc>
      </w:tr>
      <w:tr>
        <w:trPr>
          <w:trHeight w:val="186"/>
        </w:trPr>
        <w:tc>
          <w:tcPr>
            <w:tcW w:w="4080" w:type="dxa"/>
            <w:vAlign w:val="bottom"/>
          </w:tcPr>
          <w:p>
            <w:pPr>
              <w:jc w:val="center"/>
              <w:ind w:right="1594"/>
              <w:spacing w:after="0"/>
              <w:rPr>
                <w:sz w:val="20"/>
                <w:szCs w:val="20"/>
                <w:color w:val="auto"/>
              </w:rPr>
            </w:pPr>
            <w:r>
              <w:rPr>
                <w:rFonts w:ascii="Arial" w:cs="Arial" w:eastAsia="Arial" w:hAnsi="Arial"/>
                <w:sz w:val="14"/>
                <w:szCs w:val="14"/>
                <w:b w:val="1"/>
                <w:bCs w:val="1"/>
                <w:color w:val="auto"/>
                <w:w w:val="92"/>
              </w:rPr>
              <w:t>(a Bermuda exempted company )</w:t>
            </w:r>
          </w:p>
        </w:tc>
        <w:tc>
          <w:tcPr>
            <w:tcW w:w="4200" w:type="dxa"/>
            <w:vAlign w:val="bottom"/>
          </w:tcPr>
          <w:p>
            <w:pPr>
              <w:jc w:val="center"/>
              <w:ind w:left="1594"/>
              <w:spacing w:after="0"/>
              <w:rPr>
                <w:sz w:val="20"/>
                <w:szCs w:val="20"/>
                <w:color w:val="auto"/>
              </w:rPr>
            </w:pPr>
            <w:r>
              <w:rPr>
                <w:rFonts w:ascii="Arial" w:cs="Arial" w:eastAsia="Arial" w:hAnsi="Arial"/>
                <w:sz w:val="14"/>
                <w:szCs w:val="14"/>
                <w:b w:val="1"/>
                <w:bCs w:val="1"/>
                <w:color w:val="auto"/>
                <w:w w:val="94"/>
              </w:rPr>
              <w:t>(a Delaware limited liability company)</w:t>
            </w:r>
          </w:p>
        </w:tc>
      </w:tr>
      <w:tr>
        <w:trPr>
          <w:trHeight w:val="426"/>
        </w:trPr>
        <w:tc>
          <w:tcPr>
            <w:tcW w:w="4080" w:type="dxa"/>
            <w:vAlign w:val="bottom"/>
          </w:tcPr>
          <w:p>
            <w:pPr>
              <w:jc w:val="center"/>
              <w:ind w:right="1594"/>
              <w:spacing w:after="0"/>
              <w:rPr>
                <w:sz w:val="20"/>
                <w:szCs w:val="20"/>
                <w:color w:val="auto"/>
              </w:rPr>
            </w:pPr>
            <w:r>
              <w:rPr>
                <w:rFonts w:ascii="Arial" w:cs="Arial" w:eastAsia="Arial" w:hAnsi="Arial"/>
                <w:sz w:val="18"/>
                <w:szCs w:val="18"/>
                <w:b w:val="1"/>
                <w:bCs w:val="1"/>
                <w:color w:val="auto"/>
                <w:w w:val="88"/>
              </w:rPr>
              <w:t>Debt Securities</w:t>
            </w:r>
          </w:p>
        </w:tc>
        <w:tc>
          <w:tcPr>
            <w:tcW w:w="4200" w:type="dxa"/>
            <w:vAlign w:val="bottom"/>
          </w:tcPr>
          <w:p>
            <w:pPr>
              <w:jc w:val="center"/>
              <w:ind w:left="1594"/>
              <w:spacing w:after="0"/>
              <w:rPr>
                <w:sz w:val="20"/>
                <w:szCs w:val="20"/>
                <w:color w:val="auto"/>
              </w:rPr>
            </w:pPr>
            <w:r>
              <w:rPr>
                <w:rFonts w:ascii="Arial" w:cs="Arial" w:eastAsia="Arial" w:hAnsi="Arial"/>
                <w:sz w:val="18"/>
                <w:szCs w:val="18"/>
                <w:b w:val="1"/>
                <w:bCs w:val="1"/>
                <w:color w:val="auto"/>
                <w:w w:val="88"/>
              </w:rPr>
              <w:t>Debt Securities</w:t>
            </w:r>
          </w:p>
        </w:tc>
      </w:tr>
      <w:tr>
        <w:trPr>
          <w:trHeight w:val="234"/>
        </w:trPr>
        <w:tc>
          <w:tcPr>
            <w:tcW w:w="4080" w:type="dxa"/>
            <w:vAlign w:val="bottom"/>
          </w:tcPr>
          <w:p>
            <w:pPr>
              <w:jc w:val="center"/>
              <w:ind w:right="1574"/>
              <w:spacing w:after="0"/>
              <w:rPr>
                <w:sz w:val="20"/>
                <w:szCs w:val="20"/>
                <w:color w:val="auto"/>
              </w:rPr>
            </w:pPr>
            <w:r>
              <w:rPr>
                <w:rFonts w:ascii="Arial" w:cs="Arial" w:eastAsia="Arial" w:hAnsi="Arial"/>
                <w:sz w:val="18"/>
                <w:szCs w:val="18"/>
                <w:b w:val="1"/>
                <w:bCs w:val="1"/>
                <w:color w:val="auto"/>
                <w:w w:val="89"/>
              </w:rPr>
              <w:t>Guarantees of Debt Securities</w:t>
            </w:r>
          </w:p>
        </w:tc>
        <w:tc>
          <w:tcPr>
            <w:tcW w:w="4200" w:type="dxa"/>
            <w:vAlign w:val="bottom"/>
          </w:tcPr>
          <w:p>
            <w:pPr>
              <w:jc w:val="center"/>
              <w:ind w:left="1594"/>
              <w:spacing w:after="0"/>
              <w:rPr>
                <w:sz w:val="20"/>
                <w:szCs w:val="20"/>
                <w:color w:val="auto"/>
              </w:rPr>
            </w:pPr>
            <w:r>
              <w:rPr>
                <w:rFonts w:ascii="Arial" w:cs="Arial" w:eastAsia="Arial" w:hAnsi="Arial"/>
                <w:sz w:val="18"/>
                <w:szCs w:val="18"/>
                <w:b w:val="1"/>
                <w:bCs w:val="1"/>
                <w:color w:val="auto"/>
                <w:w w:val="88"/>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w:t>
      </w:r>
      <w:hyperlink w:anchor="page51">
        <w:r>
          <w:rPr>
            <w:rFonts w:ascii="Arial" w:cs="Arial" w:eastAsia="Arial" w:hAnsi="Arial"/>
            <w:sz w:val="19"/>
            <w:szCs w:val="19"/>
            <w:b w:val="1"/>
            <w:bCs w:val="1"/>
            <w:u w:val="single" w:color="auto"/>
            <w:color w:val="0000EE"/>
          </w:rPr>
          <w:t>Forward-Looking Statements</w:t>
        </w:r>
      </w:hyperlink>
      <w:r>
        <w:rPr>
          <w:rFonts w:ascii="Arial" w:cs="Arial" w:eastAsia="Arial" w:hAnsi="Arial"/>
          <w:sz w:val="19"/>
          <w:szCs w:val="19"/>
          <w:b w:val="1"/>
          <w:bCs w:val="1"/>
          <w:color w:val="auto"/>
        </w:rPr>
        <w:t>” on page 3 and “</w:t>
      </w:r>
      <w:hyperlink w:anchor="page52">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June 17, 2014.</w:t>
      </w:r>
    </w:p>
    <w:p>
      <w:pPr>
        <w:sectPr>
          <w:pgSz w:w="11900" w:h="16838" w:orient="portrait"/>
          <w:cols w:equalWidth="0" w:num="1">
            <w:col w:w="11340"/>
          </w:cols>
          <w:pgMar w:left="240" w:top="459"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44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98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80" w:type="dxa"/>
            <w:vAlign w:val="bottom"/>
          </w:tcPr>
          <w:p>
            <w:pPr>
              <w:ind w:left="60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80" w:type="dxa"/>
            <w:vAlign w:val="bottom"/>
          </w:tcPr>
          <w:p>
            <w:pPr>
              <w:jc w:val="center"/>
              <w:ind w:left="6510"/>
              <w:spacing w:after="0"/>
              <w:rPr>
                <w:sz w:val="20"/>
                <w:szCs w:val="20"/>
                <w:color w:val="auto"/>
              </w:rPr>
            </w:pPr>
            <w:r>
              <w:rPr>
                <w:rFonts w:ascii="Arial" w:cs="Arial" w:eastAsia="Arial" w:hAnsi="Arial"/>
                <w:sz w:val="18"/>
                <w:szCs w:val="18"/>
                <w:b w:val="1"/>
                <w:bCs w:val="1"/>
                <w:color w:val="auto"/>
                <w:w w:val="88"/>
              </w:rPr>
              <w:t>Page</w:t>
            </w:r>
          </w:p>
        </w:tc>
      </w:tr>
      <w:tr>
        <w:trPr>
          <w:trHeight w:val="284"/>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ABOUT THIS PROSPECTUS</w:t>
              </w:r>
            </w:hyperlink>
          </w:p>
        </w:tc>
        <w:tc>
          <w:tcPr>
            <w:tcW w:w="2200" w:type="dxa"/>
            <w:vAlign w:val="bottom"/>
            <w:gridSpan w:val="6"/>
          </w:tcPr>
          <w:p>
            <w:pPr>
              <w:spacing w:after="0"/>
              <w:rPr>
                <w:sz w:val="24"/>
                <w:szCs w:val="24"/>
                <w:color w:val="auto"/>
              </w:rPr>
            </w:pPr>
          </w:p>
        </w:tc>
        <w:tc>
          <w:tcPr>
            <w:tcW w:w="6980" w:type="dxa"/>
            <w:vAlign w:val="bottom"/>
          </w:tcPr>
          <w:p>
            <w:pPr>
              <w:jc w:val="center"/>
              <w:ind w:left="6510"/>
              <w:spacing w:after="0"/>
              <w:rPr>
                <w:sz w:val="20"/>
                <w:szCs w:val="20"/>
                <w:color w:val="auto"/>
              </w:rPr>
            </w:pPr>
            <w:r>
              <w:rPr>
                <w:rFonts w:ascii="Arial" w:cs="Arial" w:eastAsia="Arial" w:hAnsi="Arial"/>
                <w:sz w:val="18"/>
                <w:szCs w:val="18"/>
                <w:color w:val="auto"/>
                <w:w w:val="99"/>
              </w:rPr>
              <w:t>1</w:t>
            </w: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ABOUT US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1</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2</w:t>
            </w:r>
          </w:p>
        </w:tc>
      </w:tr>
      <w:tr>
        <w:trPr>
          <w:trHeight w:val="196"/>
        </w:trPr>
        <w:tc>
          <w:tcPr>
            <w:tcW w:w="3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FORWARD LOOKING STATEMENTS</w:t>
              </w:r>
            </w:hyperlink>
          </w:p>
        </w:tc>
        <w:tc>
          <w:tcPr>
            <w:tcW w:w="620" w:type="dxa"/>
            <w:vAlign w:val="bottom"/>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3</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RISK FACTORS</w:t>
              </w:r>
            </w:hyperlink>
          </w:p>
        </w:tc>
        <w:tc>
          <w:tcPr>
            <w:tcW w:w="1660" w:type="dxa"/>
            <w:vAlign w:val="bottom"/>
            <w:tcBorders>
              <w:top w:val="single" w:sz="8" w:color="0000EE"/>
            </w:tcBorders>
            <w:gridSpan w:val="8"/>
          </w:tcPr>
          <w:p>
            <w:pPr>
              <w:spacing w:after="0"/>
              <w:rPr>
                <w:sz w:val="17"/>
                <w:szCs w:val="17"/>
                <w:color w:val="auto"/>
              </w:rPr>
            </w:pPr>
          </w:p>
        </w:tc>
        <w:tc>
          <w:tcPr>
            <w:tcW w:w="1520" w:type="dxa"/>
            <w:vAlign w:val="bottom"/>
            <w:gridSpan w:val="3"/>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4</w:t>
            </w: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RATIO OF EARNINGS TO FIXED CHARGES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4</w:t>
            </w:r>
          </w:p>
        </w:tc>
      </w:tr>
      <w:tr>
        <w:trPr>
          <w:trHeight w:val="196"/>
        </w:trPr>
        <w:tc>
          <w:tcPr>
            <w:tcW w:w="2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DESCRIPTION OF SECURITIES</w:t>
              </w:r>
            </w:hyperlink>
          </w:p>
        </w:tc>
        <w:tc>
          <w:tcPr>
            <w:tcW w:w="960" w:type="dxa"/>
            <w:vAlign w:val="bottom"/>
            <w:tcBorders>
              <w:top w:val="single" w:sz="8" w:color="0000EE"/>
            </w:tcBorders>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252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SELLING SECURITYHOLDERS</w:t>
              </w:r>
            </w:hyperlink>
          </w:p>
        </w:tc>
        <w:tc>
          <w:tcPr>
            <w:tcW w:w="1920" w:type="dxa"/>
            <w:vAlign w:val="bottom"/>
            <w:gridSpan w:val="5"/>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2380" w:type="dxa"/>
            <w:vAlign w:val="bottom"/>
            <w:gridSpan w:val="7"/>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4440" w:type="dxa"/>
            <w:vAlign w:val="bottom"/>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2980" w:type="dxa"/>
            <w:vAlign w:val="bottom"/>
            <w:gridSpan w:val="9"/>
          </w:tcPr>
          <w:p>
            <w:pPr>
              <w:spacing w:after="0"/>
              <w:rPr>
                <w:sz w:val="17"/>
                <w:szCs w:val="17"/>
                <w:color w:val="auto"/>
              </w:rPr>
            </w:pPr>
          </w:p>
        </w:tc>
        <w:tc>
          <w:tcPr>
            <w:tcW w:w="6980" w:type="dxa"/>
            <w:vAlign w:val="bottom"/>
          </w:tcPr>
          <w:p>
            <w:pPr>
              <w:jc w:val="center"/>
              <w:ind w:left="6510"/>
              <w:spacing w:after="0" w:line="196" w:lineRule="exact"/>
              <w:rPr>
                <w:sz w:val="20"/>
                <w:szCs w:val="20"/>
                <w:color w:val="auto"/>
              </w:rPr>
            </w:pPr>
            <w:r>
              <w:rPr>
                <w:rFonts w:ascii="Arial" w:cs="Arial" w:eastAsia="Arial" w:hAnsi="Arial"/>
                <w:sz w:val="18"/>
                <w:szCs w:val="18"/>
                <w:color w:val="auto"/>
                <w:w w:val="99"/>
              </w:rPr>
              <w:t>5</w:t>
            </w:r>
          </w:p>
        </w:tc>
      </w:tr>
    </w:tbl>
    <w:p>
      <w:pPr>
        <w:jc w:val="center"/>
        <w:ind w:left="6510"/>
        <w:spacing w:after="0" w:line="196" w:lineRule="exact"/>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66"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Bahnhofstrasse 1, 6340 Baar, Switzerland and our telephone number at that location is +41.22.816.1500.</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w:t>
      </w:r>
    </w:p>
    <w:p>
      <w:pPr>
        <w:spacing w:after="0" w:line="92" w:lineRule="exact"/>
        <w:rPr>
          <w:sz w:val="20"/>
          <w:szCs w:val="20"/>
          <w:color w:val="auto"/>
        </w:rPr>
      </w:pPr>
    </w:p>
    <w:p>
      <w:pPr>
        <w:ind w:left="900" w:right="3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SEC on February 25, 2014;</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SEC on April 16,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Weatherford Switzerland’s Quarterly Report on Form 10-Q for the quarter ended March 31, 2014, as filed with the SEC on April 29, 2014;</w:t>
      </w:r>
    </w:p>
    <w:p>
      <w:pPr>
        <w:spacing w:after="0" w:line="142" w:lineRule="exact"/>
        <w:rPr>
          <w:rFonts w:ascii="Arial" w:cs="Arial" w:eastAsia="Arial" w:hAnsi="Arial"/>
          <w:sz w:val="17"/>
          <w:szCs w:val="17"/>
          <w:color w:val="auto"/>
        </w:rPr>
      </w:pPr>
    </w:p>
    <w:p>
      <w:pPr>
        <w:ind w:left="900" w:right="12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SEC on February 3, 2014, February 25, 2014, March 4, 2014, April 2, 2014, April 10, 2014, April 24, 2014 and June 17, 2014;</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Weatherford Ireland’s Current Report on Form 8-K (other than information furnished rather than filed and corresponding information furnished under Item 9.01 or included as an exhibit thereto), as filed with the SEC on June 17, 2014;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Weatherford International Ltd.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(713) 836-4000</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“budget,” “intend,” “strategy,” “plan,” “guidance,” “may,” “should,” “could,” “will,” “would,” “will be,” “will continue,” “will likely result” and similar expressions, although not all forward-looking statements contain these identifying words.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right="8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or terrorist attacks, changes in global trade policies,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nonrealization of expected reductions in our effective tax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member country quota compliance within Organization of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limited access to capital or significantly higher cost of capital related to liquidity or uncertainty in the domestic or international financial markets.</w:t>
      </w:r>
    </w:p>
    <w:p>
      <w:pPr>
        <w:spacing w:after="0" w:line="24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Annual Report on Form 10-K for the year ended December 31, 2013, as amended, which is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9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March 31, 2014</w:t>
            </w:r>
          </w:p>
        </w:tc>
        <w:tc>
          <w:tcPr>
            <w:tcW w:w="6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9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2.30x</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1.34x</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1.51x</w:t>
            </w:r>
          </w:p>
        </w:tc>
        <w:tc>
          <w:tcPr>
            <w:tcW w:w="10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340" w:right="220" w:hanging="332"/>
        <w:spacing w:after="0" w:line="253"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the three months ended March 31, 2014 and for the years ended December 31, 2013 and 2012, earnings before fixed charges were inadequate to cover fixed charges by $7 million, $211 million and $349 million, respectively.</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the ordinary shares, debt securities and guarantees that may be offered under this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 effective amendment or in filings we make with the SEC under the Exchange Act that are incorporated herein by reference.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Baker &amp; McKenzie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and schedule of Weatherford Switzerland as of December 31, 2013, and for the year ended December 31, 2013, and management’s assessment of the effectiveness of internal control over financial reporting as of December 31, 2013 have been incorporated by reference herein in reliance upon the reports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consolidated financial statements of Weatherford International Switzerland as of December 31, 2012, and for each of the two years in the period then ended, included in Weatherford Switzerland’s Annual Report (Form 10-K) for the year ended December 31, 2013 (including the schedule for each of the two years in the period ended December 31, 2012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firms as experts in accounting and auditing.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54"/>
          <w:szCs w:val="54"/>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760"/>
        <w:spacing w:after="0"/>
        <w:rPr>
          <w:sz w:val="20"/>
          <w:szCs w:val="20"/>
          <w:color w:val="auto"/>
        </w:rPr>
      </w:pPr>
      <w:r>
        <w:rPr>
          <w:rFonts w:ascii="Arial" w:cs="Arial" w:eastAsia="Arial" w:hAnsi="Arial"/>
          <w:sz w:val="32"/>
          <w:szCs w:val="3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2931160</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975995</wp:posOffset>
            </wp:positionV>
            <wp:extent cx="1397635" cy="617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976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 SUPPLEMENT</w:t>
      </w:r>
    </w:p>
    <w:p>
      <w:pPr>
        <w:spacing w:after="0" w:line="333" w:lineRule="exact"/>
        <w:rPr>
          <w:sz w:val="20"/>
          <w:szCs w:val="20"/>
          <w:color w:val="auto"/>
        </w:rPr>
      </w:pPr>
    </w:p>
    <w:p>
      <w:pPr>
        <w:ind w:left="4460"/>
        <w:spacing w:after="0"/>
        <w:tabs>
          <w:tab w:leader="none" w:pos="6500" w:val="left"/>
        </w:tabs>
        <w:rPr>
          <w:sz w:val="20"/>
          <w:szCs w:val="20"/>
          <w:color w:val="auto"/>
        </w:rPr>
      </w:pPr>
      <w:r>
        <w:rPr>
          <w:rFonts w:ascii="Arial" w:cs="Arial" w:eastAsia="Arial" w:hAnsi="Arial"/>
          <w:sz w:val="18"/>
          <w:szCs w:val="18"/>
          <w:b w:val="1"/>
          <w:bCs w:val="1"/>
          <w:color w:val="auto"/>
        </w:rPr>
        <w:t>SEPTEMBER</w:t>
      </w:r>
      <w:r>
        <w:rPr>
          <w:sz w:val="20"/>
          <w:szCs w:val="20"/>
          <w:color w:val="auto"/>
        </w:rPr>
        <w:tab/>
      </w: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4740" w:type="dxa"/>
            <w:vAlign w:val="bottom"/>
          </w:tcPr>
          <w:p>
            <w:pPr>
              <w:spacing w:after="0"/>
              <w:rPr>
                <w:sz w:val="20"/>
                <w:szCs w:val="20"/>
                <w:color w:val="auto"/>
              </w:rPr>
            </w:pPr>
            <w:r>
              <w:rPr>
                <w:rFonts w:ascii="Arial" w:cs="Arial" w:eastAsia="Arial" w:hAnsi="Arial"/>
                <w:sz w:val="36"/>
                <w:szCs w:val="36"/>
                <w:b w:val="1"/>
                <w:bCs w:val="1"/>
                <w:color w:val="auto"/>
              </w:rPr>
              <w:t>Citigroup</w:t>
            </w:r>
          </w:p>
        </w:tc>
        <w:tc>
          <w:tcPr>
            <w:tcW w:w="6680" w:type="dxa"/>
            <w:vAlign w:val="bottom"/>
            <w:vMerge w:val="restart"/>
          </w:tcPr>
          <w:p>
            <w:pPr>
              <w:ind w:left="3240"/>
              <w:spacing w:after="0"/>
              <w:rPr>
                <w:sz w:val="20"/>
                <w:szCs w:val="20"/>
                <w:color w:val="auto"/>
              </w:rPr>
            </w:pPr>
            <w:r>
              <w:rPr>
                <w:rFonts w:ascii="Arial" w:cs="Arial" w:eastAsia="Arial" w:hAnsi="Arial"/>
                <w:sz w:val="36"/>
                <w:szCs w:val="36"/>
                <w:b w:val="1"/>
                <w:bCs w:val="1"/>
                <w:color w:val="auto"/>
                <w:w w:val="88"/>
              </w:rPr>
              <w:t>Wells Fargo Securities</w:t>
            </w:r>
          </w:p>
        </w:tc>
        <w:tc>
          <w:tcPr>
            <w:tcW w:w="0" w:type="dxa"/>
            <w:vAlign w:val="bottom"/>
          </w:tcPr>
          <w:p>
            <w:pPr>
              <w:spacing w:after="0"/>
              <w:rPr>
                <w:sz w:val="1"/>
                <w:szCs w:val="1"/>
                <w:color w:val="auto"/>
              </w:rPr>
            </w:pPr>
          </w:p>
        </w:tc>
      </w:tr>
      <w:tr>
        <w:trPr>
          <w:trHeight w:val="122"/>
        </w:trPr>
        <w:tc>
          <w:tcPr>
            <w:tcW w:w="4740" w:type="dxa"/>
            <w:vAlign w:val="bottom"/>
          </w:tcPr>
          <w:p>
            <w:pPr>
              <w:spacing w:after="0"/>
              <w:rPr>
                <w:sz w:val="10"/>
                <w:szCs w:val="10"/>
                <w:color w:val="auto"/>
              </w:rPr>
            </w:pPr>
          </w:p>
        </w:tc>
        <w:tc>
          <w:tcPr>
            <w:tcW w:w="6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bullet"/>
      <w:start w:val="1"/>
    </w:lvl>
    <w:lvl w:ilvl="1">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lowerRoman"/>
      <w:start w:val="2"/>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713"/>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2019-12-09T03:42:37Z</dcterms:created>
  <dcterms:modified xsi:type="dcterms:W3CDTF">2019-12-09T03:42:37Z</dcterms:modified>
</cp:coreProperties>
</file>