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T-3</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APPLICATIONS FOR QUALIFICATION OF INDENTURES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 of Co-Applicant)</w:t>
      </w:r>
    </w:p>
    <w:p>
      <w:pPr>
        <w:spacing w:after="0" w:line="21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Securities to be Issued Under the Indenture to be Qualified</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4"/>
              </w:rPr>
              <w:t>Title of Class</w:t>
            </w:r>
          </w:p>
        </w:tc>
        <w:tc>
          <w:tcPr>
            <w:tcW w:w="3720" w:type="dxa"/>
            <w:vAlign w:val="bottom"/>
          </w:tcPr>
          <w:p>
            <w:pPr>
              <w:jc w:val="center"/>
              <w:ind w:right="1779"/>
              <w:spacing w:after="0"/>
              <w:rPr>
                <w:sz w:val="20"/>
                <w:szCs w:val="20"/>
                <w:color w:val="auto"/>
              </w:rPr>
            </w:pPr>
            <w:r>
              <w:rPr>
                <w:rFonts w:ascii="Arial" w:cs="Arial" w:eastAsia="Arial" w:hAnsi="Arial"/>
                <w:sz w:val="14"/>
                <w:szCs w:val="14"/>
                <w:b w:val="1"/>
                <w:bCs w:val="1"/>
                <w:color w:val="auto"/>
                <w:w w:val="94"/>
              </w:rPr>
              <w:t>Amout</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 Senior Unsecured Notes Due 2024</w:t>
            </w:r>
          </w:p>
        </w:tc>
        <w:tc>
          <w:tcPr>
            <w:tcW w:w="20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3720" w:type="dxa"/>
            <w:vAlign w:val="bottom"/>
            <w:tcBorders>
              <w:top w:val="single" w:sz="8" w:color="auto"/>
            </w:tcBorders>
          </w:tcPr>
          <w:p>
            <w:pPr>
              <w:jc w:val="center"/>
              <w:ind w:right="1779"/>
              <w:spacing w:after="0"/>
              <w:rPr>
                <w:sz w:val="20"/>
                <w:szCs w:val="20"/>
                <w:color w:val="auto"/>
              </w:rPr>
            </w:pPr>
            <w:r>
              <w:rPr>
                <w:rFonts w:ascii="Arial" w:cs="Arial" w:eastAsia="Arial" w:hAnsi="Arial"/>
                <w:sz w:val="18"/>
                <w:szCs w:val="18"/>
                <w:b w:val="1"/>
                <w:bCs w:val="1"/>
                <w:color w:val="auto"/>
                <w:w w:val="90"/>
              </w:rPr>
              <w:t>$1,250,000,000†</w:t>
            </w:r>
          </w:p>
        </w:tc>
      </w:tr>
      <w:tr>
        <w:trPr>
          <w:trHeight w:val="414"/>
        </w:trPr>
        <w:tc>
          <w:tcPr>
            <w:tcW w:w="7700" w:type="dxa"/>
            <w:vAlign w:val="bottom"/>
            <w:gridSpan w:val="3"/>
          </w:tcPr>
          <w:p>
            <w:pPr>
              <w:ind w:left="4040"/>
              <w:spacing w:after="0"/>
              <w:rPr>
                <w:sz w:val="20"/>
                <w:szCs w:val="20"/>
                <w:color w:val="auto"/>
              </w:rPr>
            </w:pPr>
            <w:r>
              <w:rPr>
                <w:rFonts w:ascii="Arial" w:cs="Arial" w:eastAsia="Arial" w:hAnsi="Arial"/>
                <w:sz w:val="18"/>
                <w:szCs w:val="18"/>
                <w:color w:val="auto"/>
              </w:rPr>
              <w:t>Approximate date of proposed public offering:</w:t>
            </w:r>
          </w:p>
        </w:tc>
        <w:tc>
          <w:tcPr>
            <w:tcW w:w="3720" w:type="dxa"/>
            <w:vAlign w:val="bottom"/>
          </w:tcPr>
          <w:p>
            <w:pPr>
              <w:spacing w:after="0"/>
              <w:rPr>
                <w:sz w:val="24"/>
                <w:szCs w:val="24"/>
                <w:color w:val="auto"/>
              </w:rPr>
            </w:pPr>
          </w:p>
        </w:tc>
      </w:tr>
    </w:tbl>
    <w:p>
      <w:pPr>
        <w:spacing w:after="0" w:line="198" w:lineRule="exact"/>
        <w:rPr>
          <w:sz w:val="24"/>
          <w:szCs w:val="24"/>
          <w:color w:val="auto"/>
        </w:rPr>
      </w:pPr>
    </w:p>
    <w:p>
      <w:pPr>
        <w:jc w:val="both"/>
        <w:ind w:right="480"/>
        <w:spacing w:after="0" w:line="266" w:lineRule="auto"/>
        <w:rPr>
          <w:sz w:val="20"/>
          <w:szCs w:val="20"/>
          <w:color w:val="auto"/>
        </w:rPr>
      </w:pPr>
      <w:r>
        <w:rPr>
          <w:rFonts w:ascii="Arial" w:cs="Arial" w:eastAsia="Arial" w:hAnsi="Arial"/>
          <w:sz w:val="18"/>
          <w:szCs w:val="18"/>
          <w:b w:val="1"/>
          <w:bCs w:val="1"/>
          <w:color w:val="auto"/>
        </w:rPr>
        <w:t>As soon as practicable after court approval of a rights offering for such securities pursuant to the Joint Prepackaged Plan of Reorganization of Weatherford International plc and its Affiliate Debtors under Chapter 11 of the Bankruptcy Code (as amended or supplemented, the “Plan of Reorganization”).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191770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5"/>
              </w:rPr>
              <w:t>Christina M. Ibrahim</w:t>
            </w:r>
          </w:p>
        </w:tc>
        <w:tc>
          <w:tcPr>
            <w:tcW w:w="3500" w:type="dxa"/>
            <w:vAlign w:val="bottom"/>
          </w:tcPr>
          <w:p>
            <w:pPr>
              <w:jc w:val="center"/>
              <w:ind w:left="1310"/>
              <w:spacing w:after="0"/>
              <w:rPr>
                <w:sz w:val="20"/>
                <w:szCs w:val="20"/>
                <w:color w:val="auto"/>
              </w:rPr>
            </w:pPr>
            <w:r>
              <w:rPr>
                <w:rFonts w:ascii="Arial" w:cs="Arial" w:eastAsia="Arial" w:hAnsi="Arial"/>
                <w:sz w:val="18"/>
                <w:szCs w:val="18"/>
                <w:color w:val="auto"/>
                <w:w w:val="91"/>
              </w:rPr>
              <w:t>Copies to:</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Weatherford International plc</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Ryan J. Maierson</w:t>
            </w:r>
          </w:p>
        </w:tc>
      </w:tr>
      <w:tr>
        <w:trPr>
          <w:trHeight w:val="216"/>
        </w:trPr>
        <w:tc>
          <w:tcPr>
            <w:tcW w:w="5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John M. Greer</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Chief Compliance Officer and Corporate Secretary</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2000 St. James Place</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Houston, Texas 77056</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Houston, Texas 77002</w:t>
            </w:r>
          </w:p>
        </w:tc>
      </w:tr>
      <w:tr>
        <w:trPr>
          <w:trHeight w:val="220"/>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2"/>
              </w:rPr>
              <w:t>(713) 836-4000</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(713) 546-5400</w:t>
            </w:r>
          </w:p>
        </w:tc>
      </w:tr>
      <w:tr>
        <w:trPr>
          <w:trHeight w:val="230"/>
        </w:trPr>
        <w:tc>
          <w:tcPr>
            <w:tcW w:w="5340" w:type="dxa"/>
            <w:vAlign w:val="bottom"/>
          </w:tcPr>
          <w:p>
            <w:pPr>
              <w:jc w:val="center"/>
              <w:ind w:right="1310"/>
              <w:spacing w:after="0"/>
              <w:rPr>
                <w:sz w:val="20"/>
                <w:szCs w:val="20"/>
                <w:color w:val="auto"/>
              </w:rPr>
            </w:pPr>
            <w:r>
              <w:rPr>
                <w:rFonts w:ascii="Arial" w:cs="Arial" w:eastAsia="Arial" w:hAnsi="Arial"/>
                <w:sz w:val="18"/>
                <w:szCs w:val="18"/>
                <w:color w:val="auto"/>
                <w:w w:val="91"/>
              </w:rPr>
              <w:t>(Name and Address of Agent for Service)</w:t>
            </w:r>
          </w:p>
        </w:tc>
        <w:tc>
          <w:tcPr>
            <w:tcW w:w="3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Applicants hereby amend this application for qualification on such date or dates as may be necessary to delay its effectiveness until (i) the 20th day after the filing of an amendment which specifically states that it shall supersede this application for qualification, or (ii) such date as the Securities and Exchange Commission, acting pursuant to section 307(c) of the Trust Indenture Act of 1939, may determine upon the written request of the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4"/>
          <w:szCs w:val="24"/>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Co-Applicants listed on the following page are also included in this application as Applicants.</w:t>
      </w:r>
    </w:p>
    <w:p>
      <w:pPr>
        <w:spacing w:after="0" w:line="23" w:lineRule="exact"/>
        <w:rPr>
          <w:sz w:val="24"/>
          <w:szCs w:val="24"/>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amount of the Notes to be issued by each Co-Applicant will be disclosed in an amendment to this application.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right"/>
        <w:ind w:right="3619"/>
        <w:spacing w:after="0"/>
        <w:rPr>
          <w:sz w:val="20"/>
          <w:szCs w:val="20"/>
          <w:color w:val="auto"/>
        </w:rPr>
      </w:pPr>
      <w:r>
        <w:rPr>
          <w:rFonts w:ascii="Arial" w:cs="Arial" w:eastAsia="Arial" w:hAnsi="Arial"/>
          <w:sz w:val="18"/>
          <w:szCs w:val="18"/>
          <w:b w:val="1"/>
          <w:bCs w:val="1"/>
          <w:color w:val="auto"/>
        </w:rPr>
        <w:t>Table of Co-Applicants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of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Advantage R&amp;D,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Benmore In-Depth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 Petroleum Services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Columbia Oilfield Supply,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Datalog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Discovery Logging,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Edinburgh Petroleum Services Americas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eProduction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Pressure Integrity,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In-Depth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Logging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Logging 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 International Drilling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Drilling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Services Colombia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Services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Sabre Drilling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Stealth Oil &amp; Gas,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Tooke Rockies,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Visean Information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Visual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Warrior Well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(Nova Scotia)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(PTWI),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Bermuda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Canada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Colombia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DISC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Drilling International (BVI)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Drilling International Holdings (BVI)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European Holdings (Luxembourg)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(Bermuda)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(BVI)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(Luxembourg) Holdings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Holding (Bermuda)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Investment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Management Company Switzerland 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Norge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Oil Tool Middle East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Pangaea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Products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Services S. de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Switzerland Trading and Development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Technology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URS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Worldwide Holdings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WOFS Assurance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WOFS International Finance GmbH</w:t>
      </w:r>
    </w:p>
    <w:p>
      <w:pPr>
        <w:sectPr>
          <w:pgSz w:w="11900" w:h="16838" w:orient="portrait"/>
          <w:cols w:equalWidth="0" w:num="1">
            <w:col w:w="10219"/>
          </w:cols>
          <w:pgMar w:left="240" w:top="337" w:right="1440"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WOFS Swiss Finance GmbH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WUS Holding,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This Amendment No. 2 to Form T-3 (this “</w:t>
      </w:r>
      <w:r>
        <w:rPr>
          <w:rFonts w:ascii="Arial" w:cs="Arial" w:eastAsia="Arial" w:hAnsi="Arial"/>
          <w:sz w:val="16"/>
          <w:szCs w:val="16"/>
          <w:b w:val="1"/>
          <w:bCs w:val="1"/>
          <w:color w:val="auto"/>
        </w:rPr>
        <w:t>Amendment</w:t>
      </w:r>
      <w:r>
        <w:rPr>
          <w:rFonts w:ascii="Arial" w:cs="Arial" w:eastAsia="Arial" w:hAnsi="Arial"/>
          <w:sz w:val="16"/>
          <w:szCs w:val="16"/>
          <w:color w:val="auto"/>
        </w:rPr>
        <w:t>”) is being filed on behalf of Weatherford International, LLC, Weatherford International Ltd. and their affiliates expected to be guarantors of the [ ]% Senior Unsecured Notes due 2024 (collectively, the “</w:t>
      </w:r>
      <w:r>
        <w:rPr>
          <w:rFonts w:ascii="Arial" w:cs="Arial" w:eastAsia="Arial" w:hAnsi="Arial"/>
          <w:sz w:val="16"/>
          <w:szCs w:val="16"/>
          <w:b w:val="1"/>
          <w:bCs w:val="1"/>
          <w:color w:val="auto"/>
        </w:rPr>
        <w:t>Applicants</w:t>
      </w:r>
      <w:r>
        <w:rPr>
          <w:rFonts w:ascii="Arial" w:cs="Arial" w:eastAsia="Arial" w:hAnsi="Arial"/>
          <w:sz w:val="16"/>
          <w:szCs w:val="16"/>
          <w:color w:val="auto"/>
        </w:rPr>
        <w:t>”). This Amendment is being filed solely to file Exhibit T3E-4 filed herewith and to update the Index to Exhibits. This Amendment is not intended to amend or delete any other part of the Applicants’ Application for Qualification (the “</w:t>
      </w:r>
      <w:r>
        <w:rPr>
          <w:rFonts w:ascii="Arial" w:cs="Arial" w:eastAsia="Arial" w:hAnsi="Arial"/>
          <w:sz w:val="16"/>
          <w:szCs w:val="16"/>
          <w:b w:val="1"/>
          <w:bCs w:val="1"/>
          <w:color w:val="auto"/>
        </w:rPr>
        <w:t>Application</w:t>
      </w:r>
      <w:r>
        <w:rPr>
          <w:rFonts w:ascii="Arial" w:cs="Arial" w:eastAsia="Arial" w:hAnsi="Arial"/>
          <w:sz w:val="16"/>
          <w:szCs w:val="16"/>
          <w:color w:val="auto"/>
        </w:rPr>
        <w:t>”). All other information in the Application is unchanged and has been omitted from this Amendment.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80" w:type="dxa"/>
            <w:vAlign w:val="bottom"/>
          </w:tcPr>
          <w:p>
            <w:pPr>
              <w:ind w:left="278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0"/>
                <w:szCs w:val="20"/>
                <w:color w:val="auto"/>
              </w:rPr>
            </w:pPr>
          </w:p>
        </w:tc>
      </w:tr>
      <w:tr>
        <w:trPr>
          <w:trHeight w:val="365"/>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38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T3A-1*</w:t>
            </w:r>
          </w:p>
        </w:tc>
        <w:tc>
          <w:tcPr>
            <w:tcW w:w="320" w:type="dxa"/>
            <w:vAlign w:val="bottom"/>
          </w:tcPr>
          <w:p>
            <w:pPr>
              <w:spacing w:after="0"/>
              <w:rPr>
                <w:sz w:val="16"/>
                <w:szCs w:val="16"/>
                <w:color w:val="auto"/>
              </w:rPr>
            </w:pPr>
          </w:p>
        </w:tc>
        <w:tc>
          <w:tcPr>
            <w:tcW w:w="9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Certificate of Formation of Weatherford International, LLC, a Delaware limited liability company (incorporated by reference to</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5"/>
              </w:rPr>
              <w:t>Exhibit 4.7 to the Registration Statement on Form S-3 of Weatherford International Ltd., a Swiss joint-stock corporation (File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 333-194431), filed March 7, 2014)</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w:t>
            </w:r>
          </w:p>
        </w:tc>
        <w:tc>
          <w:tcPr>
            <w:tcW w:w="9380" w:type="dxa"/>
            <w:vAlign w:val="bottom"/>
          </w:tcPr>
          <w:p>
            <w:pPr>
              <w:spacing w:after="0"/>
              <w:rPr>
                <w:sz w:val="20"/>
                <w:szCs w:val="20"/>
                <w:color w:val="auto"/>
              </w:rPr>
            </w:pPr>
            <w:r>
              <w:rPr>
                <w:rFonts w:ascii="Arial" w:cs="Arial" w:eastAsia="Arial" w:hAnsi="Arial"/>
                <w:sz w:val="18"/>
                <w:szCs w:val="18"/>
                <w:color w:val="auto"/>
                <w:w w:val="96"/>
              </w:rPr>
              <w:t>Memorandum and Articles of Association of Weatherford International plc, an Irish public limited company (incorporated by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5"/>
              </w:rPr>
              <w:t>reference to Exhibit 3.1 to Weatherford International plc’s Current Report on Form 8-K12B (File No. 1-36504) filed June 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w:t>
            </w:r>
          </w:p>
        </w:tc>
        <w:tc>
          <w:tcPr>
            <w:tcW w:w="9380" w:type="dxa"/>
            <w:vAlign w:val="bottom"/>
          </w:tcPr>
          <w:p>
            <w:pPr>
              <w:spacing w:after="0"/>
              <w:rPr>
                <w:sz w:val="20"/>
                <w:szCs w:val="20"/>
                <w:color w:val="auto"/>
              </w:rPr>
            </w:pPr>
            <w:r>
              <w:rPr>
                <w:rFonts w:ascii="Arial" w:cs="Arial" w:eastAsia="Arial" w:hAnsi="Arial"/>
                <w:sz w:val="18"/>
                <w:szCs w:val="18"/>
                <w:color w:val="auto"/>
                <w:w w:val="94"/>
              </w:rPr>
              <w:t>Memorandum of Association of Weatherford International Ltd., a Bermuda exempted company (incorporated by reference to</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8"/>
              </w:rPr>
              <w:t>Annex II to the proxy statement/prospectus included in Amendment No. 1 to the Registration Statement on Form S-4 of</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Weatherford International Ltd., a Bermuda exempted company (File No. 333-85644) filed May 22, 2002)</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w:t>
            </w:r>
          </w:p>
        </w:tc>
        <w:tc>
          <w:tcPr>
            <w:tcW w:w="9380" w:type="dxa"/>
            <w:vAlign w:val="bottom"/>
          </w:tcPr>
          <w:p>
            <w:pPr>
              <w:spacing w:after="0"/>
              <w:rPr>
                <w:sz w:val="20"/>
                <w:szCs w:val="20"/>
                <w:color w:val="auto"/>
              </w:rPr>
            </w:pPr>
            <w:r>
              <w:rPr>
                <w:rFonts w:ascii="Arial" w:cs="Arial" w:eastAsia="Arial" w:hAnsi="Arial"/>
                <w:sz w:val="18"/>
                <w:szCs w:val="18"/>
                <w:color w:val="auto"/>
              </w:rPr>
              <w:t>Certificate of Incorporation of Advantage R &amp; D,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Benmore In-Depth Corp.,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Articles of Incorporation of Case Services, Inc.,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T3A-7*</w:t>
            </w:r>
          </w:p>
        </w:tc>
        <w:tc>
          <w:tcPr>
            <w:tcW w:w="9380" w:type="dxa"/>
            <w:vAlign w:val="bottom"/>
          </w:tcPr>
          <w:p>
            <w:pPr>
              <w:spacing w:after="0"/>
              <w:rPr>
                <w:sz w:val="20"/>
                <w:szCs w:val="20"/>
                <w:color w:val="auto"/>
              </w:rPr>
            </w:pPr>
            <w:r>
              <w:rPr>
                <w:rFonts w:ascii="Arial" w:cs="Arial" w:eastAsia="Arial" w:hAnsi="Arial"/>
                <w:sz w:val="18"/>
                <w:szCs w:val="18"/>
                <w:color w:val="auto"/>
              </w:rPr>
              <w:t>Certificate of Incorporation of Colombia Petroleum Services Corp.,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T3A-8*</w:t>
            </w:r>
          </w:p>
        </w:tc>
        <w:tc>
          <w:tcPr>
            <w:tcW w:w="9380" w:type="dxa"/>
            <w:vAlign w:val="bottom"/>
          </w:tcPr>
          <w:p>
            <w:pPr>
              <w:spacing w:after="0"/>
              <w:rPr>
                <w:sz w:val="20"/>
                <w:szCs w:val="20"/>
                <w:color w:val="auto"/>
              </w:rPr>
            </w:pPr>
            <w:r>
              <w:rPr>
                <w:rFonts w:ascii="Arial" w:cs="Arial" w:eastAsia="Arial" w:hAnsi="Arial"/>
                <w:sz w:val="18"/>
                <w:szCs w:val="18"/>
                <w:color w:val="auto"/>
              </w:rPr>
              <w:t>Certificate of Incorporation of Columbia Oilfield Supply,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T3A-9*</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Datalog Acquisition,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T3A-10*</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Discovery Logging, Inc.,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T3A-11*</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Edinburgh Petroleum Services Americas Incorporated,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T3A-12*</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eProduction Solutions, LLC, a Texas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T3A-13*</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High Pressure Integrity, Inc., a Louisiana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T3A-14*</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In-Depth Systems, Inc.,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T3A-15*</w:t>
            </w:r>
          </w:p>
        </w:tc>
        <w:tc>
          <w:tcPr>
            <w:tcW w:w="9380" w:type="dxa"/>
            <w:vAlign w:val="bottom"/>
          </w:tcPr>
          <w:p>
            <w:pPr>
              <w:spacing w:after="0"/>
              <w:rPr>
                <w:sz w:val="20"/>
                <w:szCs w:val="20"/>
                <w:color w:val="auto"/>
              </w:rPr>
            </w:pPr>
            <w:r>
              <w:rPr>
                <w:rFonts w:ascii="Arial" w:cs="Arial" w:eastAsia="Arial" w:hAnsi="Arial"/>
                <w:sz w:val="18"/>
                <w:szCs w:val="18"/>
                <w:color w:val="auto"/>
              </w:rPr>
              <w:t>Articles of Organization of International Logging LLC, a California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T3A-16*</w:t>
            </w:r>
          </w:p>
        </w:tc>
        <w:tc>
          <w:tcPr>
            <w:tcW w:w="9380" w:type="dxa"/>
            <w:vAlign w:val="bottom"/>
          </w:tcPr>
          <w:p>
            <w:pPr>
              <w:spacing w:after="0"/>
              <w:rPr>
                <w:sz w:val="20"/>
                <w:szCs w:val="20"/>
                <w:color w:val="auto"/>
              </w:rPr>
            </w:pPr>
            <w:r>
              <w:rPr>
                <w:rFonts w:ascii="Arial" w:cs="Arial" w:eastAsia="Arial" w:hAnsi="Arial"/>
                <w:sz w:val="18"/>
                <w:szCs w:val="18"/>
                <w:color w:val="auto"/>
              </w:rPr>
              <w:t>Articles of Organization of International Logging S.A., LLC, a Nevada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T3A-17*</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Key International Drilling Company Limited,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T3A-18*</w:t>
            </w:r>
          </w:p>
        </w:tc>
        <w:tc>
          <w:tcPr>
            <w:tcW w:w="9380" w:type="dxa"/>
            <w:vAlign w:val="bottom"/>
          </w:tcPr>
          <w:p>
            <w:pPr>
              <w:spacing w:after="0"/>
              <w:rPr>
                <w:sz w:val="20"/>
                <w:szCs w:val="20"/>
                <w:color w:val="auto"/>
              </w:rPr>
            </w:pPr>
            <w:r>
              <w:rPr>
                <w:rFonts w:ascii="Arial" w:cs="Arial" w:eastAsia="Arial" w:hAnsi="Arial"/>
                <w:sz w:val="18"/>
                <w:szCs w:val="18"/>
                <w:color w:val="auto"/>
              </w:rPr>
              <w:t>Certificate of Limited Partnership of PD Holdings (USA), L.P., a Delaware limited partnership,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T3A-19*</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Precision Drilling GP,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T3A-20*</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Precision Energy International Ltd., an Alberta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T3A-21*</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Precision Energy Services Colombia Ltd., an Alberta corporation,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T3A-22*</w:t>
            </w:r>
          </w:p>
        </w:tc>
        <w:tc>
          <w:tcPr>
            <w:tcW w:w="9380" w:type="dxa"/>
            <w:vAlign w:val="bottom"/>
          </w:tcPr>
          <w:p>
            <w:pPr>
              <w:spacing w:after="0"/>
              <w:rPr>
                <w:sz w:val="20"/>
                <w:szCs w:val="20"/>
                <w:color w:val="auto"/>
              </w:rPr>
            </w:pPr>
            <w:r>
              <w:rPr>
                <w:rFonts w:ascii="Arial" w:cs="Arial" w:eastAsia="Arial" w:hAnsi="Arial"/>
                <w:sz w:val="18"/>
                <w:szCs w:val="18"/>
                <w:color w:val="auto"/>
                <w:w w:val="93"/>
              </w:rPr>
              <w:t>Certificate of Amendment and Registration of Restated Articles of Precision Energy Services ULC, an Alberta unlimited liability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T3A-23*</w:t>
            </w:r>
          </w:p>
        </w:tc>
        <w:tc>
          <w:tcPr>
            <w:tcW w:w="9380" w:type="dxa"/>
            <w:vAlign w:val="bottom"/>
          </w:tcPr>
          <w:p>
            <w:pPr>
              <w:spacing w:after="0"/>
              <w:rPr>
                <w:sz w:val="20"/>
                <w:szCs w:val="20"/>
                <w:color w:val="auto"/>
              </w:rPr>
            </w:pPr>
            <w:r>
              <w:rPr>
                <w:rFonts w:ascii="Arial" w:cs="Arial" w:eastAsia="Arial" w:hAnsi="Arial"/>
                <w:sz w:val="18"/>
                <w:szCs w:val="18"/>
                <w:color w:val="auto"/>
              </w:rPr>
              <w:t>Certificate of Incorporation of Precision Energy Services, Inc., a Delaware corporation,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T3A-24*</w:t>
            </w:r>
          </w:p>
        </w:tc>
        <w:tc>
          <w:tcPr>
            <w:tcW w:w="9380" w:type="dxa"/>
            <w:vAlign w:val="bottom"/>
          </w:tcPr>
          <w:p>
            <w:pPr>
              <w:spacing w:after="0"/>
              <w:rPr>
                <w:sz w:val="20"/>
                <w:szCs w:val="20"/>
                <w:color w:val="auto"/>
              </w:rPr>
            </w:pPr>
            <w:r>
              <w:rPr>
                <w:rFonts w:ascii="Arial" w:cs="Arial" w:eastAsia="Arial" w:hAnsi="Arial"/>
                <w:sz w:val="18"/>
                <w:szCs w:val="18"/>
                <w:color w:val="auto"/>
                <w:w w:val="92"/>
              </w:rPr>
              <w:t>Certificate of Limited Partnership of Precision Oilfield Services, LLP, a Texas registered limited liability partnership,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T3A-25*</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Sabre Drilling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T3A-26*</w:t>
            </w:r>
          </w:p>
        </w:tc>
        <w:tc>
          <w:tcPr>
            <w:tcW w:w="9380" w:type="dxa"/>
            <w:vAlign w:val="bottom"/>
          </w:tcPr>
          <w:p>
            <w:pPr>
              <w:spacing w:after="0"/>
              <w:rPr>
                <w:sz w:val="20"/>
                <w:szCs w:val="20"/>
                <w:color w:val="auto"/>
              </w:rPr>
            </w:pPr>
            <w:r>
              <w:rPr>
                <w:rFonts w:ascii="Arial" w:cs="Arial" w:eastAsia="Arial" w:hAnsi="Arial"/>
                <w:sz w:val="18"/>
                <w:szCs w:val="18"/>
                <w:color w:val="auto"/>
              </w:rPr>
              <w:t>Certificate of Incorporation of Stealth Oil &amp; Gas,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T3A-27*</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Tooke Rockies, Inc., a Wyoming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T3A-28*</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Visean Information Services Inc., a Texas corporation,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T3A-29*</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Articles of Incorporation of Visual Systems, Inc., a California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T3A-30*</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Warrior Well Services, Inc., an Illinois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T3A-31*</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Weatherford (Nova Scotia) ULC, a Nova Scotia unlimited liability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T3A-32*</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(PTWI) L.L.C., a Delaware limited liability company</w:t>
            </w:r>
          </w:p>
        </w:tc>
        <w:tc>
          <w:tcPr>
            <w:tcW w:w="40" w:type="dxa"/>
            <w:vAlign w:val="bottom"/>
          </w:tcPr>
          <w:p>
            <w:pPr>
              <w:spacing w:after="0"/>
              <w:rPr>
                <w:sz w:val="18"/>
                <w:szCs w:val="18"/>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T3A-33*</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Artificial Lift Systems, LLC, a Delaware limited liability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36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38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T3A-34*</w:t>
            </w:r>
          </w:p>
        </w:tc>
        <w:tc>
          <w:tcPr>
            <w:tcW w:w="320" w:type="dxa"/>
            <w:vAlign w:val="bottom"/>
          </w:tcPr>
          <w:p>
            <w:pPr>
              <w:spacing w:after="0"/>
              <w:rPr>
                <w:sz w:val="16"/>
                <w:szCs w:val="16"/>
                <w:color w:val="auto"/>
              </w:rPr>
            </w:pPr>
          </w:p>
        </w:tc>
        <w:tc>
          <w:tcPr>
            <w:tcW w:w="9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Certificate of Incorporation of Weatherford Australia Pty Limited, an Australian proprietary company</w:t>
            </w:r>
          </w:p>
        </w:tc>
        <w:tc>
          <w:tcPr>
            <w:tcW w:w="40" w:type="dxa"/>
            <w:vAlign w:val="bottom"/>
          </w:tcPr>
          <w:p>
            <w:pPr>
              <w:spacing w:after="0"/>
              <w:rPr>
                <w:sz w:val="16"/>
                <w:szCs w:val="16"/>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T3A-35*</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Weatherford Bermuda Holdings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T3A-36*</w:t>
            </w:r>
          </w:p>
        </w:tc>
        <w:tc>
          <w:tcPr>
            <w:tcW w:w="9380" w:type="dxa"/>
            <w:vAlign w:val="bottom"/>
          </w:tcPr>
          <w:p>
            <w:pPr>
              <w:spacing w:after="0"/>
              <w:rPr>
                <w:sz w:val="20"/>
                <w:szCs w:val="20"/>
                <w:color w:val="auto"/>
              </w:rPr>
            </w:pPr>
            <w:r>
              <w:rPr>
                <w:rFonts w:ascii="Arial" w:cs="Arial" w:eastAsia="Arial" w:hAnsi="Arial"/>
                <w:sz w:val="18"/>
                <w:szCs w:val="18"/>
                <w:color w:val="auto"/>
              </w:rPr>
              <w:t>Certificate of Amendment and Registration of Restated Articles of Weatherford Canada Ltd., an Alberta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T3A-37*</w:t>
            </w:r>
          </w:p>
        </w:tc>
        <w:tc>
          <w:tcPr>
            <w:tcW w:w="9380" w:type="dxa"/>
            <w:vAlign w:val="bottom"/>
          </w:tcPr>
          <w:p>
            <w:pPr>
              <w:spacing w:after="0"/>
              <w:rPr>
                <w:sz w:val="20"/>
                <w:szCs w:val="20"/>
                <w:color w:val="auto"/>
              </w:rPr>
            </w:pPr>
            <w:r>
              <w:rPr>
                <w:rFonts w:ascii="Arial" w:cs="Arial" w:eastAsia="Arial" w:hAnsi="Arial"/>
                <w:sz w:val="18"/>
                <w:szCs w:val="18"/>
                <w:color w:val="auto"/>
                <w:w w:val="95"/>
              </w:rPr>
              <w:t>Amended and Restated Memorandum of Association of Weatherford Colombia Limited, a British Virgin Islands international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T3A-38*</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Weatherford DISC Inc., a Nevada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T3A-39*</w:t>
            </w:r>
          </w:p>
        </w:tc>
        <w:tc>
          <w:tcPr>
            <w:tcW w:w="9380" w:type="dxa"/>
            <w:vAlign w:val="bottom"/>
          </w:tcPr>
          <w:p>
            <w:pPr>
              <w:spacing w:after="0"/>
              <w:rPr>
                <w:sz w:val="20"/>
                <w:szCs w:val="20"/>
                <w:color w:val="auto"/>
              </w:rPr>
            </w:pPr>
            <w:r>
              <w:rPr>
                <w:rFonts w:ascii="Arial" w:cs="Arial" w:eastAsia="Arial" w:hAnsi="Arial"/>
                <w:sz w:val="18"/>
                <w:szCs w:val="18"/>
                <w:color w:val="auto"/>
                <w:w w:val="95"/>
              </w:rPr>
              <w:t>Amended and Restated Memorandum of Association of Weatherford Drilling International (BVI) Ltd.,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T3A-40*</w:t>
            </w:r>
          </w:p>
        </w:tc>
        <w:tc>
          <w:tcPr>
            <w:tcW w:w="9380" w:type="dxa"/>
            <w:vAlign w:val="bottom"/>
          </w:tcPr>
          <w:p>
            <w:pPr>
              <w:spacing w:after="0"/>
              <w:rPr>
                <w:sz w:val="20"/>
                <w:szCs w:val="20"/>
                <w:color w:val="auto"/>
              </w:rPr>
            </w:pPr>
            <w:r>
              <w:rPr>
                <w:rFonts w:ascii="Arial" w:cs="Arial" w:eastAsia="Arial" w:hAnsi="Arial"/>
                <w:sz w:val="18"/>
                <w:szCs w:val="18"/>
                <w:color w:val="auto"/>
                <w:w w:val="94"/>
              </w:rPr>
              <w:t>Amended and Restated Memorandum of Association of Weatherford Drilling International Holdings (BVI) Ltd., a British Virgin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Islands international 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T3A-41*</w:t>
            </w:r>
          </w:p>
        </w:tc>
        <w:tc>
          <w:tcPr>
            <w:tcW w:w="9380" w:type="dxa"/>
            <w:vAlign w:val="bottom"/>
          </w:tcPr>
          <w:p>
            <w:pPr>
              <w:spacing w:after="0"/>
              <w:rPr>
                <w:sz w:val="20"/>
                <w:szCs w:val="20"/>
                <w:color w:val="auto"/>
              </w:rPr>
            </w:pPr>
            <w:r>
              <w:rPr>
                <w:rFonts w:ascii="Arial" w:cs="Arial" w:eastAsia="Arial" w:hAnsi="Arial"/>
                <w:sz w:val="18"/>
                <w:szCs w:val="18"/>
                <w:color w:val="auto"/>
              </w:rPr>
              <w:t>Articles of Association of Weatherford Eurasia Limited, an England corporation,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T3A-42*</w:t>
            </w:r>
          </w:p>
        </w:tc>
        <w:tc>
          <w:tcPr>
            <w:tcW w:w="9380" w:type="dxa"/>
            <w:vAlign w:val="bottom"/>
          </w:tcPr>
          <w:p>
            <w:pPr>
              <w:spacing w:after="0"/>
              <w:rPr>
                <w:sz w:val="20"/>
                <w:szCs w:val="20"/>
                <w:color w:val="auto"/>
              </w:rPr>
            </w:pPr>
            <w:r>
              <w:rPr>
                <w:rFonts w:ascii="Arial" w:cs="Arial" w:eastAsia="Arial" w:hAnsi="Arial"/>
                <w:sz w:val="18"/>
                <w:szCs w:val="18"/>
                <w:color w:val="auto"/>
                <w:w w:val="93"/>
              </w:rPr>
              <w:t>Amended and Restated Articles of Association of Weatherford European Holdings (Luxembourg) S.á r.l, a Luxembourg private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T3A-43*</w:t>
            </w:r>
          </w:p>
        </w:tc>
        <w:tc>
          <w:tcPr>
            <w:tcW w:w="9380" w:type="dxa"/>
            <w:vAlign w:val="bottom"/>
          </w:tcPr>
          <w:p>
            <w:pPr>
              <w:spacing w:after="0"/>
              <w:rPr>
                <w:sz w:val="20"/>
                <w:szCs w:val="20"/>
                <w:color w:val="auto"/>
              </w:rPr>
            </w:pPr>
            <w:r>
              <w:rPr>
                <w:rFonts w:ascii="Arial" w:cs="Arial" w:eastAsia="Arial" w:hAnsi="Arial"/>
                <w:sz w:val="18"/>
                <w:szCs w:val="18"/>
                <w:color w:val="auto"/>
              </w:rPr>
              <w:t>Articles of Organization of Weatherford Global Services LLC, a Louisiana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T3A-44*</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Weatherford Holdings (Bermuda)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T3A-45*</w:t>
            </w:r>
          </w:p>
        </w:tc>
        <w:tc>
          <w:tcPr>
            <w:tcW w:w="9380" w:type="dxa"/>
            <w:vAlign w:val="bottom"/>
          </w:tcPr>
          <w:p>
            <w:pPr>
              <w:spacing w:after="0"/>
              <w:rPr>
                <w:sz w:val="20"/>
                <w:szCs w:val="20"/>
                <w:color w:val="auto"/>
              </w:rPr>
            </w:pPr>
            <w:r>
              <w:rPr>
                <w:rFonts w:ascii="Arial" w:cs="Arial" w:eastAsia="Arial" w:hAnsi="Arial"/>
                <w:sz w:val="18"/>
                <w:szCs w:val="18"/>
                <w:color w:val="auto"/>
                <w:w w:val="94"/>
              </w:rPr>
              <w:t>Amended and Restated Memorandum of Association of Weatherford Holdings (BVI) Ltd., a British Virgin Islands international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T3A-46*</w:t>
            </w:r>
          </w:p>
        </w:tc>
        <w:tc>
          <w:tcPr>
            <w:tcW w:w="9380" w:type="dxa"/>
            <w:vAlign w:val="bottom"/>
          </w:tcPr>
          <w:p>
            <w:pPr>
              <w:spacing w:after="0"/>
              <w:rPr>
                <w:sz w:val="20"/>
                <w:szCs w:val="20"/>
                <w:color w:val="auto"/>
              </w:rPr>
            </w:pPr>
            <w:r>
              <w:rPr>
                <w:rFonts w:ascii="Arial" w:cs="Arial" w:eastAsia="Arial" w:hAnsi="Arial"/>
                <w:sz w:val="18"/>
                <w:szCs w:val="18"/>
                <w:color w:val="auto"/>
              </w:rPr>
              <w:t>Articles of Association of Weatherford Holdings (Switzerland) GmbH, a Switzerland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T3A-47*</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Holdings U.S.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T3A-48*</w:t>
            </w:r>
          </w:p>
        </w:tc>
        <w:tc>
          <w:tcPr>
            <w:tcW w:w="9380" w:type="dxa"/>
            <w:vAlign w:val="bottom"/>
          </w:tcPr>
          <w:p>
            <w:pPr>
              <w:spacing w:after="0"/>
              <w:rPr>
                <w:sz w:val="20"/>
                <w:szCs w:val="20"/>
                <w:color w:val="auto"/>
              </w:rPr>
            </w:pPr>
            <w:r>
              <w:rPr>
                <w:rFonts w:ascii="Arial" w:cs="Arial" w:eastAsia="Arial" w:hAnsi="Arial"/>
                <w:sz w:val="18"/>
                <w:szCs w:val="18"/>
                <w:color w:val="auto"/>
                <w:w w:val="96"/>
              </w:rPr>
              <w:t>Amended and Restated Articles of Association of Weatherford International (Luxembourg) Holdings S.á r.l, a Luxembourg</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private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T3A-49*</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Weatherford International Holding (Bermuda)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T3A-50*</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Investment Holding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T3A-51*</w:t>
            </w:r>
          </w:p>
        </w:tc>
        <w:tc>
          <w:tcPr>
            <w:tcW w:w="9380" w:type="dxa"/>
            <w:vAlign w:val="bottom"/>
          </w:tcPr>
          <w:p>
            <w:pPr>
              <w:spacing w:after="0"/>
              <w:rPr>
                <w:sz w:val="20"/>
                <w:szCs w:val="20"/>
                <w:color w:val="auto"/>
              </w:rPr>
            </w:pPr>
            <w:r>
              <w:rPr>
                <w:rFonts w:ascii="Arial" w:cs="Arial" w:eastAsia="Arial" w:hAnsi="Arial"/>
                <w:sz w:val="18"/>
                <w:szCs w:val="18"/>
                <w:color w:val="auto"/>
              </w:rPr>
              <w:t>Certificate of Incorporation of Weatherford Investment Inc., a Delaware corporation,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T3A-52*</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Latin America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T3A-53*</w:t>
            </w:r>
          </w:p>
        </w:tc>
        <w:tc>
          <w:tcPr>
            <w:tcW w:w="9380" w:type="dxa"/>
            <w:vAlign w:val="bottom"/>
          </w:tcPr>
          <w:p>
            <w:pPr>
              <w:spacing w:after="0"/>
              <w:rPr>
                <w:sz w:val="20"/>
                <w:szCs w:val="20"/>
                <w:color w:val="auto"/>
              </w:rPr>
            </w:pPr>
            <w:r>
              <w:rPr>
                <w:rFonts w:ascii="Arial" w:cs="Arial" w:eastAsia="Arial" w:hAnsi="Arial"/>
                <w:sz w:val="18"/>
                <w:szCs w:val="18"/>
                <w:color w:val="auto"/>
                <w:w w:val="99"/>
              </w:rPr>
              <w:t>Articles of Association of Weatherford Management Company Switzerland Sárl, a Switzerland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T3A-54*</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Management,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T3A-55*</w:t>
            </w:r>
          </w:p>
        </w:tc>
        <w:tc>
          <w:tcPr>
            <w:tcW w:w="9380" w:type="dxa"/>
            <w:vAlign w:val="bottom"/>
          </w:tcPr>
          <w:p>
            <w:pPr>
              <w:spacing w:after="0"/>
              <w:rPr>
                <w:sz w:val="20"/>
                <w:szCs w:val="20"/>
                <w:color w:val="auto"/>
              </w:rPr>
            </w:pPr>
            <w:r>
              <w:rPr>
                <w:rFonts w:ascii="Arial" w:cs="Arial" w:eastAsia="Arial" w:hAnsi="Arial"/>
                <w:sz w:val="18"/>
                <w:szCs w:val="18"/>
                <w:color w:val="auto"/>
              </w:rPr>
              <w:t>Articles of Association of Weatherford Netherlands B.V., a Netherlands private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T3A-56*</w:t>
            </w:r>
          </w:p>
        </w:tc>
        <w:tc>
          <w:tcPr>
            <w:tcW w:w="9380" w:type="dxa"/>
            <w:vAlign w:val="bottom"/>
          </w:tcPr>
          <w:p>
            <w:pPr>
              <w:spacing w:after="0"/>
              <w:rPr>
                <w:sz w:val="20"/>
                <w:szCs w:val="20"/>
                <w:color w:val="auto"/>
              </w:rPr>
            </w:pPr>
            <w:r>
              <w:rPr>
                <w:rFonts w:ascii="Arial" w:cs="Arial" w:eastAsia="Arial" w:hAnsi="Arial"/>
                <w:sz w:val="18"/>
                <w:szCs w:val="18"/>
                <w:color w:val="auto"/>
              </w:rPr>
              <w:t>Articles of Association of Weatherford Norge AS, a Norway limited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T3A-57*</w:t>
            </w:r>
          </w:p>
        </w:tc>
        <w:tc>
          <w:tcPr>
            <w:tcW w:w="9380" w:type="dxa"/>
            <w:vAlign w:val="bottom"/>
          </w:tcPr>
          <w:p>
            <w:pPr>
              <w:spacing w:after="0"/>
              <w:rPr>
                <w:sz w:val="20"/>
                <w:szCs w:val="20"/>
                <w:color w:val="auto"/>
              </w:rPr>
            </w:pPr>
            <w:r>
              <w:rPr>
                <w:rFonts w:ascii="Arial" w:cs="Arial" w:eastAsia="Arial" w:hAnsi="Arial"/>
                <w:sz w:val="18"/>
                <w:szCs w:val="18"/>
                <w:color w:val="auto"/>
                <w:w w:val="97"/>
              </w:rPr>
              <w:t>Amended and Restated Memorandum of Association of Weatherford Oil Tool Middle East Limited,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T3A-58*</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Weatherford Pangaea Holdings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T3A-59*</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Weatherford Products GmbH, a Switzerland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T3A-60*</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Weatherford Services S. de R.L., a Panama corporation,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T3A-61*</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Weatherford Services,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T3A-62*</w:t>
            </w:r>
          </w:p>
        </w:tc>
        <w:tc>
          <w:tcPr>
            <w:tcW w:w="9380" w:type="dxa"/>
            <w:vAlign w:val="bottom"/>
          </w:tcPr>
          <w:p>
            <w:pPr>
              <w:spacing w:after="0"/>
              <w:rPr>
                <w:sz w:val="20"/>
                <w:szCs w:val="20"/>
                <w:color w:val="auto"/>
              </w:rPr>
            </w:pPr>
            <w:r>
              <w:rPr>
                <w:rFonts w:ascii="Arial" w:cs="Arial" w:eastAsia="Arial" w:hAnsi="Arial"/>
                <w:sz w:val="18"/>
                <w:szCs w:val="18"/>
                <w:color w:val="auto"/>
                <w:w w:val="95"/>
              </w:rPr>
              <w:t>Articles of Association of Weatherford Switzerland Trading and Development GmbH, a Switzerland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T3A-63*</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Technology Holdings, LLC, a Delaware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T3A-64*</w:t>
            </w:r>
          </w:p>
        </w:tc>
        <w:tc>
          <w:tcPr>
            <w:tcW w:w="9380" w:type="dxa"/>
            <w:vAlign w:val="bottom"/>
          </w:tcPr>
          <w:p>
            <w:pPr>
              <w:spacing w:after="0"/>
              <w:rPr>
                <w:sz w:val="20"/>
                <w:szCs w:val="20"/>
                <w:color w:val="auto"/>
              </w:rPr>
            </w:pPr>
            <w:r>
              <w:rPr>
                <w:rFonts w:ascii="Arial" w:cs="Arial" w:eastAsia="Arial" w:hAnsi="Arial"/>
                <w:sz w:val="18"/>
                <w:szCs w:val="18"/>
                <w:color w:val="auto"/>
              </w:rPr>
              <w:t>Articles of Association of Weatherford U.K. Limited, an England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T3A-65*</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U.S. Holdings, L.L.C., a Delaware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T3A-66*</w:t>
            </w:r>
          </w:p>
        </w:tc>
        <w:tc>
          <w:tcPr>
            <w:tcW w:w="9380" w:type="dxa"/>
            <w:vAlign w:val="bottom"/>
          </w:tcPr>
          <w:p>
            <w:pPr>
              <w:spacing w:after="0"/>
              <w:rPr>
                <w:sz w:val="20"/>
                <w:szCs w:val="20"/>
                <w:color w:val="auto"/>
              </w:rPr>
            </w:pPr>
            <w:r>
              <w:rPr>
                <w:rFonts w:ascii="Arial" w:cs="Arial" w:eastAsia="Arial" w:hAnsi="Arial"/>
                <w:sz w:val="18"/>
                <w:szCs w:val="18"/>
                <w:color w:val="auto"/>
              </w:rPr>
              <w:t>Louisiana Partnership Registration Form of Weatherford U.S., L.P., a Louisiana limited partnership</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T3A-67*</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Weatherford URS Holdings, LLC, a Delaware limited liability company</w:t>
            </w:r>
          </w:p>
        </w:tc>
        <w:tc>
          <w:tcPr>
            <w:tcW w:w="40" w:type="dxa"/>
            <w:vAlign w:val="bottom"/>
          </w:tcPr>
          <w:p>
            <w:pPr>
              <w:spacing w:after="0"/>
              <w:rPr>
                <w:sz w:val="18"/>
                <w:szCs w:val="18"/>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T3A-68*</w:t>
            </w:r>
          </w:p>
        </w:tc>
        <w:tc>
          <w:tcPr>
            <w:tcW w:w="9380" w:type="dxa"/>
            <w:vAlign w:val="bottom"/>
          </w:tcPr>
          <w:p>
            <w:pPr>
              <w:spacing w:after="0"/>
              <w:rPr>
                <w:sz w:val="20"/>
                <w:szCs w:val="20"/>
                <w:color w:val="auto"/>
              </w:rPr>
            </w:pPr>
            <w:r>
              <w:rPr>
                <w:rFonts w:ascii="Arial" w:cs="Arial" w:eastAsia="Arial" w:hAnsi="Arial"/>
                <w:sz w:val="18"/>
                <w:szCs w:val="18"/>
                <w:color w:val="auto"/>
              </w:rPr>
              <w:t>Articles of Association of Weatherford Worldwide Holdings GmbH, a Switzerland limited liability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36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38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T3A-69*</w:t>
            </w:r>
          </w:p>
        </w:tc>
        <w:tc>
          <w:tcPr>
            <w:tcW w:w="320" w:type="dxa"/>
            <w:vAlign w:val="bottom"/>
          </w:tcPr>
          <w:p>
            <w:pPr>
              <w:spacing w:after="0"/>
              <w:rPr>
                <w:sz w:val="16"/>
                <w:szCs w:val="16"/>
                <w:color w:val="auto"/>
              </w:rPr>
            </w:pPr>
          </w:p>
        </w:tc>
        <w:tc>
          <w:tcPr>
            <w:tcW w:w="9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Certificate of Incorporation of Weatherford/Lamb, Inc., a Delaware corporation</w:t>
            </w:r>
          </w:p>
        </w:tc>
        <w:tc>
          <w:tcPr>
            <w:tcW w:w="40" w:type="dxa"/>
            <w:vAlign w:val="bottom"/>
          </w:tcPr>
          <w:p>
            <w:pPr>
              <w:spacing w:after="0"/>
              <w:rPr>
                <w:sz w:val="16"/>
                <w:szCs w:val="16"/>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T3A-70*</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WEUS Holding,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T3A-71*</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WIHBV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T3A-72*</w:t>
            </w:r>
          </w:p>
        </w:tc>
        <w:tc>
          <w:tcPr>
            <w:tcW w:w="9380" w:type="dxa"/>
            <w:vAlign w:val="bottom"/>
          </w:tcPr>
          <w:p>
            <w:pPr>
              <w:spacing w:after="0"/>
              <w:rPr>
                <w:sz w:val="20"/>
                <w:szCs w:val="20"/>
                <w:color w:val="auto"/>
              </w:rPr>
            </w:pPr>
            <w:r>
              <w:rPr>
                <w:rFonts w:ascii="Arial" w:cs="Arial" w:eastAsia="Arial" w:hAnsi="Arial"/>
                <w:sz w:val="18"/>
                <w:szCs w:val="18"/>
                <w:color w:val="auto"/>
              </w:rPr>
              <w:t>Memorandum of Association of WOFS Assurance Limited,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T3A-73*</w:t>
            </w:r>
          </w:p>
        </w:tc>
        <w:tc>
          <w:tcPr>
            <w:tcW w:w="9380" w:type="dxa"/>
            <w:vAlign w:val="bottom"/>
          </w:tcPr>
          <w:p>
            <w:pPr>
              <w:spacing w:after="0"/>
              <w:rPr>
                <w:sz w:val="20"/>
                <w:szCs w:val="20"/>
                <w:color w:val="auto"/>
              </w:rPr>
            </w:pPr>
            <w:r>
              <w:rPr>
                <w:rFonts w:ascii="Arial" w:cs="Arial" w:eastAsia="Arial" w:hAnsi="Arial"/>
                <w:sz w:val="18"/>
                <w:szCs w:val="18"/>
                <w:color w:val="auto"/>
              </w:rPr>
              <w:t>Articles of Incorporation of WOFS International Finance GmbH, a Switzerland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T3A-74*</w:t>
            </w:r>
          </w:p>
        </w:tc>
        <w:tc>
          <w:tcPr>
            <w:tcW w:w="9380" w:type="dxa"/>
            <w:vAlign w:val="bottom"/>
          </w:tcPr>
          <w:p>
            <w:pPr>
              <w:spacing w:after="0"/>
              <w:rPr>
                <w:sz w:val="20"/>
                <w:szCs w:val="20"/>
                <w:color w:val="auto"/>
              </w:rPr>
            </w:pPr>
            <w:r>
              <w:rPr>
                <w:rFonts w:ascii="Arial" w:cs="Arial" w:eastAsia="Arial" w:hAnsi="Arial"/>
                <w:sz w:val="18"/>
                <w:szCs w:val="18"/>
                <w:color w:val="auto"/>
              </w:rPr>
              <w:t>Articles of Association of WOFS Swiss Finance GmbH, a Switzerland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T3A-75*</w:t>
            </w:r>
          </w:p>
        </w:tc>
        <w:tc>
          <w:tcPr>
            <w:tcW w:w="9380" w:type="dxa"/>
            <w:vAlign w:val="bottom"/>
          </w:tcPr>
          <w:p>
            <w:pPr>
              <w:spacing w:after="0"/>
              <w:rPr>
                <w:sz w:val="20"/>
                <w:szCs w:val="20"/>
                <w:color w:val="auto"/>
              </w:rPr>
            </w:pPr>
            <w:r>
              <w:rPr>
                <w:rFonts w:ascii="Arial" w:cs="Arial" w:eastAsia="Arial" w:hAnsi="Arial"/>
                <w:sz w:val="18"/>
                <w:szCs w:val="18"/>
                <w:color w:val="auto"/>
              </w:rPr>
              <w:t>Certificate of Formation of WUS Holding, L.L.C., a Delaware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w:t>
            </w:r>
          </w:p>
        </w:tc>
        <w:tc>
          <w:tcPr>
            <w:tcW w:w="9380" w:type="dxa"/>
            <w:vAlign w:val="bottom"/>
          </w:tcPr>
          <w:p>
            <w:pPr>
              <w:spacing w:after="0"/>
              <w:rPr>
                <w:sz w:val="20"/>
                <w:szCs w:val="20"/>
                <w:color w:val="auto"/>
              </w:rPr>
            </w:pPr>
            <w:r>
              <w:rPr>
                <w:rFonts w:ascii="Arial" w:cs="Arial" w:eastAsia="Arial" w:hAnsi="Arial"/>
                <w:sz w:val="18"/>
                <w:szCs w:val="18"/>
                <w:color w:val="auto"/>
                <w:w w:val="93"/>
              </w:rPr>
              <w:t>Limited Liability Company Agreement of Weatherford International, LLC, a Delaware limited liability company (incorporated by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8"/>
              </w:rPr>
              <w:t>reference to Exhibit 4.8 to the Registration Statement on Form S-3 of Weatherford International Ltd., a Swiss joint-stock</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corporation (File No. 333-194431), filed March 7, 2014)</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w:t>
            </w:r>
          </w:p>
        </w:tc>
        <w:tc>
          <w:tcPr>
            <w:tcW w:w="9380" w:type="dxa"/>
            <w:vAlign w:val="bottom"/>
          </w:tcPr>
          <w:p>
            <w:pPr>
              <w:spacing w:after="0"/>
              <w:rPr>
                <w:sz w:val="20"/>
                <w:szCs w:val="20"/>
                <w:color w:val="auto"/>
              </w:rPr>
            </w:pPr>
            <w:r>
              <w:rPr>
                <w:rFonts w:ascii="Arial" w:cs="Arial" w:eastAsia="Arial" w:hAnsi="Arial"/>
                <w:sz w:val="18"/>
                <w:szCs w:val="18"/>
                <w:color w:val="auto"/>
                <w:w w:val="94"/>
              </w:rPr>
              <w:t>Bye-Laws of Weatherford International Ltd., a Bermuda exempted company, as amended on May 10, 2016 (incorporated by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3"/>
              </w:rPr>
              <w:t>reference to Exhibit 3.4 to the Registration Statement on Form S-3 of Weatherford International plc (File No. 333-216034) filed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February 13, 2017)</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w:t>
            </w:r>
          </w:p>
        </w:tc>
        <w:tc>
          <w:tcPr>
            <w:tcW w:w="9380" w:type="dxa"/>
            <w:vAlign w:val="bottom"/>
          </w:tcPr>
          <w:p>
            <w:pPr>
              <w:spacing w:after="0"/>
              <w:rPr>
                <w:sz w:val="20"/>
                <w:szCs w:val="20"/>
                <w:color w:val="auto"/>
              </w:rPr>
            </w:pPr>
            <w:r>
              <w:rPr>
                <w:rFonts w:ascii="Arial" w:cs="Arial" w:eastAsia="Arial" w:hAnsi="Arial"/>
                <w:sz w:val="18"/>
                <w:szCs w:val="18"/>
                <w:color w:val="auto"/>
              </w:rPr>
              <w:t>Bye-Laws of Advantage R &amp; D,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By-Laws of Benmore In-Depth Corp.,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Bylaws of Case Services Inc.,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T3B-6*</w:t>
            </w:r>
          </w:p>
        </w:tc>
        <w:tc>
          <w:tcPr>
            <w:tcW w:w="9380" w:type="dxa"/>
            <w:vAlign w:val="bottom"/>
          </w:tcPr>
          <w:p>
            <w:pPr>
              <w:spacing w:after="0"/>
              <w:rPr>
                <w:sz w:val="20"/>
                <w:szCs w:val="20"/>
                <w:color w:val="auto"/>
              </w:rPr>
            </w:pPr>
            <w:r>
              <w:rPr>
                <w:rFonts w:ascii="Arial" w:cs="Arial" w:eastAsia="Arial" w:hAnsi="Arial"/>
                <w:sz w:val="18"/>
                <w:szCs w:val="18"/>
                <w:color w:val="auto"/>
              </w:rPr>
              <w:t>By-Laws of Colombia Petroleum Services Corp.,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T3B-7*</w:t>
            </w:r>
          </w:p>
        </w:tc>
        <w:tc>
          <w:tcPr>
            <w:tcW w:w="9380" w:type="dxa"/>
            <w:vAlign w:val="bottom"/>
          </w:tcPr>
          <w:p>
            <w:pPr>
              <w:spacing w:after="0"/>
              <w:rPr>
                <w:sz w:val="20"/>
                <w:szCs w:val="20"/>
                <w:color w:val="auto"/>
              </w:rPr>
            </w:pPr>
            <w:r>
              <w:rPr>
                <w:rFonts w:ascii="Arial" w:cs="Arial" w:eastAsia="Arial" w:hAnsi="Arial"/>
                <w:sz w:val="18"/>
                <w:szCs w:val="18"/>
                <w:color w:val="auto"/>
              </w:rPr>
              <w:t>Bylaws of Columbia Oilfield Supply,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T3B-8*</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Limited Liability Company Agreement of Datalog Acquisition, LLC, a Delaware limited liability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T3B-9*</w:t>
            </w:r>
          </w:p>
        </w:tc>
        <w:tc>
          <w:tcPr>
            <w:tcW w:w="9380" w:type="dxa"/>
            <w:vAlign w:val="bottom"/>
          </w:tcPr>
          <w:p>
            <w:pPr>
              <w:spacing w:after="0"/>
              <w:rPr>
                <w:sz w:val="20"/>
                <w:szCs w:val="20"/>
                <w:color w:val="auto"/>
              </w:rPr>
            </w:pPr>
            <w:r>
              <w:rPr>
                <w:rFonts w:ascii="Arial" w:cs="Arial" w:eastAsia="Arial" w:hAnsi="Arial"/>
                <w:sz w:val="18"/>
                <w:szCs w:val="18"/>
                <w:color w:val="auto"/>
              </w:rPr>
              <w:t>By-Laws of Discovery Logging, Inc.,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T3B-10*</w:t>
            </w:r>
          </w:p>
        </w:tc>
        <w:tc>
          <w:tcPr>
            <w:tcW w:w="9380" w:type="dxa"/>
            <w:vAlign w:val="bottom"/>
          </w:tcPr>
          <w:p>
            <w:pPr>
              <w:spacing w:after="0"/>
              <w:rPr>
                <w:sz w:val="20"/>
                <w:szCs w:val="20"/>
                <w:color w:val="auto"/>
              </w:rPr>
            </w:pPr>
            <w:r>
              <w:rPr>
                <w:rFonts w:ascii="Arial" w:cs="Arial" w:eastAsia="Arial" w:hAnsi="Arial"/>
                <w:sz w:val="18"/>
                <w:szCs w:val="18"/>
                <w:color w:val="auto"/>
              </w:rPr>
              <w:t>By-Laws of Edinburgh Petroleum Services Americas Incorporated,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T3B-11*</w:t>
            </w:r>
          </w:p>
        </w:tc>
        <w:tc>
          <w:tcPr>
            <w:tcW w:w="9380" w:type="dxa"/>
            <w:vAlign w:val="bottom"/>
          </w:tcPr>
          <w:p>
            <w:pPr>
              <w:spacing w:after="0"/>
              <w:rPr>
                <w:sz w:val="20"/>
                <w:szCs w:val="20"/>
                <w:color w:val="auto"/>
              </w:rPr>
            </w:pPr>
            <w:r>
              <w:rPr>
                <w:rFonts w:ascii="Arial" w:cs="Arial" w:eastAsia="Arial" w:hAnsi="Arial"/>
                <w:sz w:val="18"/>
                <w:szCs w:val="18"/>
                <w:color w:val="auto"/>
              </w:rPr>
              <w:t>Company Agreement of eProduction Solutions, LLC, a Texas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T3B-12*</w:t>
            </w:r>
          </w:p>
        </w:tc>
        <w:tc>
          <w:tcPr>
            <w:tcW w:w="9380" w:type="dxa"/>
            <w:vAlign w:val="bottom"/>
          </w:tcPr>
          <w:p>
            <w:pPr>
              <w:spacing w:after="0"/>
              <w:rPr>
                <w:sz w:val="20"/>
                <w:szCs w:val="20"/>
                <w:color w:val="auto"/>
              </w:rPr>
            </w:pPr>
            <w:r>
              <w:rPr>
                <w:rFonts w:ascii="Arial" w:cs="Arial" w:eastAsia="Arial" w:hAnsi="Arial"/>
                <w:sz w:val="18"/>
                <w:szCs w:val="18"/>
                <w:color w:val="auto"/>
              </w:rPr>
              <w:t>By-Laws of High Pressure Integrity, Inc., a Louisiana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T3B-13*</w:t>
            </w:r>
          </w:p>
        </w:tc>
        <w:tc>
          <w:tcPr>
            <w:tcW w:w="9380" w:type="dxa"/>
            <w:vAlign w:val="bottom"/>
          </w:tcPr>
          <w:p>
            <w:pPr>
              <w:spacing w:after="0"/>
              <w:rPr>
                <w:sz w:val="20"/>
                <w:szCs w:val="20"/>
                <w:color w:val="auto"/>
              </w:rPr>
            </w:pPr>
            <w:r>
              <w:rPr>
                <w:rFonts w:ascii="Arial" w:cs="Arial" w:eastAsia="Arial" w:hAnsi="Arial"/>
                <w:sz w:val="18"/>
                <w:szCs w:val="18"/>
                <w:color w:val="auto"/>
              </w:rPr>
              <w:t>Bylaws of In-Depth Systems, Inc.,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T3B-14*</w:t>
            </w:r>
          </w:p>
        </w:tc>
        <w:tc>
          <w:tcPr>
            <w:tcW w:w="9380" w:type="dxa"/>
            <w:vAlign w:val="bottom"/>
          </w:tcPr>
          <w:p>
            <w:pPr>
              <w:spacing w:after="0"/>
              <w:rPr>
                <w:sz w:val="20"/>
                <w:szCs w:val="20"/>
                <w:color w:val="auto"/>
              </w:rPr>
            </w:pPr>
            <w:r>
              <w:rPr>
                <w:rFonts w:ascii="Arial" w:cs="Arial" w:eastAsia="Arial" w:hAnsi="Arial"/>
                <w:sz w:val="18"/>
                <w:szCs w:val="18"/>
                <w:color w:val="auto"/>
              </w:rPr>
              <w:t>Operating Agreement of International Logging LLC, a California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T3B-15*</w:t>
            </w:r>
          </w:p>
        </w:tc>
        <w:tc>
          <w:tcPr>
            <w:tcW w:w="9380" w:type="dxa"/>
            <w:vAlign w:val="bottom"/>
          </w:tcPr>
          <w:p>
            <w:pPr>
              <w:spacing w:after="0"/>
              <w:rPr>
                <w:sz w:val="20"/>
                <w:szCs w:val="20"/>
                <w:color w:val="auto"/>
              </w:rPr>
            </w:pPr>
            <w:r>
              <w:rPr>
                <w:rFonts w:ascii="Arial" w:cs="Arial" w:eastAsia="Arial" w:hAnsi="Arial"/>
                <w:sz w:val="18"/>
                <w:szCs w:val="18"/>
                <w:color w:val="auto"/>
                <w:w w:val="97"/>
              </w:rPr>
              <w:t>Limited-Liability Company Agreement of International Logging S.A., LLC, a Nevada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T3B-16*</w:t>
            </w:r>
          </w:p>
        </w:tc>
        <w:tc>
          <w:tcPr>
            <w:tcW w:w="9380" w:type="dxa"/>
            <w:vAlign w:val="bottom"/>
          </w:tcPr>
          <w:p>
            <w:pPr>
              <w:spacing w:after="0"/>
              <w:rPr>
                <w:sz w:val="20"/>
                <w:szCs w:val="20"/>
                <w:color w:val="auto"/>
              </w:rPr>
            </w:pPr>
            <w:r>
              <w:rPr>
                <w:rFonts w:ascii="Arial" w:cs="Arial" w:eastAsia="Arial" w:hAnsi="Arial"/>
                <w:sz w:val="18"/>
                <w:szCs w:val="18"/>
                <w:color w:val="auto"/>
              </w:rPr>
              <w:t>Bye-Laws of Key International Drilling Company Limited,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T3B-17*</w:t>
            </w:r>
          </w:p>
        </w:tc>
        <w:tc>
          <w:tcPr>
            <w:tcW w:w="9380" w:type="dxa"/>
            <w:vAlign w:val="bottom"/>
          </w:tcPr>
          <w:p>
            <w:pPr>
              <w:spacing w:after="0"/>
              <w:rPr>
                <w:sz w:val="20"/>
                <w:szCs w:val="20"/>
                <w:color w:val="auto"/>
              </w:rPr>
            </w:pPr>
            <w:r>
              <w:rPr>
                <w:rFonts w:ascii="Arial" w:cs="Arial" w:eastAsia="Arial" w:hAnsi="Arial"/>
                <w:sz w:val="18"/>
                <w:szCs w:val="18"/>
                <w:color w:val="auto"/>
              </w:rPr>
              <w:t>Agreement of Limited Partnership of PD Holdings (USA), L.P., a Delaware limited partnership,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T3B-18*</w:t>
            </w: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 Agreement of Precision Drilling GP,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T3B-19*</w:t>
            </w:r>
          </w:p>
        </w:tc>
        <w:tc>
          <w:tcPr>
            <w:tcW w:w="9380" w:type="dxa"/>
            <w:vAlign w:val="bottom"/>
          </w:tcPr>
          <w:p>
            <w:pPr>
              <w:spacing w:after="0"/>
              <w:rPr>
                <w:sz w:val="20"/>
                <w:szCs w:val="20"/>
                <w:color w:val="auto"/>
              </w:rPr>
            </w:pPr>
            <w:r>
              <w:rPr>
                <w:rFonts w:ascii="Arial" w:cs="Arial" w:eastAsia="Arial" w:hAnsi="Arial"/>
                <w:sz w:val="18"/>
                <w:szCs w:val="18"/>
                <w:color w:val="auto"/>
              </w:rPr>
              <w:t>By-Law No. 1 of Precision Energy International Ltd., an Alberta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T3B-20*</w:t>
            </w:r>
          </w:p>
        </w:tc>
        <w:tc>
          <w:tcPr>
            <w:tcW w:w="9380" w:type="dxa"/>
            <w:vAlign w:val="bottom"/>
          </w:tcPr>
          <w:p>
            <w:pPr>
              <w:spacing w:after="0"/>
              <w:rPr>
                <w:sz w:val="20"/>
                <w:szCs w:val="20"/>
                <w:color w:val="auto"/>
              </w:rPr>
            </w:pPr>
            <w:r>
              <w:rPr>
                <w:rFonts w:ascii="Arial" w:cs="Arial" w:eastAsia="Arial" w:hAnsi="Arial"/>
                <w:sz w:val="18"/>
                <w:szCs w:val="18"/>
                <w:color w:val="auto"/>
              </w:rPr>
              <w:t>By-Law Number 1 of Precision Energy Services Colombia Ltd., an Alberta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T3B-21*</w:t>
            </w:r>
          </w:p>
        </w:tc>
        <w:tc>
          <w:tcPr>
            <w:tcW w:w="9380" w:type="dxa"/>
            <w:vAlign w:val="bottom"/>
          </w:tcPr>
          <w:p>
            <w:pPr>
              <w:spacing w:after="0"/>
              <w:rPr>
                <w:sz w:val="20"/>
                <w:szCs w:val="20"/>
                <w:color w:val="auto"/>
              </w:rPr>
            </w:pPr>
            <w:r>
              <w:rPr>
                <w:rFonts w:ascii="Arial" w:cs="Arial" w:eastAsia="Arial" w:hAnsi="Arial"/>
                <w:sz w:val="18"/>
                <w:szCs w:val="18"/>
                <w:color w:val="auto"/>
              </w:rPr>
              <w:t>By-Law No. 1 of Precision Energy Services ULC, an Alberta unlimited liability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T3B-22*</w:t>
            </w:r>
          </w:p>
        </w:tc>
        <w:tc>
          <w:tcPr>
            <w:tcW w:w="9380" w:type="dxa"/>
            <w:vAlign w:val="bottom"/>
          </w:tcPr>
          <w:p>
            <w:pPr>
              <w:spacing w:after="0"/>
              <w:rPr>
                <w:sz w:val="20"/>
                <w:szCs w:val="20"/>
                <w:color w:val="auto"/>
              </w:rPr>
            </w:pPr>
            <w:r>
              <w:rPr>
                <w:rFonts w:ascii="Arial" w:cs="Arial" w:eastAsia="Arial" w:hAnsi="Arial"/>
                <w:sz w:val="18"/>
                <w:szCs w:val="18"/>
                <w:color w:val="auto"/>
              </w:rPr>
              <w:t>By-Law No. 2 of Precision Energy Services ULC, an Alberta unlimited liability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T3B-23*</w:t>
            </w:r>
          </w:p>
        </w:tc>
        <w:tc>
          <w:tcPr>
            <w:tcW w:w="9380" w:type="dxa"/>
            <w:vAlign w:val="bottom"/>
          </w:tcPr>
          <w:p>
            <w:pPr>
              <w:spacing w:after="0"/>
              <w:rPr>
                <w:sz w:val="20"/>
                <w:szCs w:val="20"/>
                <w:color w:val="auto"/>
              </w:rPr>
            </w:pPr>
            <w:r>
              <w:rPr>
                <w:rFonts w:ascii="Arial" w:cs="Arial" w:eastAsia="Arial" w:hAnsi="Arial"/>
                <w:sz w:val="18"/>
                <w:szCs w:val="18"/>
                <w:color w:val="auto"/>
              </w:rPr>
              <w:t>Bylaws of Precision Energy Services,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T3B-24*</w:t>
            </w:r>
          </w:p>
        </w:tc>
        <w:tc>
          <w:tcPr>
            <w:tcW w:w="9380" w:type="dxa"/>
            <w:vAlign w:val="bottom"/>
          </w:tcPr>
          <w:p>
            <w:pPr>
              <w:spacing w:after="0"/>
              <w:rPr>
                <w:sz w:val="20"/>
                <w:szCs w:val="20"/>
                <w:color w:val="auto"/>
              </w:rPr>
            </w:pPr>
            <w:r>
              <w:rPr>
                <w:rFonts w:ascii="Arial" w:cs="Arial" w:eastAsia="Arial" w:hAnsi="Arial"/>
                <w:sz w:val="18"/>
                <w:szCs w:val="18"/>
                <w:color w:val="auto"/>
                <w:w w:val="91"/>
              </w:rPr>
              <w:t>Agreement of Limited Partnership of Precision Oilfield Services, LLP, a Texas registered limited liability partnership,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T3B-25*</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Bye-Laws of Sabre Drilling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T3B-26*</w:t>
            </w:r>
          </w:p>
        </w:tc>
        <w:tc>
          <w:tcPr>
            <w:tcW w:w="9380" w:type="dxa"/>
            <w:vAlign w:val="bottom"/>
          </w:tcPr>
          <w:p>
            <w:pPr>
              <w:spacing w:after="0"/>
              <w:rPr>
                <w:sz w:val="20"/>
                <w:szCs w:val="20"/>
                <w:color w:val="auto"/>
              </w:rPr>
            </w:pPr>
            <w:r>
              <w:rPr>
                <w:rFonts w:ascii="Arial" w:cs="Arial" w:eastAsia="Arial" w:hAnsi="Arial"/>
                <w:sz w:val="18"/>
                <w:szCs w:val="18"/>
                <w:color w:val="auto"/>
              </w:rPr>
              <w:t>By-Laws of Stealth Oil &amp; Gas,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T3B-27*</w:t>
            </w:r>
          </w:p>
        </w:tc>
        <w:tc>
          <w:tcPr>
            <w:tcW w:w="9380" w:type="dxa"/>
            <w:vAlign w:val="bottom"/>
          </w:tcPr>
          <w:p>
            <w:pPr>
              <w:spacing w:after="0"/>
              <w:rPr>
                <w:sz w:val="20"/>
                <w:szCs w:val="20"/>
                <w:color w:val="auto"/>
              </w:rPr>
            </w:pPr>
            <w:r>
              <w:rPr>
                <w:rFonts w:ascii="Arial" w:cs="Arial" w:eastAsia="Arial" w:hAnsi="Arial"/>
                <w:sz w:val="18"/>
                <w:szCs w:val="18"/>
                <w:color w:val="auto"/>
              </w:rPr>
              <w:t>Bylaws of Took Rockies, Inc., a Wyoming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T3B-28*</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By-Laws of Visean Information Services Inc., a Texas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T3B-29*</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Bylaws of Visual Systems, Inc., a California corporation</w:t>
            </w:r>
          </w:p>
        </w:tc>
        <w:tc>
          <w:tcPr>
            <w:tcW w:w="40" w:type="dxa"/>
            <w:vAlign w:val="bottom"/>
          </w:tcPr>
          <w:p>
            <w:pPr>
              <w:spacing w:after="0"/>
              <w:rPr>
                <w:sz w:val="18"/>
                <w:szCs w:val="18"/>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T3B-30*</w:t>
            </w:r>
          </w:p>
        </w:tc>
        <w:tc>
          <w:tcPr>
            <w:tcW w:w="9380" w:type="dxa"/>
            <w:vAlign w:val="bottom"/>
          </w:tcPr>
          <w:p>
            <w:pPr>
              <w:spacing w:after="0"/>
              <w:rPr>
                <w:sz w:val="20"/>
                <w:szCs w:val="20"/>
                <w:color w:val="auto"/>
              </w:rPr>
            </w:pPr>
            <w:r>
              <w:rPr>
                <w:rFonts w:ascii="Arial" w:cs="Arial" w:eastAsia="Arial" w:hAnsi="Arial"/>
                <w:sz w:val="18"/>
                <w:szCs w:val="18"/>
                <w:color w:val="auto"/>
              </w:rPr>
              <w:t>Bylaws of Warrior Well Services, Inc., an Illinois corporation</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36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38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T3B-31*</w:t>
            </w:r>
          </w:p>
        </w:tc>
        <w:tc>
          <w:tcPr>
            <w:tcW w:w="320" w:type="dxa"/>
            <w:vAlign w:val="bottom"/>
          </w:tcPr>
          <w:p>
            <w:pPr>
              <w:spacing w:after="0"/>
              <w:rPr>
                <w:sz w:val="16"/>
                <w:szCs w:val="16"/>
                <w:color w:val="auto"/>
              </w:rPr>
            </w:pPr>
          </w:p>
        </w:tc>
        <w:tc>
          <w:tcPr>
            <w:tcW w:w="9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Articles of Association of Weatherford (Nova Scotia) ULC, a Nova Scotia unlimited liability corporation</w:t>
            </w:r>
          </w:p>
        </w:tc>
        <w:tc>
          <w:tcPr>
            <w:tcW w:w="40" w:type="dxa"/>
            <w:vAlign w:val="bottom"/>
          </w:tcPr>
          <w:p>
            <w:pPr>
              <w:spacing w:after="0"/>
              <w:rPr>
                <w:sz w:val="16"/>
                <w:szCs w:val="16"/>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T3B-32*</w:t>
            </w: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 Agreement of Weatherford (PTWI),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T3B-33*</w:t>
            </w:r>
          </w:p>
        </w:tc>
        <w:tc>
          <w:tcPr>
            <w:tcW w:w="9380" w:type="dxa"/>
            <w:vAlign w:val="bottom"/>
          </w:tcPr>
          <w:p>
            <w:pPr>
              <w:spacing w:after="0"/>
              <w:rPr>
                <w:sz w:val="20"/>
                <w:szCs w:val="20"/>
                <w:color w:val="auto"/>
              </w:rPr>
            </w:pPr>
            <w:r>
              <w:rPr>
                <w:rFonts w:ascii="Arial" w:cs="Arial" w:eastAsia="Arial" w:hAnsi="Arial"/>
                <w:sz w:val="18"/>
                <w:szCs w:val="18"/>
                <w:color w:val="auto"/>
                <w:w w:val="97"/>
              </w:rPr>
              <w:t>Limited Liability Company Agreement of Weatherford Artificial Lift Systems, LLC, a Delaware limited liability company, as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T3B-34*</w:t>
            </w:r>
          </w:p>
        </w:tc>
        <w:tc>
          <w:tcPr>
            <w:tcW w:w="9380" w:type="dxa"/>
            <w:vAlign w:val="bottom"/>
          </w:tcPr>
          <w:p>
            <w:pPr>
              <w:spacing w:after="0"/>
              <w:rPr>
                <w:sz w:val="20"/>
                <w:szCs w:val="20"/>
                <w:color w:val="auto"/>
              </w:rPr>
            </w:pPr>
            <w:r>
              <w:rPr>
                <w:rFonts w:ascii="Arial" w:cs="Arial" w:eastAsia="Arial" w:hAnsi="Arial"/>
                <w:sz w:val="18"/>
                <w:szCs w:val="18"/>
                <w:color w:val="auto"/>
              </w:rPr>
              <w:t>Constitution of Weatherford Australia Pty Limited, an Australian proprietary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T3B-35*</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Bye-Laws of Weatherford Bermuda Holdings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T3B-36*</w:t>
            </w:r>
          </w:p>
        </w:tc>
        <w:tc>
          <w:tcPr>
            <w:tcW w:w="9380" w:type="dxa"/>
            <w:vAlign w:val="bottom"/>
          </w:tcPr>
          <w:p>
            <w:pPr>
              <w:spacing w:after="0"/>
              <w:rPr>
                <w:sz w:val="20"/>
                <w:szCs w:val="20"/>
                <w:color w:val="auto"/>
              </w:rPr>
            </w:pPr>
            <w:r>
              <w:rPr>
                <w:rFonts w:ascii="Arial" w:cs="Arial" w:eastAsia="Arial" w:hAnsi="Arial"/>
                <w:sz w:val="18"/>
                <w:szCs w:val="18"/>
                <w:color w:val="auto"/>
              </w:rPr>
              <w:t>By-Law No. 1 of Weatherford Canada Ltd., an Alberta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T3B-37*</w:t>
            </w:r>
          </w:p>
        </w:tc>
        <w:tc>
          <w:tcPr>
            <w:tcW w:w="9380" w:type="dxa"/>
            <w:vAlign w:val="bottom"/>
          </w:tcPr>
          <w:p>
            <w:pPr>
              <w:spacing w:after="0"/>
              <w:rPr>
                <w:sz w:val="20"/>
                <w:szCs w:val="20"/>
                <w:color w:val="auto"/>
              </w:rPr>
            </w:pPr>
            <w:r>
              <w:rPr>
                <w:rFonts w:ascii="Arial" w:cs="Arial" w:eastAsia="Arial" w:hAnsi="Arial"/>
                <w:sz w:val="18"/>
                <w:szCs w:val="18"/>
                <w:color w:val="auto"/>
                <w:w w:val="93"/>
              </w:rPr>
              <w:t>Amended and Restated Articles of Association of Weatherford Colombia Limited, a British Virgin Islands international business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T3B-38*</w:t>
            </w:r>
          </w:p>
        </w:tc>
        <w:tc>
          <w:tcPr>
            <w:tcW w:w="9380" w:type="dxa"/>
            <w:vAlign w:val="bottom"/>
          </w:tcPr>
          <w:p>
            <w:pPr>
              <w:spacing w:after="0"/>
              <w:rPr>
                <w:sz w:val="20"/>
                <w:szCs w:val="20"/>
                <w:color w:val="auto"/>
              </w:rPr>
            </w:pPr>
            <w:r>
              <w:rPr>
                <w:rFonts w:ascii="Arial" w:cs="Arial" w:eastAsia="Arial" w:hAnsi="Arial"/>
                <w:sz w:val="18"/>
                <w:szCs w:val="18"/>
                <w:color w:val="auto"/>
              </w:rPr>
              <w:t>By-Laws of Weatherford DISC Inc., a Nevada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T3B-39*</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Articles of Association of Weatherford Drilling International (BVI) Ltd.,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T3B-40*</w:t>
            </w:r>
          </w:p>
        </w:tc>
        <w:tc>
          <w:tcPr>
            <w:tcW w:w="9380" w:type="dxa"/>
            <w:vAlign w:val="bottom"/>
          </w:tcPr>
          <w:p>
            <w:pPr>
              <w:spacing w:after="0"/>
              <w:rPr>
                <w:sz w:val="20"/>
                <w:szCs w:val="20"/>
                <w:color w:val="auto"/>
              </w:rPr>
            </w:pPr>
            <w:r>
              <w:rPr>
                <w:rFonts w:ascii="Arial" w:cs="Arial" w:eastAsia="Arial" w:hAnsi="Arial"/>
                <w:sz w:val="18"/>
                <w:szCs w:val="18"/>
                <w:color w:val="auto"/>
                <w:w w:val="93"/>
              </w:rPr>
              <w:t>Amended and Restated Articles of Association of Weatherford Drilling International Holdings (BVI) Ltd.,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T3B-41*</w:t>
            </w:r>
          </w:p>
        </w:tc>
        <w:tc>
          <w:tcPr>
            <w:tcW w:w="9380" w:type="dxa"/>
            <w:vAlign w:val="bottom"/>
          </w:tcPr>
          <w:p>
            <w:pPr>
              <w:spacing w:after="0"/>
              <w:rPr>
                <w:sz w:val="20"/>
                <w:szCs w:val="20"/>
                <w:color w:val="auto"/>
              </w:rPr>
            </w:pPr>
            <w:r>
              <w:rPr>
                <w:rFonts w:ascii="Arial" w:cs="Arial" w:eastAsia="Arial" w:hAnsi="Arial"/>
                <w:sz w:val="18"/>
                <w:szCs w:val="18"/>
                <w:color w:val="auto"/>
              </w:rPr>
              <w:t>Regulations of Weatherford Global Services LLC, a Louisiana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T3B-42*</w:t>
            </w:r>
          </w:p>
        </w:tc>
        <w:tc>
          <w:tcPr>
            <w:tcW w:w="9380" w:type="dxa"/>
            <w:vAlign w:val="bottom"/>
          </w:tcPr>
          <w:p>
            <w:pPr>
              <w:spacing w:after="0"/>
              <w:rPr>
                <w:sz w:val="20"/>
                <w:szCs w:val="20"/>
                <w:color w:val="auto"/>
              </w:rPr>
            </w:pPr>
            <w:r>
              <w:rPr>
                <w:rFonts w:ascii="Arial" w:cs="Arial" w:eastAsia="Arial" w:hAnsi="Arial"/>
                <w:sz w:val="18"/>
                <w:szCs w:val="18"/>
                <w:color w:val="auto"/>
              </w:rPr>
              <w:t>Bye-Laws of Weatherford Holdings (Bermuda)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T3B-43*</w:t>
            </w:r>
          </w:p>
        </w:tc>
        <w:tc>
          <w:tcPr>
            <w:tcW w:w="9380" w:type="dxa"/>
            <w:vAlign w:val="bottom"/>
          </w:tcPr>
          <w:p>
            <w:pPr>
              <w:spacing w:after="0"/>
              <w:rPr>
                <w:sz w:val="20"/>
                <w:szCs w:val="20"/>
                <w:color w:val="auto"/>
              </w:rPr>
            </w:pPr>
            <w:r>
              <w:rPr>
                <w:rFonts w:ascii="Arial" w:cs="Arial" w:eastAsia="Arial" w:hAnsi="Arial"/>
                <w:sz w:val="18"/>
                <w:szCs w:val="18"/>
                <w:color w:val="auto"/>
                <w:w w:val="99"/>
              </w:rPr>
              <w:t>Amended and Restated Articles of Association of Weatherford Holdings (BVI) Ltd., a British Virgin Islands international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T3B-44*</w:t>
            </w:r>
          </w:p>
        </w:tc>
        <w:tc>
          <w:tcPr>
            <w:tcW w:w="9380" w:type="dxa"/>
            <w:vAlign w:val="bottom"/>
          </w:tcPr>
          <w:p>
            <w:pPr>
              <w:spacing w:after="0"/>
              <w:rPr>
                <w:sz w:val="20"/>
                <w:szCs w:val="20"/>
                <w:color w:val="auto"/>
              </w:rPr>
            </w:pPr>
            <w:r>
              <w:rPr>
                <w:rFonts w:ascii="Arial" w:cs="Arial" w:eastAsia="Arial" w:hAnsi="Arial"/>
                <w:sz w:val="18"/>
                <w:szCs w:val="18"/>
                <w:color w:val="auto"/>
                <w:w w:val="94"/>
              </w:rPr>
              <w:t>Second Amended and Restated Limited Liability Company Agreement of Weatherford Holdings U.S. LLC, a Delaware limited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T3B-45*</w:t>
            </w:r>
          </w:p>
        </w:tc>
        <w:tc>
          <w:tcPr>
            <w:tcW w:w="9380" w:type="dxa"/>
            <w:vAlign w:val="bottom"/>
          </w:tcPr>
          <w:p>
            <w:pPr>
              <w:spacing w:after="0"/>
              <w:rPr>
                <w:sz w:val="20"/>
                <w:szCs w:val="20"/>
                <w:color w:val="auto"/>
              </w:rPr>
            </w:pPr>
            <w:r>
              <w:rPr>
                <w:rFonts w:ascii="Arial" w:cs="Arial" w:eastAsia="Arial" w:hAnsi="Arial"/>
                <w:sz w:val="18"/>
                <w:szCs w:val="18"/>
                <w:color w:val="auto"/>
              </w:rPr>
              <w:t>Bye-Laws of Weatherford International Holdings (Bermuda)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T3B-46*</w:t>
            </w: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 Agreement of Weatherford Investment Holding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T3B-47*</w:t>
            </w:r>
          </w:p>
        </w:tc>
        <w:tc>
          <w:tcPr>
            <w:tcW w:w="9380" w:type="dxa"/>
            <w:vAlign w:val="bottom"/>
          </w:tcPr>
          <w:p>
            <w:pPr>
              <w:spacing w:after="0"/>
              <w:rPr>
                <w:sz w:val="20"/>
                <w:szCs w:val="20"/>
                <w:color w:val="auto"/>
              </w:rPr>
            </w:pPr>
            <w:r>
              <w:rPr>
                <w:rFonts w:ascii="Arial" w:cs="Arial" w:eastAsia="Arial" w:hAnsi="Arial"/>
                <w:sz w:val="18"/>
                <w:szCs w:val="18"/>
                <w:color w:val="auto"/>
              </w:rPr>
              <w:t>Bylaws of Weatherford Investment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T3B-48*</w:t>
            </w:r>
          </w:p>
        </w:tc>
        <w:tc>
          <w:tcPr>
            <w:tcW w:w="9380" w:type="dxa"/>
            <w:vAlign w:val="bottom"/>
          </w:tcPr>
          <w:p>
            <w:pPr>
              <w:spacing w:after="0"/>
              <w:rPr>
                <w:sz w:val="20"/>
                <w:szCs w:val="20"/>
                <w:color w:val="auto"/>
              </w:rPr>
            </w:pPr>
            <w:r>
              <w:rPr>
                <w:rFonts w:ascii="Arial" w:cs="Arial" w:eastAsia="Arial" w:hAnsi="Arial"/>
                <w:sz w:val="18"/>
                <w:szCs w:val="18"/>
                <w:color w:val="auto"/>
                <w:w w:val="94"/>
              </w:rPr>
              <w:t>Amended and Restated Limited Liability Company Agreement of Weatherford Latin America LLC, a Delaware limited liability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T3B-49*</w:t>
            </w:r>
          </w:p>
        </w:tc>
        <w:tc>
          <w:tcPr>
            <w:tcW w:w="9380" w:type="dxa"/>
            <w:vAlign w:val="bottom"/>
          </w:tcPr>
          <w:p>
            <w:pPr>
              <w:spacing w:after="0"/>
              <w:rPr>
                <w:sz w:val="20"/>
                <w:szCs w:val="20"/>
                <w:color w:val="auto"/>
              </w:rPr>
            </w:pPr>
            <w:r>
              <w:rPr>
                <w:rFonts w:ascii="Arial" w:cs="Arial" w:eastAsia="Arial" w:hAnsi="Arial"/>
                <w:sz w:val="18"/>
                <w:szCs w:val="18"/>
                <w:color w:val="auto"/>
                <w:w w:val="95"/>
              </w:rPr>
              <w:t>Limited Liability Company Agreement of Weatherford Management, LLC, a Delaware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T3B-50*</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Articles of Association of Weatherford Oil Tool Middle East Limited, a British Virgin Islands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international business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T3B-51*</w:t>
            </w:r>
          </w:p>
        </w:tc>
        <w:tc>
          <w:tcPr>
            <w:tcW w:w="9380" w:type="dxa"/>
            <w:vAlign w:val="bottom"/>
          </w:tcPr>
          <w:p>
            <w:pPr>
              <w:spacing w:after="0"/>
              <w:rPr>
                <w:sz w:val="20"/>
                <w:szCs w:val="20"/>
                <w:color w:val="auto"/>
              </w:rPr>
            </w:pPr>
            <w:r>
              <w:rPr>
                <w:rFonts w:ascii="Arial" w:cs="Arial" w:eastAsia="Arial" w:hAnsi="Arial"/>
                <w:sz w:val="18"/>
                <w:szCs w:val="18"/>
                <w:color w:val="auto"/>
              </w:rPr>
              <w:t>Bye-Laws of Weatherford Pangaea Holdings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T3B-52*</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Bye-Laws of Weatherford Services, Ltd.,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T3B-53*</w:t>
            </w:r>
          </w:p>
        </w:tc>
        <w:tc>
          <w:tcPr>
            <w:tcW w:w="9380" w:type="dxa"/>
            <w:vAlign w:val="bottom"/>
          </w:tcPr>
          <w:p>
            <w:pPr>
              <w:spacing w:after="0"/>
              <w:rPr>
                <w:sz w:val="20"/>
                <w:szCs w:val="20"/>
                <w:color w:val="auto"/>
              </w:rPr>
            </w:pPr>
            <w:r>
              <w:rPr>
                <w:rFonts w:ascii="Arial" w:cs="Arial" w:eastAsia="Arial" w:hAnsi="Arial"/>
                <w:sz w:val="18"/>
                <w:szCs w:val="18"/>
                <w:color w:val="auto"/>
                <w:w w:val="97"/>
              </w:rPr>
              <w:t>Limited Liability Company Agreement of Weatherford Technology Holdings, LLC, a Delaware limited liability company, as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T3B-54*</w:t>
            </w:r>
          </w:p>
        </w:tc>
        <w:tc>
          <w:tcPr>
            <w:tcW w:w="9380" w:type="dxa"/>
            <w:vAlign w:val="bottom"/>
          </w:tcPr>
          <w:p>
            <w:pPr>
              <w:spacing w:after="0"/>
              <w:rPr>
                <w:sz w:val="20"/>
                <w:szCs w:val="20"/>
                <w:color w:val="auto"/>
              </w:rPr>
            </w:pPr>
            <w:r>
              <w:rPr>
                <w:rFonts w:ascii="Arial" w:cs="Arial" w:eastAsia="Arial" w:hAnsi="Arial"/>
                <w:sz w:val="18"/>
                <w:szCs w:val="18"/>
                <w:color w:val="auto"/>
                <w:w w:val="94"/>
              </w:rPr>
              <w:t>Third Amended and Restated Limited Liability Company Agreement of Weatherford U.S. Holdings, L.L.C., a Delaware limited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T3B-55*</w:t>
            </w:r>
          </w:p>
        </w:tc>
        <w:tc>
          <w:tcPr>
            <w:tcW w:w="9380" w:type="dxa"/>
            <w:vAlign w:val="bottom"/>
          </w:tcPr>
          <w:p>
            <w:pPr>
              <w:spacing w:after="0"/>
              <w:rPr>
                <w:sz w:val="20"/>
                <w:szCs w:val="20"/>
                <w:color w:val="auto"/>
              </w:rPr>
            </w:pPr>
            <w:r>
              <w:rPr>
                <w:rFonts w:ascii="Arial" w:cs="Arial" w:eastAsia="Arial" w:hAnsi="Arial"/>
                <w:sz w:val="18"/>
                <w:szCs w:val="18"/>
                <w:color w:val="auto"/>
                <w:w w:val="97"/>
              </w:rPr>
              <w:t>Amended and Restated Articles of Partnership in Commendam of Weatherford U.S., L.P., a Louisiana limited partnership</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T3B-56*</w:t>
            </w: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 Agreement of Weatherford URS Holdings,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T3B-57*</w:t>
            </w:r>
          </w:p>
        </w:tc>
        <w:tc>
          <w:tcPr>
            <w:tcW w:w="9380" w:type="dxa"/>
            <w:vAlign w:val="bottom"/>
          </w:tcPr>
          <w:p>
            <w:pPr>
              <w:spacing w:after="0"/>
              <w:rPr>
                <w:sz w:val="20"/>
                <w:szCs w:val="20"/>
                <w:color w:val="auto"/>
              </w:rPr>
            </w:pPr>
            <w:r>
              <w:rPr>
                <w:rFonts w:ascii="Arial" w:cs="Arial" w:eastAsia="Arial" w:hAnsi="Arial"/>
                <w:sz w:val="18"/>
                <w:szCs w:val="18"/>
                <w:color w:val="auto"/>
              </w:rPr>
              <w:t>Bylaws of Weatherford/Lamb, Inc., a Delaware corporation</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T3B-58*</w:t>
            </w: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 Agreement of WEUS Holding, LLC, a Delaware limited liability company, as amended</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T3B-59*</w:t>
            </w: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 Agreement of WIHBV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T3B-60*</w:t>
            </w:r>
          </w:p>
        </w:tc>
        <w:tc>
          <w:tcPr>
            <w:tcW w:w="9380" w:type="dxa"/>
            <w:vAlign w:val="bottom"/>
          </w:tcPr>
          <w:p>
            <w:pPr>
              <w:spacing w:after="0"/>
              <w:rPr>
                <w:sz w:val="20"/>
                <w:szCs w:val="20"/>
                <w:color w:val="auto"/>
              </w:rPr>
            </w:pPr>
            <w:r>
              <w:rPr>
                <w:rFonts w:ascii="Arial" w:cs="Arial" w:eastAsia="Arial" w:hAnsi="Arial"/>
                <w:sz w:val="18"/>
                <w:szCs w:val="18"/>
                <w:color w:val="auto"/>
              </w:rPr>
              <w:t>Amended and Restated Bye-Laws of WOFS Assurance limited, a Bermuda exempted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T3B-61*</w:t>
            </w:r>
          </w:p>
        </w:tc>
        <w:tc>
          <w:tcPr>
            <w:tcW w:w="9380" w:type="dxa"/>
            <w:vAlign w:val="bottom"/>
          </w:tcPr>
          <w:p>
            <w:pPr>
              <w:spacing w:after="0"/>
              <w:rPr>
                <w:sz w:val="20"/>
                <w:szCs w:val="20"/>
                <w:color w:val="auto"/>
              </w:rPr>
            </w:pPr>
            <w:r>
              <w:rPr>
                <w:rFonts w:ascii="Arial" w:cs="Arial" w:eastAsia="Arial" w:hAnsi="Arial"/>
                <w:sz w:val="18"/>
                <w:szCs w:val="18"/>
                <w:color w:val="auto"/>
              </w:rPr>
              <w:t>Limited Liability Company Agreement of WUS Holding, L.L.C., a Delaware limited liability company</w:t>
            </w:r>
          </w:p>
        </w:tc>
        <w:tc>
          <w:tcPr>
            <w:tcW w:w="40" w:type="dxa"/>
            <w:vAlign w:val="bottom"/>
          </w:tcPr>
          <w:p>
            <w:pPr>
              <w:spacing w:after="0"/>
              <w:rPr>
                <w:sz w:val="18"/>
                <w:szCs w:val="18"/>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T3C-1*</w:t>
            </w:r>
          </w:p>
        </w:tc>
        <w:tc>
          <w:tcPr>
            <w:tcW w:w="9380" w:type="dxa"/>
            <w:vAlign w:val="bottom"/>
          </w:tcPr>
          <w:p>
            <w:pPr>
              <w:spacing w:after="0"/>
              <w:rPr>
                <w:sz w:val="20"/>
                <w:szCs w:val="20"/>
                <w:color w:val="auto"/>
              </w:rPr>
            </w:pPr>
            <w:r>
              <w:rPr>
                <w:rFonts w:ascii="Arial" w:cs="Arial" w:eastAsia="Arial" w:hAnsi="Arial"/>
                <w:sz w:val="18"/>
                <w:szCs w:val="18"/>
                <w:color w:val="auto"/>
              </w:rPr>
              <w:t>Form of Indenture Governing the 2024 Notes to be issued by Weatherford Delaware</w:t>
            </w:r>
          </w:p>
        </w:tc>
        <w:tc>
          <w:tcPr>
            <w:tcW w:w="40" w:type="dxa"/>
            <w:vAlign w:val="bottom"/>
          </w:tcPr>
          <w:p>
            <w:pPr>
              <w:spacing w:after="0"/>
              <w:rPr>
                <w:sz w:val="18"/>
                <w:szCs w:val="18"/>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T3C-2*</w:t>
            </w:r>
          </w:p>
        </w:tc>
        <w:tc>
          <w:tcPr>
            <w:tcW w:w="9380" w:type="dxa"/>
            <w:vAlign w:val="bottom"/>
          </w:tcPr>
          <w:p>
            <w:pPr>
              <w:spacing w:after="0"/>
              <w:rPr>
                <w:sz w:val="20"/>
                <w:szCs w:val="20"/>
                <w:color w:val="auto"/>
              </w:rPr>
            </w:pPr>
            <w:r>
              <w:rPr>
                <w:rFonts w:ascii="Arial" w:cs="Arial" w:eastAsia="Arial" w:hAnsi="Arial"/>
                <w:sz w:val="18"/>
                <w:szCs w:val="18"/>
                <w:color w:val="auto"/>
              </w:rPr>
              <w:t>Form of Indenture Governing the 2024 Notes to be issued by Weatherford Bermuda</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36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38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T3D</w:t>
            </w:r>
          </w:p>
        </w:tc>
        <w:tc>
          <w:tcPr>
            <w:tcW w:w="320" w:type="dxa"/>
            <w:vAlign w:val="bottom"/>
          </w:tcPr>
          <w:p>
            <w:pPr>
              <w:spacing w:after="0"/>
              <w:rPr>
                <w:sz w:val="16"/>
                <w:szCs w:val="16"/>
                <w:color w:val="auto"/>
              </w:rPr>
            </w:pPr>
          </w:p>
        </w:tc>
        <w:tc>
          <w:tcPr>
            <w:tcW w:w="9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Not applicable</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T3E-1***</w:t>
            </w:r>
          </w:p>
        </w:tc>
        <w:tc>
          <w:tcPr>
            <w:tcW w:w="9380" w:type="dxa"/>
            <w:vAlign w:val="bottom"/>
          </w:tcPr>
          <w:p>
            <w:pPr>
              <w:spacing w:after="0"/>
              <w:rPr>
                <w:sz w:val="20"/>
                <w:szCs w:val="20"/>
                <w:color w:val="auto"/>
              </w:rPr>
            </w:pPr>
            <w:r>
              <w:rPr>
                <w:rFonts w:ascii="Arial" w:cs="Arial" w:eastAsia="Arial" w:hAnsi="Arial"/>
                <w:sz w:val="18"/>
                <w:szCs w:val="18"/>
                <w:color w:val="auto"/>
                <w:w w:val="91"/>
              </w:rPr>
              <w:t>Disclosure Statement for the Joint Prepackaged Plan of Reorganization of Weatherford International plc and its Affiliate Debtors,</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dated June 28, 2019</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T3E-2*</w:t>
            </w:r>
          </w:p>
        </w:tc>
        <w:tc>
          <w:tcPr>
            <w:tcW w:w="9380" w:type="dxa"/>
            <w:vAlign w:val="bottom"/>
          </w:tcPr>
          <w:p>
            <w:pPr>
              <w:spacing w:after="0"/>
              <w:rPr>
                <w:sz w:val="20"/>
                <w:szCs w:val="20"/>
                <w:color w:val="auto"/>
              </w:rPr>
            </w:pPr>
            <w:r>
              <w:rPr>
                <w:rFonts w:ascii="Arial" w:cs="Arial" w:eastAsia="Arial" w:hAnsi="Arial"/>
                <w:sz w:val="18"/>
                <w:szCs w:val="18"/>
                <w:color w:val="auto"/>
                <w:w w:val="97"/>
              </w:rPr>
              <w:t>Joint Prepackaged Plan of Reorganization of Weatherford International plc and its Affiliate Debtors, dated June 28, 2019</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T3E-3*</w:t>
            </w:r>
          </w:p>
        </w:tc>
        <w:tc>
          <w:tcPr>
            <w:tcW w:w="9380" w:type="dxa"/>
            <w:vAlign w:val="bottom"/>
          </w:tcPr>
          <w:p>
            <w:pPr>
              <w:spacing w:after="0"/>
              <w:rPr>
                <w:sz w:val="20"/>
                <w:szCs w:val="20"/>
                <w:color w:val="auto"/>
              </w:rPr>
            </w:pPr>
            <w:r>
              <w:rPr>
                <w:rFonts w:ascii="Arial" w:cs="Arial" w:eastAsia="Arial" w:hAnsi="Arial"/>
                <w:sz w:val="18"/>
                <w:szCs w:val="18"/>
                <w:color w:val="auto"/>
                <w:w w:val="93"/>
              </w:rPr>
              <w:t>Backstop Commitment Agreement among Weatherford International plc, the other Debtors and the Commitment Parties party</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thereto, dated July 1, 2019</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T3E-4</w:t>
            </w:r>
          </w:p>
        </w:tc>
        <w:tc>
          <w:tcPr>
            <w:tcW w:w="9380" w:type="dxa"/>
            <w:vAlign w:val="bottom"/>
          </w:tcPr>
          <w:p>
            <w:pPr>
              <w:spacing w:after="0"/>
              <w:rPr>
                <w:sz w:val="20"/>
                <w:szCs w:val="20"/>
                <w:color w:val="auto"/>
              </w:rPr>
            </w:pPr>
            <w:r>
              <w:rPr>
                <w:rFonts w:ascii="Arial" w:cs="Arial" w:eastAsia="Arial" w:hAnsi="Arial"/>
                <w:sz w:val="18"/>
                <w:szCs w:val="18"/>
                <w:color w:val="auto"/>
                <w:w w:val="97"/>
              </w:rPr>
              <w:t>First Amended Joint Prepackaged Plan of Reorganization of Weatherford International plc and its Affiliate Debtors, dated</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September 4, 2019</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T3F-1*</w:t>
            </w:r>
          </w:p>
        </w:tc>
        <w:tc>
          <w:tcPr>
            <w:tcW w:w="9380" w:type="dxa"/>
            <w:vAlign w:val="bottom"/>
          </w:tcPr>
          <w:p>
            <w:pPr>
              <w:spacing w:after="0"/>
              <w:rPr>
                <w:sz w:val="20"/>
                <w:szCs w:val="20"/>
                <w:color w:val="auto"/>
              </w:rPr>
            </w:pPr>
            <w:r>
              <w:rPr>
                <w:rFonts w:ascii="Arial" w:cs="Arial" w:eastAsia="Arial" w:hAnsi="Arial"/>
                <w:sz w:val="18"/>
                <w:szCs w:val="18"/>
                <w:color w:val="auto"/>
              </w:rPr>
              <w:t>Cross-reference sheet (included in Exhibit T3C-1)</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T3F-2*</w:t>
            </w:r>
          </w:p>
        </w:tc>
        <w:tc>
          <w:tcPr>
            <w:tcW w:w="9380" w:type="dxa"/>
            <w:vAlign w:val="bottom"/>
          </w:tcPr>
          <w:p>
            <w:pPr>
              <w:spacing w:after="0"/>
              <w:rPr>
                <w:sz w:val="20"/>
                <w:szCs w:val="20"/>
                <w:color w:val="auto"/>
              </w:rPr>
            </w:pPr>
            <w:r>
              <w:rPr>
                <w:rFonts w:ascii="Arial" w:cs="Arial" w:eastAsia="Arial" w:hAnsi="Arial"/>
                <w:sz w:val="18"/>
                <w:szCs w:val="18"/>
                <w:color w:val="auto"/>
              </w:rPr>
              <w:t>Cross-reference sheet (included in Exhibit T3C-1)</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25.1*</w:t>
            </w:r>
          </w:p>
        </w:tc>
        <w:tc>
          <w:tcPr>
            <w:tcW w:w="9380" w:type="dxa"/>
            <w:vAlign w:val="bottom"/>
          </w:tcPr>
          <w:p>
            <w:pPr>
              <w:spacing w:after="0"/>
              <w:rPr>
                <w:sz w:val="20"/>
                <w:szCs w:val="20"/>
                <w:color w:val="auto"/>
              </w:rPr>
            </w:pPr>
            <w:r>
              <w:rPr>
                <w:rFonts w:ascii="Arial" w:cs="Arial" w:eastAsia="Arial" w:hAnsi="Arial"/>
                <w:sz w:val="18"/>
                <w:szCs w:val="18"/>
                <w:color w:val="auto"/>
              </w:rPr>
              <w:t>Form T-1 qualifying the Trustee under each Indenture to be qualified pursuant to this application</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99.1**</w:t>
            </w:r>
          </w:p>
        </w:tc>
        <w:tc>
          <w:tcPr>
            <w:tcW w:w="9380" w:type="dxa"/>
            <w:vAlign w:val="bottom"/>
          </w:tcPr>
          <w:p>
            <w:pPr>
              <w:spacing w:after="0"/>
              <w:rPr>
                <w:sz w:val="20"/>
                <w:szCs w:val="20"/>
                <w:color w:val="auto"/>
              </w:rPr>
            </w:pPr>
            <w:r>
              <w:rPr>
                <w:rFonts w:ascii="Arial" w:cs="Arial" w:eastAsia="Arial" w:hAnsi="Arial"/>
                <w:sz w:val="18"/>
                <w:szCs w:val="18"/>
                <w:color w:val="auto"/>
              </w:rPr>
              <w:t>Organizational Chart</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Exhibit 99.2*</w:t>
            </w:r>
          </w:p>
        </w:tc>
        <w:tc>
          <w:tcPr>
            <w:tcW w:w="9380" w:type="dxa"/>
            <w:vAlign w:val="bottom"/>
          </w:tcPr>
          <w:p>
            <w:pPr>
              <w:spacing w:after="0"/>
              <w:rPr>
                <w:sz w:val="20"/>
                <w:szCs w:val="20"/>
                <w:color w:val="auto"/>
              </w:rPr>
            </w:pPr>
            <w:r>
              <w:rPr>
                <w:rFonts w:ascii="Arial" w:cs="Arial" w:eastAsia="Arial" w:hAnsi="Arial"/>
                <w:sz w:val="18"/>
                <w:szCs w:val="18"/>
                <w:color w:val="auto"/>
              </w:rPr>
              <w:t>Directors, Executive Officers and Capitalization of each Applicant</w:t>
            </w: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Exhibit 99.3*</w:t>
            </w:r>
          </w:p>
        </w:tc>
        <w:tc>
          <w:tcPr>
            <w:tcW w:w="9380" w:type="dxa"/>
            <w:vAlign w:val="bottom"/>
          </w:tcPr>
          <w:p>
            <w:pPr>
              <w:spacing w:after="0"/>
              <w:rPr>
                <w:sz w:val="20"/>
                <w:szCs w:val="20"/>
                <w:color w:val="auto"/>
              </w:rPr>
            </w:pPr>
            <w:r>
              <w:rPr>
                <w:rFonts w:ascii="Arial" w:cs="Arial" w:eastAsia="Arial" w:hAnsi="Arial"/>
                <w:sz w:val="18"/>
                <w:szCs w:val="18"/>
                <w:color w:val="auto"/>
              </w:rPr>
              <w:t>Principal Owners of Voting Securities of each Applicant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205740</wp:posOffset>
            </wp:positionV>
            <wp:extent cx="17494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previously.</w:t>
      </w:r>
    </w:p>
    <w:p>
      <w:pPr>
        <w:spacing w:after="0" w:line="2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 Effective Date Organizational Chart to be filed by amendment. Current Organizational Chart filed previously.</w:t>
      </w:r>
    </w:p>
    <w:p>
      <w:pPr>
        <w:spacing w:after="0" w:line="9" w:lineRule="exact"/>
        <w:rPr>
          <w:rFonts w:ascii="Arial" w:cs="Arial" w:eastAsia="Arial" w:hAnsi="Arial"/>
          <w:sz w:val="18"/>
          <w:szCs w:val="18"/>
          <w:color w:val="auto"/>
        </w:rPr>
      </w:pPr>
    </w:p>
    <w:p>
      <w:pPr>
        <w:ind w:left="500" w:right="2920" w:hanging="492"/>
        <w:spacing w:after="0" w:line="261" w:lineRule="auto"/>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exhibits related to the Disclosure Statement attached to Amendment No. 1 to this Form T-3 are available at http://www.primeclerk.com/Weatherford.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Pursuant to the requirements of the Trust Indenture Act of 1939, the applicant, Weatherford International, LLC, a limited liability company organized and existing under the laws of the State of Delaware, has duly caused this application to be signed on its behalf by the undersigned, thereunto duly authorized, and its seal to be hereunto affixed and attested, all in the City of Houston, and State of Texas,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September,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(SEAL)</w:t>
            </w:r>
          </w:p>
        </w:tc>
        <w:tc>
          <w:tcPr>
            <w:tcW w:w="7220" w:type="dxa"/>
            <w:vAlign w:val="bottom"/>
            <w:gridSpan w:val="4"/>
          </w:tcPr>
          <w:p>
            <w:pPr>
              <w:ind w:left="1540"/>
              <w:spacing w:after="0"/>
              <w:rPr>
                <w:sz w:val="20"/>
                <w:szCs w:val="20"/>
                <w:color w:val="auto"/>
              </w:rPr>
            </w:pPr>
            <w:r>
              <w:rPr>
                <w:rFonts w:ascii="Arial" w:cs="Arial" w:eastAsia="Arial" w:hAnsi="Arial"/>
                <w:sz w:val="18"/>
                <w:szCs w:val="18"/>
                <w:b w:val="1"/>
                <w:bCs w:val="1"/>
                <w:color w:val="auto"/>
              </w:rPr>
              <w:t>WEATHERFORD INTERNATIONAL, LLC</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Attest:  /s/ Joshua S. Silverman</w:t>
            </w:r>
          </w:p>
        </w:tc>
        <w:tc>
          <w:tcPr>
            <w:tcW w:w="7220" w:type="dxa"/>
            <w:vAlign w:val="bottom"/>
            <w:gridSpan w:val="4"/>
          </w:tcPr>
          <w:p>
            <w:pPr>
              <w:ind w:left="1540"/>
              <w:spacing w:after="0"/>
              <w:rPr>
                <w:sz w:val="20"/>
                <w:szCs w:val="20"/>
                <w:color w:val="auto"/>
              </w:rPr>
            </w:pPr>
            <w:r>
              <w:rPr>
                <w:rFonts w:ascii="Arial" w:cs="Arial" w:eastAsia="Arial" w:hAnsi="Arial"/>
                <w:sz w:val="18"/>
                <w:szCs w:val="18"/>
                <w:color w:val="auto"/>
              </w:rPr>
              <w:t>By:  /s/ Christine M. Morrison</w:t>
            </w:r>
          </w:p>
        </w:tc>
      </w:tr>
      <w:tr>
        <w:trPr>
          <w:trHeight w:val="195"/>
        </w:trPr>
        <w:tc>
          <w:tcPr>
            <w:tcW w:w="68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154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Christine M. Morrison</w:t>
            </w:r>
          </w:p>
        </w:tc>
      </w:tr>
      <w:tr>
        <w:trPr>
          <w:trHeight w:val="216"/>
        </w:trPr>
        <w:tc>
          <w:tcPr>
            <w:tcW w:w="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w w:val="93"/>
              </w:rPr>
              <w:t>Sole Manager for Sole Member, Weatherford U.S. Holdings,</w:t>
            </w:r>
          </w:p>
        </w:tc>
      </w:tr>
      <w:tr>
        <w:trPr>
          <w:trHeight w:val="230"/>
        </w:trPr>
        <w:tc>
          <w:tcPr>
            <w:tcW w:w="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L.L.C.</w:t>
            </w:r>
          </w:p>
        </w:tc>
      </w:tr>
    </w:tbl>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Pursuant to the requirements of the Trust Indenture Act of 1939, the applicant, Weatherford International, Ltd., an exempted company organized and existing under the laws of Bermuda, has duly caused this application to be signed on its behalf by the undersigned, thereunto duly authorized, and its seal to be hereunto affixed and attested, all in Dubai, United Arab Emirates,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(SEAL)</w:t>
            </w:r>
          </w:p>
        </w:tc>
        <w:tc>
          <w:tcPr>
            <w:tcW w:w="7140" w:type="dxa"/>
            <w:vAlign w:val="bottom"/>
            <w:gridSpan w:val="4"/>
          </w:tcPr>
          <w:p>
            <w:pPr>
              <w:ind w:left="1460"/>
              <w:spacing w:after="0"/>
              <w:rPr>
                <w:sz w:val="20"/>
                <w:szCs w:val="20"/>
                <w:color w:val="auto"/>
              </w:rPr>
            </w:pPr>
            <w:r>
              <w:rPr>
                <w:rFonts w:ascii="Arial" w:cs="Arial" w:eastAsia="Arial" w:hAnsi="Arial"/>
                <w:sz w:val="18"/>
                <w:szCs w:val="18"/>
                <w:b w:val="1"/>
                <w:bCs w:val="1"/>
                <w:color w:val="auto"/>
              </w:rPr>
              <w:t>WEATHERFORD INTERNATIONAL, LTD.</w:t>
            </w: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rPr>
              <w:t>Attest:  /s/ Christine M. Morrison</w:t>
            </w:r>
          </w:p>
        </w:tc>
        <w:tc>
          <w:tcPr>
            <w:tcW w:w="7140" w:type="dxa"/>
            <w:vAlign w:val="bottom"/>
            <w:gridSpan w:val="4"/>
          </w:tcPr>
          <w:p>
            <w:pPr>
              <w:ind w:left="1460"/>
              <w:spacing w:after="0"/>
              <w:rPr>
                <w:sz w:val="20"/>
                <w:szCs w:val="20"/>
                <w:color w:val="auto"/>
              </w:rPr>
            </w:pPr>
            <w:r>
              <w:rPr>
                <w:rFonts w:ascii="Arial" w:cs="Arial" w:eastAsia="Arial" w:hAnsi="Arial"/>
                <w:sz w:val="18"/>
                <w:szCs w:val="18"/>
                <w:color w:val="auto"/>
              </w:rPr>
              <w:t>By:  /s/ Mohammed Dadhiwala</w:t>
            </w:r>
          </w:p>
        </w:tc>
      </w:tr>
      <w:tr>
        <w:trPr>
          <w:trHeight w:val="195"/>
        </w:trPr>
        <w:tc>
          <w:tcPr>
            <w:tcW w:w="68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14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6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Houston, and State of Texas,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ADVANTAGE R&amp;D,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BENMORE IN-DEPTH CORP.</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CASE SERVICES,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COLOMBIA PETROLEUM SERVICES CORP.</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COLUMBIA OILFIELD SUPPLY,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DATALOG ACQUISITION,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DISCOVERY LOGGING,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EDINBURGH PETROLEUM SERVICES AMERICAS</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420"/>
              <w:spacing w:after="0"/>
              <w:rPr>
                <w:sz w:val="20"/>
                <w:szCs w:val="20"/>
                <w:color w:val="auto"/>
              </w:rPr>
            </w:pPr>
            <w:r>
              <w:rPr>
                <w:rFonts w:ascii="Arial" w:cs="Arial" w:eastAsia="Arial" w:hAnsi="Arial"/>
                <w:sz w:val="18"/>
                <w:szCs w:val="18"/>
                <w:b w:val="1"/>
                <w:bCs w:val="1"/>
                <w:color w:val="auto"/>
              </w:rPr>
              <w:t>INCORPORATED</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EPRODUCTION SOLUTIONS,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HIGH PRESSURE INTEGRITY,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IN-DEPTH SYSTEMS,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INTERNATIONAL LOGGING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INTERNATIONAL LOGGING S.A.,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PD HOLDINGS (USA), L.P.</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DRILLING GP,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SERVICES,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OILFIELD SERVICES, LLP</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STEALTH OIL &amp; GAS,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VISEAN INFORMATION SERVICES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(PTWI),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ARTIFICIAL LIFT SYSTEMS,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DISC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GLOBAL SERVICES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U.S.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INVESTMENT HOLDING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INVESTMENT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LATIN AMERICA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MANAGEMENT,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TECHNOLOGY HOLDINGS,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U.S. HOLDINGS,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U.S., L.P.</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URS HOLDINGS,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WEATHERFORD/LAMB, INC.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WEUS HOLDING, LLC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WIHBV LLC</w:t>
            </w: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WUS HOLDING, L.L.C.</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Joshua S. Silverman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Christine M. Morrison</w:t>
            </w:r>
          </w:p>
        </w:tc>
        <w:tc>
          <w:tcPr>
            <w:tcW w:w="4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70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6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0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60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TOOKE ROCKIES, INC.</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VISUAL SYSTEMS, INC.</w:t>
            </w: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WARRIOR WELL SERVICES,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Joshua S. Silverman</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SERVICES, LTD.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Christine M. Morrison</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SERVICES S. DE R.L.</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Cristina Waber</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w w:val="95"/>
              </w:rPr>
              <w:t>Managing Officer, Weatherford Worldwide Holdings GmbH,</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as shareholder</w:t>
            </w:r>
          </w:p>
        </w:tc>
      </w:tr>
    </w:tbl>
    <w:p>
      <w:pPr>
        <w:spacing w:after="0" w:line="202" w:lineRule="exact"/>
        <w:rPr>
          <w:sz w:val="20"/>
          <w:szCs w:val="20"/>
          <w:color w:val="auto"/>
        </w:rPr>
      </w:pPr>
    </w:p>
    <w:p>
      <w:pPr>
        <w:jc w:val="both"/>
        <w:ind w:right="4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Dubai, United Arab Emirates,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ectPr>
          <w:pgSz w:w="11900" w:h="16838" w:orient="portrait"/>
          <w:cols w:equalWidth="0" w:num="1">
            <w:col w:w="11460"/>
          </w:cols>
          <w:pgMar w:left="240" w:top="337" w:right="19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INTERNATIONAL DRILLING COMPANY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DRILLING INTERNATIONAL (BVI) LTD.</w:t>
      </w:r>
    </w:p>
    <w:p>
      <w:pPr>
        <w:spacing w:after="0" w:line="200" w:lineRule="exact"/>
        <w:rPr>
          <w:sz w:val="20"/>
          <w:szCs w:val="20"/>
          <w:color w:val="auto"/>
        </w:rPr>
      </w:pPr>
    </w:p>
    <w:p>
      <w:pPr>
        <w:sectPr>
          <w:pgSz w:w="11900" w:h="16838" w:orient="portrait"/>
          <w:cols w:equalWidth="0" w:num="2">
            <w:col w:w="5020" w:space="720"/>
            <w:col w:w="5720"/>
          </w:cols>
          <w:pgMar w:left="240" w:top="337" w:right="1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Christine M. Morrison</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Arial" w:cs="Arial" w:eastAsia="Arial" w:hAnsi="Arial"/>
          <w:sz w:val="17"/>
          <w:szCs w:val="17"/>
          <w:color w:val="auto"/>
        </w:rPr>
        <w:t>By:</w:t>
        <w:tab/>
        <w:t>/s/ Andrew David Gold</w:t>
      </w:r>
    </w:p>
    <w:p>
      <w:pPr>
        <w:spacing w:after="0" w:line="35" w:lineRule="exact"/>
        <w:rPr>
          <w:sz w:val="20"/>
          <w:szCs w:val="20"/>
          <w:color w:val="auto"/>
        </w:rPr>
      </w:pPr>
    </w:p>
    <w:p>
      <w:pPr>
        <w:sectPr>
          <w:pgSz w:w="11900" w:h="16838" w:orient="portrait"/>
          <w:cols w:equalWidth="0" w:num="3">
            <w:col w:w="480" w:space="320"/>
            <w:col w:w="4220" w:space="720"/>
            <w:col w:w="5720"/>
          </w:cols>
          <w:pgMar w:left="240" w:top="337"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Andrew David Gold</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414"/>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SABRE DRILLING LTD.</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BERMUDA HOLDINGS LTD.</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COLOMBIA LIMITED</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DRILLING INTERNATIONAL HOLDINGS (BVI)</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b w:val="1"/>
                <w:bCs w:val="1"/>
                <w:color w:val="auto"/>
              </w:rPr>
              <w:t>LTD.</w:t>
            </w:r>
          </w:p>
        </w:tc>
        <w:tc>
          <w:tcPr>
            <w:tcW w:w="60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(BERMUDA) LTD.</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HOLDING (BERMUDA) LTD.</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PANGAEA HOLDINGS LTD.</w:t>
            </w: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ASSURANCE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Christine M. Morrison</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14"/>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(BVI) LTD.</w:t>
            </w: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OIL TOOL MIDDLE EAST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Christine M. Morrison</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Mohammed Dadhiwala</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Calgary, and Province of Alberta,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INTERNATIONAL LTD.</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SERVICES COLOMBIA LTD.</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SERVICES ULC</w:t>
            </w:r>
          </w:p>
        </w:tc>
        <w:tc>
          <w:tcPr>
            <w:tcW w:w="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(NOVA SCOTIA) ULC</w:t>
            </w:r>
          </w:p>
        </w:tc>
        <w:tc>
          <w:tcPr>
            <w:tcW w:w="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CANADA LTD.</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Pamela M. Webb</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Raymond Charles Smith</w:t>
            </w:r>
          </w:p>
        </w:tc>
        <w:tc>
          <w:tcPr>
            <w:tcW w:w="4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Pamela M. Webb</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Raymond Charles Smith</w:t>
            </w:r>
          </w:p>
        </w:tc>
        <w:tc>
          <w:tcPr>
            <w:tcW w:w="4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0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type w:val="continuous"/>
        </w:sectPr>
      </w:pPr>
    </w:p>
    <w:bookmarkStart w:id="11" w:name="page12"/>
    <w:bookmarkEnd w:id="11"/>
    <w:p>
      <w:pPr>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Baar, Switzerland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ectPr>
          <w:pgSz w:w="11900" w:h="16838" w:orient="portrait"/>
          <w:cols w:equalWidth="0" w:num="1">
            <w:col w:w="11460"/>
          </w:cols>
          <w:pgMar w:left="240" w:top="341" w:right="19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HOLDINGS (SWITZERLAND) GMBH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MANAGEMENT COMPANY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ectPr>
          <w:pgSz w:w="11900" w:h="16838" w:orient="portrait"/>
          <w:cols w:equalWidth="0" w:num="2">
            <w:col w:w="5020" w:space="720"/>
            <w:col w:w="5720"/>
          </w:cols>
          <w:pgMar w:left="240" w:top="341" w:right="1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Cristina Waber</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Arial" w:cs="Arial" w:eastAsia="Arial" w:hAnsi="Arial"/>
          <w:sz w:val="16"/>
          <w:szCs w:val="16"/>
          <w:color w:val="auto"/>
        </w:rPr>
        <w:t>By:</w:t>
        <w:tab/>
        <w:t>/s/ Valentin Mueller</w:t>
      </w:r>
    </w:p>
    <w:p>
      <w:pPr>
        <w:spacing w:after="0" w:line="46" w:lineRule="exact"/>
        <w:rPr>
          <w:sz w:val="20"/>
          <w:szCs w:val="20"/>
          <w:color w:val="auto"/>
        </w:rPr>
      </w:pPr>
    </w:p>
    <w:p>
      <w:pPr>
        <w:sectPr>
          <w:pgSz w:w="11900" w:h="16838" w:orient="portrait"/>
          <w:cols w:equalWidth="0" w:num="3">
            <w:col w:w="480" w:space="320"/>
            <w:col w:w="4220" w:space="720"/>
            <w:col w:w="5720"/>
          </w:cols>
          <w:pgMar w:left="240" w:top="341"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14"/>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PRODUCTS GMBH</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SWITZERLAND TRADING AND DEVELOPMENT</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GMBH</w:t>
            </w:r>
          </w:p>
        </w:tc>
        <w:tc>
          <w:tcPr>
            <w:tcW w:w="462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INTERNATIONAL FINANCE GMBH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Cristina Waber</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SWISS FINANCE GMBH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Cristina Waber</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Arjana Cabariu-Truong</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Arjana Cabariu-Truong</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Manging Officer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(SEAL)</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PLC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 Cristina Waber</w:t>
            </w:r>
          </w:p>
        </w:tc>
        <w:tc>
          <w:tcPr>
            <w:tcW w:w="700" w:type="dxa"/>
            <w:vAlign w:val="bottom"/>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both"/>
        <w:ind w:right="60"/>
        <w:spacing w:after="0" w:line="316"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Luxembourg,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September,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EUROPEAN HOLDINGS (LUXEMBOURG) S.À</w:t>
            </w: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R.L.</w:t>
            </w:r>
          </w:p>
        </w:tc>
        <w:tc>
          <w:tcPr>
            <w:tcW w:w="46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(LUXEMBOURG) HOLDINGS</w:t>
            </w:r>
          </w:p>
        </w:tc>
      </w:tr>
      <w:tr>
        <w:trPr>
          <w:trHeight w:val="234"/>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S.À R.L.</w:t>
            </w:r>
          </w:p>
        </w:tc>
        <w:tc>
          <w:tcPr>
            <w:tcW w:w="462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Cristina Waber</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Mathias Neuenschwander</w:t>
            </w: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 A</w:t>
            </w:r>
          </w:p>
        </w:tc>
      </w:tr>
    </w:tbl>
    <w:p>
      <w:pPr>
        <w:spacing w:after="0" w:line="202" w:lineRule="exact"/>
        <w:rPr>
          <w:sz w:val="20"/>
          <w:szCs w:val="20"/>
          <w:color w:val="auto"/>
        </w:rPr>
      </w:pPr>
    </w:p>
    <w:p>
      <w:pPr>
        <w:jc w:val="both"/>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Aberdeen, United Kingdom,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EURASIA LIMITED</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Richard Strachan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Neil MacLeod</w:t>
            </w: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Strachan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Neil MacLeod</w:t>
            </w: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U.K. LIMITED</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Richard Strachan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Alexander Olsson</w:t>
            </w:r>
          </w:p>
        </w:tc>
        <w:tc>
          <w:tcPr>
            <w:tcW w:w="4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Strachan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Alexander Olsson</w:t>
            </w:r>
          </w:p>
        </w:tc>
        <w:tc>
          <w:tcPr>
            <w:tcW w:w="4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0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12" w:name="page13"/>
    <w:bookmarkEnd w:id="12"/>
    <w:p>
      <w:pPr>
        <w:jc w:val="both"/>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Amsterdam, the Netherlands,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NETHERLANDS B.V.</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Marcus Johannes van Dijk</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August Willem Versteeg</w:t>
            </w: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Marcus Johannes van Dijk</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August Willem Versteeg</w:t>
            </w: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both"/>
        <w:ind w:right="60"/>
        <w:spacing w:after="0" w:line="359"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Stavanger, Norway,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NORGE AS</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Arve Eide Haraldsen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Geir Egil Moller Olsen</w:t>
            </w: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Arve Eide Haraldsen</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Geir Egil Moller Olsen</w:t>
            </w: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pacing w:after="0" w:line="202" w:lineRule="exact"/>
        <w:rPr>
          <w:sz w:val="20"/>
          <w:szCs w:val="20"/>
          <w:color w:val="auto"/>
        </w:rPr>
      </w:pPr>
    </w:p>
    <w:p>
      <w:pPr>
        <w:jc w:val="both"/>
        <w:ind w:right="60"/>
        <w:spacing w:after="0" w:line="316"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Australia,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September,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AUSTRALIA PTY LIMITED</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Antonino Gullotti</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Robert Antonio DeGasperis</w:t>
            </w:r>
          </w:p>
        </w:tc>
        <w:tc>
          <w:tcPr>
            <w:tcW w:w="4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Antonino Gullotti</w:t>
            </w:r>
          </w:p>
        </w:tc>
        <w:tc>
          <w:tcPr>
            <w:tcW w:w="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Robert Antonio DeGasperis</w:t>
            </w:r>
          </w:p>
        </w:tc>
        <w:tc>
          <w:tcPr>
            <w:tcW w:w="4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0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T3E-4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SOUTHERN DISTRICT OF TEXAS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DIVISION</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WEATHERFORD INTERNATIONAL PLC, </w:t>
      </w:r>
      <w:r>
        <w:rPr>
          <w:rFonts w:ascii="Arial" w:cs="Arial" w:eastAsia="Arial" w:hAnsi="Arial"/>
          <w:sz w:val="18"/>
          <w:szCs w:val="18"/>
          <w:i w:val="1"/>
          <w:iCs w:val="1"/>
          <w:color w:val="auto"/>
        </w:rPr>
        <w:t>et al.</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Debtors.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Chapter 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Case No. 19-33694 (DRJ)</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(Jointly Administered)</w:t>
      </w:r>
    </w:p>
    <w:p>
      <w:pPr>
        <w:spacing w:after="0" w:line="646" w:lineRule="exact"/>
        <w:rPr>
          <w:sz w:val="20"/>
          <w:szCs w:val="20"/>
          <w:color w:val="auto"/>
        </w:rPr>
      </w:pPr>
    </w:p>
    <w:p>
      <w:pPr>
        <w:sectPr>
          <w:pgSz w:w="11900" w:h="16838" w:orient="portrait"/>
          <w:cols w:equalWidth="0" w:num="3">
            <w:col w:w="6280" w:space="720"/>
            <w:col w:w="100" w:space="340"/>
            <w:col w:w="3980"/>
          </w:cols>
          <w:pgMar w:left="240" w:top="121" w:right="239" w:bottom="1440" w:gutter="0" w:footer="0" w:header="0"/>
          <w:type w:val="continuous"/>
        </w:sectPr>
      </w:pPr>
    </w:p>
    <w:p>
      <w:pPr>
        <w:spacing w:after="0" w:line="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FIRST AMENDED JOINT PREPACKAGED PLAN OF REORGANIZATION FOR WEATHERFORD INTERNATIONAL PLC AND ITS AFFILIATE DEBTORS UNDER CHAPTER 11 OF THE BANKRUPTCY CODE</w:t>
      </w:r>
    </w:p>
    <w:p>
      <w:pPr>
        <w:spacing w:after="0" w:line="162"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4720" w:type="dxa"/>
            <w:vAlign w:val="bottom"/>
          </w:tcPr>
          <w:p>
            <w:pPr>
              <w:jc w:val="center"/>
              <w:ind w:right="1030"/>
              <w:spacing w:after="0"/>
              <w:rPr>
                <w:sz w:val="20"/>
                <w:szCs w:val="20"/>
                <w:color w:val="auto"/>
              </w:rPr>
            </w:pPr>
            <w:r>
              <w:rPr>
                <w:rFonts w:ascii="Arial" w:cs="Arial" w:eastAsia="Arial" w:hAnsi="Arial"/>
                <w:sz w:val="18"/>
                <w:szCs w:val="18"/>
                <w:b w:val="1"/>
                <w:bCs w:val="1"/>
                <w:color w:val="auto"/>
              </w:rPr>
              <w:t>HUNTON ANDREWS KURTH LLP</w:t>
            </w:r>
          </w:p>
        </w:tc>
        <w:tc>
          <w:tcPr>
            <w:tcW w:w="4480" w:type="dxa"/>
            <w:vAlign w:val="bottom"/>
          </w:tcPr>
          <w:p>
            <w:pPr>
              <w:jc w:val="center"/>
              <w:ind w:left="10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20" w:type="dxa"/>
            <w:vAlign w:val="bottom"/>
          </w:tcPr>
          <w:p>
            <w:pPr>
              <w:jc w:val="center"/>
              <w:ind w:right="1030"/>
              <w:spacing w:after="0"/>
              <w:rPr>
                <w:sz w:val="20"/>
                <w:szCs w:val="20"/>
                <w:color w:val="auto"/>
              </w:rPr>
            </w:pPr>
            <w:r>
              <w:rPr>
                <w:rFonts w:ascii="Arial" w:cs="Arial" w:eastAsia="Arial" w:hAnsi="Arial"/>
                <w:sz w:val="18"/>
                <w:szCs w:val="18"/>
                <w:color w:val="auto"/>
                <w:w w:val="94"/>
              </w:rPr>
              <w:t>Timothy A. (“Tad”) Davidson II (No. 240112503)</w:t>
            </w: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1"/>
              </w:rPr>
              <w:t xml:space="preserve">George A. Davis (admitted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w:t>
            </w:r>
          </w:p>
        </w:tc>
      </w:tr>
      <w:tr>
        <w:trPr>
          <w:trHeight w:val="216"/>
        </w:trPr>
        <w:tc>
          <w:tcPr>
            <w:tcW w:w="4720" w:type="dxa"/>
            <w:vAlign w:val="bottom"/>
          </w:tcPr>
          <w:p>
            <w:pPr>
              <w:jc w:val="center"/>
              <w:ind w:right="1030"/>
              <w:spacing w:after="0"/>
              <w:rPr>
                <w:sz w:val="20"/>
                <w:szCs w:val="20"/>
                <w:color w:val="auto"/>
              </w:rPr>
            </w:pPr>
            <w:r>
              <w:rPr>
                <w:rFonts w:ascii="Arial" w:cs="Arial" w:eastAsia="Arial" w:hAnsi="Arial"/>
                <w:sz w:val="18"/>
                <w:szCs w:val="18"/>
                <w:color w:val="auto"/>
                <w:w w:val="92"/>
              </w:rPr>
              <w:t>Ashley L. Harper (No. 24065272)</w:t>
            </w: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3"/>
              </w:rPr>
              <w:t xml:space="preserve">Keith A. Simon (admitted </w:t>
            </w:r>
            <w:r>
              <w:rPr>
                <w:rFonts w:ascii="Arial" w:cs="Arial" w:eastAsia="Arial" w:hAnsi="Arial"/>
                <w:sz w:val="18"/>
                <w:szCs w:val="18"/>
                <w:i w:val="1"/>
                <w:iCs w:val="1"/>
                <w:color w:val="auto"/>
                <w:w w:val="93"/>
              </w:rPr>
              <w:t>pro hac vice</w:t>
            </w:r>
            <w:r>
              <w:rPr>
                <w:rFonts w:ascii="Arial" w:cs="Arial" w:eastAsia="Arial" w:hAnsi="Arial"/>
                <w:sz w:val="18"/>
                <w:szCs w:val="18"/>
                <w:color w:val="auto"/>
                <w:w w:val="93"/>
              </w:rPr>
              <w:t>)</w:t>
            </w:r>
          </w:p>
        </w:tc>
      </w:tr>
      <w:tr>
        <w:trPr>
          <w:trHeight w:val="216"/>
        </w:trPr>
        <w:tc>
          <w:tcPr>
            <w:tcW w:w="4720" w:type="dxa"/>
            <w:vAlign w:val="bottom"/>
          </w:tcPr>
          <w:p>
            <w:pPr>
              <w:jc w:val="center"/>
              <w:ind w:right="1010"/>
              <w:spacing w:after="0"/>
              <w:rPr>
                <w:sz w:val="20"/>
                <w:szCs w:val="20"/>
                <w:color w:val="auto"/>
              </w:rPr>
            </w:pPr>
            <w:r>
              <w:rPr>
                <w:rFonts w:ascii="Arial" w:cs="Arial" w:eastAsia="Arial" w:hAnsi="Arial"/>
                <w:sz w:val="18"/>
                <w:szCs w:val="18"/>
                <w:color w:val="auto"/>
                <w:w w:val="90"/>
              </w:rPr>
              <w:t>600 Travis Street, Suite 4200</w:t>
            </w: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2"/>
              </w:rPr>
              <w:t xml:space="preserve">David A. Hammerman (admitted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w:t>
            </w:r>
          </w:p>
        </w:tc>
      </w:tr>
      <w:tr>
        <w:trPr>
          <w:trHeight w:val="216"/>
        </w:trPr>
        <w:tc>
          <w:tcPr>
            <w:tcW w:w="4720" w:type="dxa"/>
            <w:vAlign w:val="bottom"/>
          </w:tcPr>
          <w:p>
            <w:pPr>
              <w:jc w:val="center"/>
              <w:ind w:right="1010"/>
              <w:spacing w:after="0"/>
              <w:rPr>
                <w:sz w:val="20"/>
                <w:szCs w:val="20"/>
                <w:color w:val="auto"/>
              </w:rPr>
            </w:pPr>
            <w:r>
              <w:rPr>
                <w:rFonts w:ascii="Arial" w:cs="Arial" w:eastAsia="Arial" w:hAnsi="Arial"/>
                <w:sz w:val="18"/>
                <w:szCs w:val="18"/>
                <w:color w:val="auto"/>
                <w:w w:val="89"/>
              </w:rPr>
              <w:t>Houston, Texas 77002</w:t>
            </w: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3"/>
              </w:rPr>
              <w:t xml:space="preserve">Annemarie V. Reilly (admitted </w:t>
            </w:r>
            <w:r>
              <w:rPr>
                <w:rFonts w:ascii="Arial" w:cs="Arial" w:eastAsia="Arial" w:hAnsi="Arial"/>
                <w:sz w:val="18"/>
                <w:szCs w:val="18"/>
                <w:i w:val="1"/>
                <w:iCs w:val="1"/>
                <w:color w:val="auto"/>
                <w:w w:val="93"/>
              </w:rPr>
              <w:t>pro hac vice</w:t>
            </w:r>
            <w:r>
              <w:rPr>
                <w:rFonts w:ascii="Arial" w:cs="Arial" w:eastAsia="Arial" w:hAnsi="Arial"/>
                <w:sz w:val="18"/>
                <w:szCs w:val="18"/>
                <w:color w:val="auto"/>
                <w:w w:val="93"/>
              </w:rPr>
              <w:t>)</w:t>
            </w:r>
          </w:p>
        </w:tc>
      </w:tr>
      <w:tr>
        <w:trPr>
          <w:trHeight w:val="216"/>
        </w:trPr>
        <w:tc>
          <w:tcPr>
            <w:tcW w:w="4720" w:type="dxa"/>
            <w:vAlign w:val="bottom"/>
          </w:tcPr>
          <w:p>
            <w:pPr>
              <w:jc w:val="center"/>
              <w:ind w:right="1030"/>
              <w:spacing w:after="0"/>
              <w:rPr>
                <w:sz w:val="20"/>
                <w:szCs w:val="20"/>
                <w:color w:val="auto"/>
              </w:rPr>
            </w:pPr>
            <w:r>
              <w:rPr>
                <w:rFonts w:ascii="Arial" w:cs="Arial" w:eastAsia="Arial" w:hAnsi="Arial"/>
                <w:sz w:val="18"/>
                <w:szCs w:val="18"/>
                <w:color w:val="auto"/>
                <w:w w:val="89"/>
              </w:rPr>
              <w:t>Telephone: (713) 220-4200</w:t>
            </w: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2"/>
              </w:rPr>
              <w:t xml:space="preserve">Lisa K. Lansio (admitted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w:t>
            </w:r>
          </w:p>
        </w:tc>
      </w:tr>
      <w:tr>
        <w:trPr>
          <w:trHeight w:val="216"/>
        </w:trPr>
        <w:tc>
          <w:tcPr>
            <w:tcW w:w="4720" w:type="dxa"/>
            <w:vAlign w:val="bottom"/>
          </w:tcPr>
          <w:p>
            <w:pPr>
              <w:jc w:val="center"/>
              <w:ind w:right="1030"/>
              <w:spacing w:after="0"/>
              <w:rPr>
                <w:sz w:val="20"/>
                <w:szCs w:val="20"/>
                <w:color w:val="auto"/>
              </w:rPr>
            </w:pPr>
            <w:r>
              <w:rPr>
                <w:rFonts w:ascii="Arial" w:cs="Arial" w:eastAsia="Arial" w:hAnsi="Arial"/>
                <w:sz w:val="18"/>
                <w:szCs w:val="18"/>
                <w:color w:val="auto"/>
                <w:w w:val="91"/>
              </w:rPr>
              <w:t>Facsimile: (713) 220-4285</w:t>
            </w: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20" w:type="dxa"/>
            <w:vAlign w:val="bottom"/>
          </w:tcPr>
          <w:p>
            <w:pPr>
              <w:spacing w:after="0"/>
              <w:rPr>
                <w:sz w:val="18"/>
                <w:szCs w:val="18"/>
                <w:color w:val="auto"/>
              </w:rPr>
            </w:pP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20" w:type="dxa"/>
            <w:vAlign w:val="bottom"/>
          </w:tcPr>
          <w:p>
            <w:pPr>
              <w:spacing w:after="0"/>
              <w:rPr>
                <w:sz w:val="18"/>
                <w:szCs w:val="18"/>
                <w:color w:val="auto"/>
              </w:rPr>
            </w:pP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0"/>
              </w:rPr>
              <w:t>Telephone: (212) 906-1200</w:t>
            </w:r>
          </w:p>
        </w:tc>
      </w:tr>
      <w:tr>
        <w:trPr>
          <w:trHeight w:val="230"/>
        </w:trPr>
        <w:tc>
          <w:tcPr>
            <w:tcW w:w="4720" w:type="dxa"/>
            <w:vAlign w:val="bottom"/>
          </w:tcPr>
          <w:p>
            <w:pPr>
              <w:spacing w:after="0"/>
              <w:rPr>
                <w:sz w:val="20"/>
                <w:szCs w:val="20"/>
                <w:color w:val="auto"/>
              </w:rPr>
            </w:pPr>
          </w:p>
        </w:tc>
        <w:tc>
          <w:tcPr>
            <w:tcW w:w="4480" w:type="dxa"/>
            <w:vAlign w:val="bottom"/>
          </w:tcPr>
          <w:p>
            <w:pPr>
              <w:jc w:val="center"/>
              <w:ind w:left="103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Counsel for the Debtors and Debtors-in-Possession</w:t>
      </w:r>
    </w:p>
    <w:p>
      <w:pPr>
        <w:spacing w:after="0" w:line="22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8"/>
          <w:szCs w:val="18"/>
          <w:color w:val="auto"/>
        </w:rPr>
        <w:t>Dated:</w:t>
        <w:tab/>
        <w:t>September 4, 2019</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8"/>
        <w:spacing w:after="0" w:line="264"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Debtors in these cases, along with the last four digits of each Debtor’s federal tax identification number, are: Weatherford International plc (6750); Weatherford International Ltd. (1344); and Weatherford International, LLC (5019). The location of the Debtors’ U.S.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40" w:type="dxa"/>
            <w:vAlign w:val="bottom"/>
          </w:tcPr>
          <w:p>
            <w:pPr>
              <w:ind w:left="2240"/>
              <w:spacing w:after="0"/>
              <w:rPr>
                <w:sz w:val="20"/>
                <w:szCs w:val="20"/>
                <w:color w:val="auto"/>
              </w:rPr>
            </w:pPr>
            <w:r>
              <w:rPr>
                <w:rFonts w:ascii="Arial" w:cs="Arial" w:eastAsia="Arial" w:hAnsi="Arial"/>
                <w:sz w:val="18"/>
                <w:szCs w:val="18"/>
                <w:color w:val="auto"/>
              </w:rPr>
              <w:t>TABLE OF CONTENTS</w:t>
            </w:r>
          </w:p>
        </w:tc>
        <w:tc>
          <w:tcPr>
            <w:tcW w:w="1420" w:type="dxa"/>
            <w:vAlign w:val="bottom"/>
          </w:tcPr>
          <w:p>
            <w:pPr>
              <w:spacing w:after="0"/>
              <w:rPr>
                <w:sz w:val="20"/>
                <w:szCs w:val="20"/>
                <w:color w:val="auto"/>
              </w:rPr>
            </w:pPr>
          </w:p>
        </w:tc>
      </w:tr>
      <w:tr>
        <w:trPr>
          <w:trHeight w:val="432"/>
        </w:trPr>
        <w:tc>
          <w:tcPr>
            <w:tcW w:w="10000" w:type="dxa"/>
            <w:vAlign w:val="bottom"/>
            <w:gridSpan w:val="3"/>
          </w:tcPr>
          <w:p>
            <w:pPr>
              <w:spacing w:after="0"/>
              <w:rPr>
                <w:sz w:val="20"/>
                <w:szCs w:val="20"/>
                <w:color w:val="auto"/>
              </w:rPr>
            </w:pPr>
            <w:r>
              <w:rPr>
                <w:rFonts w:ascii="Arial" w:cs="Arial" w:eastAsia="Arial" w:hAnsi="Arial"/>
                <w:sz w:val="18"/>
                <w:szCs w:val="18"/>
                <w:color w:val="auto"/>
              </w:rPr>
              <w:t>ARTICLE I. RULES OF INTERPRETATION, COMPUTATION OF TIME AND DEFINED TERMS</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Rules of Interpretation; Computation of Time</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Defined Terms</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000" w:type="dxa"/>
            <w:vAlign w:val="bottom"/>
            <w:gridSpan w:val="3"/>
          </w:tcPr>
          <w:p>
            <w:pPr>
              <w:spacing w:after="0"/>
              <w:rPr>
                <w:sz w:val="20"/>
                <w:szCs w:val="20"/>
                <w:color w:val="auto"/>
              </w:rPr>
            </w:pPr>
            <w:r>
              <w:rPr>
                <w:rFonts w:ascii="Arial" w:cs="Arial" w:eastAsia="Arial" w:hAnsi="Arial"/>
                <w:sz w:val="18"/>
                <w:szCs w:val="18"/>
                <w:color w:val="auto"/>
              </w:rPr>
              <w:t>ARTICLE II. ADMINISTRATIVE, DIP FACILITY, AND PRIORITY TAX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Administrative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w:t>
            </w:r>
          </w:p>
        </w:tc>
        <w:tc>
          <w:tcPr>
            <w:tcW w:w="7440" w:type="dxa"/>
            <w:vAlign w:val="bottom"/>
          </w:tcPr>
          <w:p>
            <w:pPr>
              <w:ind w:left="120"/>
              <w:spacing w:after="0"/>
              <w:rPr>
                <w:sz w:val="20"/>
                <w:szCs w:val="20"/>
                <w:color w:val="auto"/>
              </w:rPr>
            </w:pPr>
            <w:r>
              <w:rPr>
                <w:rFonts w:ascii="Arial" w:cs="Arial" w:eastAsia="Arial" w:hAnsi="Arial"/>
                <w:sz w:val="18"/>
                <w:szCs w:val="18"/>
                <w:color w:val="auto"/>
              </w:rPr>
              <w:t>Professional Fee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DIP Facility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C.</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Priority Tax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0000" w:type="dxa"/>
            <w:vAlign w:val="bottom"/>
            <w:gridSpan w:val="3"/>
          </w:tcPr>
          <w:p>
            <w:pPr>
              <w:spacing w:after="0"/>
              <w:rPr>
                <w:sz w:val="20"/>
                <w:szCs w:val="20"/>
                <w:color w:val="auto"/>
              </w:rPr>
            </w:pPr>
            <w:r>
              <w:rPr>
                <w:rFonts w:ascii="Arial" w:cs="Arial" w:eastAsia="Arial" w:hAnsi="Arial"/>
                <w:sz w:val="18"/>
                <w:szCs w:val="18"/>
                <w:color w:val="auto"/>
              </w:rPr>
              <w:t>ARTICLE III. CLASSIFICATION AND TREATMENT OF CLASSIFIED CLAIMS AND EQUITY INTERESTS</w:t>
            </w: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1280" w:type="dxa"/>
            <w:vAlign w:val="bottom"/>
          </w:tcPr>
          <w:p>
            <w:pPr>
              <w:ind w:left="440"/>
              <w:spacing w:after="0"/>
              <w:rPr>
                <w:sz w:val="20"/>
                <w:szCs w:val="20"/>
                <w:color w:val="auto"/>
              </w:rPr>
            </w:pPr>
            <w:r>
              <w:rPr>
                <w:rFonts w:ascii="Arial" w:cs="Arial" w:eastAsia="Arial" w:hAnsi="Arial"/>
                <w:sz w:val="18"/>
                <w:szCs w:val="18"/>
                <w:color w:val="auto"/>
              </w:rPr>
              <w:t>Summary</w:t>
            </w:r>
          </w:p>
        </w:tc>
        <w:tc>
          <w:tcPr>
            <w:tcW w:w="7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Classification and Treatment of Claims and Equity Interests</w:t>
            </w: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1 - Other Priority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2.</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2 - Other Secured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3.</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3 - Secured Tax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4.</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4 — Prepetition Revolving Credit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5.</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5 — Prepetition Term Loan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6.</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6 — Prepetition A&amp;R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7.</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7 - Prepetition Notes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8.</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8 — General Unsecured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9.</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9 — Intercompany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10 — Existing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11.</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11 — Intercompany Equity Interests</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8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12.</w:t>
            </w:r>
          </w:p>
        </w:tc>
        <w:tc>
          <w:tcPr>
            <w:tcW w:w="7440" w:type="dxa"/>
            <w:vAlign w:val="bottom"/>
          </w:tcPr>
          <w:p>
            <w:pPr>
              <w:ind w:left="120"/>
              <w:spacing w:after="0"/>
              <w:rPr>
                <w:sz w:val="20"/>
                <w:szCs w:val="20"/>
                <w:color w:val="auto"/>
              </w:rPr>
            </w:pPr>
            <w:r>
              <w:rPr>
                <w:rFonts w:ascii="Arial" w:cs="Arial" w:eastAsia="Arial" w:hAnsi="Arial"/>
                <w:sz w:val="18"/>
                <w:szCs w:val="18"/>
                <w:color w:val="auto"/>
              </w:rPr>
              <w:t>Class 12 — Unexercised Equity Interests</w:t>
            </w: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C.</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Special Provision Governing Unimpaired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D.</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Elimination of Vacant Classes</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000" w:type="dxa"/>
            <w:vAlign w:val="bottom"/>
            <w:gridSpan w:val="3"/>
          </w:tcPr>
          <w:p>
            <w:pPr>
              <w:spacing w:after="0"/>
              <w:rPr>
                <w:sz w:val="20"/>
                <w:szCs w:val="20"/>
                <w:color w:val="auto"/>
              </w:rPr>
            </w:pPr>
            <w:r>
              <w:rPr>
                <w:rFonts w:ascii="Arial" w:cs="Arial" w:eastAsia="Arial" w:hAnsi="Arial"/>
                <w:sz w:val="18"/>
                <w:szCs w:val="18"/>
                <w:color w:val="auto"/>
              </w:rPr>
              <w:t>ARTICLE IV. ACCEPTANCE OR REJECTION OF THE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Presumed Acceptance of Plan</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Presumed Rejection of Plan</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C.</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Voting Classes</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D.</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Acceptance by Impaired Class of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E.</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Confirmation Pursuant to Sections 1129(a)(10) and 1129(b) of the Bankruptcy Code; Cram Down</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F.</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Votes Solicited in Good Faith</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000" w:type="dxa"/>
            <w:vAlign w:val="bottom"/>
            <w:gridSpan w:val="3"/>
          </w:tcPr>
          <w:p>
            <w:pPr>
              <w:spacing w:after="0"/>
              <w:rPr>
                <w:sz w:val="20"/>
                <w:szCs w:val="20"/>
                <w:color w:val="auto"/>
              </w:rPr>
            </w:pPr>
            <w:r>
              <w:rPr>
                <w:rFonts w:ascii="Arial" w:cs="Arial" w:eastAsia="Arial" w:hAnsi="Arial"/>
                <w:sz w:val="18"/>
                <w:szCs w:val="18"/>
                <w:color w:val="auto"/>
              </w:rPr>
              <w:t>ARTICLE V. MEANS FOR IMPLEMENTATION OF THE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Restructuring Transactions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Continued Corporate Existence</w:t>
            </w: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C.</w:t>
            </w: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Vesting of Assets in the Reorganized Debtors Free and Clear of Liens and Claims</w:t>
            </w: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Exit Facility Loan Documents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E.</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New Senior Unsecured Notes Indentures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F.</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New Common Stock; Book Entry</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G.</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Listing of New Securities and Transfer Restrictions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H.</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New Registration Rights Agreement</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I.</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New Management Incentive Plan</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J.</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New Warrants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K.</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Plan Securities and Related Documentation; Exemption from Securities Laws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L.</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Release of Liens and Claims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M.</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Corporate Governance Documents of the Reorganized Debtors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N.</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Directors and Officers of the Reorganized Debtors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O.</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Corporate Action</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P.</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Cancellation of Notes, Certificates and Instruments</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Q.</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Existing Equity Interests</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R.</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Sources of Cash for Plan Distributions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S.</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Funding and Use of Professional Fee Claim Reserve</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T.</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Payment of Fees and Expenses of Certain Creditors</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U.</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Payment of Fees and Expenses of the Prepetition Notes Indenture Trustee</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V.</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Tranche B Equity Conversion and Overallotment Rights</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300" w:type="dxa"/>
            <w:vAlign w:val="bottom"/>
          </w:tcPr>
          <w:p>
            <w:pPr>
              <w:ind w:left="660"/>
              <w:spacing w:after="0"/>
              <w:rPr>
                <w:sz w:val="20"/>
                <w:szCs w:val="20"/>
                <w:color w:val="auto"/>
              </w:rPr>
            </w:pPr>
            <w:r>
              <w:rPr>
                <w:rFonts w:ascii="Arial" w:cs="Arial" w:eastAsia="Arial" w:hAnsi="Arial"/>
                <w:sz w:val="18"/>
                <w:szCs w:val="18"/>
                <w:color w:val="auto"/>
              </w:rPr>
              <w:t>W.</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Rights Offering</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420" w:type="dxa"/>
            <w:vAlign w:val="bottom"/>
            <w:gridSpan w:val="3"/>
          </w:tcPr>
          <w:p>
            <w:pPr>
              <w:spacing w:after="0"/>
              <w:rPr>
                <w:sz w:val="20"/>
                <w:szCs w:val="20"/>
                <w:color w:val="auto"/>
              </w:rPr>
            </w:pPr>
            <w:r>
              <w:rPr>
                <w:rFonts w:ascii="Arial" w:cs="Arial" w:eastAsia="Arial" w:hAnsi="Arial"/>
                <w:sz w:val="18"/>
                <w:szCs w:val="18"/>
                <w:color w:val="auto"/>
              </w:rPr>
              <w:t>ARTICLE VI. TREATMENT OF EXECUTORY CONTRACTS AND UNEXPIRED LEASES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1300" w:type="dxa"/>
            <w:vAlign w:val="bottom"/>
          </w:tcPr>
          <w:p>
            <w:pPr>
              <w:ind w:left="660"/>
              <w:spacing w:after="0"/>
              <w:rPr>
                <w:sz w:val="20"/>
                <w:szCs w:val="20"/>
                <w:color w:val="auto"/>
              </w:rPr>
            </w:pPr>
            <w:r>
              <w:rPr>
                <w:rFonts w:ascii="Arial" w:cs="Arial" w:eastAsia="Arial" w:hAnsi="Arial"/>
                <w:sz w:val="18"/>
                <w:szCs w:val="18"/>
                <w:color w:val="auto"/>
              </w:rPr>
              <w:t>A.</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Assumption of Executory Contracts and Unexpired Leases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B.</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Cure of Defaults; Assignment of Executory Contracts and Unexpired Leases</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C.</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Rejection of Executory Contracts and Unexpired Leases</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Claims on Account of the Rejection of Executory Contracts or Unexpired Leases</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E.</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D&amp;O Liability Insurance Policies</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F.</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Indemnification Provisions</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G.</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Employment Plans</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H.</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Insurance Contracts</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I.</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Extension of Time to Assume or Reject</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300" w:type="dxa"/>
            <w:vAlign w:val="bottom"/>
          </w:tcPr>
          <w:p>
            <w:pPr>
              <w:ind w:left="660"/>
              <w:spacing w:after="0"/>
              <w:rPr>
                <w:sz w:val="20"/>
                <w:szCs w:val="20"/>
                <w:color w:val="auto"/>
              </w:rPr>
            </w:pPr>
            <w:r>
              <w:rPr>
                <w:rFonts w:ascii="Arial" w:cs="Arial" w:eastAsia="Arial" w:hAnsi="Arial"/>
                <w:sz w:val="18"/>
                <w:szCs w:val="18"/>
                <w:color w:val="auto"/>
              </w:rPr>
              <w:t>J.</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Modifications, Amendments, Supplements, Restatements, or Other Agreements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420" w:type="dxa"/>
            <w:vAlign w:val="bottom"/>
            <w:gridSpan w:val="3"/>
          </w:tcPr>
          <w:p>
            <w:pPr>
              <w:spacing w:after="0"/>
              <w:rPr>
                <w:sz w:val="20"/>
                <w:szCs w:val="20"/>
                <w:color w:val="auto"/>
              </w:rPr>
            </w:pPr>
            <w:r>
              <w:rPr>
                <w:rFonts w:ascii="Arial" w:cs="Arial" w:eastAsia="Arial" w:hAnsi="Arial"/>
                <w:sz w:val="18"/>
                <w:szCs w:val="18"/>
                <w:color w:val="auto"/>
              </w:rPr>
              <w:t>ARTICLE VII. PROVISIONS GOVERNING DISTRIBUTIONS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300" w:type="dxa"/>
            <w:vAlign w:val="bottom"/>
          </w:tcPr>
          <w:p>
            <w:pPr>
              <w:ind w:left="660"/>
              <w:spacing w:after="0"/>
              <w:rPr>
                <w:sz w:val="20"/>
                <w:szCs w:val="20"/>
                <w:color w:val="auto"/>
              </w:rPr>
            </w:pPr>
            <w:r>
              <w:rPr>
                <w:rFonts w:ascii="Arial" w:cs="Arial" w:eastAsia="Arial" w:hAnsi="Arial"/>
                <w:sz w:val="18"/>
                <w:szCs w:val="18"/>
                <w:color w:val="auto"/>
              </w:rPr>
              <w:t>A.</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Distributions for Claims Allowed as of the Effective Date</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B.</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No Postpetition Interest on Claims</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C.</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Distributions by the Reorganized Debtors or Other Applicable Distribution Agent</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Delivery and Distributions; Undeliverable or Unclaimed Distributions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1.</w:t>
            </w:r>
          </w:p>
        </w:tc>
        <w:tc>
          <w:tcPr>
            <w:tcW w:w="6960" w:type="dxa"/>
            <w:vAlign w:val="bottom"/>
          </w:tcPr>
          <w:p>
            <w:pPr>
              <w:ind w:left="220"/>
              <w:spacing w:after="0"/>
              <w:rPr>
                <w:sz w:val="20"/>
                <w:szCs w:val="20"/>
                <w:color w:val="auto"/>
              </w:rPr>
            </w:pPr>
            <w:r>
              <w:rPr>
                <w:rFonts w:ascii="Arial" w:cs="Arial" w:eastAsia="Arial" w:hAnsi="Arial"/>
                <w:sz w:val="18"/>
                <w:szCs w:val="18"/>
                <w:color w:val="auto"/>
              </w:rPr>
              <w:t>Record Date for Distributions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2.</w:t>
            </w:r>
          </w:p>
        </w:tc>
        <w:tc>
          <w:tcPr>
            <w:tcW w:w="6960" w:type="dxa"/>
            <w:vAlign w:val="bottom"/>
          </w:tcPr>
          <w:p>
            <w:pPr>
              <w:ind w:left="220"/>
              <w:spacing w:after="0"/>
              <w:rPr>
                <w:sz w:val="20"/>
                <w:szCs w:val="20"/>
                <w:color w:val="auto"/>
              </w:rPr>
            </w:pPr>
            <w:r>
              <w:rPr>
                <w:rFonts w:ascii="Arial" w:cs="Arial" w:eastAsia="Arial" w:hAnsi="Arial"/>
                <w:sz w:val="18"/>
                <w:szCs w:val="18"/>
                <w:color w:val="auto"/>
              </w:rPr>
              <w:t>Delivery of Distributions in General</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3.</w:t>
            </w:r>
          </w:p>
        </w:tc>
        <w:tc>
          <w:tcPr>
            <w:tcW w:w="6960" w:type="dxa"/>
            <w:vAlign w:val="bottom"/>
          </w:tcPr>
          <w:p>
            <w:pPr>
              <w:ind w:left="220"/>
              <w:spacing w:after="0"/>
              <w:rPr>
                <w:sz w:val="20"/>
                <w:szCs w:val="20"/>
                <w:color w:val="auto"/>
              </w:rPr>
            </w:pPr>
            <w:r>
              <w:rPr>
                <w:rFonts w:ascii="Arial" w:cs="Arial" w:eastAsia="Arial" w:hAnsi="Arial"/>
                <w:sz w:val="18"/>
                <w:szCs w:val="18"/>
                <w:color w:val="auto"/>
              </w:rPr>
              <w:t>Minimum Distributions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4.</w:t>
            </w:r>
          </w:p>
        </w:tc>
        <w:tc>
          <w:tcPr>
            <w:tcW w:w="6960" w:type="dxa"/>
            <w:vAlign w:val="bottom"/>
          </w:tcPr>
          <w:p>
            <w:pPr>
              <w:ind w:left="220"/>
              <w:spacing w:after="0"/>
              <w:rPr>
                <w:sz w:val="20"/>
                <w:szCs w:val="20"/>
                <w:color w:val="auto"/>
              </w:rPr>
            </w:pPr>
            <w:r>
              <w:rPr>
                <w:rFonts w:ascii="Arial" w:cs="Arial" w:eastAsia="Arial" w:hAnsi="Arial"/>
                <w:sz w:val="18"/>
                <w:szCs w:val="18"/>
                <w:color w:val="auto"/>
              </w:rPr>
              <w:t>Undeliverable Distributions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E.</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Compliance with Tax Requirements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F.</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[Intentionally Omitted]</w:t>
            </w: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G.</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Means of Cash Payment</w:t>
            </w: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00" w:type="dxa"/>
            <w:vAlign w:val="bottom"/>
          </w:tcPr>
          <w:p>
            <w:pPr>
              <w:ind w:left="660"/>
              <w:spacing w:after="0"/>
              <w:rPr>
                <w:sz w:val="20"/>
                <w:szCs w:val="20"/>
                <w:color w:val="auto"/>
              </w:rPr>
            </w:pPr>
            <w:r>
              <w:rPr>
                <w:rFonts w:ascii="Arial" w:cs="Arial" w:eastAsia="Arial" w:hAnsi="Arial"/>
                <w:sz w:val="18"/>
                <w:szCs w:val="18"/>
                <w:color w:val="auto"/>
              </w:rPr>
              <w:t>H.</w:t>
            </w: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Timing and Calculation of Amounts to Be Distributed</w:t>
            </w: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300" w:type="dxa"/>
            <w:vAlign w:val="bottom"/>
          </w:tcPr>
          <w:p>
            <w:pPr>
              <w:ind w:left="660"/>
              <w:spacing w:after="0"/>
              <w:rPr>
                <w:sz w:val="20"/>
                <w:szCs w:val="20"/>
                <w:color w:val="auto"/>
              </w:rPr>
            </w:pPr>
            <w:r>
              <w:rPr>
                <w:rFonts w:ascii="Arial" w:cs="Arial" w:eastAsia="Arial" w:hAnsi="Arial"/>
                <w:sz w:val="18"/>
                <w:szCs w:val="18"/>
                <w:color w:val="auto"/>
              </w:rPr>
              <w:t>I.</w:t>
            </w:r>
          </w:p>
        </w:tc>
        <w:tc>
          <w:tcPr>
            <w:tcW w:w="1160" w:type="dxa"/>
            <w:vAlign w:val="bottom"/>
          </w:tcPr>
          <w:p>
            <w:pPr>
              <w:ind w:left="420"/>
              <w:spacing w:after="0"/>
              <w:rPr>
                <w:sz w:val="20"/>
                <w:szCs w:val="20"/>
                <w:color w:val="auto"/>
              </w:rPr>
            </w:pPr>
            <w:r>
              <w:rPr>
                <w:rFonts w:ascii="Arial" w:cs="Arial" w:eastAsia="Arial" w:hAnsi="Arial"/>
                <w:sz w:val="18"/>
                <w:szCs w:val="18"/>
                <w:color w:val="auto"/>
              </w:rPr>
              <w:t>Setoffs</w:t>
            </w:r>
          </w:p>
        </w:tc>
        <w:tc>
          <w:tcPr>
            <w:tcW w:w="69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0960" w:type="dxa"/>
            <w:vAlign w:val="bottom"/>
            <w:gridSpan w:val="3"/>
          </w:tcPr>
          <w:p>
            <w:pPr>
              <w:spacing w:after="0"/>
              <w:rPr>
                <w:sz w:val="20"/>
                <w:szCs w:val="20"/>
                <w:color w:val="auto"/>
              </w:rPr>
            </w:pPr>
            <w:r>
              <w:rPr>
                <w:rFonts w:ascii="Arial" w:cs="Arial" w:eastAsia="Arial" w:hAnsi="Arial"/>
                <w:sz w:val="18"/>
                <w:szCs w:val="18"/>
                <w:color w:val="auto"/>
                <w:w w:val="99"/>
              </w:rPr>
              <w:t>ARTICLE VIII. PROCEDURES FOR RESOLVING CONTINGENT, UNLIQUIDATED, AND DISPUTED CLAIMS AND EQUITY INTERESTS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9680" w:type="dxa"/>
            <w:vAlign w:val="bottom"/>
            <w:gridSpan w:val="2"/>
          </w:tcPr>
          <w:p>
            <w:pPr>
              <w:ind w:left="440"/>
              <w:spacing w:after="0"/>
              <w:rPr>
                <w:sz w:val="20"/>
                <w:szCs w:val="20"/>
                <w:color w:val="auto"/>
              </w:rPr>
            </w:pPr>
            <w:r>
              <w:rPr>
                <w:rFonts w:ascii="Arial" w:cs="Arial" w:eastAsia="Arial" w:hAnsi="Arial"/>
                <w:sz w:val="18"/>
                <w:szCs w:val="18"/>
                <w:color w:val="auto"/>
              </w:rPr>
              <w:t>Resolution of Disputed Claims and Equity Interests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1.</w:t>
            </w:r>
          </w:p>
        </w:tc>
        <w:tc>
          <w:tcPr>
            <w:tcW w:w="8680" w:type="dxa"/>
            <w:vAlign w:val="bottom"/>
          </w:tcPr>
          <w:p>
            <w:pPr>
              <w:ind w:left="400"/>
              <w:spacing w:after="0"/>
              <w:rPr>
                <w:sz w:val="20"/>
                <w:szCs w:val="20"/>
                <w:color w:val="auto"/>
              </w:rPr>
            </w:pPr>
            <w:r>
              <w:rPr>
                <w:rFonts w:ascii="Arial" w:cs="Arial" w:eastAsia="Arial" w:hAnsi="Arial"/>
                <w:sz w:val="18"/>
                <w:szCs w:val="18"/>
                <w:color w:val="auto"/>
              </w:rPr>
              <w:t>Allowance of Claims and Equity Interests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2.</w:t>
            </w:r>
          </w:p>
        </w:tc>
        <w:tc>
          <w:tcPr>
            <w:tcW w:w="8680" w:type="dxa"/>
            <w:vAlign w:val="bottom"/>
          </w:tcPr>
          <w:p>
            <w:pPr>
              <w:ind w:left="400"/>
              <w:spacing w:after="0"/>
              <w:rPr>
                <w:sz w:val="20"/>
                <w:szCs w:val="20"/>
                <w:color w:val="auto"/>
              </w:rPr>
            </w:pPr>
            <w:r>
              <w:rPr>
                <w:rFonts w:ascii="Arial" w:cs="Arial" w:eastAsia="Arial" w:hAnsi="Arial"/>
                <w:sz w:val="18"/>
                <w:szCs w:val="18"/>
                <w:color w:val="auto"/>
              </w:rPr>
              <w:t>Prosecution of Objections to Claims and Equity Interests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3.</w:t>
            </w:r>
          </w:p>
        </w:tc>
        <w:tc>
          <w:tcPr>
            <w:tcW w:w="8680" w:type="dxa"/>
            <w:vAlign w:val="bottom"/>
          </w:tcPr>
          <w:p>
            <w:pPr>
              <w:ind w:left="400"/>
              <w:spacing w:after="0"/>
              <w:rPr>
                <w:sz w:val="20"/>
                <w:szCs w:val="20"/>
                <w:color w:val="auto"/>
              </w:rPr>
            </w:pPr>
            <w:r>
              <w:rPr>
                <w:rFonts w:ascii="Arial" w:cs="Arial" w:eastAsia="Arial" w:hAnsi="Arial"/>
                <w:sz w:val="18"/>
                <w:szCs w:val="18"/>
                <w:color w:val="auto"/>
              </w:rPr>
              <w:t>Claims Estimation</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8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4.</w:t>
            </w:r>
          </w:p>
        </w:tc>
        <w:tc>
          <w:tcPr>
            <w:tcW w:w="8680" w:type="dxa"/>
            <w:vAlign w:val="bottom"/>
          </w:tcPr>
          <w:p>
            <w:pPr>
              <w:ind w:left="400"/>
              <w:spacing w:after="0"/>
              <w:rPr>
                <w:sz w:val="20"/>
                <w:szCs w:val="20"/>
                <w:color w:val="auto"/>
              </w:rPr>
            </w:pPr>
            <w:r>
              <w:rPr>
                <w:rFonts w:ascii="Arial" w:cs="Arial" w:eastAsia="Arial" w:hAnsi="Arial"/>
                <w:sz w:val="18"/>
                <w:szCs w:val="18"/>
                <w:color w:val="auto"/>
              </w:rPr>
              <w:t>No Filings of Proofs of Claim or Equity Interests</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9680" w:type="dxa"/>
            <w:vAlign w:val="bottom"/>
            <w:gridSpan w:val="2"/>
          </w:tcPr>
          <w:p>
            <w:pPr>
              <w:ind w:left="440"/>
              <w:spacing w:after="0"/>
              <w:rPr>
                <w:sz w:val="20"/>
                <w:szCs w:val="20"/>
                <w:color w:val="auto"/>
              </w:rPr>
            </w:pPr>
            <w:r>
              <w:rPr>
                <w:rFonts w:ascii="Arial" w:cs="Arial" w:eastAsia="Arial" w:hAnsi="Arial"/>
                <w:sz w:val="18"/>
                <w:szCs w:val="18"/>
                <w:color w:val="auto"/>
              </w:rPr>
              <w:t>No Distributions Pending Allowance</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bl>
    <w:p>
      <w:pPr>
        <w:ind w:left="1720" w:hanging="1064"/>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Distributions on Account of Disputed Claims and Disputed Equity Interests Once They Are Allowed and Additional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Distributions on Account of Previously Allowed Claims and Allowed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D.</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Reserve for Disputed Claims and Disputed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CONDITIONS PRECEDENT TO CONFIRMATION AND CONSUMMATION OF THE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Conditions Precedent to Confirmation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Conditions Precedent to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Waiver of Conditions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D.</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Effect of Non-Occurrence of Conditions to Confirmation or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RELEASE, DISCHARGE, INJUNCTION AND RELATED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1360" w:type="dxa"/>
            <w:vAlign w:val="bottom"/>
          </w:tcPr>
          <w:p>
            <w:pPr>
              <w:ind w:left="440"/>
              <w:spacing w:after="0"/>
              <w:rPr>
                <w:sz w:val="20"/>
                <w:szCs w:val="20"/>
                <w:color w:val="auto"/>
              </w:rPr>
            </w:pPr>
            <w:r>
              <w:rPr>
                <w:rFonts w:ascii="Arial" w:cs="Arial" w:eastAsia="Arial" w:hAnsi="Arial"/>
                <w:sz w:val="18"/>
                <w:szCs w:val="18"/>
                <w:color w:val="auto"/>
              </w:rPr>
              <w:t>General</w:t>
            </w:r>
          </w:p>
        </w:tc>
        <w:tc>
          <w:tcPr>
            <w:tcW w:w="70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Release of Claims and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Waiver of Statutory Limitations on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D.</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Discharge of Claims and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E.</w:t>
            </w:r>
          </w:p>
        </w:tc>
        <w:tc>
          <w:tcPr>
            <w:tcW w:w="1360" w:type="dxa"/>
            <w:vAlign w:val="bottom"/>
          </w:tcPr>
          <w:p>
            <w:pPr>
              <w:ind w:left="440"/>
              <w:spacing w:after="0"/>
              <w:rPr>
                <w:sz w:val="20"/>
                <w:szCs w:val="20"/>
                <w:color w:val="auto"/>
              </w:rPr>
            </w:pPr>
            <w:r>
              <w:rPr>
                <w:rFonts w:ascii="Arial" w:cs="Arial" w:eastAsia="Arial" w:hAnsi="Arial"/>
                <w:sz w:val="18"/>
                <w:szCs w:val="18"/>
                <w:color w:val="auto"/>
                <w:w w:val="96"/>
              </w:rPr>
              <w:t>Exculpation</w:t>
            </w:r>
          </w:p>
        </w:tc>
        <w:tc>
          <w:tcPr>
            <w:tcW w:w="70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F.</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Preservation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80" w:type="dxa"/>
            <w:vAlign w:val="bottom"/>
          </w:tcPr>
          <w:p>
            <w:pPr>
              <w:spacing w:after="0"/>
              <w:rPr>
                <w:sz w:val="18"/>
                <w:szCs w:val="18"/>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w:t>
            </w:r>
          </w:p>
        </w:tc>
        <w:tc>
          <w:tcPr>
            <w:tcW w:w="7020" w:type="dxa"/>
            <w:vAlign w:val="bottom"/>
          </w:tcPr>
          <w:p>
            <w:pPr>
              <w:ind w:left="40"/>
              <w:spacing w:after="0"/>
              <w:rPr>
                <w:sz w:val="20"/>
                <w:szCs w:val="20"/>
                <w:color w:val="auto"/>
              </w:rPr>
            </w:pPr>
            <w:r>
              <w:rPr>
                <w:rFonts w:ascii="Arial" w:cs="Arial" w:eastAsia="Arial" w:hAnsi="Arial"/>
                <w:sz w:val="18"/>
                <w:szCs w:val="18"/>
                <w:color w:val="auto"/>
              </w:rPr>
              <w:t>Maintenance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80" w:type="dxa"/>
            <w:vAlign w:val="bottom"/>
          </w:tcPr>
          <w:p>
            <w:pPr>
              <w:spacing w:after="0"/>
              <w:rPr>
                <w:sz w:val="18"/>
                <w:szCs w:val="18"/>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2.</w:t>
            </w:r>
          </w:p>
        </w:tc>
        <w:tc>
          <w:tcPr>
            <w:tcW w:w="7020" w:type="dxa"/>
            <w:vAlign w:val="bottom"/>
          </w:tcPr>
          <w:p>
            <w:pPr>
              <w:ind w:left="40"/>
              <w:spacing w:after="0"/>
              <w:rPr>
                <w:sz w:val="20"/>
                <w:szCs w:val="20"/>
                <w:color w:val="auto"/>
              </w:rPr>
            </w:pPr>
            <w:r>
              <w:rPr>
                <w:rFonts w:ascii="Arial" w:cs="Arial" w:eastAsia="Arial" w:hAnsi="Arial"/>
                <w:sz w:val="18"/>
                <w:szCs w:val="18"/>
                <w:color w:val="auto"/>
              </w:rPr>
              <w:t>Preservation of All Causes of Action Not Expressly Settled or Released</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G.</w:t>
            </w:r>
          </w:p>
        </w:tc>
        <w:tc>
          <w:tcPr>
            <w:tcW w:w="1360" w:type="dxa"/>
            <w:vAlign w:val="bottom"/>
          </w:tcPr>
          <w:p>
            <w:pPr>
              <w:ind w:left="440"/>
              <w:spacing w:after="0"/>
              <w:rPr>
                <w:sz w:val="20"/>
                <w:szCs w:val="20"/>
                <w:color w:val="auto"/>
              </w:rPr>
            </w:pPr>
            <w:r>
              <w:rPr>
                <w:rFonts w:ascii="Arial" w:cs="Arial" w:eastAsia="Arial" w:hAnsi="Arial"/>
                <w:sz w:val="18"/>
                <w:szCs w:val="18"/>
                <w:color w:val="auto"/>
              </w:rPr>
              <w:t>Injunction</w:t>
            </w:r>
          </w:p>
        </w:tc>
        <w:tc>
          <w:tcPr>
            <w:tcW w:w="70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H.</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Binding Nature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I.</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Protection Against Discriminatory Treatment</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J.</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Integral Part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RETENTION OF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A.</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Substantial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Payment of Statutory Fees; Post-Effective Date 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Statutory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D.</w:t>
            </w:r>
          </w:p>
        </w:tc>
        <w:tc>
          <w:tcPr>
            <w:tcW w:w="1360" w:type="dxa"/>
            <w:vAlign w:val="bottom"/>
          </w:tcPr>
          <w:p>
            <w:pPr>
              <w:ind w:left="440"/>
              <w:spacing w:after="0"/>
              <w:rPr>
                <w:sz w:val="20"/>
                <w:szCs w:val="20"/>
                <w:color w:val="auto"/>
              </w:rPr>
            </w:pPr>
            <w:r>
              <w:rPr>
                <w:rFonts w:ascii="Arial" w:cs="Arial" w:eastAsia="Arial" w:hAnsi="Arial"/>
                <w:sz w:val="18"/>
                <w:szCs w:val="18"/>
                <w:color w:val="auto"/>
              </w:rPr>
              <w:t>Conflicts</w:t>
            </w:r>
          </w:p>
        </w:tc>
        <w:tc>
          <w:tcPr>
            <w:tcW w:w="70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E.</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Modification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F.</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Revocation or Withdrawal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G.</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H.</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Reservation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I.</w:t>
            </w: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J.</w:t>
            </w:r>
          </w:p>
        </w:tc>
        <w:tc>
          <w:tcPr>
            <w:tcW w:w="1360" w:type="dxa"/>
            <w:vAlign w:val="bottom"/>
          </w:tcPr>
          <w:p>
            <w:pPr>
              <w:ind w:left="440"/>
              <w:spacing w:after="0"/>
              <w:rPr>
                <w:sz w:val="20"/>
                <w:szCs w:val="20"/>
                <w:color w:val="auto"/>
              </w:rPr>
            </w:pPr>
            <w:r>
              <w:rPr>
                <w:rFonts w:ascii="Arial" w:cs="Arial" w:eastAsia="Arial" w:hAnsi="Arial"/>
                <w:sz w:val="18"/>
                <w:szCs w:val="18"/>
                <w:color w:val="auto"/>
                <w:w w:val="96"/>
              </w:rPr>
              <w:t>Severability</w:t>
            </w:r>
          </w:p>
        </w:tc>
        <w:tc>
          <w:tcPr>
            <w:tcW w:w="70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K.</w:t>
            </w:r>
          </w:p>
        </w:tc>
        <w:tc>
          <w:tcPr>
            <w:tcW w:w="8240" w:type="dxa"/>
            <w:vAlign w:val="bottom"/>
          </w:tcPr>
          <w:p>
            <w:pPr>
              <w:ind w:left="420"/>
              <w:spacing w:after="0"/>
              <w:rPr>
                <w:sz w:val="20"/>
                <w:szCs w:val="20"/>
                <w:color w:val="auto"/>
              </w:rPr>
            </w:pPr>
            <w:r>
              <w:rPr>
                <w:rFonts w:ascii="Arial" w:cs="Arial" w:eastAsia="Arial" w:hAnsi="Arial"/>
                <w:sz w:val="18"/>
                <w:szCs w:val="18"/>
                <w:color w:val="auto"/>
              </w:rPr>
              <w:t>Service of Documents</w:t>
            </w:r>
          </w:p>
        </w:tc>
        <w:tc>
          <w:tcPr>
            <w:tcW w:w="1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L.</w:t>
            </w:r>
          </w:p>
        </w:tc>
        <w:tc>
          <w:tcPr>
            <w:tcW w:w="8240" w:type="dxa"/>
            <w:vAlign w:val="bottom"/>
          </w:tcPr>
          <w:p>
            <w:pPr>
              <w:ind w:left="420"/>
              <w:spacing w:after="0"/>
              <w:rPr>
                <w:sz w:val="20"/>
                <w:szCs w:val="20"/>
                <w:color w:val="auto"/>
              </w:rPr>
            </w:pPr>
            <w:r>
              <w:rPr>
                <w:rFonts w:ascii="Arial" w:cs="Arial" w:eastAsia="Arial" w:hAnsi="Arial"/>
                <w:sz w:val="18"/>
                <w:szCs w:val="18"/>
                <w:color w:val="auto"/>
              </w:rPr>
              <w:t>Exemption from Transfer Taxes Pursuant to Section 1146(a) of the Bankruptcy Code</w:t>
            </w:r>
          </w:p>
        </w:tc>
        <w:tc>
          <w:tcPr>
            <w:tcW w:w="1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M.</w:t>
            </w:r>
          </w:p>
        </w:tc>
        <w:tc>
          <w:tcPr>
            <w:tcW w:w="824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1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N.</w:t>
            </w:r>
          </w:p>
        </w:tc>
        <w:tc>
          <w:tcPr>
            <w:tcW w:w="8240" w:type="dxa"/>
            <w:vAlign w:val="bottom"/>
          </w:tcPr>
          <w:p>
            <w:pPr>
              <w:ind w:left="420"/>
              <w:spacing w:after="0"/>
              <w:rPr>
                <w:sz w:val="20"/>
                <w:szCs w:val="20"/>
                <w:color w:val="auto"/>
              </w:rPr>
            </w:pPr>
            <w:r>
              <w:rPr>
                <w:rFonts w:ascii="Arial" w:cs="Arial" w:eastAsia="Arial" w:hAnsi="Arial"/>
                <w:sz w:val="18"/>
                <w:szCs w:val="18"/>
                <w:color w:val="auto"/>
              </w:rPr>
              <w:t>Tax Reporting and Compliance</w:t>
            </w:r>
          </w:p>
        </w:tc>
        <w:tc>
          <w:tcPr>
            <w:tcW w:w="1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O.</w:t>
            </w:r>
          </w:p>
        </w:tc>
        <w:tc>
          <w:tcPr>
            <w:tcW w:w="8240" w:type="dxa"/>
            <w:vAlign w:val="bottom"/>
          </w:tcPr>
          <w:p>
            <w:pPr>
              <w:ind w:left="420"/>
              <w:spacing w:after="0"/>
              <w:rPr>
                <w:sz w:val="20"/>
                <w:szCs w:val="20"/>
                <w:color w:val="auto"/>
              </w:rPr>
            </w:pPr>
            <w:r>
              <w:rPr>
                <w:rFonts w:ascii="Arial" w:cs="Arial" w:eastAsia="Arial" w:hAnsi="Arial"/>
                <w:sz w:val="18"/>
                <w:szCs w:val="18"/>
                <w:color w:val="auto"/>
              </w:rPr>
              <w:t>Schedules</w:t>
            </w:r>
          </w:p>
        </w:tc>
        <w:tc>
          <w:tcPr>
            <w:tcW w:w="1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P.</w:t>
            </w:r>
          </w:p>
        </w:tc>
        <w:tc>
          <w:tcPr>
            <w:tcW w:w="8240" w:type="dxa"/>
            <w:vAlign w:val="bottom"/>
          </w:tcPr>
          <w:p>
            <w:pPr>
              <w:ind w:left="420"/>
              <w:spacing w:after="0"/>
              <w:rPr>
                <w:sz w:val="20"/>
                <w:szCs w:val="20"/>
                <w:color w:val="auto"/>
              </w:rPr>
            </w:pPr>
            <w:r>
              <w:rPr>
                <w:rFonts w:ascii="Arial" w:cs="Arial" w:eastAsia="Arial" w:hAnsi="Arial"/>
                <w:sz w:val="18"/>
                <w:szCs w:val="18"/>
                <w:color w:val="auto"/>
              </w:rPr>
              <w:t>No Strict Construction</w:t>
            </w:r>
          </w:p>
        </w:tc>
        <w:tc>
          <w:tcPr>
            <w:tcW w:w="1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w:t>
            </w:r>
          </w:p>
        </w:tc>
        <w:tc>
          <w:tcPr>
            <w:tcW w:w="8240" w:type="dxa"/>
            <w:vAlign w:val="bottom"/>
          </w:tcPr>
          <w:p>
            <w:pPr>
              <w:ind w:left="420"/>
              <w:spacing w:after="0"/>
              <w:rPr>
                <w:sz w:val="20"/>
                <w:szCs w:val="20"/>
                <w:color w:val="auto"/>
              </w:rPr>
            </w:pPr>
            <w:r>
              <w:rPr>
                <w:rFonts w:ascii="Arial" w:cs="Arial" w:eastAsia="Arial" w:hAnsi="Arial"/>
                <w:sz w:val="18"/>
                <w:szCs w:val="18"/>
                <w:color w:val="auto"/>
              </w:rPr>
              <w:t>Entire Agreement</w:t>
            </w:r>
          </w:p>
        </w:tc>
        <w:tc>
          <w:tcPr>
            <w:tcW w:w="1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w:t>
            </w:r>
          </w:p>
        </w:tc>
        <w:tc>
          <w:tcPr>
            <w:tcW w:w="8240" w:type="dxa"/>
            <w:vAlign w:val="bottom"/>
          </w:tcPr>
          <w:p>
            <w:pPr>
              <w:ind w:left="420"/>
              <w:spacing w:after="0"/>
              <w:rPr>
                <w:sz w:val="20"/>
                <w:szCs w:val="20"/>
                <w:color w:val="auto"/>
              </w:rPr>
            </w:pPr>
            <w:r>
              <w:rPr>
                <w:rFonts w:ascii="Arial" w:cs="Arial" w:eastAsia="Arial" w:hAnsi="Arial"/>
                <w:sz w:val="18"/>
                <w:szCs w:val="18"/>
                <w:color w:val="auto"/>
              </w:rPr>
              <w:t>Closing of Chapter 11 Cases</w:t>
            </w:r>
          </w:p>
        </w:tc>
        <w:tc>
          <w:tcPr>
            <w:tcW w:w="1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S.</w:t>
            </w:r>
          </w:p>
        </w:tc>
        <w:tc>
          <w:tcPr>
            <w:tcW w:w="8240" w:type="dxa"/>
            <w:vAlign w:val="bottom"/>
          </w:tcPr>
          <w:p>
            <w:pPr>
              <w:ind w:left="420"/>
              <w:spacing w:after="0"/>
              <w:rPr>
                <w:sz w:val="20"/>
                <w:szCs w:val="20"/>
                <w:color w:val="auto"/>
              </w:rPr>
            </w:pPr>
            <w:r>
              <w:rPr>
                <w:rFonts w:ascii="Arial" w:cs="Arial" w:eastAsia="Arial" w:hAnsi="Arial"/>
                <w:sz w:val="18"/>
                <w:szCs w:val="18"/>
                <w:color w:val="auto"/>
              </w:rPr>
              <w:t>2002 Notice Parties</w:t>
            </w:r>
          </w:p>
        </w:tc>
        <w:tc>
          <w:tcPr>
            <w:tcW w:w="18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8" w:name="page19"/>
    <w:bookmarkEnd w:id="18"/>
    <w:p>
      <w:pPr>
        <w:jc w:val="center"/>
        <w:ind w:left="260" w:right="320"/>
        <w:spacing w:after="0" w:line="282" w:lineRule="auto"/>
        <w:rPr>
          <w:sz w:val="20"/>
          <w:szCs w:val="20"/>
          <w:color w:val="auto"/>
        </w:rPr>
      </w:pPr>
      <w:r>
        <w:rPr>
          <w:rFonts w:ascii="Arial" w:cs="Arial" w:eastAsia="Arial" w:hAnsi="Arial"/>
          <w:sz w:val="18"/>
          <w:szCs w:val="18"/>
          <w:b w:val="1"/>
          <w:bCs w:val="1"/>
          <w:color w:val="auto"/>
        </w:rPr>
        <w:t>FIRST AMENDED JOINT PREPACKAGED PLAN OF REORGANIZATION FOR WEATHERFORD INTERNATIONAL PLC AND ITS AFFILIATE DEBTORS UNDER CHAPTER 11 OF THE BANKRUPTCY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Weatherford International Ltd., and Weatherford International, LLC (each a “</w:t>
      </w:r>
      <w:r>
        <w:rPr>
          <w:rFonts w:ascii="Arial" w:cs="Arial" w:eastAsia="Arial" w:hAnsi="Arial"/>
          <w:sz w:val="17"/>
          <w:szCs w:val="17"/>
          <w:b w:val="1"/>
          <w:bCs w:val="1"/>
          <w:u w:val="single" w:color="auto"/>
          <w:color w:val="auto"/>
        </w:rPr>
        <w:t>Debtor</w:t>
      </w:r>
      <w:r>
        <w:rPr>
          <w:rFonts w:ascii="Arial" w:cs="Arial" w:eastAsia="Arial" w:hAnsi="Arial"/>
          <w:sz w:val="17"/>
          <w:szCs w:val="17"/>
          <w:color w:val="auto"/>
        </w:rPr>
        <w:t>” and, collectively,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Debtors</w:t>
      </w:r>
      <w:r>
        <w:rPr>
          <w:rFonts w:ascii="Arial" w:cs="Arial" w:eastAsia="Arial" w:hAnsi="Arial"/>
          <w:sz w:val="16"/>
          <w:szCs w:val="16"/>
          <w:color w:val="auto"/>
        </w:rPr>
        <w:t>”) jointly propose the following amended prepackaged chapter 11 plan of reorganization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for the resolution of the outstanding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defined below) against, and Equity Interests (as defined below) in, each of the Debtors. Although proposed jointly for administrative purposes, this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constitutes a separate Plan for each Debtor for the resolution of outstanding Claims against and Equity Interests in each Debtor pursuant to the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Code (as defined below). The Debtors are the proponents of this Plan within the meaning of section 1129 of the Bankruptcy Code. Reference is made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(as such term is defined herein and distributed contemporaneously herewith) for a discussion of the Debtors’ history,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historical financial information, and projections, and for a summary and analysis of this Plan, the treatment provided for herein and certain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matters. There also are other agreements and documents, which will be filed with the Bankruptcy Court (as defined below), that are referenced in this Plan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Statement as Exhibits and Plan Schedules. All such Exhibits and Plan Schedules are incorporated into and are a part of this Plan as if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full herein. Subject to certain restrictions and requirements set forth in 11 U.S.C. § 1127, Fed. R. Bankr. P. 3019 and the terms and conditions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Plan, the Debtors reserve the right to alter, amend, modify, revoke or withdraw this Plan prior to its substantial consummation.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OF INTERPRETATION, COMPUTATION OF TIME AND DEFINED TERMS</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Rules of Interpretation; Computation of Time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6"/>
          <w:szCs w:val="16"/>
          <w:u w:val="single" w:color="auto"/>
          <w:color w:val="auto"/>
        </w:rPr>
        <w:t>Article XII.D</w:t>
      </w:r>
      <w:r>
        <w:rPr>
          <w:rFonts w:ascii="Arial" w:cs="Arial" w:eastAsia="Arial" w:hAnsi="Arial"/>
          <w:sz w:val="16"/>
          <w:szCs w:val="16"/>
          <w:color w:val="auto"/>
        </w:rPr>
        <w:t xml:space="preserve"> of this Plan, the rights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spacing w:after="0" w:line="286" w:lineRule="auto"/>
        <w:rPr>
          <w:sz w:val="20"/>
          <w:szCs w:val="20"/>
          <w:color w:val="auto"/>
        </w:rPr>
      </w:pPr>
      <w:r>
        <w:rPr>
          <w:rFonts w:ascii="Arial" w:cs="Arial" w:eastAsia="Arial" w:hAnsi="Arial"/>
          <w:sz w:val="16"/>
          <w:szCs w:val="16"/>
          <w:color w:val="auto"/>
        </w:rPr>
        <w:t>obligations arising pursuant to this Plan will be governed by, and construed and enforced in accordance with the applicable federal law, including the Bankruptcy Code and Bankruptcy Rules; (h) except as 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8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Defined Terms</w:t>
      </w:r>
    </w:p>
    <w:p>
      <w:pPr>
        <w:spacing w:after="0" w:line="225" w:lineRule="exact"/>
        <w:rPr>
          <w:rFonts w:ascii="Arial" w:cs="Arial" w:eastAsia="Arial" w:hAnsi="Arial"/>
          <w:sz w:val="18"/>
          <w:szCs w:val="18"/>
          <w:i w:val="1"/>
          <w:iCs w:val="1"/>
          <w:color w:val="auto"/>
        </w:rPr>
      </w:pPr>
    </w:p>
    <w:p>
      <w:pPr>
        <w:ind w:left="660" w:right="1340"/>
        <w:spacing w:after="0" w:line="501" w:lineRule="auto"/>
        <w:rPr>
          <w:rFonts w:ascii="Arial" w:cs="Arial" w:eastAsia="Arial" w:hAnsi="Arial"/>
          <w:sz w:val="18"/>
          <w:szCs w:val="18"/>
          <w:i w:val="1"/>
          <w:iCs w:val="1"/>
          <w:color w:val="auto"/>
        </w:rPr>
      </w:pPr>
      <w:r>
        <w:rPr>
          <w:rFonts w:ascii="Arial" w:cs="Arial" w:eastAsia="Arial" w:hAnsi="Arial"/>
          <w:sz w:val="18"/>
          <w:szCs w:val="18"/>
          <w:color w:val="auto"/>
        </w:rPr>
        <w:t>Unless the context otherwise requires, the following terms will have the following meanings when used in capitalized form herein: “</w:t>
      </w:r>
      <w:r>
        <w:rPr>
          <w:rFonts w:ascii="Arial" w:cs="Arial" w:eastAsia="Arial" w:hAnsi="Arial"/>
          <w:sz w:val="18"/>
          <w:szCs w:val="18"/>
          <w:i w:val="1"/>
          <w:iCs w:val="1"/>
          <w:color w:val="auto"/>
        </w:rPr>
        <w:t>510(b) Equity Claim</w:t>
      </w:r>
      <w:r>
        <w:rPr>
          <w:rFonts w:ascii="Arial" w:cs="Arial" w:eastAsia="Arial" w:hAnsi="Arial"/>
          <w:sz w:val="18"/>
          <w:szCs w:val="18"/>
          <w:color w:val="auto"/>
        </w:rPr>
        <w:t>” means any Claim subordinated pursuant to section 510(b) of the Bankruptcy Code.</w:t>
      </w: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Accrued Professional Compensation</w:t>
      </w:r>
      <w:r>
        <w:rPr>
          <w:rFonts w:ascii="Arial" w:cs="Arial" w:eastAsia="Arial" w:hAnsi="Arial"/>
          <w:sz w:val="18"/>
          <w:szCs w:val="18"/>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w:t>
      </w:r>
      <w:r>
        <w:rPr>
          <w:rFonts w:ascii="Arial" w:cs="Arial" w:eastAsia="Arial" w:hAnsi="Arial"/>
          <w:sz w:val="18"/>
          <w:szCs w:val="18"/>
          <w:color w:val="auto"/>
        </w:rPr>
        <w:t>” means that certain ad hoc committee of Holders of the Prepetition Notes represented by Akin Gump Strauss Hauer &amp; Feld LLP and Evercore Group L.L.C.</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 Fees and Expenses</w:t>
      </w:r>
      <w:r>
        <w:rPr>
          <w:rFonts w:ascii="Arial" w:cs="Arial" w:eastAsia="Arial" w:hAnsi="Arial"/>
          <w:sz w:val="18"/>
          <w:szCs w:val="18"/>
          <w:color w:val="auto"/>
        </w:rPr>
        <w:t>” means all unpaid reasonable and documented fees and out-of-pocket expenses of the Ad Hoc Noteholder Committee Professionals incurred in connection with the Chapter 11 Cases.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 Hoc Noteholder Committee Professionals</w:t>
      </w:r>
      <w:r>
        <w:rPr>
          <w:rFonts w:ascii="Arial" w:cs="Arial" w:eastAsia="Arial" w:hAnsi="Arial"/>
          <w:sz w:val="17"/>
          <w:szCs w:val="17"/>
          <w:color w:val="auto"/>
        </w:rPr>
        <w:t>” means, collectively, (i) Akin Gump Strauss Hauer &amp; Feld LLP, Arthur Cox, one local law firm (and, with the consent of the Debtors, more than one local law firm) in each relevant jurisdiction outside of the United States and England &amp; Wales, as legal counsel to the Ad Hoc Noteholder Committee and (ii) Evercore Group L.L.C, as financial advisor to the Ad Hoc Noteholder Committee.</w:t>
      </w:r>
    </w:p>
    <w:p>
      <w:pPr>
        <w:spacing w:after="0" w:line="16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Administrative Claim</w:t>
      </w:r>
      <w:r>
        <w:rPr>
          <w:rFonts w:ascii="Arial" w:cs="Arial" w:eastAsia="Arial" w:hAnsi="Arial"/>
          <w:sz w:val="16"/>
          <w:szCs w:val="16"/>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w:t>
      </w:r>
    </w:p>
    <w:p>
      <w:pPr>
        <w:ind w:firstLine="8"/>
        <w:spacing w:after="0" w:line="253"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and (d) all requests for compensation or expense reimbursement for making a substantial contribution in the Chapter 11 Cases Allowed pursuant to sections 503(b)(3), (4) and (5) of the Bankruptcy Code.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 “affiliate”, as defined in section 101(2)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Debtor(s)</w:t>
      </w:r>
      <w:r>
        <w:rPr>
          <w:rFonts w:ascii="Arial" w:cs="Arial" w:eastAsia="Arial" w:hAnsi="Arial"/>
          <w:sz w:val="18"/>
          <w:szCs w:val="18"/>
          <w:color w:val="auto"/>
        </w:rPr>
        <w:t>” means, individually or collectively, any Debtor or Debtors other than Weatherford Parent.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Allowed</w:t>
      </w:r>
      <w:r>
        <w:rPr>
          <w:rFonts w:ascii="Arial" w:cs="Arial" w:eastAsia="Arial" w:hAnsi="Arial"/>
          <w:sz w:val="16"/>
          <w:szCs w:val="16"/>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w:t>
      </w:r>
    </w:p>
    <w:p>
      <w:pPr>
        <w:spacing w:after="0" w:line="2" w:lineRule="exact"/>
        <w:rPr>
          <w:sz w:val="20"/>
          <w:szCs w:val="20"/>
          <w:color w:val="auto"/>
        </w:rPr>
      </w:pPr>
    </w:p>
    <w:p>
      <w:pPr>
        <w:ind w:right="16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9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Amended/New Corporate Governance Documents</w:t>
      </w:r>
      <w:r>
        <w:rPr>
          <w:rFonts w:ascii="Arial" w:cs="Arial" w:eastAsia="Arial" w:hAnsi="Arial"/>
          <w:sz w:val="18"/>
          <w:szCs w:val="18"/>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Avoidance Actions</w:t>
      </w:r>
      <w:r>
        <w:rPr>
          <w:rFonts w:ascii="Arial" w:cs="Arial" w:eastAsia="Arial" w:hAnsi="Arial"/>
          <w:sz w:val="18"/>
          <w:szCs w:val="18"/>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Commitment Agreement</w:t>
      </w:r>
      <w:r>
        <w:rPr>
          <w:rFonts w:ascii="Arial" w:cs="Arial" w:eastAsia="Arial" w:hAnsi="Arial"/>
          <w:sz w:val="18"/>
          <w:szCs w:val="18"/>
          <w:color w:val="auto"/>
        </w:rPr>
        <w:t>” means that certain Backstop Commitment Agreement entered into by Weatherford Parent and the Backstop Parties prior to the Petition Date in the form attached to this Plan or to the Disclosure Statement or Filed with the Plan Supplement and in form and substance acceptable to the Backstop Parties.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Parties</w:t>
      </w:r>
      <w:r>
        <w:rPr>
          <w:rFonts w:ascii="Arial" w:cs="Arial" w:eastAsia="Arial" w:hAnsi="Arial"/>
          <w:sz w:val="18"/>
          <w:szCs w:val="18"/>
          <w:color w:val="auto"/>
        </w:rPr>
        <w:t>” means those parties that agree to backstop the Rights Offering for the New Tranche A Senior Unsecured Notes pursuant to th e Backstop Commitment Agreement, each in its respective capacity as such.</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“Ballots” </w:t>
      </w:r>
      <w:r>
        <w:rPr>
          <w:rFonts w:ascii="Arial" w:cs="Arial" w:eastAsia="Arial" w:hAnsi="Arial"/>
          <w:sz w:val="18"/>
          <w:szCs w:val="18"/>
          <w:color w:val="auto"/>
        </w:rPr>
        <w:t>means the ballots accompanying the Disclosure Statement upon which Holders of Impaired Claims and Equity Interests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will, among other things, indicate their acceptance or rejection of this Plan in accordance with this Plan and the procedures governing the solicitation process, and which must be actually received by the Voting and Claims Agent on or before the Voting Deadline.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11 U.S.C. §§ 101-1532, as amended from time to time and as applicable to the Chapter 11 Cases.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Court</w:t>
      </w:r>
      <w:r>
        <w:rPr>
          <w:rFonts w:ascii="Arial" w:cs="Arial" w:eastAsia="Arial" w:hAnsi="Arial"/>
          <w:sz w:val="16"/>
          <w:szCs w:val="16"/>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Rules</w:t>
      </w:r>
      <w:r>
        <w:rPr>
          <w:rFonts w:ascii="Arial" w:cs="Arial" w:eastAsia="Arial" w:hAnsi="Arial"/>
          <w:sz w:val="18"/>
          <w:szCs w:val="18"/>
          <w:color w:val="auto"/>
        </w:rPr>
        <w:t>” means the Federal Rules of Bankruptcy Procedure and the Local Rules of the Bankruptcy Court, in each case as amended from time to time and as applicable to the Chapter 11 Cases.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the legal tender of the United States of America or the equivalent thereof.</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Causes of Action</w:t>
      </w:r>
      <w:r>
        <w:rPr>
          <w:rFonts w:ascii="Arial" w:cs="Arial" w:eastAsia="Arial" w:hAnsi="Arial"/>
          <w:sz w:val="16"/>
          <w:szCs w:val="16"/>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Chapter 11 Case(s)</w:t>
      </w:r>
      <w:r>
        <w:rPr>
          <w:rFonts w:ascii="Arial" w:cs="Arial" w:eastAsia="Arial" w:hAnsi="Arial"/>
          <w:sz w:val="18"/>
          <w:szCs w:val="18"/>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“claim” (as defined in section 101(5) of the Bankruptcy Code) against any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 Register</w:t>
      </w:r>
      <w:r>
        <w:rPr>
          <w:rFonts w:ascii="Arial" w:cs="Arial" w:eastAsia="Arial" w:hAnsi="Arial"/>
          <w:sz w:val="18"/>
          <w:szCs w:val="18"/>
          <w:color w:val="auto"/>
        </w:rPr>
        <w:t>” means the official register of Claims and Equity Interests maintained by 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Class(es)</w:t>
      </w:r>
      <w:r>
        <w:rPr>
          <w:rFonts w:ascii="Arial" w:cs="Arial" w:eastAsia="Arial" w:hAnsi="Arial"/>
          <w:sz w:val="16"/>
          <w:szCs w:val="16"/>
          <w:color w:val="auto"/>
        </w:rPr>
        <w:t xml:space="preserve">” means a category of Holders of Claims or Equity Interests as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pursuant to section 1122(a)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any property or interest in property of the Debtors’ Estates that is subject to a valid and enforceable Lien to secure a Claim.</w:t>
      </w:r>
    </w:p>
    <w:p>
      <w:pPr>
        <w:spacing w:after="0" w:line="237" w:lineRule="exact"/>
        <w:rPr>
          <w:sz w:val="20"/>
          <w:szCs w:val="20"/>
          <w:color w:val="auto"/>
        </w:rPr>
      </w:pPr>
    </w:p>
    <w:p>
      <w:pPr>
        <w:jc w:val="both"/>
        <w:ind w:right="26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official committee of unsecured creditors appointed in the Chapter 11 Cases pursuant to section 1102 of the Bankruptcy Code by the United States Trustee, pursuant to the </w:t>
      </w:r>
      <w:r>
        <w:rPr>
          <w:rFonts w:ascii="Arial" w:cs="Arial" w:eastAsia="Arial" w:hAnsi="Arial"/>
          <w:sz w:val="18"/>
          <w:szCs w:val="18"/>
          <w:i w:val="1"/>
          <w:iCs w:val="1"/>
          <w:color w:val="auto"/>
        </w:rPr>
        <w:t>Notice of Appointment of Committee of Unsecured Creditors</w:t>
      </w:r>
      <w:r>
        <w:rPr>
          <w:rFonts w:ascii="Arial" w:cs="Arial" w:eastAsia="Arial" w:hAnsi="Arial"/>
          <w:sz w:val="18"/>
          <w:szCs w:val="18"/>
          <w:color w:val="auto"/>
        </w:rPr>
        <w:t xml:space="preserve"> [Docket No. 182] on July 17, 2019, and as such may be reconstituted from time to time.</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w:t>
      </w:r>
      <w:r>
        <w:rPr>
          <w:rFonts w:ascii="Arial" w:cs="Arial" w:eastAsia="Arial" w:hAnsi="Arial"/>
          <w:sz w:val="18"/>
          <w:szCs w:val="18"/>
          <w:color w:val="auto"/>
        </w:rPr>
        <w:t xml:space="preserve">” means the occurrence of the Confirmation Date, subject to all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having been satisfied or waived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Date</w:t>
      </w:r>
      <w:r>
        <w:rPr>
          <w:rFonts w:ascii="Arial" w:cs="Arial" w:eastAsia="Arial" w:hAnsi="Arial"/>
          <w:sz w:val="18"/>
          <w:szCs w:val="18"/>
          <w:color w:val="auto"/>
        </w:rPr>
        <w:t>” means the date on which the clerk of the Bankruptcy Court enters the Confirmation Order on the docket of the Bankruptcy Court in the Chapter 11 Cases.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Hearing</w:t>
      </w:r>
      <w:r>
        <w:rPr>
          <w:rFonts w:ascii="Arial" w:cs="Arial" w:eastAsia="Arial" w:hAnsi="Arial"/>
          <w:sz w:val="18"/>
          <w:szCs w:val="18"/>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Order</w:t>
      </w:r>
      <w:r>
        <w:rPr>
          <w:rFonts w:ascii="Arial" w:cs="Arial" w:eastAsia="Arial" w:hAnsi="Arial"/>
          <w:sz w:val="18"/>
          <w:szCs w:val="18"/>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DIP Required Lenders.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Noteholders</w:t>
      </w:r>
      <w:r>
        <w:rPr>
          <w:rFonts w:ascii="Arial" w:cs="Arial" w:eastAsia="Arial" w:hAnsi="Arial"/>
          <w:sz w:val="18"/>
          <w:szCs w:val="18"/>
          <w:color w:val="auto"/>
        </w:rPr>
        <w:t>” means those Holders of the Prepetition Notes that are party to the Restructuring Support Agreement as “Consenting Noteholders”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Consummation</w:t>
      </w:r>
      <w:r>
        <w:rPr>
          <w:rFonts w:ascii="Arial" w:cs="Arial" w:eastAsia="Arial" w:hAnsi="Arial"/>
          <w:sz w:val="18"/>
          <w:szCs w:val="18"/>
          <w:color w:val="auto"/>
        </w:rPr>
        <w:t>” means the occurrence of the Effective Date.</w:t>
      </w:r>
    </w:p>
    <w:p>
      <w:pPr>
        <w:spacing w:after="0" w:line="225" w:lineRule="exact"/>
        <w:rPr>
          <w:sz w:val="20"/>
          <w:szCs w:val="20"/>
          <w:color w:val="auto"/>
        </w:rPr>
      </w:pPr>
    </w:p>
    <w:p>
      <w:pPr>
        <w:ind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Liability Insurance Policies</w:t>
      </w:r>
      <w:r>
        <w:rPr>
          <w:rFonts w:ascii="Arial" w:cs="Arial" w:eastAsia="Arial" w:hAnsi="Arial"/>
          <w:sz w:val="18"/>
          <w:szCs w:val="18"/>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Tail Policy</w:t>
      </w:r>
      <w:r>
        <w:rPr>
          <w:rFonts w:ascii="Arial" w:cs="Arial" w:eastAsia="Arial" w:hAnsi="Arial"/>
          <w:sz w:val="18"/>
          <w:szCs w:val="18"/>
          <w:color w:val="auto"/>
        </w:rPr>
        <w:t>” means that certain directors’ &amp; officers’ liability insurance policy purchased by the Debtors on or about June,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i w:val="1"/>
          <w:iCs w:val="1"/>
          <w:color w:val="auto"/>
        </w:rPr>
        <w:t xml:space="preserve">“DIP Agent” </w:t>
      </w:r>
      <w:r>
        <w:rPr>
          <w:rFonts w:ascii="Arial" w:cs="Arial" w:eastAsia="Arial" w:hAnsi="Arial"/>
          <w:sz w:val="18"/>
          <w:szCs w:val="18"/>
          <w:color w:val="auto"/>
        </w:rPr>
        <w:t>means Citibank, N.A., or its duly appointed successor, in its capacity as administrative agent and collateral agent under the DIP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right="22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Credit Agreement</w:t>
      </w:r>
      <w:r>
        <w:rPr>
          <w:rFonts w:ascii="Arial" w:cs="Arial" w:eastAsia="Arial" w:hAnsi="Arial"/>
          <w:sz w:val="18"/>
          <w:szCs w:val="18"/>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Contingent Obligations</w:t>
      </w:r>
      <w:r>
        <w:rPr>
          <w:rFonts w:ascii="Arial" w:cs="Arial" w:eastAsia="Arial" w:hAnsi="Arial"/>
          <w:sz w:val="17"/>
          <w:szCs w:val="17"/>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“DIP Facility” </w:t>
      </w:r>
      <w:r>
        <w:rPr>
          <w:rFonts w:ascii="Arial" w:cs="Arial" w:eastAsia="Arial" w:hAnsi="Arial"/>
          <w:sz w:val="18"/>
          <w:szCs w:val="18"/>
          <w:color w:val="auto"/>
        </w:rPr>
        <w:t>means the debtor-in-possession financing facility provided by the DIP Lenders consisting of a (i) up to $750,000,000 debtor-in-possession first lien revolving credit facility provided by certain lenders and (ii) a $1,000,000,000 debtor-in-possession term loan facility provided by certain of the Consenting Noteholders and fully backstopped by certain of the Consenting Noteholders.</w:t>
      </w:r>
    </w:p>
    <w:p>
      <w:pPr>
        <w:spacing w:after="0" w:line="181" w:lineRule="exact"/>
        <w:rPr>
          <w:sz w:val="20"/>
          <w:szCs w:val="20"/>
          <w:color w:val="auto"/>
        </w:rPr>
      </w:pPr>
    </w:p>
    <w:p>
      <w:pPr>
        <w:ind w:right="120" w:firstLine="689"/>
        <w:spacing w:after="0" w:line="264" w:lineRule="auto"/>
        <w:rPr>
          <w:sz w:val="20"/>
          <w:szCs w:val="20"/>
          <w:color w:val="auto"/>
        </w:rPr>
      </w:pPr>
      <w:r>
        <w:rPr>
          <w:rFonts w:ascii="Arial" w:cs="Arial" w:eastAsia="Arial" w:hAnsi="Arial"/>
          <w:sz w:val="18"/>
          <w:szCs w:val="18"/>
          <w:i w:val="1"/>
          <w:iCs w:val="1"/>
          <w:color w:val="auto"/>
        </w:rPr>
        <w:t xml:space="preserve">“DIP Facility Claims” </w:t>
      </w:r>
      <w:r>
        <w:rPr>
          <w:rFonts w:ascii="Arial" w:cs="Arial" w:eastAsia="Arial" w:hAnsi="Arial"/>
          <w:sz w:val="18"/>
          <w:szCs w:val="18"/>
          <w:color w:val="auto"/>
        </w:rPr>
        <w:t>means any and all Claims arising from, under, or in connection with the DIP Credit Agreement or any other DIP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including Claims for all principal amounts outstanding, interest, fees, expenses, costs, and other charges and all other “Obligations,” “Swap Obligations,” and “Banking Services Obligations” as defined in the DIP Credit Agreement.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“DIP Facility Liens” </w:t>
      </w:r>
      <w:r>
        <w:rPr>
          <w:rFonts w:ascii="Arial" w:cs="Arial" w:eastAsia="Arial" w:hAnsi="Arial"/>
          <w:sz w:val="18"/>
          <w:szCs w:val="18"/>
          <w:color w:val="auto"/>
        </w:rPr>
        <w:t>means the Liens securing the payment of the DIP Facility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Final Order</w:t>
      </w:r>
      <w:r>
        <w:rPr>
          <w:rFonts w:ascii="Arial" w:cs="Arial" w:eastAsia="Arial" w:hAnsi="Arial"/>
          <w:sz w:val="18"/>
          <w:szCs w:val="18"/>
          <w:color w:val="auto"/>
        </w:rPr>
        <w:t>” means the “Final Order” as defined in the DIP Credit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“DIP Financing Documents” </w:t>
      </w:r>
      <w:r>
        <w:rPr>
          <w:rFonts w:ascii="Arial" w:cs="Arial" w:eastAsia="Arial" w:hAnsi="Arial"/>
          <w:sz w:val="17"/>
          <w:szCs w:val="17"/>
          <w:color w:val="auto"/>
        </w:rPr>
        <w:t>means the “Loan Documents” and the “Swap Agreements” as defined in the DIP Credit Agreement, as well as any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evidencing “Banking Services Obligations” (as defined in the DIP Credit Agreement), and the DIP Orders, in each case as amended, amended and restated, supplemented or otherwise modified from time to time in accordance with the terms thereof prior to the Effective Date.</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Lenders</w:t>
      </w:r>
      <w:r>
        <w:rPr>
          <w:rFonts w:ascii="Arial" w:cs="Arial" w:eastAsia="Arial" w:hAnsi="Arial"/>
          <w:sz w:val="18"/>
          <w:szCs w:val="18"/>
          <w:color w:val="auto"/>
        </w:rPr>
        <w:t>” means the banks, financial, institutions, and other lenders party to the DIP Facility from time to time, and each arranger, bookrunner, syndication agent, manager, and documentation agent party to the DIP Credit Agreement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Orders</w:t>
      </w:r>
      <w:r>
        <w:rPr>
          <w:rFonts w:ascii="Arial" w:cs="Arial" w:eastAsia="Arial" w:hAnsi="Arial"/>
          <w:sz w:val="18"/>
          <w:szCs w:val="18"/>
          <w:color w:val="auto"/>
        </w:rPr>
        <w:t>” means, collectively, the “Interim Order” as defined in the DIP Credit Agreement and the DIP Final Order.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Required Lenders</w:t>
      </w:r>
      <w:r>
        <w:rPr>
          <w:rFonts w:ascii="Arial" w:cs="Arial" w:eastAsia="Arial" w:hAnsi="Arial"/>
          <w:sz w:val="18"/>
          <w:szCs w:val="18"/>
          <w:color w:val="auto"/>
        </w:rPr>
        <w:t>” shall mean the “Required Lenders” as defined in the DIP Credit Agreement.</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Disclosure Statement</w:t>
      </w:r>
      <w:r>
        <w:rPr>
          <w:rFonts w:ascii="Arial" w:cs="Arial" w:eastAsia="Arial" w:hAnsi="Arial"/>
          <w:sz w:val="16"/>
          <w:szCs w:val="16"/>
          <w:color w:val="auto"/>
        </w:rPr>
        <w:t xml:space="preserve">” means that certain </w:t>
      </w:r>
      <w:r>
        <w:rPr>
          <w:rFonts w:ascii="Arial" w:cs="Arial" w:eastAsia="Arial" w:hAnsi="Arial"/>
          <w:sz w:val="16"/>
          <w:szCs w:val="16"/>
          <w:i w:val="1"/>
          <w:iCs w:val="1"/>
          <w:color w:val="auto"/>
        </w:rPr>
        <w:t>Disclosure Statement for Joint Prepackaged Plan Of Reorganization For Weatherford International plc</w:t>
      </w:r>
      <w:r>
        <w:rPr>
          <w:rFonts w:ascii="Arial" w:cs="Arial" w:eastAsia="Arial" w:hAnsi="Arial"/>
          <w:sz w:val="16"/>
          <w:szCs w:val="16"/>
          <w:color w:val="auto"/>
        </w:rPr>
        <w:t xml:space="preserve"> </w:t>
      </w:r>
      <w:r>
        <w:rPr>
          <w:rFonts w:ascii="Arial" w:cs="Arial" w:eastAsia="Arial" w:hAnsi="Arial"/>
          <w:sz w:val="16"/>
          <w:szCs w:val="16"/>
          <w:i w:val="1"/>
          <w:iCs w:val="1"/>
          <w:color w:val="auto"/>
        </w:rPr>
        <w:t>And Its Affiliate Debtors Under Chapter 11 Of The Bankruptcy Code</w:t>
      </w:r>
      <w:r>
        <w:rPr>
          <w:rFonts w:ascii="Arial" w:cs="Arial" w:eastAsia="Arial" w:hAnsi="Arial"/>
          <w:sz w:val="16"/>
          <w:szCs w:val="16"/>
          <w:color w:val="auto"/>
        </w:rPr>
        <w:t>, dated as of June 28, 2019 (as amended, supplemented, or modified from time to time).</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Disputed</w:t>
      </w:r>
      <w:r>
        <w:rPr>
          <w:rFonts w:ascii="Arial" w:cs="Arial" w:eastAsia="Arial" w:hAnsi="Arial"/>
          <w:sz w:val="18"/>
          <w:szCs w:val="18"/>
          <w:color w:val="auto"/>
        </w:rPr>
        <w:t>” means any Claim or Equity Interest, or any portion thereof, that has not been Allowed, but has not been disallowed pursuant to this Plan or a Final Order of the Bankruptcy Court.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 Agent” </w:t>
      </w:r>
      <w:r>
        <w:rPr>
          <w:rFonts w:ascii="Arial" w:cs="Arial" w:eastAsia="Arial" w:hAnsi="Arial"/>
          <w:sz w:val="16"/>
          <w:szCs w:val="16"/>
          <w:color w:val="auto"/>
        </w:rPr>
        <w:t>means the Reorganized Debtors or any party designated by the Reorganized Debtors to serve as distribution agent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purposes of distributions under this Plan 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Record Date</w:t>
      </w:r>
      <w:r>
        <w:rPr>
          <w:rFonts w:ascii="Arial" w:cs="Arial" w:eastAsia="Arial" w:hAnsi="Arial"/>
          <w:sz w:val="18"/>
          <w:szCs w:val="18"/>
          <w:color w:val="auto"/>
        </w:rPr>
        <w:t xml:space="preserve">” means the date for determining which Holders of Claims and Equity Interests are eligible to receive distributions under this Plan, which date will be the Effective Date, subject to </w:t>
      </w:r>
      <w:r>
        <w:rPr>
          <w:rFonts w:ascii="Arial" w:cs="Arial" w:eastAsia="Arial" w:hAnsi="Arial"/>
          <w:sz w:val="18"/>
          <w:szCs w:val="18"/>
          <w:u w:val="single" w:color="auto"/>
          <w:color w:val="auto"/>
        </w:rPr>
        <w:t>Article VII.D</w:t>
      </w:r>
      <w:r>
        <w:rPr>
          <w:rFonts w:ascii="Arial" w:cs="Arial" w:eastAsia="Arial" w:hAnsi="Arial"/>
          <w:sz w:val="18"/>
          <w:szCs w:val="18"/>
          <w:color w:val="auto"/>
        </w:rPr>
        <w:t xml:space="preserve"> of this Plan. The Distribution Record Date shall not apply to the Prepetition Notes Claims or any securities of the Debtors deposited with DTC, the holders of which shall receive a distribution in accordance with Article VII of this Plan and, as applicable, the customary procedures of DTC.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have been satisfied or waived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Amount</w:t>
      </w:r>
      <w:r>
        <w:rPr>
          <w:rFonts w:ascii="Arial" w:cs="Arial" w:eastAsia="Arial" w:hAnsi="Arial"/>
          <w:sz w:val="18"/>
          <w:szCs w:val="18"/>
          <w:color w:val="auto"/>
        </w:rPr>
        <w:t>” has the meaning set forth in Article V.V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VI.G</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Entity</w:t>
      </w:r>
      <w:r>
        <w:rPr>
          <w:rFonts w:ascii="Arial" w:cs="Arial" w:eastAsia="Arial" w:hAnsi="Arial"/>
          <w:sz w:val="18"/>
          <w:szCs w:val="18"/>
          <w:color w:val="auto"/>
        </w:rPr>
        <w:t>” means an “entity” as defined in section 101(15) of the Bankruptcy Code.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w:t>
      </w:r>
      <w:r>
        <w:rPr>
          <w:rFonts w:ascii="Arial" w:cs="Arial" w:eastAsia="Arial" w:hAnsi="Arial"/>
          <w:sz w:val="16"/>
          <w:szCs w:val="16"/>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w:t>
      </w:r>
    </w:p>
    <w:p>
      <w:pPr>
        <w:spacing w:after="0" w:line="2" w:lineRule="exact"/>
        <w:rPr>
          <w:sz w:val="20"/>
          <w:szCs w:val="20"/>
          <w:color w:val="auto"/>
        </w:rPr>
      </w:pPr>
    </w:p>
    <w:p>
      <w:pPr>
        <w:ind w:right="18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liquidation preferences; (3) options, warrants, and call and put rights; (4) share-appreciation rights; and (5) all Unexercised Equity Interests; and (b) any 510(b) Equity Claim, in each case, as in existence immediately prior to the Effective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Security</w:t>
      </w:r>
      <w:r>
        <w:rPr>
          <w:rFonts w:ascii="Arial" w:cs="Arial" w:eastAsia="Arial" w:hAnsi="Arial"/>
          <w:sz w:val="18"/>
          <w:szCs w:val="18"/>
          <w:color w:val="auto"/>
        </w:rPr>
        <w:t>” means an “equity security” as defined in section 101(16) of the Bankruptcy Code.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 w:name="page26"/>
    <w:bookmarkEnd w:id="25"/>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Estate(s)</w:t>
      </w:r>
      <w:r>
        <w:rPr>
          <w:rFonts w:ascii="Arial" w:cs="Arial" w:eastAsia="Arial" w:hAnsi="Arial"/>
          <w:sz w:val="18"/>
          <w:szCs w:val="18"/>
          <w:color w:val="auto"/>
        </w:rPr>
        <w:t>” means, individually, the estate of each of the Debtors and, collectively, the estates of all of the Debtors created under section 541 of the Bankruptcy Code.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15 U.S.C. §§ 78a </w:t>
      </w:r>
      <w:r>
        <w:rPr>
          <w:rFonts w:ascii="Arial" w:cs="Arial" w:eastAsia="Arial" w:hAnsi="Arial"/>
          <w:sz w:val="18"/>
          <w:szCs w:val="18"/>
          <w:i w:val="1"/>
          <w:iCs w:val="1"/>
          <w:color w:val="auto"/>
        </w:rPr>
        <w:t>et seq</w:t>
      </w:r>
      <w:r>
        <w:rPr>
          <w:rFonts w:ascii="Arial" w:cs="Arial" w:eastAsia="Arial" w:hAnsi="Arial"/>
          <w:sz w:val="18"/>
          <w:szCs w:val="18"/>
          <w:color w:val="auto"/>
        </w:rPr>
        <w:t>., as now in effect or hereafter amended, and any rules and regulations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Exculpated Parties</w:t>
      </w:r>
      <w:r>
        <w:rPr>
          <w:rFonts w:ascii="Arial" w:cs="Arial" w:eastAsia="Arial" w:hAnsi="Arial"/>
          <w:sz w:val="17"/>
          <w:szCs w:val="17"/>
          <w:color w:val="auto"/>
        </w:rPr>
        <w:t>” means, collectively: (a) the Debtors; (b) the Reorganized Debtors; (c) the Prepetition Agents; (d) the Prepetition Lenders;</w:t>
      </w:r>
    </w:p>
    <w:p>
      <w:pPr>
        <w:spacing w:after="0" w:line="35" w:lineRule="exact"/>
        <w:rPr>
          <w:sz w:val="20"/>
          <w:szCs w:val="20"/>
          <w:color w:val="auto"/>
        </w:rPr>
      </w:pPr>
    </w:p>
    <w:p>
      <w:pPr>
        <w:ind w:right="240" w:firstLine="8"/>
        <w:spacing w:after="0" w:line="253"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Senior Unsecured Notes Indenture Trustee; (f) the DIP Agent; (g) the DIP Lenders; (h) the Prepetition Notes Indenture Trustee; (i) the Ad Hoc Noteholder Committee and the members thereof in their capacities as such; (j) the Consenting Noteholders; (k) 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Exculpation</w:t>
      </w:r>
      <w:r>
        <w:rPr>
          <w:rFonts w:ascii="Arial" w:cs="Arial" w:eastAsia="Arial" w:hAnsi="Arial"/>
          <w:sz w:val="18"/>
          <w:szCs w:val="18"/>
          <w:color w:val="auto"/>
        </w:rPr>
        <w:t xml:space="preserve">” means the exculpation provision set forth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Executory Contract</w:t>
      </w:r>
      <w:r>
        <w:rPr>
          <w:rFonts w:ascii="Arial" w:cs="Arial" w:eastAsia="Arial" w:hAnsi="Arial"/>
          <w:sz w:val="16"/>
          <w:szCs w:val="16"/>
          <w:color w:val="auto"/>
        </w:rPr>
        <w:t>” means a contract to which any Debtor is a party that is subject to assumption or rejection under section 365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Exhibit</w:t>
      </w:r>
      <w:r>
        <w:rPr>
          <w:rFonts w:ascii="Arial" w:cs="Arial" w:eastAsia="Arial" w:hAnsi="Arial"/>
          <w:sz w:val="18"/>
          <w:szCs w:val="18"/>
          <w:color w:val="auto"/>
        </w:rPr>
        <w:t>” means an exhibit annexed to either this Plan or as an appendix to the Disclosure Statement (as such exhibits are amended, modified or otherwise supplemented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Common Stock</w:t>
      </w:r>
      <w:r>
        <w:rPr>
          <w:rFonts w:ascii="Arial" w:cs="Arial" w:eastAsia="Arial" w:hAnsi="Arial"/>
          <w:sz w:val="18"/>
          <w:szCs w:val="18"/>
          <w:color w:val="auto"/>
        </w:rPr>
        <w:t>” means all ordinary shares of $0.0001 each in share capital of Weatherford Parent issued and outstanding immediately prior to the Effective Date.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w:t>
      </w:r>
      <w:r>
        <w:rPr>
          <w:rFonts w:ascii="Arial" w:cs="Arial" w:eastAsia="Arial" w:hAnsi="Arial"/>
          <w:sz w:val="18"/>
          <w:szCs w:val="18"/>
          <w:color w:val="auto"/>
        </w:rPr>
        <w:t>” means the secured revolving credit facility in the principal amount of up to $1,000,000,000, including a letter of credit sublimit of $500,000,000, as contemplated under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Agent</w:t>
      </w:r>
      <w:r>
        <w:rPr>
          <w:rFonts w:ascii="Arial" w:cs="Arial" w:eastAsia="Arial" w:hAnsi="Arial"/>
          <w:sz w:val="17"/>
          <w:szCs w:val="17"/>
          <w:color w:val="auto"/>
        </w:rPr>
        <w:t>” means the administrative agent and collateral agent under the Exit Facility Credit Agreement, solely in its capacity as such.</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Credit Agreement</w:t>
      </w:r>
      <w:r>
        <w:rPr>
          <w:rFonts w:ascii="Arial" w:cs="Arial" w:eastAsia="Arial" w:hAnsi="Arial"/>
          <w:sz w:val="18"/>
          <w:szCs w:val="18"/>
          <w:color w:val="auto"/>
        </w:rPr>
        <w:t>” means the credit agreement for the Exit Facility, the terms and conditions of which are acceptable to the Debtors and the Consenting Noteholders in the manner set forth in the Restructuring Support Agreement.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Lenders</w:t>
      </w:r>
      <w:r>
        <w:rPr>
          <w:rFonts w:ascii="Arial" w:cs="Arial" w:eastAsia="Arial" w:hAnsi="Arial"/>
          <w:sz w:val="17"/>
          <w:szCs w:val="17"/>
          <w:color w:val="auto"/>
        </w:rPr>
        <w:t>” means each of the lenders under the Exit Facility Credit Agreement, solely in their respective capacities as such.</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Loan Documents</w:t>
      </w:r>
      <w:r>
        <w:rPr>
          <w:rFonts w:ascii="Arial" w:cs="Arial" w:eastAsia="Arial" w:hAnsi="Arial"/>
          <w:sz w:val="18"/>
          <w:szCs w:val="18"/>
          <w:color w:val="auto"/>
        </w:rPr>
        <w:t>” means the Exit Facility Credit Agreement, and other documents (including UCC financing statements), contracts, and agreements entered into with respect to, or in connection with,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or “</w:t>
      </w:r>
      <w:r>
        <w:rPr>
          <w:rFonts w:ascii="Arial" w:cs="Arial" w:eastAsia="Arial" w:hAnsi="Arial"/>
          <w:sz w:val="18"/>
          <w:szCs w:val="18"/>
          <w:i w:val="1"/>
          <w:iCs w:val="1"/>
          <w:color w:val="auto"/>
        </w:rPr>
        <w:t>Filed</w:t>
      </w:r>
      <w:r>
        <w:rPr>
          <w:rFonts w:ascii="Arial" w:cs="Arial" w:eastAsia="Arial" w:hAnsi="Arial"/>
          <w:sz w:val="18"/>
          <w:szCs w:val="18"/>
          <w:color w:val="auto"/>
        </w:rPr>
        <w:t>” or “Filing” means file, filed or filing with the Bankruptcy Court or its authorized designee in the Chapter 11 Cases.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Order</w:t>
      </w:r>
      <w:r>
        <w:rPr>
          <w:rFonts w:ascii="Arial" w:cs="Arial" w:eastAsia="Arial" w:hAnsi="Arial"/>
          <w:sz w:val="17"/>
          <w:szCs w:val="17"/>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7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Unsecured Claim</w:t>
      </w:r>
      <w:r>
        <w:rPr>
          <w:rFonts w:ascii="Arial" w:cs="Arial" w:eastAsia="Arial" w:hAnsi="Arial"/>
          <w:sz w:val="17"/>
          <w:szCs w:val="17"/>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Unit</w:t>
      </w:r>
      <w:r>
        <w:rPr>
          <w:rFonts w:ascii="Arial" w:cs="Arial" w:eastAsia="Arial" w:hAnsi="Arial"/>
          <w:sz w:val="18"/>
          <w:szCs w:val="18"/>
          <w:color w:val="auto"/>
        </w:rPr>
        <w:t>” means a “governmental unit” as defined in section 101(27)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Prepetition Noteholder or an Entity holding a Claim or Equity Interest, as the context requires.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Impaired</w:t>
      </w:r>
      <w:r>
        <w:rPr>
          <w:rFonts w:ascii="Arial" w:cs="Arial" w:eastAsia="Arial" w:hAnsi="Arial"/>
          <w:sz w:val="18"/>
          <w:szCs w:val="18"/>
          <w:color w:val="auto"/>
        </w:rPr>
        <w:t>” means, when used in reference to a Claim or Equity Interest, a Claim or Equity Interest that is “impaired” within the meaning of section 1124 of the Bankruptcy Code.</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Provisions</w:t>
      </w:r>
      <w:r>
        <w:rPr>
          <w:rFonts w:ascii="Arial" w:cs="Arial" w:eastAsia="Arial" w:hAnsi="Arial"/>
          <w:sz w:val="17"/>
          <w:szCs w:val="17"/>
          <w:color w:val="auto"/>
        </w:rPr>
        <w:t>” means, collectively, each of the provisions in existence immediately prior to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of the Debtors’ and their respective subsidiaries’ respective current and former directors, officers, and managers in their respective capacities as such.</w:t>
      </w:r>
    </w:p>
    <w:p>
      <w:pPr>
        <w:spacing w:after="0" w:line="170"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Distribution Date</w:t>
      </w:r>
      <w:r>
        <w:rPr>
          <w:rFonts w:ascii="Arial" w:cs="Arial" w:eastAsia="Arial" w:hAnsi="Arial"/>
          <w:sz w:val="17"/>
          <w:szCs w:val="17"/>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distributions under this Plan will be made to Holders of Allowed Claims and Allowed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applicable distributions under this Plan on account of the DIP Facility Claims and the Prepetition Debt Claims will be made to the applicable Distribution Agent on the Effective Date, and each such Distribution Agent will make, transmit or cause to be transmitted its respective distributions as soon as practicable thereafter pursuant to the terms of this Plan.</w:t>
      </w:r>
    </w:p>
    <w:p>
      <w:pPr>
        <w:spacing w:after="0" w:line="1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Contract</w:t>
      </w:r>
      <w:r>
        <w:rPr>
          <w:rFonts w:ascii="Arial" w:cs="Arial" w:eastAsia="Arial" w:hAnsi="Arial"/>
          <w:sz w:val="18"/>
          <w:szCs w:val="18"/>
          <w:color w:val="auto"/>
        </w:rPr>
        <w:t>” means all insurance policies and all surety bonds and related agreements of indemnity that have been issued at any time to, or provide coverage to, any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540"/>
        <w:spacing w:after="0" w:line="277" w:lineRule="auto"/>
        <w:rPr>
          <w:sz w:val="20"/>
          <w:szCs w:val="20"/>
          <w:color w:val="auto"/>
        </w:rPr>
      </w:pPr>
      <w:r>
        <w:rPr>
          <w:rFonts w:ascii="Arial" w:cs="Arial" w:eastAsia="Arial" w:hAnsi="Arial"/>
          <w:sz w:val="18"/>
          <w:szCs w:val="18"/>
          <w:color w:val="auto"/>
        </w:rPr>
        <w:t>Debtors and all agreements, documents, or instruments relating thereto. For the avoidance of doubt, each of the D&amp;O Liability Insurance Policies will constitute an 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Claim</w:t>
      </w:r>
      <w:r>
        <w:rPr>
          <w:rFonts w:ascii="Arial" w:cs="Arial" w:eastAsia="Arial" w:hAnsi="Arial"/>
          <w:sz w:val="18"/>
          <w:szCs w:val="18"/>
          <w:color w:val="auto"/>
        </w:rPr>
        <w:t>” means any Claim against any of the Debtors held by another Debtor, other than an Administrative Claim.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Equity Interest</w:t>
      </w:r>
      <w:r>
        <w:rPr>
          <w:rFonts w:ascii="Arial" w:cs="Arial" w:eastAsia="Arial" w:hAnsi="Arial"/>
          <w:sz w:val="18"/>
          <w:szCs w:val="18"/>
          <w:color w:val="auto"/>
        </w:rPr>
        <w:t>” means direct and indirect Equity Interests in a Debtor other than Weatherford Parent held by another Debtor or an affiliate of a Debtor.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Irish Examinership Proceedings</w:t>
      </w:r>
      <w:r>
        <w:rPr>
          <w:rFonts w:ascii="Arial" w:cs="Arial" w:eastAsia="Arial" w:hAnsi="Arial"/>
          <w:sz w:val="18"/>
          <w:szCs w:val="18"/>
          <w:color w:val="auto"/>
        </w:rPr>
        <w:t>” means the examinership process under the Companies Act 2014 of Ireland (as amended) with respect to, and commenced by, Weatherford Parent.</w:t>
      </w:r>
    </w:p>
    <w:p>
      <w:pPr>
        <w:spacing w:after="0" w:line="170" w:lineRule="exact"/>
        <w:rPr>
          <w:sz w:val="20"/>
          <w:szCs w:val="20"/>
          <w:color w:val="auto"/>
        </w:rPr>
      </w:pPr>
    </w:p>
    <w:p>
      <w:pPr>
        <w:ind w:right="140" w:firstLine="68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Irish Scheme of Arrangement</w:t>
      </w:r>
      <w:r>
        <w:rPr>
          <w:rFonts w:ascii="Arial" w:cs="Arial" w:eastAsia="Arial" w:hAnsi="Arial"/>
          <w:sz w:val="16"/>
          <w:szCs w:val="16"/>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Litigation Claims</w:t>
      </w:r>
      <w:r>
        <w:rPr>
          <w:rFonts w:ascii="Arial" w:cs="Arial" w:eastAsia="Arial" w:hAnsi="Arial"/>
          <w:sz w:val="16"/>
          <w:szCs w:val="16"/>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Rules</w:t>
      </w:r>
      <w:r>
        <w:rPr>
          <w:rFonts w:ascii="Arial" w:cs="Arial" w:eastAsia="Arial" w:hAnsi="Arial"/>
          <w:sz w:val="18"/>
          <w:szCs w:val="18"/>
          <w:color w:val="auto"/>
        </w:rPr>
        <w:t>” means the Bankruptcy Local Rules for the Southern District of Texas.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Board</w:t>
      </w:r>
      <w:r>
        <w:rPr>
          <w:rFonts w:ascii="Arial" w:cs="Arial" w:eastAsia="Arial" w:hAnsi="Arial"/>
          <w:sz w:val="18"/>
          <w:szCs w:val="18"/>
          <w:color w:val="auto"/>
        </w:rPr>
        <w:t>” means the initial board of directors of Reorganized Parent to be put in place on and as of the Effective Date in accordance with the Restructuring Support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Common Stock</w:t>
      </w:r>
      <w:r>
        <w:rPr>
          <w:rFonts w:ascii="Arial" w:cs="Arial" w:eastAsia="Arial" w:hAnsi="Arial"/>
          <w:sz w:val="18"/>
          <w:szCs w:val="18"/>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Management Incentive Plan</w:t>
      </w:r>
      <w:r>
        <w:rPr>
          <w:rFonts w:ascii="Arial" w:cs="Arial" w:eastAsia="Arial" w:hAnsi="Arial"/>
          <w:sz w:val="18"/>
          <w:szCs w:val="18"/>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Rights Agreement</w:t>
      </w:r>
      <w:r>
        <w:rPr>
          <w:rFonts w:ascii="Arial" w:cs="Arial" w:eastAsia="Arial" w:hAnsi="Arial"/>
          <w:sz w:val="18"/>
          <w:szCs w:val="18"/>
          <w:color w:val="auto"/>
        </w:rPr>
        <w:t>” means the registration rights agreement with respect to the New Common Stock, in substantially the form Filed with the Plan Supplement,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agreement will contain terms and conditions as are acceptable to the Required Consenting Noteholders in their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Senior Unsecured Notes</w:t>
      </w:r>
      <w:r>
        <w:rPr>
          <w:rFonts w:ascii="Arial" w:cs="Arial" w:eastAsia="Arial" w:hAnsi="Arial"/>
          <w:sz w:val="16"/>
          <w:szCs w:val="16"/>
          <w:color w:val="auto"/>
        </w:rPr>
        <w:t>” means, collectively, the New Tranche A Senior Unsecured Notes and the New Tranche B Senior Unsecured Notes.</w:t>
      </w:r>
    </w:p>
    <w:p>
      <w:pPr>
        <w:spacing w:after="0" w:line="248"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Documents</w:t>
      </w:r>
      <w:r>
        <w:rPr>
          <w:rFonts w:ascii="Arial" w:cs="Arial" w:eastAsia="Arial" w:hAnsi="Arial"/>
          <w:sz w:val="17"/>
          <w:szCs w:val="17"/>
          <w:color w:val="auto"/>
        </w:rPr>
        <w:t>” means the New Senior Unsecured Notes, the New Senior Unsecured Notes Indentures, and other documents, contracts, and agreements entered into with respect, or in connection with, the New Senior Unsecured Notes Indentures.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Senior Unsecured Notes Indentures</w:t>
      </w:r>
      <w:r>
        <w:rPr>
          <w:rFonts w:ascii="Arial" w:cs="Arial" w:eastAsia="Arial" w:hAnsi="Arial"/>
          <w:sz w:val="18"/>
          <w:szCs w:val="18"/>
          <w:color w:val="auto"/>
        </w:rPr>
        <w:t>” means, collectively, the New Tranche A Senior Unsecured Notes Indentures and New Tranche B Senior Unsecured Notes Indentures.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Indenture Trustee</w:t>
      </w:r>
      <w:r>
        <w:rPr>
          <w:rFonts w:ascii="Arial" w:cs="Arial" w:eastAsia="Arial" w:hAnsi="Arial"/>
          <w:sz w:val="17"/>
          <w:szCs w:val="17"/>
          <w:color w:val="auto"/>
        </w:rPr>
        <w:t>” means the indenture trustee under each of the New Senior Unsecured Notes Indentures.</w:t>
      </w:r>
    </w:p>
    <w:p>
      <w:pPr>
        <w:spacing w:after="0" w:line="2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Tranche A Senior Unsecured Notes</w:t>
      </w:r>
      <w:r>
        <w:rPr>
          <w:rFonts w:ascii="Arial" w:cs="Arial" w:eastAsia="Arial" w:hAnsi="Arial"/>
          <w:sz w:val="17"/>
          <w:szCs w:val="17"/>
          <w:color w:val="auto"/>
        </w:rPr>
        <w:t>” means the new senior unsecured notes to be issued by Reorganized Weatherford Delaware and Reorganized Weatherford Bermuda on the Effective Date pursuant to the Rights Offering in an aggregate principal amount of $1,250,000,000 which will have a five year maturity, the subscription for which in the Rights Offering, pursuant to the Backstop Commitment Agreement, will be fully backstopped by the Backstop Parties, and will have the terms set forth in the New Tranche A Senior Unsecured Notes Indentures.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A Senior Unsecured Notes Indentures</w:t>
      </w:r>
      <w:r>
        <w:rPr>
          <w:rFonts w:ascii="Arial" w:cs="Arial" w:eastAsia="Arial" w:hAnsi="Arial"/>
          <w:sz w:val="18"/>
          <w:szCs w:val="18"/>
          <w:color w:val="auto"/>
        </w:rPr>
        <w:t>” means the indenture or indentures governing the New Tranche A Senior Unsecured Notes, in substantially the form Filed with the Plan Supplement, which indenture or indentures will contain terms and conditions consistent with the Restructuring Support Agreement and otherwise acceptable to the initial holders of the New Tranche A Senior Unsecured Notes and the Debtors, and otherwise reasonably acceptable to the Required Consenting Noteholders.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w:t>
      </w:r>
      <w:r>
        <w:rPr>
          <w:rFonts w:ascii="Arial" w:cs="Arial" w:eastAsia="Arial" w:hAnsi="Arial"/>
          <w:sz w:val="18"/>
          <w:szCs w:val="18"/>
          <w:color w:val="auto"/>
        </w:rPr>
        <w:t>” means the new senior unsecured notes to be issued by Reorganized Weatherford Delaware and Reorganized Weatherford Bermuda on the Effective Date in an aggregate principal amount of $1,250,000,000, which will have a seven year maturity and will have the terms set forth in the New Tranche B Senior Unsecured Notes Indentures.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 Indentures</w:t>
      </w:r>
      <w:r>
        <w:rPr>
          <w:rFonts w:ascii="Arial" w:cs="Arial" w:eastAsia="Arial" w:hAnsi="Arial"/>
          <w:sz w:val="18"/>
          <w:szCs w:val="18"/>
          <w:color w:val="auto"/>
        </w:rPr>
        <w:t>” means the indentures governing the New Tranche B Senior Unsecured Notes, in substantially the form Filed with the Plan Supplement, which indentures will contain terms and conditions as are consistent with the Restructuring Support Agreement and otherwise acceptable to the Debtors and the Required Consenting Noteholders.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Warrants</w:t>
      </w:r>
      <w:r>
        <w:rPr>
          <w:rFonts w:ascii="Arial" w:cs="Arial" w:eastAsia="Arial" w:hAnsi="Arial"/>
          <w:sz w:val="18"/>
          <w:szCs w:val="18"/>
          <w:color w:val="auto"/>
        </w:rPr>
        <w:t>” means the warrants contemplated under the New Warrant Agreement.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Warrant Agreement</w:t>
      </w:r>
      <w:r>
        <w:rPr>
          <w:rFonts w:ascii="Arial" w:cs="Arial" w:eastAsia="Arial" w:hAnsi="Arial"/>
          <w:sz w:val="17"/>
          <w:szCs w:val="17"/>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Term Sheet</w:t>
      </w:r>
      <w:r>
        <w:rPr>
          <w:rFonts w:ascii="Arial" w:cs="Arial" w:eastAsia="Arial" w:hAnsi="Arial"/>
          <w:sz w:val="18"/>
          <w:szCs w:val="18"/>
          <w:color w:val="auto"/>
        </w:rPr>
        <w:t>” means the term sheet filed with the Plan Supplement.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Non-Debtor Releasing Parties</w:t>
      </w:r>
      <w:r>
        <w:rPr>
          <w:rFonts w:ascii="Arial" w:cs="Arial" w:eastAsia="Arial" w:hAnsi="Arial"/>
          <w:sz w:val="16"/>
          <w:szCs w:val="16"/>
          <w:color w:val="auto"/>
        </w:rPr>
        <w:t>” means, collectively: (a) the Prepetition Agents; (b) the Prepetition Lenders; (c) the New Senior Unsecured Notes Indenture Trustee; (d) the DIP Agent; (e) the DIP Lenders; (f) the Prepetition Notes Indenture Trustee; (g) the Ad Hoc Noteholder Committee and the members thereof in their capacities as such; (h) the Consenting Noteholders; (i) the Backstop Parties; (j) the Distribution Agents; (k) the Exit Facility Agent;</w:t>
      </w:r>
    </w:p>
    <w:p>
      <w:pPr>
        <w:ind w:right="220" w:firstLine="8"/>
        <w:spacing w:after="0" w:line="255"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Exit Facility Lenders; (m) the Provisional Liquidator; (n) the Committee and the members thereof in their capacities as such; (o) the Holders of Existing Common Stock and Unexercised Equity Interests that do not affirmatively opt out of the Release; and (p) the Prepetition Noteholders that are not party to the Restructuring Support Agreement and do not affirmatively opt out of the Release.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XII.K</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NOL Order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Final Order Establishing Notification Procedures and Approving Restrictions on Certain Transfers of Stock of, and Claims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Against, the Debtors </w:t>
      </w:r>
      <w:r>
        <w:rPr>
          <w:rFonts w:ascii="Arial" w:cs="Arial" w:eastAsia="Arial" w:hAnsi="Arial"/>
          <w:sz w:val="18"/>
          <w:szCs w:val="18"/>
          <w:color w:val="auto"/>
        </w:rPr>
        <w:t>issued by the Bankruptcy Court and appearing on the docket at number 172.</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Priority Claim</w:t>
      </w:r>
      <w:r>
        <w:rPr>
          <w:rFonts w:ascii="Arial" w:cs="Arial" w:eastAsia="Arial" w:hAnsi="Arial"/>
          <w:sz w:val="18"/>
          <w:szCs w:val="18"/>
          <w:color w:val="auto"/>
        </w:rPr>
        <w:t>” means any Claim accorded priority in right of payment under section 507(a) of the Bankruptcy Code, other than a Priority Tax Claim or an Administrative Claim or a DIP Facility Claim.</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Secured Claim</w:t>
      </w:r>
      <w:r>
        <w:rPr>
          <w:rFonts w:ascii="Arial" w:cs="Arial" w:eastAsia="Arial" w:hAnsi="Arial"/>
          <w:sz w:val="18"/>
          <w:szCs w:val="18"/>
          <w:color w:val="auto"/>
        </w:rPr>
        <w:t>” means any Secured Claim other than an Administrative Claim, Secured Tax Claim, DIP Facility Claim, or Prepetition A&amp;R Credit Agreement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Overallotment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Subsidiary</w:t>
      </w:r>
      <w:r>
        <w:rPr>
          <w:rFonts w:ascii="Arial" w:cs="Arial" w:eastAsia="Arial" w:hAnsi="Arial"/>
          <w:sz w:val="18"/>
          <w:szCs w:val="18"/>
          <w:color w:val="auto"/>
        </w:rPr>
        <w:t>” means each direct and indirect, wholly-owned subsidiary of Weatherford Parent.</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Petition Date</w:t>
      </w:r>
      <w:r>
        <w:rPr>
          <w:rFonts w:ascii="Arial" w:cs="Arial" w:eastAsia="Arial" w:hAnsi="Arial"/>
          <w:sz w:val="18"/>
          <w:szCs w:val="18"/>
          <w:color w:val="auto"/>
        </w:rPr>
        <w:t>” means the date on which the Debtors commence the Chapter 11 Cases.</w:t>
      </w:r>
    </w:p>
    <w:p>
      <w:pPr>
        <w:spacing w:after="0" w:line="225" w:lineRule="exact"/>
        <w:rPr>
          <w:sz w:val="20"/>
          <w:szCs w:val="20"/>
          <w:color w:val="auto"/>
        </w:rPr>
      </w:pPr>
    </w:p>
    <w:p>
      <w:pPr>
        <w:ind w:right="22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Objection Deadline</w:t>
      </w:r>
      <w:r>
        <w:rPr>
          <w:rFonts w:ascii="Arial" w:cs="Arial" w:eastAsia="Arial" w:hAnsi="Arial"/>
          <w:sz w:val="18"/>
          <w:szCs w:val="18"/>
          <w:color w:val="auto"/>
        </w:rPr>
        <w:t>” means the date and time by which objections to Confirmation and Consummation of this Plan must be Filed with the Bankruptcy Court.</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Schedule</w:t>
      </w:r>
      <w:r>
        <w:rPr>
          <w:rFonts w:ascii="Arial" w:cs="Arial" w:eastAsia="Arial" w:hAnsi="Arial"/>
          <w:sz w:val="18"/>
          <w:szCs w:val="18"/>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DIP Required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V.K</w:t>
      </w:r>
      <w:r>
        <w:rPr>
          <w:rFonts w:ascii="Arial" w:cs="Arial" w:eastAsia="Arial" w:hAnsi="Arial"/>
          <w:sz w:val="18"/>
          <w:szCs w:val="18"/>
          <w:color w:val="auto"/>
        </w:rPr>
        <w:t xml:space="preserve"> of this Plan.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 and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V.K</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Supplement</w:t>
      </w:r>
      <w:r>
        <w:rPr>
          <w:rFonts w:ascii="Arial" w:cs="Arial" w:eastAsia="Arial" w:hAnsi="Arial"/>
          <w:sz w:val="18"/>
          <w:szCs w:val="18"/>
          <w:color w:val="auto"/>
        </w:rPr>
        <w:t>” means, collectively, the compilation of documents and forms of documents, and all exhibits, attachments, schedules, agreements, documents and instruments 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DIP Required Lenders. The Exhibits and Plan Schedules (or substantially final forms thereof) will be Filed with the Bankruptcy Court at least seven (7) days prior to the Confirmation Hearing.</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Agents</w:t>
      </w:r>
      <w:r>
        <w:rPr>
          <w:rFonts w:ascii="Arial" w:cs="Arial" w:eastAsia="Arial" w:hAnsi="Arial"/>
          <w:sz w:val="18"/>
          <w:szCs w:val="18"/>
          <w:color w:val="auto"/>
        </w:rPr>
        <w:t>” means, collectively, the Prepetition A&amp;R Credit Agreement Agent, the Prepetition Revolving Credit Agreement Agent, and the Prepetition Term Loan Administrative Agent.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w:t>
      </w:r>
      <w:r>
        <w:rPr>
          <w:rFonts w:ascii="Arial" w:cs="Arial" w:eastAsia="Arial" w:hAnsi="Arial"/>
          <w:sz w:val="18"/>
          <w:szCs w:val="18"/>
          <w:color w:val="auto"/>
        </w:rPr>
        <w:t>” means that certain Amended and Restated Credit Agreement, dated as of May 9, 2016, by and among Weatherford International Ltd., Weatherford International plc, WOFS Assurance Limited, the Prepetition A&amp;R Credit Agreement Agent, and the Prepetition A&amp;R Credit Agreement Lenders, as amended, supplemented, or modified from time to time prior to the Petition Date.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Agent</w:t>
      </w:r>
      <w:r>
        <w:rPr>
          <w:rFonts w:ascii="Arial" w:cs="Arial" w:eastAsia="Arial" w:hAnsi="Arial"/>
          <w:sz w:val="18"/>
          <w:szCs w:val="18"/>
          <w:color w:val="auto"/>
        </w:rPr>
        <w:t>” means JPMorgan Chase Bank, N.A., in its capacity as administrative agent under the Prepetition A&amp;R Credit Agreement.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A&amp;R Claims</w:t>
      </w:r>
      <w:r>
        <w:rPr>
          <w:rFonts w:ascii="Arial" w:cs="Arial" w:eastAsia="Arial" w:hAnsi="Arial"/>
          <w:sz w:val="16"/>
          <w:szCs w:val="16"/>
          <w:color w:val="auto"/>
        </w:rPr>
        <w:t>” means any and all Claims arising from, under or in connection with the Prepetition A&amp;R Credit Agreement (including, without limitation, any and all “Indebtedness” as defined therein) or any other Prepetition Loan Document relating to the Prepetition A&amp;R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Lenders</w:t>
      </w:r>
      <w:r>
        <w:rPr>
          <w:rFonts w:ascii="Arial" w:cs="Arial" w:eastAsia="Arial" w:hAnsi="Arial"/>
          <w:sz w:val="18"/>
          <w:szCs w:val="18"/>
          <w:color w:val="auto"/>
        </w:rPr>
        <w:t>” means the lenders party to the Prepetition A&amp;R Credit Agreement from time to time.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Claims</w:t>
      </w:r>
      <w:r>
        <w:rPr>
          <w:rFonts w:ascii="Arial" w:cs="Arial" w:eastAsia="Arial" w:hAnsi="Arial"/>
          <w:sz w:val="18"/>
          <w:szCs w:val="18"/>
          <w:color w:val="auto"/>
        </w:rPr>
        <w:t>” means, collectively, the Prepetition A&amp;R Claims, the Prepetition Revolving Credit Claims, the Prepetition Term Loan Claims, and the Prepetition Notes Claims.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Debt Documents</w:t>
      </w:r>
      <w:r>
        <w:rPr>
          <w:rFonts w:ascii="Arial" w:cs="Arial" w:eastAsia="Arial" w:hAnsi="Arial"/>
          <w:sz w:val="17"/>
          <w:szCs w:val="17"/>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Lenders</w:t>
      </w:r>
      <w:r>
        <w:rPr>
          <w:rFonts w:ascii="Arial" w:cs="Arial" w:eastAsia="Arial" w:hAnsi="Arial"/>
          <w:sz w:val="18"/>
          <w:szCs w:val="18"/>
          <w:color w:val="auto"/>
        </w:rPr>
        <w:t>” means, collectively, the Prepetition A&amp;R Credit Agreement Lenders, the Prepetition Revolving Credit Agreement Lenders, and the Prepetition Term Loan Agreement Lenders.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Loan Documents</w:t>
      </w:r>
      <w:r>
        <w:rPr>
          <w:rFonts w:ascii="Arial" w:cs="Arial" w:eastAsia="Arial" w:hAnsi="Arial"/>
          <w:sz w:val="18"/>
          <w:szCs w:val="18"/>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Noteholders</w:t>
      </w:r>
      <w:r>
        <w:rPr>
          <w:rFonts w:ascii="Arial" w:cs="Arial" w:eastAsia="Arial" w:hAnsi="Arial"/>
          <w:sz w:val="18"/>
          <w:szCs w:val="18"/>
          <w:color w:val="auto"/>
        </w:rPr>
        <w:t>” means, collectively, the record holders of and owners of beneficial interests in the Prepetition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w:t>
      </w:r>
      <w:r>
        <w:rPr>
          <w:rFonts w:ascii="Arial" w:cs="Arial" w:eastAsia="Arial" w:hAnsi="Arial"/>
          <w:sz w:val="16"/>
          <w:szCs w:val="16"/>
          <w:color w:val="auto"/>
        </w:rPr>
        <w:t>” means, collectively, (i) those certain 5.125% senior unsecured notes due 2020, issued by Weatherford International Ltd. pursuant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applicable Prepetition Notes Indenture, in an aggregate principal amount outstanding of $365,107,000 (the “</w:t>
      </w:r>
      <w:r>
        <w:rPr>
          <w:rFonts w:ascii="Arial" w:cs="Arial" w:eastAsia="Arial" w:hAnsi="Arial"/>
          <w:sz w:val="16"/>
          <w:szCs w:val="16"/>
          <w:i w:val="1"/>
          <w:iCs w:val="1"/>
          <w:u w:val="single" w:color="auto"/>
          <w:color w:val="auto"/>
        </w:rPr>
        <w:t>5.125% Notes</w:t>
      </w:r>
      <w:r>
        <w:rPr>
          <w:rFonts w:ascii="Arial" w:cs="Arial" w:eastAsia="Arial" w:hAnsi="Arial"/>
          <w:sz w:val="16"/>
          <w:szCs w:val="16"/>
          <w:color w:val="auto"/>
        </w:rPr>
        <w:t>”); (ii) those certain 7.750%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2021,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$750,000,000 (the “</w:t>
      </w:r>
      <w:r>
        <w:rPr>
          <w:rFonts w:ascii="Arial" w:cs="Arial" w:eastAsia="Arial" w:hAnsi="Arial"/>
          <w:sz w:val="16"/>
          <w:szCs w:val="16"/>
          <w:i w:val="1"/>
          <w:iCs w:val="1"/>
          <w:u w:val="single" w:color="auto"/>
          <w:color w:val="auto"/>
        </w:rPr>
        <w:t>7.750% Notes</w:t>
      </w:r>
      <w:r>
        <w:rPr>
          <w:rFonts w:ascii="Arial" w:cs="Arial" w:eastAsia="Arial" w:hAnsi="Arial"/>
          <w:sz w:val="16"/>
          <w:szCs w:val="16"/>
          <w:color w:val="auto"/>
        </w:rPr>
        <w:t>”); (iii) those certain 5.875% exchangeable senior unsecured notes due 2021, issued by Weatherford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pursuant to the applicable Prepetition Notes Indenture, in an aggregate principal amount outstanding of $1,265,000,000 (the “</w:t>
      </w:r>
      <w:r>
        <w:rPr>
          <w:rFonts w:ascii="Arial" w:cs="Arial" w:eastAsia="Arial" w:hAnsi="Arial"/>
          <w:sz w:val="17"/>
          <w:szCs w:val="17"/>
          <w:i w:val="1"/>
          <w:iCs w:val="1"/>
          <w:u w:val="single" w:color="auto"/>
          <w:color w:val="auto"/>
        </w:rPr>
        <w:t>5.875%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(iv) those certain 4.500% senior unsecured notes due 2022, issued by Weatherford International Ltd. pursuant to the applicable Prepetition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in an aggregate principal amount outstanding of $646,286,000 (the “</w:t>
      </w:r>
      <w:r>
        <w:rPr>
          <w:rFonts w:ascii="Arial" w:cs="Arial" w:eastAsia="Arial" w:hAnsi="Arial"/>
          <w:sz w:val="16"/>
          <w:szCs w:val="16"/>
          <w:i w:val="1"/>
          <w:iCs w:val="1"/>
          <w:u w:val="single" w:color="auto"/>
          <w:color w:val="auto"/>
        </w:rPr>
        <w:t>4.500% Notes</w:t>
      </w:r>
      <w:r>
        <w:rPr>
          <w:rFonts w:ascii="Arial" w:cs="Arial" w:eastAsia="Arial" w:hAnsi="Arial"/>
          <w:sz w:val="16"/>
          <w:szCs w:val="16"/>
          <w:color w:val="auto"/>
        </w:rPr>
        <w:t>”); (v) those certain 8.250% senior unsecured notes due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by Weatherford International Ltd.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i w:val="1"/>
          <w:iCs w:val="1"/>
          <w:u w:val="single" w:color="auto"/>
          <w:color w:val="auto"/>
        </w:rPr>
        <w:t>8.250% Notes</w:t>
      </w:r>
      <w:r>
        <w:rPr>
          <w:rFonts w:ascii="Arial" w:cs="Arial" w:eastAsia="Arial" w:hAnsi="Arial"/>
          <w:sz w:val="16"/>
          <w:szCs w:val="16"/>
          <w:color w:val="auto"/>
        </w:rPr>
        <w:t>”); (vi) those certain 9.875% senior unsecured notes due 2024, issued by Weatherford International Ltd.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Prepetition Notes Indenture, in an aggregate principal amount outstanding of $790,000,000 (the “</w:t>
      </w:r>
      <w:r>
        <w:rPr>
          <w:rFonts w:ascii="Arial" w:cs="Arial" w:eastAsia="Arial" w:hAnsi="Arial"/>
          <w:sz w:val="16"/>
          <w:szCs w:val="16"/>
          <w:i w:val="1"/>
          <w:iCs w:val="1"/>
          <w:u w:val="single" w:color="auto"/>
          <w:color w:val="auto"/>
        </w:rPr>
        <w:t>9.875% 2024 Notes</w:t>
      </w:r>
      <w:r>
        <w:rPr>
          <w:rFonts w:ascii="Arial" w:cs="Arial" w:eastAsia="Arial" w:hAnsi="Arial"/>
          <w:sz w:val="16"/>
          <w:szCs w:val="16"/>
          <w:color w:val="auto"/>
        </w:rPr>
        <w:t>”); (vii) those certain 6.500%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2036,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$453,045,000 (the “</w:t>
      </w:r>
      <w:r>
        <w:rPr>
          <w:rFonts w:ascii="Arial" w:cs="Arial" w:eastAsia="Arial" w:hAnsi="Arial"/>
          <w:sz w:val="16"/>
          <w:szCs w:val="16"/>
          <w:i w:val="1"/>
          <w:iCs w:val="1"/>
          <w:u w:val="single" w:color="auto"/>
          <w:color w:val="auto"/>
        </w:rPr>
        <w:t>6.500% Notes</w:t>
      </w:r>
      <w:r>
        <w:rPr>
          <w:rFonts w:ascii="Arial" w:cs="Arial" w:eastAsia="Arial" w:hAnsi="Arial"/>
          <w:sz w:val="16"/>
          <w:szCs w:val="16"/>
          <w:color w:val="auto"/>
        </w:rPr>
        <w:t>”); (viii) those certain 7.000% senior unsecured notes due 2038, issued by Weatherford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pursuant to the applicable Prepetition Notes Indenture, in an aggregate principal amount outstanding of $461,300,000 (the “</w:t>
      </w:r>
      <w:r>
        <w:rPr>
          <w:rFonts w:ascii="Arial" w:cs="Arial" w:eastAsia="Arial" w:hAnsi="Arial"/>
          <w:sz w:val="16"/>
          <w:szCs w:val="16"/>
          <w:i w:val="1"/>
          <w:iCs w:val="1"/>
          <w:u w:val="single" w:color="auto"/>
          <w:color w:val="auto"/>
        </w:rPr>
        <w:t>7.000% Notes</w:t>
      </w:r>
      <w:r>
        <w:rPr>
          <w:rFonts w:ascii="Arial" w:cs="Arial" w:eastAsia="Arial" w:hAnsi="Arial"/>
          <w:sz w:val="16"/>
          <w:szCs w:val="16"/>
          <w:color w:val="auto"/>
        </w:rPr>
        <w:t>”); (ix)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9.875% senior unsecured notes due 2039, issued by Weatherford International Ltd. pursuant to the applicable Prepetition Notes Indenture,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outstanding of $250,000,000 (the “</w:t>
      </w:r>
      <w:r>
        <w:rPr>
          <w:rFonts w:ascii="Arial" w:cs="Arial" w:eastAsia="Arial" w:hAnsi="Arial"/>
          <w:sz w:val="16"/>
          <w:szCs w:val="16"/>
          <w:i w:val="1"/>
          <w:iCs w:val="1"/>
          <w:u w:val="single" w:color="auto"/>
          <w:color w:val="auto"/>
        </w:rPr>
        <w:t>9.875% 2039 Notes</w:t>
      </w:r>
      <w:r>
        <w:rPr>
          <w:rFonts w:ascii="Arial" w:cs="Arial" w:eastAsia="Arial" w:hAnsi="Arial"/>
          <w:sz w:val="16"/>
          <w:szCs w:val="16"/>
          <w:color w:val="auto"/>
        </w:rPr>
        <w:t>”); (x) those certain 6.750% senior unsecured notes due 2040,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 pursuant to the applicable Prepetition Notes Indenture, in an aggregate principal amount outstanding of $462,601,000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6.750% Notes</w:t>
      </w:r>
      <w:r>
        <w:rPr>
          <w:rFonts w:ascii="Arial" w:cs="Arial" w:eastAsia="Arial" w:hAnsi="Arial"/>
          <w:sz w:val="16"/>
          <w:szCs w:val="16"/>
          <w:color w:val="auto"/>
        </w:rPr>
        <w:t>”); (xi) those certain 5.950% senior unsecured notes due 2042, issued by Weatherford International Ltd. pursuant to the applicable Prepetition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Indenture, in an aggregate principal amount outstanding of $374,961,000 (the “</w:t>
      </w:r>
      <w:r>
        <w:rPr>
          <w:rFonts w:ascii="Arial" w:cs="Arial" w:eastAsia="Arial" w:hAnsi="Arial"/>
          <w:sz w:val="16"/>
          <w:szCs w:val="16"/>
          <w:i w:val="1"/>
          <w:iCs w:val="1"/>
          <w:u w:val="single" w:color="auto"/>
          <w:color w:val="auto"/>
        </w:rPr>
        <w:t>5.950% Notes</w:t>
      </w:r>
      <w:r>
        <w:rPr>
          <w:rFonts w:ascii="Arial" w:cs="Arial" w:eastAsia="Arial" w:hAnsi="Arial"/>
          <w:sz w:val="16"/>
          <w:szCs w:val="16"/>
          <w:color w:val="auto"/>
        </w:rPr>
        <w:t>”); (xii) those certain 9.875% senior unsecured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2025, issued by Weatherford International LLC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$600,000,000 (the “</w:t>
      </w:r>
      <w:r>
        <w:rPr>
          <w:rFonts w:ascii="Arial" w:cs="Arial" w:eastAsia="Arial" w:hAnsi="Arial"/>
          <w:sz w:val="17"/>
          <w:szCs w:val="17"/>
          <w:i w:val="1"/>
          <w:iCs w:val="1"/>
          <w:u w:val="single" w:color="auto"/>
          <w:color w:val="auto"/>
        </w:rPr>
        <w:t>9.875% 2025 Notes</w:t>
      </w:r>
      <w:r>
        <w:rPr>
          <w:rFonts w:ascii="Arial" w:cs="Arial" w:eastAsia="Arial" w:hAnsi="Arial"/>
          <w:sz w:val="17"/>
          <w:szCs w:val="17"/>
          <w:color w:val="auto"/>
        </w:rPr>
        <w:t>”); and (xiii) those certain 6.800% senior unsecured notes due 2037, issued by Weatherford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applicable Prepetition Notes Indenture, in an aggregate principal amount outstanding of $258,767,000 (the “</w:t>
      </w:r>
      <w:r>
        <w:rPr>
          <w:rFonts w:ascii="Arial" w:cs="Arial" w:eastAsia="Arial" w:hAnsi="Arial"/>
          <w:sz w:val="18"/>
          <w:szCs w:val="18"/>
          <w:i w:val="1"/>
          <w:iCs w:val="1"/>
          <w:u w:val="single" w:color="auto"/>
          <w:color w:val="auto"/>
        </w:rPr>
        <w:t>6.800% Notes</w:t>
      </w:r>
      <w:r>
        <w:rPr>
          <w:rFonts w:ascii="Arial" w:cs="Arial" w:eastAsia="Arial" w:hAnsi="Arial"/>
          <w:sz w:val="18"/>
          <w:szCs w:val="18"/>
          <w:color w:val="auto"/>
        </w:rPr>
        <w:t>”).</w:t>
      </w:r>
    </w:p>
    <w:p>
      <w:pPr>
        <w:spacing w:after="0" w:line="21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Claims</w:t>
      </w:r>
      <w:r>
        <w:rPr>
          <w:rFonts w:ascii="Arial" w:cs="Arial" w:eastAsia="Arial" w:hAnsi="Arial"/>
          <w:sz w:val="18"/>
          <w:szCs w:val="18"/>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Indentures</w:t>
      </w:r>
      <w:r>
        <w:rPr>
          <w:rFonts w:ascii="Arial" w:cs="Arial" w:eastAsia="Arial" w:hAnsi="Arial"/>
          <w:sz w:val="16"/>
          <w:szCs w:val="16"/>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w:t>
      </w:r>
    </w:p>
    <w:p>
      <w:pPr>
        <w:spacing w:after="0" w:line="295" w:lineRule="auto"/>
        <w:rPr>
          <w:sz w:val="20"/>
          <w:szCs w:val="20"/>
          <w:color w:val="auto"/>
        </w:rPr>
      </w:pPr>
      <w:r>
        <w:rPr>
          <w:rFonts w:ascii="Arial" w:cs="Arial" w:eastAsia="Arial" w:hAnsi="Arial"/>
          <w:sz w:val="16"/>
          <w:szCs w:val="16"/>
          <w:color w:val="auto"/>
        </w:rPr>
        <w:t>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 the 6.800% Notes, and with respect to each such Indenture, as amended, restated, modified, supplemented, or replaced from time to time prior to the Petition Date.</w:t>
      </w:r>
    </w:p>
    <w:p>
      <w:pPr>
        <w:spacing w:after="0" w:line="16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Indenture Trustee</w:t>
      </w:r>
      <w:r>
        <w:rPr>
          <w:rFonts w:ascii="Arial" w:cs="Arial" w:eastAsia="Arial" w:hAnsi="Arial"/>
          <w:sz w:val="18"/>
          <w:szCs w:val="18"/>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Notes Indenture Trustee Charging Lien</w:t>
      </w:r>
      <w:r>
        <w:rPr>
          <w:rFonts w:ascii="Arial" w:cs="Arial" w:eastAsia="Arial" w:hAnsi="Arial"/>
          <w:sz w:val="17"/>
          <w:szCs w:val="17"/>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6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 Trustee Fees and Expenses</w:t>
      </w:r>
      <w:r>
        <w:rPr>
          <w:rFonts w:ascii="Arial" w:cs="Arial" w:eastAsia="Arial" w:hAnsi="Arial"/>
          <w:sz w:val="16"/>
          <w:szCs w:val="16"/>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any foreign insolvency proceeding.</w:t>
      </w:r>
    </w:p>
    <w:p>
      <w:pPr>
        <w:spacing w:after="0" w:line="15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w:t>
      </w:r>
      <w:r>
        <w:rPr>
          <w:rFonts w:ascii="Arial" w:cs="Arial" w:eastAsia="Arial" w:hAnsi="Arial"/>
          <w:sz w:val="18"/>
          <w:szCs w:val="18"/>
          <w:color w:val="auto"/>
        </w:rPr>
        <w:t>” means that certain 364-Day Revolving Credit Agreement, dated as of August 16, 2018, by and among Weatherford International Ltd., the other borrowers party thereto, the Prepetition Revolving Credit Agreement Agent, and the Prepetition Revolving Credit Agreement Lenders, as amended, supplemented, or modified from time to time prior to the Petition Date.</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Agent</w:t>
      </w:r>
      <w:r>
        <w:rPr>
          <w:rFonts w:ascii="Arial" w:cs="Arial" w:eastAsia="Arial" w:hAnsi="Arial"/>
          <w:sz w:val="18"/>
          <w:szCs w:val="18"/>
          <w:color w:val="auto"/>
        </w:rPr>
        <w:t>” means JPMorgan Chase Bank, N.A., in its capacity as administrative agent under the Prepetition Revolving Credit Agreement.</w:t>
      </w:r>
    </w:p>
    <w:p>
      <w:pPr>
        <w:spacing w:after="0" w:line="170" w:lineRule="exact"/>
        <w:rPr>
          <w:sz w:val="20"/>
          <w:szCs w:val="20"/>
          <w:color w:val="auto"/>
        </w:rPr>
      </w:pPr>
    </w:p>
    <w:p>
      <w:pPr>
        <w:ind w:right="20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Claims</w:t>
      </w:r>
      <w:r>
        <w:rPr>
          <w:rFonts w:ascii="Arial" w:cs="Arial" w:eastAsia="Arial" w:hAnsi="Arial"/>
          <w:sz w:val="18"/>
          <w:szCs w:val="18"/>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Lenders</w:t>
      </w:r>
      <w:r>
        <w:rPr>
          <w:rFonts w:ascii="Arial" w:cs="Arial" w:eastAsia="Arial" w:hAnsi="Arial"/>
          <w:sz w:val="18"/>
          <w:szCs w:val="18"/>
          <w:color w:val="auto"/>
        </w:rPr>
        <w:t>” means the lenders party to the Prepetition Revolving Credit Agreement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Liens</w:t>
      </w:r>
      <w:r>
        <w:rPr>
          <w:rFonts w:ascii="Arial" w:cs="Arial" w:eastAsia="Arial" w:hAnsi="Arial"/>
          <w:sz w:val="18"/>
          <w:szCs w:val="18"/>
          <w:color w:val="auto"/>
        </w:rPr>
        <w:t>” means the Liens securing the payment of the Prepetition Revolving Credit Claims.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w:t>
      </w:r>
      <w:r>
        <w:rPr>
          <w:rFonts w:ascii="Arial" w:cs="Arial" w:eastAsia="Arial" w:hAnsi="Arial"/>
          <w:sz w:val="18"/>
          <w:szCs w:val="18"/>
          <w:color w:val="auto"/>
        </w:rPr>
        <w:t>” means that certain Term Loan Agreement, dated as of May 4, 2016, by and among Weatherford International Ltd., the Prepetition Term Loan Agent and the Prepetition Term Loan Lenders, as amended, supplemented, or modified from time to time prior to the Petition Date.</w:t>
      </w:r>
    </w:p>
    <w:p>
      <w:pPr>
        <w:spacing w:after="0" w:line="181" w:lineRule="exact"/>
        <w:rPr>
          <w:sz w:val="20"/>
          <w:szCs w:val="20"/>
          <w:color w:val="auto"/>
        </w:rPr>
      </w:pPr>
    </w:p>
    <w:p>
      <w:pPr>
        <w:ind w:right="32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Administrative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Claims</w:t>
      </w:r>
      <w:r>
        <w:rPr>
          <w:rFonts w:ascii="Arial" w:cs="Arial" w:eastAsia="Arial" w:hAnsi="Arial"/>
          <w:sz w:val="18"/>
          <w:szCs w:val="18"/>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Lenders</w:t>
      </w:r>
      <w:r>
        <w:rPr>
          <w:rFonts w:ascii="Arial" w:cs="Arial" w:eastAsia="Arial" w:hAnsi="Arial"/>
          <w:sz w:val="18"/>
          <w:szCs w:val="18"/>
          <w:color w:val="auto"/>
        </w:rPr>
        <w:t>” means the lenders party to the Prepetition Term Loan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Liens</w:t>
      </w:r>
      <w:r>
        <w:rPr>
          <w:rFonts w:ascii="Arial" w:cs="Arial" w:eastAsia="Arial" w:hAnsi="Arial"/>
          <w:sz w:val="18"/>
          <w:szCs w:val="18"/>
          <w:color w:val="auto"/>
        </w:rPr>
        <w:t>” means the Liens securing the payment of the Prepetition Term Loan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Tax Claim</w:t>
      </w:r>
      <w:r>
        <w:rPr>
          <w:rFonts w:ascii="Arial" w:cs="Arial" w:eastAsia="Arial" w:hAnsi="Arial"/>
          <w:sz w:val="18"/>
          <w:szCs w:val="18"/>
          <w:color w:val="auto"/>
        </w:rPr>
        <w:t>” means any Claim of a Governmental Unit of the kind specified in section 507(a)(8) of the Bankruptcy Code.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the proportion that an Allowed Claim or Allowed Equity Interest in a particular class bears to the aggregate amount of Allowed Claims or Allowed Equity Interests in that Class.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w:t>
      </w:r>
      <w:r>
        <w:rPr>
          <w:rFonts w:ascii="Arial" w:cs="Arial" w:eastAsia="Arial" w:hAnsi="Arial"/>
          <w:sz w:val="18"/>
          <w:szCs w:val="18"/>
          <w:color w:val="auto"/>
        </w:rPr>
        <w:t>” means any Person or Entity retained by the Debtors or the Committee in the Chapter 11 Cases pursuant to section 327, 328, 363, and/or 1103 of the Bankruptcy Code (other than an ordinary course professional).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Professional Fee Claim</w:t>
      </w:r>
      <w:r>
        <w:rPr>
          <w:rFonts w:ascii="Arial" w:cs="Arial" w:eastAsia="Arial" w:hAnsi="Arial"/>
          <w:sz w:val="16"/>
          <w:szCs w:val="16"/>
          <w:color w:val="auto"/>
        </w:rPr>
        <w:t>” means a Claim for Accrued Professional Compensation under sections 327, 328, 329, 330, 331, or 503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 Fee Claim Reserve</w:t>
      </w:r>
      <w:r>
        <w:rPr>
          <w:rFonts w:ascii="Arial" w:cs="Arial" w:eastAsia="Arial" w:hAnsi="Arial"/>
          <w:sz w:val="18"/>
          <w:szCs w:val="18"/>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Provisional Liquidator</w:t>
      </w:r>
      <w:r>
        <w:rPr>
          <w:rFonts w:ascii="Arial" w:cs="Arial" w:eastAsia="Arial" w:hAnsi="Arial"/>
          <w:sz w:val="18"/>
          <w:szCs w:val="18"/>
          <w:color w:val="auto"/>
        </w:rPr>
        <w:t>” means John C. McKenna, as provisional liquidator of Weatherford Bermuda, or any replacement or additional provisional liquidator appointed by the Supreme Court of Bermuda in proceedings 2019: No.270.</w:t>
      </w:r>
    </w:p>
    <w:p>
      <w:pPr>
        <w:spacing w:after="0" w:line="170" w:lineRule="exact"/>
        <w:rPr>
          <w:sz w:val="20"/>
          <w:szCs w:val="20"/>
          <w:color w:val="auto"/>
        </w:rPr>
      </w:pPr>
    </w:p>
    <w:p>
      <w:pPr>
        <w:ind w:firstLine="68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Persons</w:t>
      </w:r>
      <w:r>
        <w:rPr>
          <w:rFonts w:ascii="Arial" w:cs="Arial" w:eastAsia="Arial" w:hAnsi="Arial"/>
          <w:sz w:val="17"/>
          <w:szCs w:val="17"/>
          <w:color w:val="auto"/>
        </w:rPr>
        <w:t>” means, with respect to any Person, such Person’s predecessors, successors, assigns and present and former Affiliates (whether by operation of law or otherwise) and subsidiaries, and each of their respective current and former officers, directors, principals,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4" w:name="page35"/>
    <w:bookmarkEnd w:id="34"/>
    <w:p>
      <w:pPr>
        <w:ind w:right="120"/>
        <w:spacing w:after="0" w:line="276" w:lineRule="auto"/>
        <w:rPr>
          <w:sz w:val="20"/>
          <w:szCs w:val="20"/>
          <w:color w:val="auto"/>
        </w:rPr>
      </w:pPr>
      <w:r>
        <w:rPr>
          <w:rFonts w:ascii="Arial" w:cs="Arial" w:eastAsia="Arial" w:hAnsi="Arial"/>
          <w:sz w:val="17"/>
          <w:szCs w:val="17"/>
          <w:color w:val="auto"/>
        </w:rPr>
        <w:t xml:space="preserve">employees, shareholders, members (including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insurer of any Debtor will constitute a Related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xml:space="preserve">” means the release given by the Releasing Parties to the Released Parties as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Party</w:t>
      </w:r>
      <w:r>
        <w:rPr>
          <w:rFonts w:ascii="Arial" w:cs="Arial" w:eastAsia="Arial" w:hAnsi="Arial"/>
          <w:sz w:val="18"/>
          <w:szCs w:val="18"/>
          <w:color w:val="auto"/>
        </w:rPr>
        <w:t>” means, collectively: (a) the Debtors; (b) the Reorganized Debtors; (c) the Prepetition Agents; (d) the Prepetition Lenders; (e) the New Senior Unsecured Notes Indenture Trustee; (f) the DIP Agent; (g) the DIP Lenders; (h) the Prepetition Notes Indenture Trustee; (i) the Ad Hoc Noteholder Committee and the members thereof in their capacities as such; (j) the Consenting Noteholders; (k) 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 Steps Overview</w:t>
      </w:r>
      <w:r>
        <w:rPr>
          <w:rFonts w:ascii="Arial" w:cs="Arial" w:eastAsia="Arial" w:hAnsi="Arial"/>
          <w:sz w:val="16"/>
          <w:szCs w:val="16"/>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DIP Required Lenders.</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Debtors</w:t>
      </w:r>
      <w:r>
        <w:rPr>
          <w:rFonts w:ascii="Arial" w:cs="Arial" w:eastAsia="Arial" w:hAnsi="Arial"/>
          <w:sz w:val="18"/>
          <w:szCs w:val="18"/>
          <w:color w:val="auto"/>
        </w:rPr>
        <w:t>” means, subject to the Restructuring Transactions, the Debtors as reorganized pursuant to this Plan on or after the Effective Date, and their respective successors.</w:t>
      </w:r>
    </w:p>
    <w:p>
      <w:pPr>
        <w:spacing w:after="0" w:line="170" w:lineRule="exact"/>
        <w:rPr>
          <w:sz w:val="20"/>
          <w:szCs w:val="20"/>
          <w:color w:val="auto"/>
        </w:rPr>
      </w:pPr>
    </w:p>
    <w:p>
      <w:pPr>
        <w:jc w:val="both"/>
        <w:ind w:right="7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Reorganized Parent</w:t>
      </w:r>
      <w:r>
        <w:rPr>
          <w:rFonts w:ascii="Arial" w:cs="Arial" w:eastAsia="Arial" w:hAnsi="Arial"/>
          <w:sz w:val="16"/>
          <w:szCs w:val="16"/>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Bermuda</w:t>
      </w:r>
      <w:r>
        <w:rPr>
          <w:rFonts w:ascii="Arial" w:cs="Arial" w:eastAsia="Arial" w:hAnsi="Arial"/>
          <w:sz w:val="18"/>
          <w:szCs w:val="18"/>
          <w:color w:val="auto"/>
        </w:rPr>
        <w:t>” means, subject to the Restructuring Transactions, Weatherford International Ltd., a Bermuda exempted company, as reorganized pursuant to this Plan on the Effective Date, and its successors.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Delaware</w:t>
      </w:r>
      <w:r>
        <w:rPr>
          <w:rFonts w:ascii="Arial" w:cs="Arial" w:eastAsia="Arial" w:hAnsi="Arial"/>
          <w:sz w:val="18"/>
          <w:szCs w:val="18"/>
          <w:color w:val="auto"/>
        </w:rPr>
        <w:t>” means, subject to the Restructuring Transactions, Weatherford International, LLC, a Delaware limited liability company, as reorganized pursuant to this Plan on the Effective Date, and its successors.</w:t>
      </w:r>
    </w:p>
    <w:p>
      <w:pPr>
        <w:spacing w:after="0" w:line="170"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Consenting Noteholders</w:t>
      </w:r>
      <w:r>
        <w:rPr>
          <w:rFonts w:ascii="Arial" w:cs="Arial" w:eastAsia="Arial" w:hAnsi="Arial"/>
          <w:sz w:val="16"/>
          <w:szCs w:val="16"/>
          <w:color w:val="auto"/>
        </w:rPr>
        <w:t>” means the “Required Consenting Noteholders” under, and as defined in, the Restructuring Support Agreement.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 w:name="page36"/>
    <w:bookmarkEnd w:id="35"/>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Restructuring Documents</w:t>
      </w:r>
      <w:r>
        <w:rPr>
          <w:rFonts w:ascii="Arial" w:cs="Arial" w:eastAsia="Arial" w:hAnsi="Arial"/>
          <w:sz w:val="17"/>
          <w:szCs w:val="17"/>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New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DIP Required Lenders.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Support Agreement</w:t>
      </w:r>
      <w:r>
        <w:rPr>
          <w:rFonts w:ascii="Arial" w:cs="Arial" w:eastAsia="Arial" w:hAnsi="Arial"/>
          <w:sz w:val="18"/>
          <w:szCs w:val="18"/>
          <w:color w:val="auto"/>
        </w:rPr>
        <w:t>” means that certain Restructuring Support Agreement, dated as of May 10, 2019, by and among the Debtors and the Consenting Noteholders (as amended, supplemented or modified from time to time).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Term Sheet</w:t>
      </w:r>
      <w:r>
        <w:rPr>
          <w:rFonts w:ascii="Arial" w:cs="Arial" w:eastAsia="Arial" w:hAnsi="Arial"/>
          <w:sz w:val="18"/>
          <w:szCs w:val="18"/>
          <w:color w:val="auto"/>
        </w:rPr>
        <w:t>” means the term sheet attached as Exhibit A to the Restructuring Support Agreement, a copy of which is attached to the Disclosure Statement as Exhibit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Transaction</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w:t>
      </w:r>
      <w:r>
        <w:rPr>
          <w:rFonts w:ascii="Arial" w:cs="Arial" w:eastAsia="Arial" w:hAnsi="Arial"/>
          <w:sz w:val="18"/>
          <w:szCs w:val="18"/>
          <w:color w:val="auto"/>
        </w:rPr>
        <w:t>” means that certain rights offering pursuant to which each holder of Prepetition Notes is entitled to receive Subscription Rights to acquire the New Tranche A Senior Unsecured Notes on a Pro Rata basis in accordance with the Rights Offering Procedures and which will be backstopped by the Backstop Parties pursuant to the Backstop Commitment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 Procedures</w:t>
      </w:r>
      <w:r>
        <w:rPr>
          <w:rFonts w:ascii="Arial" w:cs="Arial" w:eastAsia="Arial" w:hAnsi="Arial"/>
          <w:sz w:val="18"/>
          <w:szCs w:val="18"/>
          <w:color w:val="auto"/>
        </w:rPr>
        <w:t>” means the procedures for the implementation of the Rights Offering as described in the Disclosure Statement, in form and substance acceptable to the Required Consenting Noteholders.</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Schedules</w:t>
      </w:r>
      <w:r>
        <w:rPr>
          <w:rFonts w:ascii="Arial" w:cs="Arial" w:eastAsia="Arial" w:hAnsi="Arial"/>
          <w:sz w:val="18"/>
          <w:szCs w:val="18"/>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Claim</w:t>
      </w:r>
      <w:r>
        <w:rPr>
          <w:rFonts w:ascii="Arial" w:cs="Arial" w:eastAsia="Arial" w:hAnsi="Arial"/>
          <w:sz w:val="18"/>
          <w:szCs w:val="18"/>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Tax Claim</w:t>
      </w:r>
      <w:r>
        <w:rPr>
          <w:rFonts w:ascii="Arial" w:cs="Arial" w:eastAsia="Arial" w:hAnsi="Arial"/>
          <w:sz w:val="18"/>
          <w:szCs w:val="18"/>
          <w:color w:val="auto"/>
        </w:rPr>
        <w:t>” means any Secured Claim which, absent its secured status, would be entitled to priority in right of payment under section 507(a)(8) of the Bankruptcy Code.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15 U.S.C. §§ 77c-77aa, as now in effect or hereafter amended, and the rules and regulations promulgated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jc w:val="both"/>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Stamp or Similar Tax</w:t>
      </w:r>
      <w:r>
        <w:rPr>
          <w:rFonts w:ascii="Arial" w:cs="Arial" w:eastAsia="Arial" w:hAnsi="Arial"/>
          <w:sz w:val="18"/>
          <w:szCs w:val="18"/>
          <w:color w:val="auto"/>
        </w:rPr>
        <w:t>” means any stamp tax, recording tax, conveyance fee, intangible or similar tax, mortgage tax, personal or real property tax, real estate transfer tax, sales tax, use tax, 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Rights</w:t>
      </w:r>
      <w:r>
        <w:rPr>
          <w:rFonts w:ascii="Arial" w:cs="Arial" w:eastAsia="Arial" w:hAnsi="Arial"/>
          <w:sz w:val="18"/>
          <w:szCs w:val="18"/>
          <w:color w:val="auto"/>
        </w:rPr>
        <w:t>” means the subscription rights to acquire New Tranche A Senior Unsecured Notes in accordance with the Rights Offering Procedures.</w:t>
      </w:r>
    </w:p>
    <w:p>
      <w:pPr>
        <w:spacing w:after="0" w:line="170" w:lineRule="exact"/>
        <w:rPr>
          <w:sz w:val="20"/>
          <w:szCs w:val="20"/>
          <w:color w:val="auto"/>
        </w:rPr>
      </w:pPr>
    </w:p>
    <w:p>
      <w:pPr>
        <w:ind w:right="10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Distribution</w:t>
      </w:r>
      <w:r>
        <w:rPr>
          <w:rFonts w:ascii="Arial" w:cs="Arial" w:eastAsia="Arial" w:hAnsi="Arial"/>
          <w:sz w:val="18"/>
          <w:szCs w:val="18"/>
          <w:color w:val="auto"/>
        </w:rPr>
        <w:t>” means any distribution of property under this Plan to Holders of Allowed Claims or Allowed Equity Interests other than the initial distribution given to such Holders on the Initial Distribution Date.</w:t>
      </w:r>
    </w:p>
    <w:p>
      <w:pPr>
        <w:spacing w:after="0" w:line="170" w:lineRule="exact"/>
        <w:rPr>
          <w:sz w:val="20"/>
          <w:szCs w:val="20"/>
          <w:color w:val="auto"/>
        </w:rPr>
      </w:pPr>
    </w:p>
    <w:p>
      <w:pPr>
        <w:ind w:right="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Subsequent Distribution Date</w:t>
      </w:r>
      <w:r>
        <w:rPr>
          <w:rFonts w:ascii="Arial" w:cs="Arial" w:eastAsia="Arial" w:hAnsi="Arial"/>
          <w:sz w:val="17"/>
          <w:szCs w:val="17"/>
          <w:color w:val="auto"/>
        </w:rPr>
        <w:t xml:space="preserve">” means the last Business Day of the month following the end of each calendar quarter after the Effective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Effective Date is within thirty (30) days of the end of a calendar quarter, then the first Subsequent Distribution Date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Business Day of the month following the end of the first (1</w:t>
      </w:r>
      <w:r>
        <w:rPr>
          <w:rFonts w:ascii="Arial" w:cs="Arial" w:eastAsia="Arial" w:hAnsi="Arial"/>
          <w:sz w:val="22"/>
          <w:szCs w:val="22"/>
          <w:color w:val="auto"/>
          <w:vertAlign w:val="superscript"/>
        </w:rPr>
        <w:t>st</w:t>
      </w:r>
      <w:r>
        <w:rPr>
          <w:rFonts w:ascii="Arial" w:cs="Arial" w:eastAsia="Arial" w:hAnsi="Arial"/>
          <w:sz w:val="17"/>
          <w:szCs w:val="17"/>
          <w:color w:val="auto"/>
        </w:rPr>
        <w:t>) calendar quarter after the calendar quarter in which the Effective Date falls.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Conversion Notes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Equity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III.B.7(c</w:t>
      </w:r>
      <w:r>
        <w:rPr>
          <w:rFonts w:ascii="Arial" w:cs="Arial" w:eastAsia="Arial" w:hAnsi="Arial"/>
          <w:sz w:val="18"/>
          <w:szCs w:val="18"/>
          <w:color w:val="auto"/>
        </w:rPr>
        <w:t>)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Unexercised Equity Interests</w:t>
      </w:r>
      <w:r>
        <w:rPr>
          <w:rFonts w:ascii="Arial" w:cs="Arial" w:eastAsia="Arial" w:hAnsi="Arial"/>
          <w:sz w:val="17"/>
          <w:szCs w:val="17"/>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Unexpired Lease</w:t>
      </w:r>
      <w:r>
        <w:rPr>
          <w:rFonts w:ascii="Arial" w:cs="Arial" w:eastAsia="Arial" w:hAnsi="Arial"/>
          <w:sz w:val="16"/>
          <w:szCs w:val="16"/>
          <w:color w:val="auto"/>
        </w:rPr>
        <w:t>” means a lease to which any Debtor is a party that is subject to assumption or rejection under section 365 of the Bankruptcy Code.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Unimpaired</w:t>
      </w:r>
      <w:r>
        <w:rPr>
          <w:rFonts w:ascii="Arial" w:cs="Arial" w:eastAsia="Arial" w:hAnsi="Arial"/>
          <w:sz w:val="18"/>
          <w:szCs w:val="18"/>
          <w:color w:val="auto"/>
        </w:rPr>
        <w:t>” means, with respect to a Class of Claims or Equity Interests, a Claim or an Equity Interest that is “unimpaired” within the meaning of section 1124 of the Bankruptcy Code.</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Unused Cash Reserve Amount</w:t>
      </w:r>
      <w:r>
        <w:rPr>
          <w:rFonts w:ascii="Arial" w:cs="Arial" w:eastAsia="Arial" w:hAnsi="Arial"/>
          <w:sz w:val="16"/>
          <w:szCs w:val="16"/>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Claims Agent</w:t>
      </w:r>
      <w:r>
        <w:rPr>
          <w:rFonts w:ascii="Arial" w:cs="Arial" w:eastAsia="Arial" w:hAnsi="Arial"/>
          <w:sz w:val="18"/>
          <w:szCs w:val="18"/>
          <w:color w:val="auto"/>
        </w:rPr>
        <w:t>” means Prime Clerk LLC, in its capacity as solicitation, notice, claims and balloting agent for the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Classes</w:t>
      </w:r>
      <w:r>
        <w:rPr>
          <w:rFonts w:ascii="Arial" w:cs="Arial" w:eastAsia="Arial" w:hAnsi="Arial"/>
          <w:sz w:val="18"/>
          <w:szCs w:val="18"/>
          <w:color w:val="auto"/>
        </w:rPr>
        <w:t>” means Classes 7 and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Deadline</w:t>
      </w:r>
      <w:r>
        <w:rPr>
          <w:rFonts w:ascii="Arial" w:cs="Arial" w:eastAsia="Arial" w:hAnsi="Arial"/>
          <w:sz w:val="18"/>
          <w:szCs w:val="18"/>
          <w:color w:val="auto"/>
        </w:rPr>
        <w:t>” means the date and time by which all Ballots must be received by the Voting and Claims Agent in accordance with the Disclosure Statement.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Record Date</w:t>
      </w:r>
      <w:r>
        <w:rPr>
          <w:rFonts w:ascii="Arial" w:cs="Arial" w:eastAsia="Arial" w:hAnsi="Arial"/>
          <w:sz w:val="18"/>
          <w:szCs w:val="18"/>
          <w:color w:val="auto"/>
        </w:rPr>
        <w:t>” means the date for determining which Holders of Claims and Equity Interests in the Voting Classes are entitled, as applicable, to receive the Disclosure Statement and to vote to accept or reject this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Bermuda</w:t>
      </w:r>
      <w:r>
        <w:rPr>
          <w:rFonts w:ascii="Arial" w:cs="Arial" w:eastAsia="Arial" w:hAnsi="Arial"/>
          <w:sz w:val="17"/>
          <w:szCs w:val="17"/>
          <w:color w:val="auto"/>
        </w:rPr>
        <w:t>” means Weatherford International Ltd, a Bermuda company, as debtor-in-possession in these Chapter 11 Cases.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Weatherford Delaware</w:t>
      </w:r>
      <w:r>
        <w:rPr>
          <w:rFonts w:ascii="Arial" w:cs="Arial" w:eastAsia="Arial" w:hAnsi="Arial"/>
          <w:sz w:val="16"/>
          <w:szCs w:val="16"/>
          <w:color w:val="auto"/>
        </w:rPr>
        <w:t>” means Weatherford International, LLC, a Delaware limited liability company, as debtor-in-possession in these Chapter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Cases.</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w:t>
      </w:r>
      <w:r>
        <w:rPr>
          <w:rFonts w:ascii="Arial" w:cs="Arial" w:eastAsia="Arial" w:hAnsi="Arial"/>
          <w:sz w:val="17"/>
          <w:szCs w:val="17"/>
          <w:color w:val="auto"/>
        </w:rPr>
        <w:t>” means Weatherford International plc, an Irish public limited company, as debtor-in-possession in these Chapter 11 Cases.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ADMINISTRATIVE, DIP FACILITY, AND PRIORITY TAX CLAIMS</w:t>
      </w:r>
    </w:p>
    <w:p>
      <w:pPr>
        <w:spacing w:after="0" w:line="22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Claims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sub-paragraph 1</w:t>
      </w:r>
      <w:r>
        <w:rPr>
          <w:rFonts w:ascii="Arial" w:cs="Arial" w:eastAsia="Arial" w:hAnsi="Arial"/>
          <w:sz w:val="16"/>
          <w:szCs w:val="16"/>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and in consultation with the Committee) or Reorganized Debtors, as applicable, and the Holder of such Allowed Administrative Claim will have agreed upon in writing;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6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forty-five days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Objections to any Professional Fee Claim must be Filed and served on the Reorganized Debtors, the Committee, and the requesting party by no later than thirty (30) days after the Filing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 xml:space="preserve">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7"/>
          <w:szCs w:val="17"/>
          <w:u w:val="single" w:color="auto"/>
          <w:color w:val="auto"/>
        </w:rPr>
        <w:t>Article II.A</w:t>
      </w:r>
      <w:r>
        <w:rPr>
          <w:rFonts w:ascii="Arial" w:cs="Arial" w:eastAsia="Arial" w:hAnsi="Arial"/>
          <w:sz w:val="17"/>
          <w:szCs w:val="17"/>
          <w:color w:val="auto"/>
        </w:rPr>
        <w:t xml:space="preserve"> of this Plan.</w:t>
      </w:r>
    </w:p>
    <w:p>
      <w:pPr>
        <w:spacing w:after="0" w:line="17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DIP Facility Claims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DIP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Priority Tax Claims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160"/>
        <w:spacing w:after="0" w:line="272" w:lineRule="auto"/>
        <w:rPr>
          <w:sz w:val="20"/>
          <w:szCs w:val="20"/>
          <w:color w:val="auto"/>
        </w:rPr>
      </w:pPr>
      <w:r>
        <w:rPr>
          <w:rFonts w:ascii="Arial" w:cs="Arial" w:eastAsia="Arial" w:hAnsi="Arial"/>
          <w:sz w:val="17"/>
          <w:szCs w:val="17"/>
          <w:color w:val="auto"/>
        </w:rPr>
        <w:t xml:space="preserve">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CLASSIFICATION AND TREATMENT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CLASSIFIED CLAIMS AND EQUITY INTERESTS</w:t>
      </w:r>
    </w:p>
    <w:p>
      <w:pPr>
        <w:spacing w:after="0" w:line="21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D below.</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w:t>
            </w:r>
          </w:p>
        </w:tc>
        <w:tc>
          <w:tcPr>
            <w:tcW w:w="300" w:type="dxa"/>
            <w:vAlign w:val="bottom"/>
          </w:tcPr>
          <w:p>
            <w:pPr>
              <w:spacing w:after="0"/>
              <w:rPr>
                <w:sz w:val="14"/>
                <w:szCs w:val="14"/>
                <w:color w:val="auto"/>
              </w:rPr>
            </w:pP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Claim/Equity Interest</w:t>
            </w: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Status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vMerge w:val="restart"/>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Priority Claims</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000" w:type="dxa"/>
            <w:vAlign w:val="bottom"/>
            <w:gridSpan w:val="3"/>
          </w:tcPr>
          <w:p>
            <w:pPr>
              <w:ind w:left="300"/>
              <w:spacing w:after="0"/>
              <w:rPr>
                <w:sz w:val="20"/>
                <w:szCs w:val="20"/>
                <w:color w:val="auto"/>
              </w:rPr>
            </w:pPr>
            <w:r>
              <w:rPr>
                <w:rFonts w:ascii="Arial" w:cs="Arial" w:eastAsia="Arial" w:hAnsi="Arial"/>
                <w:sz w:val="18"/>
                <w:szCs w:val="18"/>
                <w:color w:val="auto"/>
              </w:rPr>
              <w:t>Other Secured Claims</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4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Secured Tax Claims</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000" w:type="dxa"/>
            <w:vAlign w:val="bottom"/>
            <w:gridSpan w:val="3"/>
          </w:tcPr>
          <w:p>
            <w:pPr>
              <w:ind w:left="300"/>
              <w:spacing w:after="0"/>
              <w:rPr>
                <w:sz w:val="20"/>
                <w:szCs w:val="20"/>
                <w:color w:val="auto"/>
              </w:rPr>
            </w:pPr>
            <w:r>
              <w:rPr>
                <w:rFonts w:ascii="Arial" w:cs="Arial" w:eastAsia="Arial" w:hAnsi="Arial"/>
                <w:sz w:val="18"/>
                <w:szCs w:val="18"/>
                <w:color w:val="auto"/>
              </w:rPr>
              <w:t>Prepetition Revolving Credit Claims</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jc w:val="right"/>
              <w:ind w:right="1773"/>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0" w:name="page41"/>
    <w:bookmarkEnd w:id="40"/>
    <w:tbl>
      <w:tblPr>
        <w:tblLayout w:type="fixed"/>
        <w:tblInd w:w="392" w:type="dxa"/>
        <w:tblCellMar>
          <w:top w:w="0" w:type="dxa"/>
          <w:left w:w="0" w:type="dxa"/>
          <w:bottom w:w="0" w:type="dxa"/>
          <w:right w:w="0" w:type="dxa"/>
        </w:tblCellMar>
      </w:tblPr>
      <w:tr>
        <w:trPr>
          <w:trHeight w:val="171"/>
        </w:trPr>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300" w:type="dxa"/>
            <w:vAlign w:val="bottom"/>
          </w:tcPr>
          <w:p>
            <w:pPr>
              <w:spacing w:after="0"/>
              <w:rPr>
                <w:sz w:val="14"/>
                <w:szCs w:val="14"/>
                <w:color w:val="auto"/>
              </w:rPr>
            </w:pP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Claim/Equity Interest</w:t>
            </w: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Status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Prepetition Term Loan Claims</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00" w:type="dxa"/>
            <w:vAlign w:val="bottom"/>
            <w:gridSpan w:val="3"/>
          </w:tcPr>
          <w:p>
            <w:pPr>
              <w:ind w:left="300"/>
              <w:spacing w:after="0"/>
              <w:rPr>
                <w:sz w:val="20"/>
                <w:szCs w:val="20"/>
                <w:color w:val="auto"/>
              </w:rPr>
            </w:pPr>
            <w:r>
              <w:rPr>
                <w:rFonts w:ascii="Arial" w:cs="Arial" w:eastAsia="Arial" w:hAnsi="Arial"/>
                <w:sz w:val="18"/>
                <w:szCs w:val="18"/>
                <w:color w:val="auto"/>
              </w:rPr>
              <w:t>Prepetition A&amp;R Claims</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4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Prepetition Notes Claims</w:t>
            </w:r>
          </w:p>
        </w:tc>
        <w:tc>
          <w:tcPr>
            <w:tcW w:w="31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Impaired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Entitled to Vote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000" w:type="dxa"/>
            <w:vAlign w:val="bottom"/>
            <w:gridSpan w:val="3"/>
          </w:tcPr>
          <w:p>
            <w:pPr>
              <w:ind w:left="300"/>
              <w:spacing w:after="0"/>
              <w:rPr>
                <w:sz w:val="20"/>
                <w:szCs w:val="20"/>
                <w:color w:val="auto"/>
              </w:rPr>
            </w:pPr>
            <w:r>
              <w:rPr>
                <w:rFonts w:ascii="Arial" w:cs="Arial" w:eastAsia="Arial" w:hAnsi="Arial"/>
                <w:sz w:val="18"/>
                <w:szCs w:val="18"/>
                <w:color w:val="auto"/>
              </w:rPr>
              <w:t>General Unsecured Claims</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4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Intercompany Claims</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4000" w:type="dxa"/>
            <w:vAlign w:val="bottom"/>
            <w:gridSpan w:val="3"/>
          </w:tcPr>
          <w:p>
            <w:pPr>
              <w:ind w:left="300"/>
              <w:spacing w:after="0"/>
              <w:rPr>
                <w:sz w:val="20"/>
                <w:szCs w:val="20"/>
                <w:color w:val="auto"/>
              </w:rPr>
            </w:pPr>
            <w:r>
              <w:rPr>
                <w:rFonts w:ascii="Arial" w:cs="Arial" w:eastAsia="Arial" w:hAnsi="Arial"/>
                <w:sz w:val="18"/>
                <w:szCs w:val="18"/>
                <w:color w:val="auto"/>
              </w:rPr>
              <w:t>Existing Common Stock(2)</w:t>
            </w:r>
          </w:p>
        </w:tc>
        <w:tc>
          <w:tcPr>
            <w:tcW w:w="31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Impaired</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Entitled to Vote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4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Intercompany Equity Interests</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Unimpaired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4000" w:type="dxa"/>
            <w:vAlign w:val="bottom"/>
            <w:gridSpan w:val="3"/>
          </w:tcPr>
          <w:p>
            <w:pPr>
              <w:ind w:left="300"/>
              <w:spacing w:after="0"/>
              <w:rPr>
                <w:sz w:val="20"/>
                <w:szCs w:val="20"/>
                <w:color w:val="auto"/>
              </w:rPr>
            </w:pPr>
            <w:r>
              <w:rPr>
                <w:rFonts w:ascii="Arial" w:cs="Arial" w:eastAsia="Arial" w:hAnsi="Arial"/>
                <w:sz w:val="18"/>
                <w:szCs w:val="18"/>
                <w:color w:val="auto"/>
              </w:rPr>
              <w:t>Unexercised Equity Interests</w:t>
            </w:r>
          </w:p>
        </w:tc>
        <w:tc>
          <w:tcPr>
            <w:tcW w:w="31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Impaired</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Deemed to Reject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Classification and Treatment of Claims and Equity Interests</w:t>
      </w:r>
    </w:p>
    <w:p>
      <w:pPr>
        <w:spacing w:after="0" w:line="225" w:lineRule="exact"/>
        <w:rPr>
          <w:rFonts w:ascii="Arial" w:cs="Arial" w:eastAsia="Arial" w:hAnsi="Arial"/>
          <w:sz w:val="18"/>
          <w:szCs w:val="18"/>
          <w:i w:val="1"/>
          <w:iCs w:val="1"/>
          <w:color w:val="auto"/>
        </w:rPr>
      </w:pPr>
    </w:p>
    <w:p>
      <w:pPr>
        <w:ind w:left="972" w:hanging="324"/>
        <w:spacing w:after="0"/>
        <w:tabs>
          <w:tab w:leader="none" w:pos="97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rFonts w:ascii="Arial" w:cs="Arial" w:eastAsia="Arial" w:hAnsi="Arial"/>
          <w:sz w:val="18"/>
          <w:szCs w:val="18"/>
          <w:color w:val="auto"/>
        </w:rPr>
      </w:pPr>
    </w:p>
    <w:p>
      <w:pPr>
        <w:ind w:left="1932" w:hanging="635"/>
        <w:spacing w:after="0"/>
        <w:tabs>
          <w:tab w:leader="none" w:pos="1932" w:val="left"/>
        </w:tabs>
        <w:numPr>
          <w:ilvl w:val="2"/>
          <w:numId w:val="20"/>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1952" w:hanging="655"/>
        <w:spacing w:after="0" w:line="269" w:lineRule="auto"/>
        <w:tabs>
          <w:tab w:leader="none" w:pos="1959" w:val="left"/>
        </w:tabs>
        <w:numPr>
          <w:ilvl w:val="2"/>
          <w:numId w:val="20"/>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1 Claims incurred by any Debtor in the ordinary course of business may be paid in the ordinary course of business following the occurrence of the Effective Date by the applicable Reorganized Debtor in accordance with the terms and conditions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5612" w:right="5120" w:hanging="5612"/>
        <w:spacing w:after="0" w:line="624" w:lineRule="auto"/>
        <w:tabs>
          <w:tab w:leader="none" w:pos="2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class excludes the Unexercised Equity Interests that are classified in Class 12.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3" w:right="259" w:bottom="1440" w:gutter="0" w:footer="0" w:header="0"/>
        </w:sectPr>
      </w:pPr>
    </w:p>
    <w:bookmarkStart w:id="41" w:name="page42"/>
    <w:bookmarkEnd w:id="41"/>
    <w:p>
      <w:pPr>
        <w:ind w:left="1304"/>
        <w:spacing w:after="0"/>
        <w:rPr>
          <w:sz w:val="20"/>
          <w:szCs w:val="20"/>
          <w:color w:val="auto"/>
        </w:rPr>
      </w:pPr>
      <w:r>
        <w:rPr>
          <w:rFonts w:ascii="Arial" w:cs="Arial" w:eastAsia="Arial" w:hAnsi="Arial"/>
          <w:sz w:val="18"/>
          <w:szCs w:val="18"/>
          <w:color w:val="auto"/>
        </w:rPr>
        <w:t>agreements relating thereto without further notice to or order of the Bankruptcy Court.</w:t>
      </w:r>
    </w:p>
    <w:p>
      <w:pPr>
        <w:spacing w:after="0" w:line="225" w:lineRule="exact"/>
        <w:rPr>
          <w:sz w:val="20"/>
          <w:szCs w:val="20"/>
          <w:color w:val="auto"/>
        </w:rPr>
      </w:pPr>
    </w:p>
    <w:p>
      <w:pPr>
        <w:jc w:val="both"/>
        <w:ind w:left="1304" w:right="120" w:hanging="655"/>
        <w:spacing w:after="0" w:line="264" w:lineRule="auto"/>
        <w:tabs>
          <w:tab w:leader="none" w:pos="1314"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 is an Unimpaired Class, and the Holders of Claims in Class 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 2 - Other Secured Claims</w:t>
      </w:r>
    </w:p>
    <w:p>
      <w:pPr>
        <w:spacing w:after="0" w:line="225" w:lineRule="exact"/>
        <w:rPr>
          <w:rFonts w:ascii="Arial" w:cs="Arial" w:eastAsia="Arial" w:hAnsi="Arial"/>
          <w:sz w:val="18"/>
          <w:szCs w:val="18"/>
          <w:color w:val="auto"/>
        </w:rPr>
      </w:pPr>
    </w:p>
    <w:p>
      <w:pPr>
        <w:ind w:left="1304" w:right="460" w:hanging="655"/>
        <w:spacing w:after="0" w:line="277" w:lineRule="auto"/>
        <w:tabs>
          <w:tab w:leader="none" w:pos="1301"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2 consists of the Other Secured Claims. Class 2 consists of separate subclasses for each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Claim.</w:t>
      </w:r>
    </w:p>
    <w:p>
      <w:pPr>
        <w:spacing w:after="0" w:line="170" w:lineRule="exact"/>
        <w:rPr>
          <w:rFonts w:ascii="Arial" w:cs="Arial" w:eastAsia="Arial" w:hAnsi="Arial"/>
          <w:sz w:val="18"/>
          <w:szCs w:val="18"/>
          <w:color w:val="auto"/>
        </w:rPr>
      </w:pPr>
    </w:p>
    <w:p>
      <w:pPr>
        <w:ind w:left="1304" w:hanging="655"/>
        <w:spacing w:after="0" w:line="269" w:lineRule="auto"/>
        <w:tabs>
          <w:tab w:leader="none" w:pos="1311"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2 Claim is an Allowed Class 2 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9" w:lineRule="exact"/>
        <w:rPr>
          <w:rFonts w:ascii="Arial" w:cs="Arial" w:eastAsia="Arial" w:hAnsi="Arial"/>
          <w:sz w:val="17"/>
          <w:szCs w:val="17"/>
          <w:color w:val="auto"/>
        </w:rPr>
      </w:pPr>
    </w:p>
    <w:p>
      <w:pPr>
        <w:jc w:val="both"/>
        <w:ind w:left="1304" w:right="120" w:hanging="655"/>
        <w:spacing w:after="0" w:line="264" w:lineRule="auto"/>
        <w:tabs>
          <w:tab w:leader="none" w:pos="1314"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2 is an Unimpaired Class, and the Holders of Claims in Class 2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 3 - Secured Tax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1304" w:right="20" w:hanging="655"/>
        <w:spacing w:after="0" w:line="286" w:lineRule="auto"/>
        <w:tabs>
          <w:tab w:leader="none" w:pos="1311"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if such Class 3 Claim is an Allowed Class 3 Claim as of the Effective Date or (ii) the next Subsequent Distribution Date after the date on which such Class 3 Claim becomes an Allowed Class 3 Claim, each Holder of an Allowed Class 3</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42" w:name="page43"/>
    <w:bookmarkEnd w:id="42"/>
    <w:p>
      <w:pPr>
        <w:ind w:left="1304"/>
        <w:spacing w:after="0" w:line="285" w:lineRule="auto"/>
        <w:rPr>
          <w:sz w:val="20"/>
          <w:szCs w:val="20"/>
          <w:color w:val="auto"/>
        </w:rPr>
      </w:pPr>
      <w:r>
        <w:rPr>
          <w:rFonts w:ascii="Arial" w:cs="Arial" w:eastAsia="Arial" w:hAnsi="Arial"/>
          <w:sz w:val="16"/>
          <w:szCs w:val="16"/>
          <w:color w:val="auto"/>
        </w:rPr>
        <w:t xml:space="preserve">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78" w:lineRule="exact"/>
        <w:rPr>
          <w:sz w:val="20"/>
          <w:szCs w:val="20"/>
          <w:color w:val="auto"/>
        </w:rPr>
      </w:pPr>
    </w:p>
    <w:p>
      <w:pPr>
        <w:ind w:left="1304" w:right="40" w:hanging="655"/>
        <w:spacing w:after="0" w:line="264" w:lineRule="auto"/>
        <w:tabs>
          <w:tab w:leader="none" w:pos="1314"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3 is an Unimpaired Class, and the Holders of Claims in Class 3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3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Class 4 — Prepetition Revolving Credit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1304" w:right="80" w:hanging="655"/>
        <w:spacing w:after="0" w:line="277"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jc w:val="both"/>
        <w:ind w:left="1304" w:right="560" w:hanging="655"/>
        <w:spacing w:after="0" w:line="312" w:lineRule="auto"/>
        <w:tabs>
          <w:tab w:leader="none" w:pos="131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To the extent not paid in full in Cash prior to the Effective Date, on the Effective Date, the Allowed Prepetition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Claims will, in full satisfaction, settlement, discharge and release of, and in exchange for, such Claims, be indefeasibly paid in full in Cash and the Prepetition Revolving Credit Agreement Liens will be deemed discharged,</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43" w:name="page44"/>
    <w:bookmarkEnd w:id="43"/>
    <w:p>
      <w:pPr>
        <w:ind w:left="1304"/>
        <w:spacing w:after="0"/>
        <w:rPr>
          <w:sz w:val="20"/>
          <w:szCs w:val="20"/>
          <w:color w:val="auto"/>
        </w:rPr>
      </w:pPr>
      <w:r>
        <w:rPr>
          <w:rFonts w:ascii="Arial" w:cs="Arial" w:eastAsia="Arial" w:hAnsi="Arial"/>
          <w:sz w:val="18"/>
          <w:szCs w:val="18"/>
          <w:color w:val="auto"/>
        </w:rPr>
        <w:t>released, and terminated for all purposes without further action of or by any Person or Entity.</w:t>
      </w:r>
    </w:p>
    <w:p>
      <w:pPr>
        <w:spacing w:after="0" w:line="225" w:lineRule="exact"/>
        <w:rPr>
          <w:sz w:val="20"/>
          <w:szCs w:val="20"/>
          <w:color w:val="auto"/>
        </w:rPr>
      </w:pPr>
    </w:p>
    <w:p>
      <w:pPr>
        <w:ind w:left="1304" w:right="20" w:hanging="655"/>
        <w:spacing w:after="0" w:line="264" w:lineRule="auto"/>
        <w:tabs>
          <w:tab w:leader="none" w:pos="1311"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4 is an Unimpaired Class, and the Holders of Claims in Class 4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4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 5 — Prepetition Term Loan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1304" w:right="440" w:hanging="655"/>
        <w:spacing w:after="0" w:line="277"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Term Loans Claims are deemed Allowed in the aggregate principal amount of $297,500,000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Claims will, in full 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right="20" w:hanging="655"/>
        <w:spacing w:after="0" w:line="264"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5 is an Unimpaired Class, and the Holders of Claims in Class 5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5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 6 — Prepetition A&amp;R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1304" w:hanging="655"/>
        <w:spacing w:after="0" w:line="277"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1304" w:right="20" w:hanging="655"/>
        <w:spacing w:after="0" w:line="302" w:lineRule="auto"/>
        <w:tabs>
          <w:tab w:leader="none" w:pos="1314"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Effective Date, the Allowed Prepetition A&amp;R Claims will, in full satisfaction, settlement, discharge and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54" w:lineRule="exact"/>
        <w:rPr>
          <w:rFonts w:ascii="Arial" w:cs="Arial" w:eastAsia="Arial" w:hAnsi="Arial"/>
          <w:sz w:val="16"/>
          <w:szCs w:val="16"/>
          <w:color w:val="auto"/>
        </w:rPr>
      </w:pPr>
    </w:p>
    <w:p>
      <w:pPr>
        <w:ind w:left="1304" w:right="240" w:hanging="655"/>
        <w:spacing w:after="0" w:line="277" w:lineRule="auto"/>
        <w:tabs>
          <w:tab w:leader="none" w:pos="13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6 is an Unimpaired Class, and the Holders of Claims in Class 6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44" w:name="page45"/>
    <w:bookmarkEnd w:id="44"/>
    <w:p>
      <w:pPr>
        <w:ind w:left="1304"/>
        <w:spacing w:after="0"/>
        <w:rPr>
          <w:sz w:val="20"/>
          <w:szCs w:val="20"/>
          <w:color w:val="auto"/>
        </w:rPr>
      </w:pPr>
      <w:r>
        <w:rPr>
          <w:rFonts w:ascii="Arial" w:cs="Arial" w:eastAsia="Arial" w:hAnsi="Arial"/>
          <w:sz w:val="17"/>
          <w:szCs w:val="17"/>
          <w:color w:val="auto"/>
        </w:rPr>
        <w:t>1126(f) of the Bankruptcy Code. Therefore, Holders of Claims in Class 6 are not entitled to vote to accept or reject this Plan.</w:t>
      </w:r>
    </w:p>
    <w:p>
      <w:pPr>
        <w:spacing w:after="0" w:line="237" w:lineRule="exact"/>
        <w:rPr>
          <w:sz w:val="20"/>
          <w:szCs w:val="20"/>
          <w:color w:val="auto"/>
        </w:rPr>
      </w:pPr>
    </w:p>
    <w:p>
      <w:pPr>
        <w:ind w:left="644" w:hanging="644"/>
        <w:spacing w:after="0"/>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7 consists of the Prepetition Notes Claims.</w:t>
      </w:r>
    </w:p>
    <w:p>
      <w:pPr>
        <w:spacing w:after="0" w:line="225" w:lineRule="exact"/>
        <w:rPr>
          <w:rFonts w:ascii="Arial" w:cs="Arial" w:eastAsia="Arial" w:hAnsi="Arial"/>
          <w:sz w:val="18"/>
          <w:szCs w:val="18"/>
          <w:color w:val="auto"/>
        </w:rPr>
      </w:pPr>
    </w:p>
    <w:p>
      <w:pPr>
        <w:ind w:left="1304" w:right="40" w:hanging="655"/>
        <w:spacing w:after="0" w:line="277" w:lineRule="auto"/>
        <w:tabs>
          <w:tab w:leader="none" w:pos="131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Notes Claims are deemed Allowed in the aggregate principal amount of $7,427,067,000,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 consisting of:</w:t>
      </w:r>
    </w:p>
    <w:p>
      <w:pPr>
        <w:spacing w:after="0" w:line="170" w:lineRule="exact"/>
        <w:rPr>
          <w:rFonts w:ascii="Arial" w:cs="Arial" w:eastAsia="Arial" w:hAnsi="Arial"/>
          <w:sz w:val="18"/>
          <w:szCs w:val="18"/>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$365,107,000 in aggregate principal amount, plus accrued and unpaid interest on account of the 5.125% Notes;</w:t>
      </w:r>
    </w:p>
    <w:p>
      <w:pPr>
        <w:spacing w:after="0" w:line="236" w:lineRule="exact"/>
        <w:rPr>
          <w:rFonts w:ascii="Arial" w:cs="Arial" w:eastAsia="Arial" w:hAnsi="Arial"/>
          <w:sz w:val="17"/>
          <w:szCs w:val="17"/>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7.750% Notes;</w:t>
      </w:r>
    </w:p>
    <w:p>
      <w:pPr>
        <w:spacing w:after="0" w:line="236" w:lineRule="exact"/>
        <w:rPr>
          <w:rFonts w:ascii="Arial" w:cs="Arial" w:eastAsia="Arial" w:hAnsi="Arial"/>
          <w:sz w:val="17"/>
          <w:szCs w:val="17"/>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$1,265,000,000 in aggregate principal amount, plus accrued and unpaid interest on account of the 5.875%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$646,286,000 in aggregate principal amount, plus accrued and unpaid interest on account of the 4.500%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2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8.250%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6"/>
          <w:szCs w:val="16"/>
          <w:color w:val="auto"/>
        </w:rPr>
      </w:pPr>
      <w:r>
        <w:rPr>
          <w:rFonts w:ascii="Arial" w:cs="Arial" w:eastAsia="Arial" w:hAnsi="Arial"/>
          <w:sz w:val="16"/>
          <w:szCs w:val="16"/>
          <w:color w:val="auto"/>
        </w:rPr>
        <w:t>$790,000,000 in aggregate principal amount, plus accrued and unpaid interest on account of the 9.875% 2024 Notes;</w:t>
      </w:r>
    </w:p>
    <w:p>
      <w:pPr>
        <w:spacing w:after="0" w:line="248" w:lineRule="exact"/>
        <w:rPr>
          <w:rFonts w:ascii="Arial" w:cs="Arial" w:eastAsia="Arial" w:hAnsi="Arial"/>
          <w:sz w:val="16"/>
          <w:szCs w:val="16"/>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$453,045,000 in aggregate principal amount, plus accrued and unpaid interest on account of the 6.500% Notes;</w:t>
      </w:r>
    </w:p>
    <w:p>
      <w:pPr>
        <w:spacing w:after="0" w:line="236" w:lineRule="exact"/>
        <w:rPr>
          <w:rFonts w:ascii="Arial" w:cs="Arial" w:eastAsia="Arial" w:hAnsi="Arial"/>
          <w:sz w:val="17"/>
          <w:szCs w:val="17"/>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$461,300,000 in aggregate principal amount, plus accrued and unpaid interest on account of the 7.000%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6"/>
          <w:szCs w:val="16"/>
          <w:color w:val="auto"/>
        </w:rPr>
      </w:pPr>
      <w:r>
        <w:rPr>
          <w:rFonts w:ascii="Arial" w:cs="Arial" w:eastAsia="Arial" w:hAnsi="Arial"/>
          <w:sz w:val="16"/>
          <w:szCs w:val="16"/>
          <w:color w:val="auto"/>
        </w:rPr>
        <w:t>$250,000,000 in aggregate principal amount, plus accrued and unpaid interest on account of the 9.875% 2039 Notes;</w:t>
      </w:r>
    </w:p>
    <w:p>
      <w:pPr>
        <w:spacing w:after="0" w:line="248" w:lineRule="exact"/>
        <w:rPr>
          <w:rFonts w:ascii="Arial" w:cs="Arial" w:eastAsia="Arial" w:hAnsi="Arial"/>
          <w:sz w:val="16"/>
          <w:szCs w:val="16"/>
          <w:color w:val="auto"/>
        </w:rPr>
      </w:pPr>
    </w:p>
    <w:p>
      <w:pPr>
        <w:ind w:left="1944" w:hanging="647"/>
        <w:spacing w:after="0"/>
        <w:tabs>
          <w:tab w:leader="none" w:pos="1944" w:val="left"/>
        </w:tabs>
        <w:numPr>
          <w:ilvl w:val="2"/>
          <w:numId w:val="28"/>
        </w:numPr>
        <w:rPr>
          <w:rFonts w:ascii="Arial" w:cs="Arial" w:eastAsia="Arial" w:hAnsi="Arial"/>
          <w:sz w:val="17"/>
          <w:szCs w:val="17"/>
          <w:color w:val="auto"/>
        </w:rPr>
      </w:pPr>
      <w:r>
        <w:rPr>
          <w:rFonts w:ascii="Arial" w:cs="Arial" w:eastAsia="Arial" w:hAnsi="Arial"/>
          <w:sz w:val="17"/>
          <w:szCs w:val="17"/>
          <w:color w:val="auto"/>
        </w:rPr>
        <w:t>$462,601,000 in aggregate principal amount, plus accrued and unpaid interest on account of the 6.750%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$374,961,000 in aggregate principal amount, plus accrued and unpaid interest on account of the 5.950% Notes;</w:t>
      </w:r>
    </w:p>
    <w:p>
      <w:pPr>
        <w:spacing w:after="0" w:line="236" w:lineRule="exact"/>
        <w:rPr>
          <w:rFonts w:ascii="Arial" w:cs="Arial" w:eastAsia="Arial" w:hAnsi="Arial"/>
          <w:sz w:val="17"/>
          <w:szCs w:val="17"/>
          <w:color w:val="auto"/>
        </w:rPr>
      </w:pPr>
    </w:p>
    <w:p>
      <w:pPr>
        <w:ind w:left="1964" w:hanging="667"/>
        <w:spacing w:after="0"/>
        <w:tabs>
          <w:tab w:leader="none" w:pos="1964" w:val="left"/>
        </w:tabs>
        <w:numPr>
          <w:ilvl w:val="2"/>
          <w:numId w:val="28"/>
        </w:numPr>
        <w:rPr>
          <w:rFonts w:ascii="Arial" w:cs="Arial" w:eastAsia="Arial" w:hAnsi="Arial"/>
          <w:sz w:val="16"/>
          <w:szCs w:val="16"/>
          <w:color w:val="auto"/>
        </w:rPr>
      </w:pPr>
      <w:r>
        <w:rPr>
          <w:rFonts w:ascii="Arial" w:cs="Arial" w:eastAsia="Arial" w:hAnsi="Arial"/>
          <w:sz w:val="16"/>
          <w:szCs w:val="16"/>
          <w:color w:val="auto"/>
        </w:rPr>
        <w:t>$600,000,000 in aggregate principal amount, plus accrued and unpaid interest on account of the 9.875% 2025 Notes; and</w:t>
      </w:r>
    </w:p>
    <w:p>
      <w:pPr>
        <w:spacing w:after="0" w:line="248" w:lineRule="exact"/>
        <w:rPr>
          <w:rFonts w:ascii="Arial" w:cs="Arial" w:eastAsia="Arial" w:hAnsi="Arial"/>
          <w:sz w:val="16"/>
          <w:szCs w:val="16"/>
          <w:color w:val="auto"/>
        </w:rPr>
      </w:pPr>
    </w:p>
    <w:p>
      <w:pPr>
        <w:ind w:left="1984" w:hanging="687"/>
        <w:spacing w:after="0"/>
        <w:tabs>
          <w:tab w:leader="none" w:pos="1984" w:val="left"/>
        </w:tabs>
        <w:numPr>
          <w:ilvl w:val="2"/>
          <w:numId w:val="28"/>
        </w:numPr>
        <w:rPr>
          <w:rFonts w:ascii="Arial" w:cs="Arial" w:eastAsia="Arial" w:hAnsi="Arial"/>
          <w:sz w:val="17"/>
          <w:szCs w:val="17"/>
          <w:color w:val="auto"/>
        </w:rPr>
      </w:pPr>
      <w:r>
        <w:rPr>
          <w:rFonts w:ascii="Arial" w:cs="Arial" w:eastAsia="Arial" w:hAnsi="Arial"/>
          <w:sz w:val="17"/>
          <w:szCs w:val="17"/>
          <w:color w:val="auto"/>
        </w:rPr>
        <w:t>$258,767,000 in aggregate principal amount, plus accrued and unpaid interest on account of the 6.8000% Notes.</w:t>
      </w:r>
    </w:p>
    <w:p>
      <w:pPr>
        <w:spacing w:after="0" w:line="23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sectPr>
      </w:pPr>
    </w:p>
    <w:bookmarkStart w:id="45" w:name="page46"/>
    <w:bookmarkEnd w:id="45"/>
    <w:p>
      <w:pPr>
        <w:ind w:left="1304" w:hanging="655"/>
        <w:spacing w:after="0" w:line="268" w:lineRule="auto"/>
        <w:tabs>
          <w:tab w:leader="none" w:pos="1314"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Treatment: </w:t>
      </w:r>
      <w:r>
        <w:rPr>
          <w:rFonts w:ascii="Arial" w:cs="Arial" w:eastAsia="Arial" w:hAnsi="Arial"/>
          <w:sz w:val="17"/>
          <w:szCs w:val="17"/>
          <w:color w:val="auto"/>
        </w:rPr>
        <w:t>On the Initial Distribution Date, each Holder of an Allowed Prepetition Notes Claim will receive, in full satisfaction,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settlement, discharge and release of, and in exchange for, such Claim, its Pro Rata share of (i) 99% of the New Common Stock, subject to dilution on account of equity issued pursuant to the New Management Incentive Plan, the Tranche B Equity Conversion (as defined below), and the New Common Stock issuable pursuant to the New Warrants and (ii) the New Tranche B Senior Unsecured Notes;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each of such Holders will have the option, in its sole discretion, to convert its Pro Rata share of $500,000,000 in principal amount of the New Tranche B Senior Unsecured Notes into New Common Stock (the “</w:t>
      </w:r>
      <w:r>
        <w:rPr>
          <w:rFonts w:ascii="Arial" w:cs="Arial" w:eastAsia="Arial" w:hAnsi="Arial"/>
          <w:sz w:val="17"/>
          <w:szCs w:val="17"/>
          <w:b w:val="1"/>
          <w:bCs w:val="1"/>
          <w:u w:val="single" w:color="auto"/>
          <w:color w:val="auto"/>
        </w:rPr>
        <w:t>Tranche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 Equity Conversion</w:t>
      </w:r>
      <w:r>
        <w:rPr>
          <w:rFonts w:ascii="Arial" w:cs="Arial" w:eastAsia="Arial" w:hAnsi="Arial"/>
          <w:sz w:val="17"/>
          <w:szCs w:val="17"/>
          <w:color w:val="auto"/>
        </w:rPr>
        <w:t>”) at a conversion price of $36.20 per share of New Common Stock;</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further that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 effectuation of the Tranche B Equity Conversion and the Overallotment Rights are set forth in </w:t>
      </w:r>
      <w:r>
        <w:rPr>
          <w:rFonts w:ascii="Arial" w:cs="Arial" w:eastAsia="Arial" w:hAnsi="Arial"/>
          <w:sz w:val="17"/>
          <w:szCs w:val="17"/>
          <w:u w:val="single" w:color="auto"/>
          <w:color w:val="auto"/>
        </w:rPr>
        <w:t>Article V.V</w:t>
      </w:r>
      <w:r>
        <w:rPr>
          <w:rFonts w:ascii="Arial" w:cs="Arial" w:eastAsia="Arial" w:hAnsi="Arial"/>
          <w:sz w:val="17"/>
          <w:szCs w:val="17"/>
          <w:color w:val="auto"/>
        </w:rPr>
        <w:t xml:space="preserve"> hereof. In addition, each of such Holders will receive Subscription Rights to purchase its Pro Rata share of New Tranche A Senior Unsecured Notes pursuant to the Rights Offering and in accordance with the applicable Rights Offerings Procedures.</w:t>
      </w:r>
    </w:p>
    <w:p>
      <w:pPr>
        <w:spacing w:after="0" w:line="183" w:lineRule="exact"/>
        <w:rPr>
          <w:rFonts w:ascii="Arial" w:cs="Arial" w:eastAsia="Arial" w:hAnsi="Arial"/>
          <w:sz w:val="17"/>
          <w:szCs w:val="17"/>
          <w:color w:val="auto"/>
        </w:rPr>
      </w:pPr>
    </w:p>
    <w:p>
      <w:pPr>
        <w:ind w:left="1304" w:hanging="655"/>
        <w:spacing w:after="0"/>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7 is Impaired, and Holders of Claims in Class 7 are entitled to vote to accept or reject this Plan.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Class 8 — General Unsecured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304" w:right="20" w:hanging="655"/>
        <w:spacing w:after="0" w:line="254" w:lineRule="auto"/>
        <w:tabs>
          <w:tab w:leader="none" w:pos="1311"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The legal, equitable, and contractual rights of the holders of General Unsecured Claims are unaltered by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that a holder of a General Unsecured Claim agrees to a different treatment, on the later of (i) the Effective Date or (ii) the date such General Unsecured Claim becomes due and payable, each Holder of an Allowed General Unsecured Claim shall receive Cash in an amount equal to such Allowed General Unsecured Claim, or such other treatment that will render such Claim Unimpaired, including but not limited to, Reinstatement of such Allowed General Unsecured Claim pursuant to section 1124 of the Bankruptcy Code. For the avoidance of doubt, and notwithstanding anything herein to the contrary, no provision of this Plan shall diminish or modify any applicable non-bankruptcy legal, equitable, and/or contractual rights of any Holder of an Allowed General Unsecured Claim to receive</w:t>
      </w:r>
    </w:p>
    <w:p>
      <w:pPr>
        <w:spacing w:after="0" w:line="19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46" w:name="page47"/>
    <w:bookmarkEnd w:id="46"/>
    <w:p>
      <w:pPr>
        <w:ind w:left="1960" w:right="20"/>
        <w:spacing w:after="0" w:line="277" w:lineRule="auto"/>
        <w:rPr>
          <w:sz w:val="20"/>
          <w:szCs w:val="20"/>
          <w:color w:val="auto"/>
        </w:rPr>
      </w:pPr>
      <w:r>
        <w:rPr>
          <w:rFonts w:ascii="Arial" w:cs="Arial" w:eastAsia="Arial" w:hAnsi="Arial"/>
          <w:sz w:val="18"/>
          <w:szCs w:val="18"/>
          <w:color w:val="auto"/>
        </w:rPr>
        <w:t>payment on account of such Claims in the ordinary course of business and in accordance with applicable non-bankruptcy law as if the Chapter 11 Cases had not been commenced.</w:t>
      </w:r>
    </w:p>
    <w:p>
      <w:pPr>
        <w:spacing w:after="0" w:line="170" w:lineRule="exact"/>
        <w:rPr>
          <w:sz w:val="20"/>
          <w:szCs w:val="20"/>
          <w:color w:val="auto"/>
        </w:rPr>
      </w:pPr>
    </w:p>
    <w:p>
      <w:pPr>
        <w:jc w:val="both"/>
        <w:ind w:left="1960" w:right="80" w:hanging="655"/>
        <w:spacing w:after="0" w:line="264" w:lineRule="auto"/>
        <w:tabs>
          <w:tab w:leader="none" w:pos="1971"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8 is an Unimpaired Class, and the Holders of Claims in Class 8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 9 — Intercompany Claims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960" w:right="360" w:hanging="655"/>
        <w:spacing w:after="0" w:line="342" w:lineRule="auto"/>
        <w:tabs>
          <w:tab w:leader="none" w:pos="1967"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Subject to the Restructuring Transactions, the Intercompany Claims will be adjusted, reinstated, compromised, or</w:t>
      </w:r>
      <w:r>
        <w:rPr>
          <w:rFonts w:ascii="Arial" w:cs="Arial" w:eastAsia="Arial" w:hAnsi="Arial"/>
          <w:sz w:val="16"/>
          <w:szCs w:val="16"/>
          <w:i w:val="1"/>
          <w:iCs w:val="1"/>
          <w:color w:val="auto"/>
        </w:rPr>
        <w:t xml:space="preserve"> </w:t>
      </w:r>
      <w:r>
        <w:rPr>
          <w:rFonts w:ascii="Arial" w:cs="Arial" w:eastAsia="Arial" w:hAnsi="Arial"/>
          <w:sz w:val="16"/>
          <w:szCs w:val="16"/>
          <w:color w:val="auto"/>
        </w:rPr>
        <w:t>cancelled to the extent determined appropriate by the Debtors, with the consent of the Required Consenting Noteholders.</w:t>
      </w:r>
    </w:p>
    <w:p>
      <w:pPr>
        <w:spacing w:after="0" w:line="123" w:lineRule="exact"/>
        <w:rPr>
          <w:rFonts w:ascii="Arial" w:cs="Arial" w:eastAsia="Arial" w:hAnsi="Arial"/>
          <w:sz w:val="16"/>
          <w:szCs w:val="16"/>
          <w:color w:val="auto"/>
        </w:rPr>
      </w:pPr>
    </w:p>
    <w:p>
      <w:pPr>
        <w:ind w:left="1960" w:right="80" w:hanging="655"/>
        <w:spacing w:after="0" w:line="264" w:lineRule="auto"/>
        <w:tabs>
          <w:tab w:leader="none" w:pos="1971"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9 is an Unimpaired Class and the Holders of Claims in Class 9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10 consists of the Existing Common Stock.(3)</w:t>
      </w:r>
    </w:p>
    <w:p>
      <w:pPr>
        <w:spacing w:after="0" w:line="225" w:lineRule="exact"/>
        <w:rPr>
          <w:rFonts w:ascii="Arial" w:cs="Arial" w:eastAsia="Arial" w:hAnsi="Arial"/>
          <w:sz w:val="18"/>
          <w:szCs w:val="18"/>
          <w:color w:val="auto"/>
        </w:rPr>
      </w:pPr>
    </w:p>
    <w:p>
      <w:pPr>
        <w:ind w:left="1960" w:hanging="655"/>
        <w:spacing w:after="0" w:line="302" w:lineRule="auto"/>
        <w:tabs>
          <w:tab w:leader="none" w:pos="1967"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On the Effective Date, the Existing Common Stock will be cancelled without further notice to, approval of or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any Entity. On the 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70" w:lineRule="exact"/>
        <w:rPr>
          <w:sz w:val="20"/>
          <w:szCs w:val="20"/>
          <w:color w:val="auto"/>
        </w:rPr>
      </w:pPr>
    </w:p>
    <w:p>
      <w:pPr>
        <w:ind w:left="1960" w:right="260" w:hanging="655"/>
        <w:spacing w:after="0" w:line="277" w:lineRule="auto"/>
        <w:tabs>
          <w:tab w:leader="none" w:pos="1971"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10 is Impaired, and the Holders of Existing Common Stock in Class 10 are entitled to vote to accept or reject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Class 11 — Intercompany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3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11 consists of Intercompany Equity Interests.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7" w:name="page48"/>
    <w:bookmarkEnd w:id="47"/>
    <w:p>
      <w:pPr>
        <w:ind w:left="1960" w:right="220" w:hanging="655"/>
        <w:spacing w:after="0" w:line="264" w:lineRule="auto"/>
        <w:tabs>
          <w:tab w:leader="none" w:pos="1967" w:val="left"/>
        </w:tabs>
        <w:numPr>
          <w:ilvl w:val="2"/>
          <w:numId w:val="36"/>
        </w:numPr>
        <w:rPr>
          <w:rFonts w:ascii="Arial" w:cs="Arial" w:eastAsia="Arial" w:hAnsi="Arial"/>
          <w:sz w:val="18"/>
          <w:szCs w:val="18"/>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jc w:val="both"/>
        <w:ind w:left="1960" w:right="20" w:hanging="655"/>
        <w:spacing w:after="0" w:line="264" w:lineRule="auto"/>
        <w:tabs>
          <w:tab w:leader="none" w:pos="1971" w:val="left"/>
        </w:tabs>
        <w:numPr>
          <w:ilvl w:val="2"/>
          <w:numId w:val="3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11 is an Unimpaired Class and the Holders of Claims in Class 11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Class 12 — Unexercised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12 consists of Unexercised Equity Interests.</w:t>
      </w:r>
    </w:p>
    <w:p>
      <w:pPr>
        <w:spacing w:after="0" w:line="225" w:lineRule="exact"/>
        <w:rPr>
          <w:rFonts w:ascii="Arial" w:cs="Arial" w:eastAsia="Arial" w:hAnsi="Arial"/>
          <w:sz w:val="18"/>
          <w:szCs w:val="18"/>
          <w:color w:val="auto"/>
        </w:rPr>
      </w:pPr>
    </w:p>
    <w:p>
      <w:pPr>
        <w:ind w:left="1960" w:hanging="655"/>
        <w:spacing w:after="0" w:line="308" w:lineRule="auto"/>
        <w:tabs>
          <w:tab w:leader="none" w:pos="1967" w:val="left"/>
        </w:tabs>
        <w:numPr>
          <w:ilvl w:val="2"/>
          <w:numId w:val="37"/>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ind w:left="1960" w:right="340" w:hanging="655"/>
        <w:spacing w:after="0" w:line="264" w:lineRule="auto"/>
        <w:tabs>
          <w:tab w:leader="none" w:pos="1971"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12 is Impaired, and the Holders of Unexercised Equity Interests in Class 12 will be conclusively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rejected this Plan pursuant to section 1126(g) of the Bankruptcy Code. Therefore, Holders of Unexercised Equity Interests in Class 12 will not be entitled to vote to accept or reject this Plan.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Special Provision Governing Unimpaired Claims</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7"/>
          <w:szCs w:val="17"/>
          <w:color w:val="auto"/>
        </w:rPr>
        <w:t>Except as otherwise provided herein, nothing under this Plan will affect or limit the Debtors’ or the Reorganized Debtors’ rights and defenses</w:t>
      </w:r>
    </w:p>
    <w:p>
      <w:pPr>
        <w:spacing w:after="0" w:line="3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(whether legal or equitable) in respect of any Unimpaired Claims, including, without limitation, all rights in respect of legal and equitable defenses to or setoffs or recoupments against any such Unimpaired Claims. For the avoidance of doubt, notwithstanding anything to the contrary in this Plan, the Confirmation Order or any Restructuring Documents, (a) no Unimpaired Claim shall be deemed settled, satisfied, resolved, released, discharged, barred or enjoined by any provision of this Plan, the Confirmation Order or the Restructuring Documents, and (b) the property of each of the Debtors’ Estates that vest in the applicable Reorganized Debtor pursuant to Articles IV.C and VI.E of this Plan shall not be free and clear of such Claims, until an Unimpaired Claim in Class 8 of this Plan has been (x) paid in full in the Allowed amount of such Claim determined in accordance with applicable law, or on terms agreed to between the Holder of such Claim and the Debtors or Reorganized Debtors, as applicable, or in accordance with the terms and conditions of the particular transaction giving rise to such Claim, or (y) otherwise satisfied or disposed of as determined by a court of competent jurisdiction, at which time (in clause</w:t>
      </w:r>
    </w:p>
    <w:p>
      <w:pPr>
        <w:spacing w:after="0" w:line="5" w:lineRule="exact"/>
        <w:rPr>
          <w:sz w:val="20"/>
          <w:szCs w:val="20"/>
          <w:color w:val="auto"/>
        </w:rPr>
      </w:pPr>
    </w:p>
    <w:p>
      <w:pPr>
        <w:ind w:right="260" w:firstLine="8"/>
        <w:spacing w:after="0" w:line="255"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clause (y)) all of the foregoing provisions of this Plan referenced in clause (b) shall apply in all respects as to the applicable Unimpaired Claim. For further avoidance of doubt, Holders of Unimpaired Class 8 Claims shall not be required to file a proof of Claim with the Bankruptcy Court, and, subject to Article X of this Plan, shall retain all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their rights under applicable non-bankruptcy law to pursue their claims in any forum with jurisdiction over the parties.</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Elimination of Vacant Classes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ACCEPTANCE OR REJECTION OF THE PLAN</w:t>
      </w:r>
    </w:p>
    <w:p>
      <w:pPr>
        <w:spacing w:after="0" w:line="22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Presumed Acceptance of Plan</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4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Presumed Rejection of Plan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8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Voting Classes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7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Acceptance by Impaired Class of Claims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Plan if the Holders of at least two-thirds (2/3) in amount of the Allowed Equity Interests in such Class actually have voted to accept this Plan.</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Confirmation Pursuant to Sections 1129(a)(10) and 1129(b) of the Bankruptcy Code; Cram Down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54"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Votes Solicited in Good Faith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Persons will be entitled to, and upon the Confirmation Date are hereby granted, the protections of section 1125(e) of the Bankruptcy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MEANS FOR IMPLEMENTATION OF THE PLAN</w:t>
      </w:r>
    </w:p>
    <w:p>
      <w:pPr>
        <w:spacing w:after="0" w:line="22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Restructuring Transactions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7"/>
          <w:szCs w:val="17"/>
          <w:b w:val="1"/>
          <w:bCs w:val="1"/>
          <w:u w:val="single" w:color="auto"/>
          <w:color w:val="auto"/>
        </w:rPr>
        <w:t>Restructuring Transactions</w:t>
      </w:r>
      <w:r>
        <w:rPr>
          <w:rFonts w:ascii="Arial" w:cs="Arial" w:eastAsia="Arial" w:hAnsi="Arial"/>
          <w:sz w:val="17"/>
          <w:szCs w:val="17"/>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right="20" w:firstLine="648"/>
        <w:spacing w:after="0" w:line="269" w:lineRule="auto"/>
        <w:rPr>
          <w:sz w:val="20"/>
          <w:szCs w:val="20"/>
          <w:color w:val="auto"/>
        </w:rPr>
      </w:pPr>
      <w:r>
        <w:rPr>
          <w:rFonts w:ascii="Arial" w:cs="Arial" w:eastAsia="Arial" w:hAnsi="Arial"/>
          <w:sz w:val="17"/>
          <w:szCs w:val="17"/>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18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Corporate Existence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9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Assets in the Reorganized Debtors Free and Clear of Liens and Claims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Plan (including, without limitation, the Liens that secure the Exit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140"/>
        <w:spacing w:after="0" w:line="312" w:lineRule="auto"/>
        <w:rPr>
          <w:sz w:val="20"/>
          <w:szCs w:val="20"/>
          <w:color w:val="auto"/>
        </w:rPr>
      </w:pPr>
      <w:r>
        <w:rPr>
          <w:rFonts w:ascii="Arial" w:cs="Arial" w:eastAsia="Arial" w:hAnsi="Arial"/>
          <w:sz w:val="16"/>
          <w:szCs w:val="16"/>
          <w:color w:val="auto"/>
        </w:rPr>
        <w:t>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4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Exit Facility Loan Documents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7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New Senior Unsecured Notes Indentures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82"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New Common Stock; Book Entry</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320"/>
        <w:spacing w:after="0" w:line="277" w:lineRule="auto"/>
        <w:rPr>
          <w:sz w:val="20"/>
          <w:szCs w:val="20"/>
          <w:color w:val="auto"/>
        </w:rPr>
      </w:pPr>
      <w:r>
        <w:rPr>
          <w:rFonts w:ascii="Arial" w:cs="Arial" w:eastAsia="Arial" w:hAnsi="Arial"/>
          <w:sz w:val="18"/>
          <w:szCs w:val="18"/>
          <w:color w:val="auto"/>
        </w:rPr>
        <w:t>securities of Reorganized Parent will be that number of shares of New Common Stock as may be designated in the Amended/New Corporate Governance Documents.</w:t>
      </w:r>
    </w:p>
    <w:p>
      <w:pPr>
        <w:spacing w:after="0" w:line="17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Listing of New Securities and Transfer Restrictions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Exchange Act.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9"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New Registration Rights Agreement</w:t>
      </w:r>
    </w:p>
    <w:p>
      <w:pPr>
        <w:spacing w:after="0" w:line="22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7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New Management Incentive Plan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New Warrants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Plan Securities and Related Documentation; Exemption from Securities Laws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and after the Effective Date, the Debtors and the Reorganized Debtors, as applicable, are authorized to and will provide or issue, as applicable, the New Common Stock, the New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jc w:val="both"/>
        <w:ind w:right="100"/>
        <w:spacing w:after="0" w:line="277" w:lineRule="auto"/>
        <w:rPr>
          <w:sz w:val="20"/>
          <w:szCs w:val="20"/>
          <w:color w:val="auto"/>
        </w:rPr>
      </w:pPr>
      <w:r>
        <w:rPr>
          <w:rFonts w:ascii="Arial" w:cs="Arial" w:eastAsia="Arial" w:hAnsi="Arial"/>
          <w:sz w:val="17"/>
          <w:szCs w:val="17"/>
          <w:color w:val="auto"/>
        </w:rPr>
        <w:t>Warrants, and the New Senior Unsecured Notes to be distributed and issued under this Plan (collectively, the “</w:t>
      </w:r>
      <w:r>
        <w:rPr>
          <w:rFonts w:ascii="Arial" w:cs="Arial" w:eastAsia="Arial" w:hAnsi="Arial"/>
          <w:sz w:val="17"/>
          <w:szCs w:val="17"/>
          <w:b w:val="1"/>
          <w:bCs w:val="1"/>
          <w:u w:val="single" w:color="auto"/>
          <w:color w:val="auto"/>
        </w:rPr>
        <w:t>Plan Securities</w:t>
      </w:r>
      <w:r>
        <w:rPr>
          <w:rFonts w:ascii="Arial" w:cs="Arial" w:eastAsia="Arial" w:hAnsi="Arial"/>
          <w:sz w:val="17"/>
          <w:szCs w:val="17"/>
          <w:color w:val="auto"/>
        </w:rPr>
        <w:t>”) and any and all other notes, stock, instruments, certificates, and other documents or agreements required to be distributed, issued, executed or delivered pursuant to or in connection with this Plan (collectively, the “</w:t>
      </w:r>
      <w:r>
        <w:rPr>
          <w:rFonts w:ascii="Arial" w:cs="Arial" w:eastAsia="Arial" w:hAnsi="Arial"/>
          <w:sz w:val="17"/>
          <w:szCs w:val="17"/>
          <w:b w:val="1"/>
          <w:bCs w:val="1"/>
          <w:u w:val="single" w:color="auto"/>
          <w:color w:val="auto"/>
        </w:rPr>
        <w:t>Plan Securities and Documents</w:t>
      </w:r>
      <w:r>
        <w:rPr>
          <w:rFonts w:ascii="Arial" w:cs="Arial" w:eastAsia="Arial" w:hAnsi="Arial"/>
          <w:sz w:val="17"/>
          <w:szCs w:val="17"/>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offer, distribution, and issuance, as applicable, of the Plan Securities and Documents under this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 security) pursuant to section 1145(a) of the Bankruptcy Code and/or other applicable exemptions;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73"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Liens and Claims</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 xml:space="preserve">To the fullest extent provided under section 1141(c) and other applicable provisions of the Bankruptcy Code, except as otherwise provided herein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of this Plan) or in any contract, instrument, release or other agreement or document entered into or delivered in connection with this Plan, on the Effective Date and concurrently with the applicable distributions made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all Liens, Claims, mortgages, deeds of trust, or other security interests against the assets or property of the Debtors or the Estates will (subject to the laws of the Debtor’s jurisdiction of incorporation where such non-bankruptcy law is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right="40"/>
        <w:spacing w:after="0" w:line="272" w:lineRule="auto"/>
        <w:rPr>
          <w:sz w:val="20"/>
          <w:szCs w:val="20"/>
          <w:color w:val="auto"/>
        </w:rPr>
      </w:pPr>
      <w:r>
        <w:rPr>
          <w:rFonts w:ascii="Arial" w:cs="Arial" w:eastAsia="Arial" w:hAnsi="Arial"/>
          <w:sz w:val="17"/>
          <w:szCs w:val="17"/>
          <w:color w:val="auto"/>
        </w:rPr>
        <w:t>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Facility Liens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7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Governance Documents of the Reorganized Debtors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respective corporate governance documents of each of the Debtors will be amended and restated or replaced (as applicable) by the Amended/New Corporate Governance Documents (subject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Amended/New Corporate Governance Documents, amend and restate their respective corporate governance documents as permitted thereby and by applicable law.</w:t>
      </w:r>
    </w:p>
    <w:p>
      <w:pPr>
        <w:spacing w:after="0" w:line="16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and Officers of the Reorganized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260"/>
        <w:spacing w:after="0" w:line="308" w:lineRule="auto"/>
        <w:rPr>
          <w:sz w:val="20"/>
          <w:szCs w:val="20"/>
          <w:color w:val="auto"/>
        </w:rPr>
      </w:pPr>
      <w:r>
        <w:rPr>
          <w:rFonts w:ascii="Arial" w:cs="Arial" w:eastAsia="Arial" w:hAnsi="Arial"/>
          <w:sz w:val="17"/>
          <w:szCs w:val="17"/>
          <w:color w:val="auto"/>
        </w:rPr>
        <w:t>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4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Action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 such actions being in accordance with the law of the Debtor’s jurisdiction of incorporation to the extent such non-bankruptcy law is applicable).</w:t>
      </w:r>
    </w:p>
    <w:p>
      <w:pPr>
        <w:spacing w:after="0" w:line="19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40"/>
        <w:spacing w:after="0" w:line="277" w:lineRule="auto"/>
        <w:rPr>
          <w:sz w:val="20"/>
          <w:szCs w:val="20"/>
          <w:color w:val="auto"/>
        </w:rPr>
      </w:pPr>
      <w:r>
        <w:rPr>
          <w:rFonts w:ascii="Arial" w:cs="Arial" w:eastAsia="Arial" w:hAnsi="Arial"/>
          <w:sz w:val="18"/>
          <w:szCs w:val="18"/>
          <w:color w:val="auto"/>
        </w:rPr>
        <w:t>approval or authorization by any Person or Entity. The secretary and any assistant secretary of the Debtors and the Reorganized Debtors will be authorized to certify or attest to any of the foregoing actions.</w:t>
      </w:r>
    </w:p>
    <w:p>
      <w:pPr>
        <w:spacing w:after="0" w:line="170"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Notes, Certificates and Instruments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On the Effective Date, except to the extent otherwise provided in this Plan (including, without limitation, </w:t>
      </w:r>
      <w:r>
        <w:rPr>
          <w:rFonts w:ascii="Arial" w:cs="Arial" w:eastAsia="Arial" w:hAnsi="Arial"/>
          <w:sz w:val="17"/>
          <w:szCs w:val="17"/>
          <w:u w:val="single" w:color="auto"/>
          <w:color w:val="auto"/>
        </w:rPr>
        <w:t>Article II.B and Article V.B</w:t>
      </w:r>
      <w:r>
        <w:rPr>
          <w:rFonts w:ascii="Arial" w:cs="Arial" w:eastAsia="Arial" w:hAnsi="Arial"/>
          <w:sz w:val="17"/>
          <w:szCs w:val="17"/>
          <w:color w:val="auto"/>
        </w:rPr>
        <w:t xml:space="preserve">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Financing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 Documents and the DIP Financing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Obligations as contemplated by </w:t>
      </w:r>
      <w:r>
        <w:rPr>
          <w:rFonts w:ascii="Arial" w:cs="Arial" w:eastAsia="Arial" w:hAnsi="Arial"/>
          <w:sz w:val="17"/>
          <w:szCs w:val="17"/>
          <w:u w:val="single" w:color="auto"/>
          <w:color w:val="auto"/>
        </w:rPr>
        <w:t>Article II.B</w:t>
      </w:r>
      <w:r>
        <w:rPr>
          <w:rFonts w:ascii="Arial" w:cs="Arial" w:eastAsia="Arial" w:hAnsi="Arial"/>
          <w:sz w:val="17"/>
          <w:szCs w:val="17"/>
          <w:color w:val="auto"/>
        </w:rPr>
        <w:t xml:space="preserve">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provided, further, that the foregoing provisions shall not apply to any Class 8 General Unsecured Claims. For the avoidance of doubt, nothing in this Plan or the Confirmation Order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188"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Equity Interests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the Effective Date, the Intercompany Equity Interests will remain effective and outstanding, except to the extent modified pursuant to the terms of the Reorganization Steps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spacing w:after="0" w:line="257" w:lineRule="auto"/>
        <w:rPr>
          <w:sz w:val="20"/>
          <w:szCs w:val="20"/>
          <w:color w:val="auto"/>
        </w:rPr>
      </w:pPr>
      <w:r>
        <w:rPr>
          <w:rFonts w:ascii="Arial" w:cs="Arial" w:eastAsia="Arial" w:hAnsi="Arial"/>
          <w:sz w:val="18"/>
          <w:szCs w:val="18"/>
          <w:color w:val="auto"/>
        </w:rPr>
        <w:t>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88"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Sources of Cash for Plan Distributions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this Plan and the DIP Orders.</w:t>
      </w:r>
    </w:p>
    <w:p>
      <w:pPr>
        <w:spacing w:after="0" w:line="178"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Funding and Use of Professional Fee Claim Reserve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and in consultation with the Committee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7"/>
          <w:szCs w:val="17"/>
          <w:u w:val="single" w:color="auto"/>
          <w:color w:val="auto"/>
        </w:rPr>
        <w:t>Article II.A</w:t>
      </w:r>
      <w:r>
        <w:rPr>
          <w:rFonts w:ascii="Arial" w:cs="Arial" w:eastAsia="Arial" w:hAnsi="Arial"/>
          <w:sz w:val="17"/>
          <w:szCs w:val="17"/>
          <w:color w:val="auto"/>
        </w:rPr>
        <w:t xml:space="preserve"> of this Plan.</w:t>
      </w:r>
    </w:p>
    <w:p>
      <w:pPr>
        <w:spacing w:after="0" w:line="17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both"/>
        <w:ind w:right="100"/>
        <w:spacing w:after="0" w:line="264" w:lineRule="auto"/>
        <w:rPr>
          <w:sz w:val="20"/>
          <w:szCs w:val="20"/>
          <w:color w:val="auto"/>
        </w:rPr>
      </w:pPr>
      <w:r>
        <w:rPr>
          <w:rFonts w:ascii="Arial" w:cs="Arial" w:eastAsia="Arial" w:hAnsi="Arial"/>
          <w:sz w:val="18"/>
          <w:szCs w:val="18"/>
          <w:color w:val="auto"/>
        </w:rPr>
        <w:t>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Certain Creditors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18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the Prepetition Notes Indenture Trustee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and the fees and expenses of the Prepetition Notes Indenture Trustee solely in its capacity as Distribution Agent under this Plan),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79"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Tranche B Equity Conversion and Overallotment Rights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Notes that were not subscribed for by Holders of the Prepetition Notes (the “</w:t>
      </w:r>
      <w:r>
        <w:rPr>
          <w:rFonts w:ascii="Arial" w:cs="Arial" w:eastAsia="Arial" w:hAnsi="Arial"/>
          <w:sz w:val="18"/>
          <w:szCs w:val="18"/>
          <w:b w:val="1"/>
          <w:bCs w:val="1"/>
          <w:u w:val="single" w:color="auto"/>
          <w:color w:val="auto"/>
        </w:rPr>
        <w:t>Overallotment Right</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a process to be managed by the Voting and Claims Agent, Holders of the Prepetition Notes will be able to elect to receive New Common Stock in lieu of New Tranche B Senior Unsecured Notes by using the subscription form that will be delivered during the Chapter 11 Cases (the “</w:t>
      </w:r>
      <w:r>
        <w:rPr>
          <w:rFonts w:ascii="Arial" w:cs="Arial" w:eastAsia="Arial" w:hAnsi="Arial"/>
          <w:sz w:val="18"/>
          <w:szCs w:val="18"/>
          <w:b w:val="1"/>
          <w:bCs w:val="1"/>
          <w:u w:val="single" w:color="auto"/>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Form</w:t>
      </w:r>
      <w:r>
        <w:rPr>
          <w:rFonts w:ascii="Arial" w:cs="Arial" w:eastAsia="Arial" w:hAnsi="Arial"/>
          <w:sz w:val="18"/>
          <w:szCs w:val="18"/>
          <w:color w:val="auto"/>
        </w:rPr>
        <w:t>”). The Subscription Form must be returned to the Voting and Claims Agent on or before the Business Day that is not less than ten (10) Business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Amount</w:t>
      </w:r>
      <w:r>
        <w:rPr>
          <w:rFonts w:ascii="Arial" w:cs="Arial" w:eastAsia="Arial" w:hAnsi="Arial"/>
          <w:sz w:val="18"/>
          <w:szCs w:val="18"/>
          <w:color w:val="auto"/>
        </w:rPr>
        <w:t>”).</w:t>
      </w:r>
    </w:p>
    <w:p>
      <w:pPr>
        <w:spacing w:after="0" w:line="193"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 xml:space="preserve">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pursuant to a process to be managed by the Voting and Claims Agent together with the other Plan Securities to be issued to the Holders of the Prepetition Notes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Plan.</w:t>
      </w:r>
    </w:p>
    <w:p>
      <w:pPr>
        <w:spacing w:after="0" w:line="188"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Rights Offering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New Tranche A Senior Unsecured Notes on the Effective Date in accordance with this Plan and the Rights Offering Procedures. Pursuant to the Backstop Commitment Agreement, the Backstop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TREATMENT OF EXECUTORY CONTRACTS AND UNEXPIRED LEASES</w:t>
      </w:r>
    </w:p>
    <w:p>
      <w:pPr>
        <w:spacing w:after="0" w:line="229"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Assumption of Executory Contracts and Unexpired Leases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320" w:hanging="66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identified by the Debtors (with the consent of the Required Consenting Noteholders) and Filed in the Plan Supplement;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1" w:name="page62"/>
    <w:bookmarkEnd w:id="61"/>
    <w:p>
      <w:pPr>
        <w:ind w:right="120" w:firstLine="648"/>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7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Cure of Defaults; Assignment of Executory Contracts and Unexpired Leases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monetary amounts by which any Executory Contract or Unexpired Lease to be assumed pursuant to this Plan is in default shall be satisfied, pursuant to section 365(b)(1) of the Bankruptcy Code, by payment of the default amount (if any) in Cash by the Debtors or Reorganized Debtors, as applicable, on the Effective Date or on such other terms as the parties to each such executory contract or unexpired lease may otherwise agree in writing, with the consent of the Required Consenting Noteholders.</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in accordance with Article VIII.A.4 of this Plan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relieved, pursuant to and to the extent set forth in section 365(k) of the Bankruptcy Code, from any further liability under such assigned Executory Contract or Unexpired Lease.</w:t>
      </w:r>
    </w:p>
    <w:p>
      <w:pPr>
        <w:spacing w:after="0" w:line="170"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Rejection of Executory Contracts and Unexpired Leases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Plan Schedule will be deemed rejected as of the Effective Date. The Confirmation Order will constitute an order of the Bankruptcy Court approving the rejections described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18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Claims on Account of the Rejection of Executory Contracts or Unexpired Leases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 and any such Claims will be paid in full in cash when Allowed.</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hereof.</w:t>
      </w:r>
    </w:p>
    <w:p>
      <w:pPr>
        <w:spacing w:after="0" w:line="158"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D&amp;O Liability Insurance Policies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right="20"/>
        <w:spacing w:after="0" w:line="270" w:lineRule="auto"/>
        <w:rPr>
          <w:sz w:val="20"/>
          <w:szCs w:val="20"/>
          <w:color w:val="auto"/>
        </w:rPr>
      </w:pPr>
      <w:r>
        <w:rPr>
          <w:rFonts w:ascii="Arial" w:cs="Arial" w:eastAsia="Arial" w:hAnsi="Arial"/>
          <w:sz w:val="17"/>
          <w:szCs w:val="17"/>
          <w:color w:val="auto"/>
        </w:rPr>
        <w:t>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 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78"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Indemnification Provisions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9"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Employment Plans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8"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Insurance Contracts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4" w:name="page65"/>
    <w:bookmarkEnd w:id="64"/>
    <w:p>
      <w:pPr>
        <w:ind w:left="660" w:hanging="652"/>
        <w:spacing w:after="0"/>
        <w:tabs>
          <w:tab w:leader="none" w:pos="6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Extension of Time to Assume or Reject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8"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Modifications, Amendments, Supplements, Restatements, or Other Agreements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Unless otherwise provided in this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PROVISIONS GOVERNING DISTRIBUTIONS</w:t>
      </w:r>
    </w:p>
    <w:p>
      <w:pPr>
        <w:spacing w:after="0" w:line="229"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for Claims Allowed as of the Effective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w:t>
      </w:r>
    </w:p>
    <w:p>
      <w:pPr>
        <w:spacing w:after="0" w:line="18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No Postpetition Interest on Claims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ind w:left="660" w:hanging="652"/>
        <w:spacing w:after="0"/>
        <w:tabs>
          <w:tab w:leader="none" w:pos="6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by the Reorganized Debtors or Other Applicable Distribution Agent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Other than as specifically set forth below or as otherwise provided in this Plan, the Reorganized Debtors or other applicable Distribution Agent will make, or facilitate the making of, all distributions required to be distributed under this Plan. Except as otherwise provided in this Plan, distributions on account of the Allowed Prepetition Debt and Allowed DIP Facility Claims will be made to the Prepetition Agents, the Prepetition Notes Indenture Trustee, and the DIP Agent, respectively, and such agent or trustee will be, and will act as, the Distribution Agent with respect to its respective Class of Claims in accordance with the terms and conditions of this Plan and the applicable debt documents. Except as otherwise provided in this Plan, all distributions to Holders of Prepetition Debt Claims and DIP Facility Claims will be deemed completed when made by the Reorganized Debtors to the Prepetition Agents, the Prepetition Notes Indenture Trustee (or as directed by the Prepetition Notes Indenture Trustee) in its capacity as Distribution Agent, and the DIP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without any further notice to or action, order or approval of the Bankruptcy Court. No Distribution Agent will be required to give any bond or surety or other security for the performance of its duties unless otherwise ordered by the Bankruptcy Court. The DIP Agent and the Prepetition Notes Indenture Trustee shall not have any liability to any person with respect to distributions made, directed to be made by or facilitated by the DIP Agent or the Prepetition Notes Indenture Trustee, as applicable, pursuant to this Plan regardless of what capacity they are acting in.</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distributions of New Common Stock and New Tranche B Senior Unsecured Notes to be made under this Plan to Holders of Allowed Prepetition Notes Claims shall be deemed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such Holders as set forth below. Notwithstanding anything to the contrary in this Plan, the Prepetition Notes Indenture Trustee, in its capacity as Distribution Agent, may transfer or facilitate the transfer of such distributions through the facilities of DTC in exchange for the relevant Prepetition Notes. If it is necessary to adopt alternate, additional or supplemental distribution procedures for any reason including because such distributions cannot be made through the facilities of DTC, to otherwise effectuate the distributions under this Plan or to give effect to the terms of the NOL Order, the Debtors or Reorganized Debtors, as applicable, shall implement such alternate, additional or supplemental procedures in consultation with the Prepetition Notes Indenture Trustee, in its capacity as Distribution Agent, to make distributions to Holders of the Prepetition Notes and to eliminate such Prepetition Notes, including all book entry positions relating thereto, from DTC’s books and records (the “</w:t>
      </w:r>
      <w:r>
        <w:rPr>
          <w:rFonts w:ascii="Arial" w:cs="Arial" w:eastAsia="Arial" w:hAnsi="Arial"/>
          <w:sz w:val="17"/>
          <w:szCs w:val="17"/>
          <w:b w:val="1"/>
          <w:bCs w:val="1"/>
          <w:u w:val="single" w:color="auto"/>
          <w:color w:val="auto"/>
        </w:rPr>
        <w:t>Alternate/Supplemental Distribution Process</w:t>
      </w:r>
      <w:r>
        <w:rPr>
          <w:rFonts w:ascii="Arial" w:cs="Arial" w:eastAsia="Arial" w:hAnsi="Arial"/>
          <w:sz w:val="17"/>
          <w:szCs w:val="17"/>
          <w:color w:val="auto"/>
        </w:rPr>
        <w:t>”). The Debtors or Reorganized Debtors (as applicable) shall use their best efforts to make the New Common Stock and New Tranche B Senior Unsecured Notes to be distributed to Holders of the Prepetition Notes eligible for distribution through the facilities of DTC.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in its capacity as indenture trustee, be deemed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100"/>
        <w:spacing w:after="0" w:line="293" w:lineRule="auto"/>
        <w:rPr>
          <w:sz w:val="20"/>
          <w:szCs w:val="20"/>
          <w:color w:val="auto"/>
        </w:rPr>
      </w:pPr>
      <w:r>
        <w:rPr>
          <w:rFonts w:ascii="Arial" w:cs="Arial" w:eastAsia="Arial" w:hAnsi="Arial"/>
          <w:sz w:val="16"/>
          <w:szCs w:val="16"/>
          <w:color w:val="auto"/>
        </w:rPr>
        <w:t>fully satisfied upon the Effective Date. The obligations of the Prepetition Notes Indenture Trustee in its capacity as Distribution Agent shall be deemed fully satisfied upon either: (i) DTC’s receipt of the distributions with respect to the Prepetition Notes; or (ii) if the Alternate/Supplemental Distribution Process is utilized, upon the completion (other than for continuing ministerial items) of its role in such process. The Prepetition Notes Indenture Trustee as a Distribution Agent under this Plan will be entitled to recognize and deal with for all purposes the Holders of the Prepetition Notes to the extent necessary to facilitate the distributions with respect to Allowed Prepetition Notes Claims to such Holders. Regardless of which capacity it is acting, the Prepetition Notes Indenture Trustee in any capacity shall not be responsible for, and may conclusively rely on, the Alternate/Supplemental Distribution Process.</w:t>
      </w:r>
    </w:p>
    <w:p>
      <w:pPr>
        <w:spacing w:after="0" w:line="16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 policies, practices or procedures of DTC or any other applicable clearing system, DTC and all other applicable clearing systems shall cooperate with and take all actions reasonably requested by the Voting and Claims Agent or the Prepetition Notes Indenture Trustee to facilitate distributions to Holders of Allowed Claims without requiring that such distributions be characterized as repayments of principal or interest. No Distribution Agent, including the Prepetition Notes Indenture Trustee in any capacity, shall be required to provide indemnification or other security to DTC in connection with any distributions to Holders of Allowed Claims through the facilities of DTC.</w:t>
      </w:r>
    </w:p>
    <w:p>
      <w:pPr>
        <w:spacing w:after="0" w:line="188"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DTC shall be required to accept and conclusively rely upon this Plan or Confirmation Order in lieu of a legal opinion regarding whether the Plan Securities (other than the New Tranche A Senior Unsecured Notes issued to the Backstop Parties pursuant to the Backstop Commitment Agreement) are exempt from registration and/or eligible for DTC book-entry delivery, settlement, and depository services.</w:t>
      </w:r>
    </w:p>
    <w:p>
      <w:pPr>
        <w:spacing w:after="0" w:line="16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Notwithstanding anything to the contrary in this Plan or Confirmation Order, no entity (including, for the avoidance of doubt, DTC) shall be entitled to require a legal opinion regarding the validity of any transaction contemplated by this Plan or Confirmation Order, including, for the avoidance of doubt, whether the Plan Securities (other than the New Tranche A Senior Unsecured Notes issued to the Backstop Parties pursuant to the Backstop Commitment Agreement) are exempt from registration and/or eligible for DTC book entry delivery, settlement, and depositary services.</w:t>
      </w:r>
    </w:p>
    <w:p>
      <w:pPr>
        <w:spacing w:after="0" w:line="171"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Delivery and Distributions; Undeliverable or Unclaimed Distributions</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120"/>
        <w:spacing w:after="0" w:line="272" w:lineRule="auto"/>
        <w:rPr>
          <w:sz w:val="20"/>
          <w:szCs w:val="20"/>
          <w:color w:val="auto"/>
        </w:rPr>
      </w:pPr>
      <w:r>
        <w:rPr>
          <w:rFonts w:ascii="Arial" w:cs="Arial" w:eastAsia="Arial" w:hAnsi="Arial"/>
          <w:sz w:val="17"/>
          <w:szCs w:val="17"/>
          <w:color w:val="auto"/>
        </w:rPr>
        <w:t xml:space="preserve">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this Plan would otherwise be called for, the actual payment or distribution will reflect a rounding of such fraction down to the 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Holding of Certain Undeliverable Distributions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until such time as any such distributions become deliverable. Undeliverable distributions will not be entitled to any additional interest, dividends or other accruals of any kind on account of their distribution being undeliverable.</w:t>
      </w:r>
    </w:p>
    <w:p>
      <w:pPr>
        <w:spacing w:after="0" w:line="189" w:lineRule="exact"/>
        <w:rPr>
          <w:sz w:val="20"/>
          <w:szCs w:val="20"/>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Failure to Claim Undeliverable Distributions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67"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Failure to Present Checks</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contrary. Any such Cash will thereafter be distributed or allocated in accordance with the applicable terms and conditions of this Plan.</w:t>
      </w:r>
    </w:p>
    <w:p>
      <w:pPr>
        <w:spacing w:after="0" w:line="225"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Tax Requirements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VII.E will be treated as if distributed to the Holder of the Allowed Claim.</w:t>
      </w:r>
    </w:p>
    <w:p>
      <w:pPr>
        <w:spacing w:after="0" w:line="182"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Means of Cash Payment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71"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Timing and Calculation of Amounts to Be Distributed</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89"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Setoffs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Without altering or limiting any of the rights and remedies of the Debtors and the Reorganized Debtors under section 502(d) of the Bankruptcy Code, all of which rights and remedies are hereby reserved, the Debtors and the Reorganized Debtors may, but will not be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spacing w:after="0" w:line="286" w:lineRule="auto"/>
        <w:rPr>
          <w:sz w:val="20"/>
          <w:szCs w:val="20"/>
          <w:color w:val="auto"/>
        </w:rPr>
      </w:pPr>
      <w:r>
        <w:rPr>
          <w:rFonts w:ascii="Arial" w:cs="Arial" w:eastAsia="Arial" w:hAnsi="Arial"/>
          <w:sz w:val="16"/>
          <w:szCs w:val="16"/>
          <w:color w:val="auto"/>
        </w:rPr>
        <w:t xml:space="preserve">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PROCEDURES FOR RESOLVING CONTINGENT,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UNLIQUIDATED, AND DISPUTED CLAIMS AND EQUITY INTERESTS</w:t>
      </w:r>
    </w:p>
    <w:p>
      <w:pPr>
        <w:spacing w:after="0" w:line="211" w:lineRule="exact"/>
        <w:rPr>
          <w:sz w:val="20"/>
          <w:szCs w:val="20"/>
          <w:color w:val="auto"/>
        </w:rPr>
      </w:pPr>
    </w:p>
    <w:p>
      <w:pPr>
        <w:ind w:left="660" w:right="7060" w:hanging="652"/>
        <w:spacing w:after="0" w:line="563" w:lineRule="auto"/>
        <w:tabs>
          <w:tab w:leader="none" w:pos="666"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Resolution of Disputed Claims and Equity Interests </w:t>
      </w:r>
      <w:r>
        <w:rPr>
          <w:rFonts w:ascii="Arial" w:cs="Arial" w:eastAsia="Arial" w:hAnsi="Arial"/>
          <w:sz w:val="16"/>
          <w:szCs w:val="16"/>
          <w:color w:val="auto"/>
        </w:rPr>
        <w:t xml:space="preserve">1. </w:t>
      </w:r>
      <w:r>
        <w:rPr>
          <w:rFonts w:ascii="Arial" w:cs="Arial" w:eastAsia="Arial" w:hAnsi="Arial"/>
          <w:sz w:val="16"/>
          <w:szCs w:val="16"/>
          <w:u w:val="single" w:color="auto"/>
          <w:color w:val="auto"/>
        </w:rPr>
        <w:t>Allowance of Claims and Equity Interests</w:t>
      </w:r>
    </w:p>
    <w:p>
      <w:pPr>
        <w:spacing w:after="0" w:line="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After the Effective Date, and except as otherwise provided in this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73"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After the Confirmation Date but before the Effective Date, the Debtors (in consultation with the Ad Hoc Noteholder Committee and the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right="60"/>
        <w:spacing w:after="0" w:line="257" w:lineRule="auto"/>
        <w:rPr>
          <w:sz w:val="20"/>
          <w:szCs w:val="20"/>
          <w:color w:val="auto"/>
        </w:rPr>
      </w:pPr>
      <w:r>
        <w:rPr>
          <w:rFonts w:ascii="Arial" w:cs="Arial" w:eastAsia="Arial" w:hAnsi="Arial"/>
          <w:sz w:val="18"/>
          <w:szCs w:val="18"/>
          <w:color w:val="auto"/>
        </w:rPr>
        <w:t xml:space="preserve">otherwise;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88"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the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Except as otherwise provided in this Plan,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Debtors and the Reorganized Debtors, as applicable, reserve the right to object to any Claim or Equity Interest (other than those that are Allowed under this Plan) that is entitled, or deemed to be entitled, to a distribution under this Plan or is rendered Unimpaired under this Plan. Instead, the Debtors intend to make distributions, 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(other than those that are Allowed under this Plan) or any other appropriate motion or adversary proceeding with respect thereto. All such objections will be litigated to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may, with the consent of the Required Consenting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Noteholders, compromise, settle, withdraw or resolve by any other method approved by the Bankruptcy Court any objections to Claims or Equity Interests.</w:t>
      </w:r>
    </w:p>
    <w:p>
      <w:pPr>
        <w:spacing w:after="0" w:line="248"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No Distributions Pending Allowance</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Notwithstanding any other provision of this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173" w:lineRule="exact"/>
        <w:rPr>
          <w:sz w:val="20"/>
          <w:szCs w:val="20"/>
          <w:color w:val="auto"/>
        </w:rPr>
      </w:pPr>
    </w:p>
    <w:p>
      <w:pPr>
        <w:ind w:left="660" w:right="420" w:hanging="652"/>
        <w:spacing w:after="0" w:line="277" w:lineRule="auto"/>
        <w:tabs>
          <w:tab w:leader="none" w:pos="663"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on Account of Disputed Claims and Disputed Equity Interests Once They Are Allowed and Additional Distributions on Account of Previously Allowed Claims and Allowed Equity Interests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or Paragraph B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8"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Reserve for Disputed Claims and Disputed Equity Interests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center"/>
        <w:ind w:right="-11"/>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TO CONFIRMATION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AND CONSUMMATION OF THE PLAN</w:t>
      </w:r>
    </w:p>
    <w:p>
      <w:pPr>
        <w:spacing w:after="0" w:line="211" w:lineRule="exact"/>
        <w:rPr>
          <w:sz w:val="20"/>
          <w:szCs w:val="20"/>
          <w:color w:val="auto"/>
        </w:rPr>
      </w:pPr>
    </w:p>
    <w:p>
      <w:pPr>
        <w:ind w:left="652" w:hanging="652"/>
        <w:spacing w:after="0"/>
        <w:tabs>
          <w:tab w:leader="none" w:pos="652"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Precedent to Confirmation</w:t>
      </w:r>
    </w:p>
    <w:p>
      <w:pPr>
        <w:spacing w:after="0" w:line="225" w:lineRule="exact"/>
        <w:rPr>
          <w:rFonts w:ascii="Arial" w:cs="Arial" w:eastAsia="Arial" w:hAnsi="Arial"/>
          <w:sz w:val="18"/>
          <w:szCs w:val="18"/>
          <w:i w:val="1"/>
          <w:iCs w:val="1"/>
          <w:color w:val="auto"/>
        </w:rPr>
      </w:pPr>
    </w:p>
    <w:p>
      <w:pPr>
        <w:ind w:left="652"/>
        <w:spacing w:after="0"/>
        <w:rPr>
          <w:rFonts w:ascii="Arial" w:cs="Arial" w:eastAsia="Arial" w:hAnsi="Arial"/>
          <w:sz w:val="18"/>
          <w:szCs w:val="18"/>
          <w:i w:val="1"/>
          <w:iCs w:val="1"/>
          <w:color w:val="auto"/>
        </w:rPr>
      </w:pPr>
      <w:r>
        <w:rPr>
          <w:rFonts w:ascii="Arial" w:cs="Arial" w:eastAsia="Arial" w:hAnsi="Arial"/>
          <w:sz w:val="17"/>
          <w:szCs w:val="17"/>
          <w:color w:val="auto"/>
        </w:rPr>
        <w:t xml:space="preserve">Unless satisfied or waived pursuant to the provisions of </w:t>
      </w:r>
      <w:r>
        <w:rPr>
          <w:rFonts w:ascii="Arial" w:cs="Arial" w:eastAsia="Arial" w:hAnsi="Arial"/>
          <w:sz w:val="17"/>
          <w:szCs w:val="17"/>
          <w:u w:val="single" w:color="auto"/>
          <w:color w:val="auto"/>
        </w:rPr>
        <w:t>Article IX.C</w:t>
      </w:r>
      <w:r>
        <w:rPr>
          <w:rFonts w:ascii="Arial" w:cs="Arial" w:eastAsia="Arial" w:hAnsi="Arial"/>
          <w:sz w:val="17"/>
          <w:szCs w:val="17"/>
          <w:color w:val="auto"/>
        </w:rPr>
        <w:t xml:space="preserve"> hereof, the following are conditions precedent to Confirmation of this Plan.</w:t>
      </w:r>
    </w:p>
    <w:p>
      <w:pPr>
        <w:spacing w:after="0" w:line="236" w:lineRule="exact"/>
        <w:rPr>
          <w:rFonts w:ascii="Arial" w:cs="Arial" w:eastAsia="Arial" w:hAnsi="Arial"/>
          <w:sz w:val="18"/>
          <w:szCs w:val="18"/>
          <w:i w:val="1"/>
          <w:iCs w:val="1"/>
          <w:color w:val="auto"/>
        </w:rPr>
      </w:pPr>
    </w:p>
    <w:p>
      <w:pPr>
        <w:ind w:left="-8" w:firstLine="656"/>
        <w:spacing w:after="0" w:line="259" w:lineRule="auto"/>
        <w:tabs>
          <w:tab w:leader="none" w:pos="9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otherwise consistent with the Restructuring Term Sheet and the Restructuring Support Agreement;</w:t>
      </w:r>
    </w:p>
    <w:p>
      <w:pPr>
        <w:spacing w:after="0" w:line="186" w:lineRule="exact"/>
        <w:rPr>
          <w:rFonts w:ascii="Arial" w:cs="Arial" w:eastAsia="Arial" w:hAnsi="Arial"/>
          <w:sz w:val="18"/>
          <w:szCs w:val="18"/>
          <w:color w:val="auto"/>
        </w:rPr>
      </w:pPr>
    </w:p>
    <w:p>
      <w:pPr>
        <w:ind w:left="-8" w:right="140" w:firstLine="656"/>
        <w:spacing w:after="0" w:line="257" w:lineRule="auto"/>
        <w:tabs>
          <w:tab w:leader="none" w:pos="9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w:t>
      </w:r>
    </w:p>
    <w:p>
      <w:pPr>
        <w:spacing w:after="0" w:line="188" w:lineRule="exact"/>
        <w:rPr>
          <w:rFonts w:ascii="Arial" w:cs="Arial" w:eastAsia="Arial" w:hAnsi="Arial"/>
          <w:sz w:val="18"/>
          <w:szCs w:val="18"/>
          <w:color w:val="auto"/>
        </w:rPr>
      </w:pPr>
    </w:p>
    <w:p>
      <w:pPr>
        <w:ind w:left="972" w:hanging="324"/>
        <w:spacing w:after="0"/>
        <w:tabs>
          <w:tab w:leader="none" w:pos="97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Precedent to Consummation</w:t>
      </w:r>
    </w:p>
    <w:p>
      <w:pPr>
        <w:spacing w:after="0" w:line="225" w:lineRule="exact"/>
        <w:rPr>
          <w:rFonts w:ascii="Arial" w:cs="Arial" w:eastAsia="Arial" w:hAnsi="Arial"/>
          <w:sz w:val="18"/>
          <w:szCs w:val="18"/>
          <w:i w:val="1"/>
          <w:iCs w:val="1"/>
          <w:color w:val="auto"/>
        </w:rPr>
      </w:pPr>
    </w:p>
    <w:p>
      <w:pPr>
        <w:ind w:left="652"/>
        <w:spacing w:after="0"/>
        <w:rPr>
          <w:rFonts w:ascii="Arial" w:cs="Arial" w:eastAsia="Arial" w:hAnsi="Arial"/>
          <w:sz w:val="18"/>
          <w:szCs w:val="18"/>
          <w:i w:val="1"/>
          <w:iCs w:val="1"/>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hereof, the following are conditions precedent to Consummation of this Plan.</w:t>
      </w:r>
    </w:p>
    <w:p>
      <w:pPr>
        <w:spacing w:after="0" w:line="248" w:lineRule="exact"/>
        <w:rPr>
          <w:rFonts w:ascii="Arial" w:cs="Arial" w:eastAsia="Arial" w:hAnsi="Arial"/>
          <w:sz w:val="18"/>
          <w:szCs w:val="18"/>
          <w:i w:val="1"/>
          <w:iCs w:val="1"/>
          <w:color w:val="auto"/>
        </w:rPr>
      </w:pPr>
    </w:p>
    <w:p>
      <w:pPr>
        <w:ind w:left="972" w:hanging="324"/>
        <w:spacing w:after="0"/>
        <w:tabs>
          <w:tab w:leader="none" w:pos="97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Confirmation Order has become a Final Order and such order has not been amended, modified, vacated, stayed, or reversed;</w:t>
      </w:r>
    </w:p>
    <w:p>
      <w:pPr>
        <w:spacing w:after="0" w:line="225" w:lineRule="exact"/>
        <w:rPr>
          <w:rFonts w:ascii="Arial" w:cs="Arial" w:eastAsia="Arial" w:hAnsi="Arial"/>
          <w:sz w:val="18"/>
          <w:szCs w:val="18"/>
          <w:color w:val="auto"/>
        </w:rPr>
      </w:pPr>
    </w:p>
    <w:p>
      <w:pPr>
        <w:ind w:left="-8" w:right="140" w:firstLine="656"/>
        <w:spacing w:after="0" w:line="264" w:lineRule="auto"/>
        <w:tabs>
          <w:tab w:leader="none" w:pos="9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181" w:lineRule="exact"/>
        <w:rPr>
          <w:rFonts w:ascii="Arial" w:cs="Arial" w:eastAsia="Arial" w:hAnsi="Arial"/>
          <w:sz w:val="18"/>
          <w:szCs w:val="18"/>
          <w:color w:val="auto"/>
        </w:rPr>
      </w:pPr>
    </w:p>
    <w:p>
      <w:pPr>
        <w:ind w:left="-8" w:right="180" w:firstLine="656"/>
        <w:spacing w:after="0" w:line="279" w:lineRule="auto"/>
        <w:tabs>
          <w:tab w:leader="none" w:pos="96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74" w:name="page75"/>
    <w:bookmarkEnd w:id="74"/>
    <w:p>
      <w:pPr>
        <w:ind w:left="-40" w:right="180" w:firstLine="656"/>
        <w:spacing w:after="0" w:line="257"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88" w:lineRule="exact"/>
        <w:rPr>
          <w:rFonts w:ascii="Arial" w:cs="Arial" w:eastAsia="Arial" w:hAnsi="Arial"/>
          <w:sz w:val="18"/>
          <w:szCs w:val="18"/>
          <w:color w:val="auto"/>
        </w:rPr>
      </w:pPr>
    </w:p>
    <w:p>
      <w:pPr>
        <w:ind w:left="-40" w:right="40" w:firstLine="656"/>
        <w:spacing w:after="0" w:line="259"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New Tranche A Senior Unsecured Notes have been satisfied or waived;</w:t>
      </w:r>
    </w:p>
    <w:p>
      <w:pPr>
        <w:spacing w:after="0" w:line="186" w:lineRule="exact"/>
        <w:rPr>
          <w:rFonts w:ascii="Arial" w:cs="Arial" w:eastAsia="Arial" w:hAnsi="Arial"/>
          <w:sz w:val="18"/>
          <w:szCs w:val="18"/>
          <w:color w:val="auto"/>
        </w:rPr>
      </w:pPr>
    </w:p>
    <w:p>
      <w:pPr>
        <w:jc w:val="both"/>
        <w:ind w:left="-40" w:firstLine="656"/>
        <w:spacing w:after="0" w:line="264"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documents governing the New Tranche B Senior Unsecured Notes, which shall be in form and substance acceptable to the Debtors and the Required Consenting Noteholders, have become effective or will become effective concurrently with effectiveness of this Plan and all conditions precedent to issuance of the New Tranche B Senior Unsecured Notes have been satisfied or waived;</w:t>
      </w:r>
    </w:p>
    <w:p>
      <w:pPr>
        <w:spacing w:after="0" w:line="181" w:lineRule="exact"/>
        <w:rPr>
          <w:rFonts w:ascii="Arial" w:cs="Arial" w:eastAsia="Arial" w:hAnsi="Arial"/>
          <w:sz w:val="18"/>
          <w:szCs w:val="18"/>
          <w:color w:val="auto"/>
        </w:rPr>
      </w:pPr>
    </w:p>
    <w:p>
      <w:pPr>
        <w:ind w:left="-40" w:right="60" w:firstLine="656"/>
        <w:spacing w:after="0" w:line="277"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this Plan, in accordance with the terms of the DIP Credit Agreement;</w:t>
      </w:r>
    </w:p>
    <w:p>
      <w:pPr>
        <w:spacing w:after="0" w:line="170" w:lineRule="exact"/>
        <w:rPr>
          <w:rFonts w:ascii="Arial" w:cs="Arial" w:eastAsia="Arial" w:hAnsi="Arial"/>
          <w:sz w:val="18"/>
          <w:szCs w:val="18"/>
          <w:color w:val="auto"/>
        </w:rPr>
      </w:pPr>
    </w:p>
    <w:p>
      <w:pPr>
        <w:ind w:left="-40" w:right="760" w:firstLine="656"/>
        <w:spacing w:after="0" w:line="308" w:lineRule="auto"/>
        <w:tabs>
          <w:tab w:leader="none" w:pos="93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46" w:lineRule="exact"/>
        <w:rPr>
          <w:rFonts w:ascii="Arial" w:cs="Arial" w:eastAsia="Arial" w:hAnsi="Arial"/>
          <w:sz w:val="17"/>
          <w:szCs w:val="17"/>
          <w:color w:val="auto"/>
        </w:rPr>
      </w:pPr>
    </w:p>
    <w:p>
      <w:pPr>
        <w:ind w:left="-40" w:right="820" w:firstLine="656"/>
        <w:spacing w:after="0" w:line="342" w:lineRule="auto"/>
        <w:tabs>
          <w:tab w:leader="none" w:pos="93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23" w:lineRule="exact"/>
        <w:rPr>
          <w:rFonts w:ascii="Arial" w:cs="Arial" w:eastAsia="Arial" w:hAnsi="Arial"/>
          <w:sz w:val="16"/>
          <w:szCs w:val="16"/>
          <w:color w:val="auto"/>
        </w:rPr>
      </w:pPr>
    </w:p>
    <w:p>
      <w:pPr>
        <w:ind w:left="-40" w:right="220" w:firstLine="656"/>
        <w:spacing w:after="0" w:line="286" w:lineRule="auto"/>
        <w:tabs>
          <w:tab w:leader="none" w:pos="92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Irish Scheme of Arrangement has been approved by the High Court of Ireland, or such other structure as is reasonably acceptable to the Required Consenting Noteholders, and to the extent required by the DIP Credit Agreement, the DIP Agent and the DIP Required Lenders, and has become effective in accordance with its terms or will become effective concurrently with effectiveness of this Plan;</w:t>
      </w:r>
    </w:p>
    <w:p>
      <w:pPr>
        <w:spacing w:after="0" w:line="165" w:lineRule="exact"/>
        <w:rPr>
          <w:rFonts w:ascii="Arial" w:cs="Arial" w:eastAsia="Arial" w:hAnsi="Arial"/>
          <w:sz w:val="17"/>
          <w:szCs w:val="17"/>
          <w:color w:val="auto"/>
        </w:rPr>
      </w:pPr>
    </w:p>
    <w:p>
      <w:pPr>
        <w:ind w:left="-40" w:right="20" w:firstLine="656"/>
        <w:spacing w:after="0" w:line="259" w:lineRule="auto"/>
        <w:tabs>
          <w:tab w:leader="none" w:pos="92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DIP Required Lenders, and has become effective in accordance with its terms or will become effective concurrently with effectiveness of this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75" w:name="page76"/>
    <w:bookmarkEnd w:id="75"/>
    <w:p>
      <w:pPr>
        <w:ind w:right="200" w:firstLine="656"/>
        <w:spacing w:after="0" w:line="312" w:lineRule="auto"/>
        <w:tabs>
          <w:tab w:leader="none" w:pos="96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46" w:lineRule="exact"/>
        <w:rPr>
          <w:rFonts w:ascii="Arial" w:cs="Arial" w:eastAsia="Arial" w:hAnsi="Arial"/>
          <w:sz w:val="16"/>
          <w:szCs w:val="16"/>
          <w:color w:val="auto"/>
        </w:rPr>
      </w:pPr>
    </w:p>
    <w:p>
      <w:pPr>
        <w:jc w:val="both"/>
        <w:ind w:right="60" w:firstLine="656"/>
        <w:spacing w:after="0" w:line="259"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right="20" w:firstLine="656"/>
        <w:spacing w:after="0" w:line="277"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Professional Fee Claim Reserve has been funded in full in Cash by the Debtors in accordance with the terms and conditions of this Plan;</w:t>
      </w:r>
    </w:p>
    <w:p>
      <w:pPr>
        <w:spacing w:after="0" w:line="248" w:lineRule="exact"/>
        <w:rPr>
          <w:rFonts w:ascii="Arial" w:cs="Arial" w:eastAsia="Arial" w:hAnsi="Arial"/>
          <w:sz w:val="16"/>
          <w:szCs w:val="16"/>
          <w:color w:val="auto"/>
        </w:rPr>
      </w:pPr>
    </w:p>
    <w:p>
      <w:pPr>
        <w:ind w:right="80" w:firstLine="656"/>
        <w:spacing w:after="0" w:line="277"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right="300" w:firstLine="656"/>
        <w:spacing w:after="0" w:line="277" w:lineRule="auto"/>
        <w:tabs>
          <w:tab w:leader="none" w:pos="96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the extent invoiced, (a) all Ad Hoc Noteholder Committee Fees and Expenses have been paid in full in Cash and (b) all Prepetition Notes Indenture Trustee Fees and Expenses have been paid in full in Cash.</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Conditions</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6"/>
          <w:szCs w:val="16"/>
          <w:color w:val="auto"/>
        </w:rPr>
        <w:t xml:space="preserve">Subject to section 1127 of the Bankruptcy Code, the conditions to Confirmation and Consummation of this Plan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may be</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waived by the Debtors, with the consent of the Required Consenting Noteholders in the manner set forth in the Restructuring Support Agreement and in consultation with the Committee, or, in the case of Article IX.B.15 and B.19(a), the Required Consenting Noteholders (and solely with respect to the payment of the Prepetition Notes Indenture Trustee Fees and Expenses in Article IX.B.19(b), the Prepetition Notes Indenture Trustee)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6" w:name="page77"/>
    <w:bookmarkEnd w:id="76"/>
    <w:p>
      <w:pPr>
        <w:ind w:left="660" w:hanging="652"/>
        <w:spacing w:after="0"/>
        <w:tabs>
          <w:tab w:leader="none" w:pos="66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Non-Occurrence of Conditions to Confirmation or Consummation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DISCHARGE, INJUNCTION AND RELATED PROVISIONS</w:t>
      </w:r>
    </w:p>
    <w:p>
      <w:pPr>
        <w:spacing w:after="0" w:line="229"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182"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Claims and Causes of Action</w:t>
      </w:r>
    </w:p>
    <w:p>
      <w:pPr>
        <w:spacing w:after="0" w:line="221" w:lineRule="exact"/>
        <w:rPr>
          <w:rFonts w:ascii="Arial" w:cs="Arial" w:eastAsia="Arial" w:hAnsi="Arial"/>
          <w:sz w:val="18"/>
          <w:szCs w:val="18"/>
          <w:i w:val="1"/>
          <w:iCs w:val="1"/>
          <w:color w:val="auto"/>
        </w:rPr>
      </w:pPr>
    </w:p>
    <w:p>
      <w:pPr>
        <w:ind w:right="140" w:firstLine="656"/>
        <w:spacing w:after="0" w:line="303" w:lineRule="auto"/>
        <w:tabs>
          <w:tab w:leader="none" w:pos="1296" w:val="left"/>
        </w:tabs>
        <w:numPr>
          <w:ilvl w:val="1"/>
          <w:numId w:val="10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the Debtors and their Estates</w:t>
      </w:r>
      <w:r>
        <w:rPr>
          <w:rFonts w:ascii="Arial" w:cs="Arial" w:eastAsia="Arial" w:hAnsi="Arial"/>
          <w:sz w:val="16"/>
          <w:szCs w:val="16"/>
          <w:b w:val="1"/>
          <w:bCs w:val="1"/>
          <w:color w:val="auto"/>
        </w:rPr>
        <w:t>. Pursuant to section 1123(b) and any other applicable provisions of the Bankruptcy Code,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and except as otherwise expressly provided in this Plan (including with respect to retained Litigation Claims as provided in Article X.F below), effective as of the Effective Date, for good and valuable consideration provided by each of the Released Parties, the adequacy and sufficiency of which is hereby confirmed, the Debtors and the Reorganized Debtors, in their respective individual</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7" w:name="page78"/>
    <w:bookmarkEnd w:id="77"/>
    <w:p>
      <w:pPr>
        <w:spacing w:after="0" w:line="284" w:lineRule="auto"/>
        <w:rPr>
          <w:sz w:val="20"/>
          <w:szCs w:val="20"/>
          <w:color w:val="auto"/>
        </w:rPr>
      </w:pPr>
      <w:r>
        <w:rPr>
          <w:rFonts w:ascii="Arial" w:cs="Arial" w:eastAsia="Arial" w:hAnsi="Arial"/>
          <w:sz w:val="16"/>
          <w:szCs w:val="16"/>
          <w:b w:val="1"/>
          <w:bCs w:val="1"/>
          <w:color w:val="auto"/>
        </w:rPr>
        <w:t>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6"/>
          <w:szCs w:val="16"/>
          <w:b w:val="1"/>
          <w:bCs w:val="1"/>
          <w:u w:val="single" w:color="auto"/>
          <w:color w:val="auto"/>
        </w:rPr>
        <w:t>Debtor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6"/>
          <w:szCs w:val="16"/>
          <w:b w:val="1"/>
          <w:bCs w:val="1"/>
          <w:u w:val="single" w:color="auto"/>
          <w:color w:val="auto"/>
        </w:rPr>
        <w:t>Debtor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6"/>
          <w:szCs w:val="16"/>
          <w:b w:val="1"/>
          <w:bCs w:val="1"/>
          <w:u w:val="single" w:color="auto"/>
          <w:color w:val="auto"/>
        </w:rPr>
        <w:t>Article X.B</w:t>
      </w:r>
      <w:r>
        <w:rPr>
          <w:rFonts w:ascii="Arial" w:cs="Arial" w:eastAsia="Arial" w:hAnsi="Arial"/>
          <w:sz w:val="16"/>
          <w:szCs w:val="16"/>
          <w:b w:val="1"/>
          <w:bCs w:val="1"/>
          <w:color w:val="auto"/>
        </w:rPr>
        <w:t xml:space="preserve"> shall or shall be deemed to (i) prohibit the Debtors or the Reorganized Debtors from asserting and enforcing any claims,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8" w:name="page79"/>
    <w:bookmarkEnd w:id="78"/>
    <w:p>
      <w:pPr>
        <w:spacing w:after="0" w:line="303" w:lineRule="auto"/>
        <w:rPr>
          <w:sz w:val="20"/>
          <w:szCs w:val="20"/>
          <w:color w:val="auto"/>
        </w:rPr>
      </w:pPr>
      <w:r>
        <w:rPr>
          <w:rFonts w:ascii="Arial" w:cs="Arial" w:eastAsia="Arial" w:hAnsi="Arial"/>
          <w:sz w:val="16"/>
          <w:szCs w:val="16"/>
          <w:b w:val="1"/>
          <w:bCs w:val="1"/>
          <w:color w:val="auto"/>
        </w:rPr>
        <w:t>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68" w:lineRule="exact"/>
        <w:rPr>
          <w:sz w:val="20"/>
          <w:szCs w:val="20"/>
          <w:color w:val="auto"/>
        </w:rPr>
      </w:pPr>
    </w:p>
    <w:p>
      <w:pPr>
        <w:ind w:right="20" w:firstLine="656"/>
        <w:spacing w:after="0" w:line="285" w:lineRule="auto"/>
        <w:tabs>
          <w:tab w:leader="none" w:pos="1296"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Third Parties</w:t>
      </w:r>
      <w:r>
        <w:rPr>
          <w:rFonts w:ascii="Arial" w:cs="Arial" w:eastAsia="Arial" w:hAnsi="Arial"/>
          <w:sz w:val="16"/>
          <w:szCs w:val="16"/>
          <w:b w:val="1"/>
          <w:bCs w:val="1"/>
          <w:color w:val="auto"/>
        </w:rPr>
        <w:t>. Except as otherwise expressly provided in this Plan, effective as of the Effective Date,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for good and 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9" w:name="page80"/>
    <w:bookmarkEnd w:id="79"/>
    <w:p>
      <w:pPr>
        <w:ind w:right="20"/>
        <w:spacing w:after="0" w:line="270" w:lineRule="auto"/>
        <w:rPr>
          <w:sz w:val="20"/>
          <w:szCs w:val="20"/>
          <w:color w:val="auto"/>
        </w:rPr>
      </w:pPr>
      <w:r>
        <w:rPr>
          <w:rFonts w:ascii="Arial" w:cs="Arial" w:eastAsia="Arial" w:hAnsi="Arial"/>
          <w:sz w:val="17"/>
          <w:szCs w:val="17"/>
          <w:b w:val="1"/>
          <w:bCs w:val="1"/>
          <w:color w:val="auto"/>
        </w:rPr>
        <w:t>Release shall not operate to waive or release (i) any Causes of Action arising from willful misconduct, actual fraud, or gross negligence of such applicable Released Party as determined by Final Order of the Bankruptcy Court or any other court of competent jurisdiction; (ii) any Unimpaired Class 8 General Unsecured Claims, and/or (iii)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(iii)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2"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Statutory Limitations on Releases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67"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Claims and Equity Interests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0" w:name="page81"/>
    <w:bookmarkEnd w:id="80"/>
    <w:p>
      <w:pPr>
        <w:spacing w:after="0" w:line="264" w:lineRule="auto"/>
        <w:rPr>
          <w:sz w:val="20"/>
          <w:szCs w:val="20"/>
          <w:color w:val="auto"/>
        </w:rPr>
      </w:pPr>
      <w:r>
        <w:rPr>
          <w:rFonts w:ascii="Arial" w:cs="Arial" w:eastAsia="Arial" w:hAnsi="Arial"/>
          <w:sz w:val="18"/>
          <w:szCs w:val="18"/>
          <w:color w:val="auto"/>
        </w:rPr>
        <w:t>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expressly provided by this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Exculpation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 restructuring of the Debtors, the approval of the Disclosure Statement or Confirmation or Consummation of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line="272" w:lineRule="auto"/>
        <w:rPr>
          <w:sz w:val="20"/>
          <w:szCs w:val="20"/>
          <w:color w:val="auto"/>
        </w:rPr>
      </w:pPr>
      <w:r>
        <w:rPr>
          <w:rFonts w:ascii="Arial" w:cs="Arial" w:eastAsia="Arial" w:hAnsi="Arial"/>
          <w:sz w:val="17"/>
          <w:szCs w:val="17"/>
          <w:color w:val="auto"/>
        </w:rPr>
        <w:t xml:space="preserve">this Plan or Final Order of the Bankruptcy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178"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Preservation of Causes of Action</w:t>
      </w:r>
    </w:p>
    <w:p>
      <w:pPr>
        <w:spacing w:after="0" w:line="225"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without limitation, and for the avoidance of doubt, the Releases contained in </w:t>
      </w:r>
      <w:r>
        <w:rPr>
          <w:rFonts w:ascii="Arial" w:cs="Arial" w:eastAsia="Arial" w:hAnsi="Arial"/>
          <w:sz w:val="16"/>
          <w:szCs w:val="16"/>
          <w:u w:val="single" w:color="auto"/>
          <w:color w:val="auto"/>
        </w:rPr>
        <w:t>Article X.B</w:t>
      </w:r>
      <w:r>
        <w:rPr>
          <w:rFonts w:ascii="Arial" w:cs="Arial" w:eastAsia="Arial" w:hAnsi="Arial"/>
          <w:sz w:val="16"/>
          <w:szCs w:val="16"/>
          <w:color w:val="auto"/>
        </w:rPr>
        <w:t xml:space="preserve"> and Exculpation contained in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65"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 contained in </w:t>
      </w:r>
      <w:r>
        <w:rPr>
          <w:rFonts w:ascii="Arial" w:cs="Arial" w:eastAsia="Arial" w:hAnsi="Arial"/>
          <w:sz w:val="17"/>
          <w:szCs w:val="17"/>
          <w:u w:val="single" w:color="auto"/>
          <w:color w:val="auto"/>
        </w:rPr>
        <w:t>Article X.B</w:t>
      </w:r>
      <w:r>
        <w:rPr>
          <w:rFonts w:ascii="Arial" w:cs="Arial" w:eastAsia="Arial" w:hAnsi="Arial"/>
          <w:sz w:val="17"/>
          <w:szCs w:val="17"/>
          <w:color w:val="auto"/>
        </w:rPr>
        <w:t xml:space="preserve"> and Exculpation contained in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ind w:left="660" w:hanging="652"/>
        <w:spacing w:after="0"/>
        <w:tabs>
          <w:tab w:leader="none" w:pos="66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Injunction</w:t>
      </w:r>
    </w:p>
    <w:p>
      <w:pPr>
        <w:spacing w:after="0" w:line="2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EXCEPT AS OTHERWISE EXPRESSLY PROVIDED IN THIS PLAN OR THE CONFIRMATION ORDER, INCLUDING SPECIFICALLY WITH RESPECT TO CLASS 8 GENERAL UNSECURED CLAIMS AND FOR THE AVOIDANCE OF DOUBT, SUBJECT TO ARTICLE III.C,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w:t>
      </w:r>
    </w:p>
    <w:p>
      <w:pPr>
        <w:spacing w:after="0" w:line="3"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ENFORCING, ATTACHING, COLLECTING, OR RECOVERING IN ANY MANNER ANY JUDGMENT, AWARD, DECREE, OR ORDER;</w:t>
      </w:r>
    </w:p>
    <w:p>
      <w:pPr>
        <w:spacing w:after="0" w:line="9" w:lineRule="exact"/>
        <w:rPr>
          <w:rFonts w:ascii="Arial" w:cs="Arial" w:eastAsia="Arial" w:hAnsi="Arial"/>
          <w:sz w:val="18"/>
          <w:szCs w:val="18"/>
          <w:b w:val="1"/>
          <w:bCs w:val="1"/>
          <w:color w:val="auto"/>
        </w:rPr>
      </w:pPr>
    </w:p>
    <w:p>
      <w:pPr>
        <w:ind w:right="40" w:firstLine="8"/>
        <w:spacing w:after="0" w:line="251" w:lineRule="auto"/>
        <w:tabs>
          <w:tab w:leader="none" w:pos="37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8"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Binding Nature of Plan</w:t>
      </w:r>
    </w:p>
    <w:p>
      <w:pPr>
        <w:spacing w:after="0" w:line="22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 ACCEPT OR REJECT THIS PLAN, AFFIRMATIVELY VOTED TO REJECT THIS PLAN OR IS CONCLUSIVELY PRESUMED TO REJECT THIS PLAN.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ind w:left="660" w:hanging="652"/>
        <w:spacing w:after="0"/>
        <w:tabs>
          <w:tab w:leader="none" w:pos="66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Against Discriminatory Treatment</w:t>
      </w:r>
    </w:p>
    <w:p>
      <w:pPr>
        <w:spacing w:after="0" w:line="225" w:lineRule="exact"/>
        <w:rPr>
          <w:sz w:val="20"/>
          <w:szCs w:val="20"/>
          <w:color w:val="auto"/>
        </w:rPr>
      </w:pPr>
    </w:p>
    <w:p>
      <w:pPr>
        <w:jc w:val="both"/>
        <w:ind w:right="60" w:firstLine="648"/>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Integral Part of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66" w:lineRule="exact"/>
        <w:rPr>
          <w:sz w:val="20"/>
          <w:szCs w:val="20"/>
          <w:color w:val="auto"/>
        </w:rPr>
      </w:pPr>
    </w:p>
    <w:p>
      <w:pPr>
        <w:ind w:right="200" w:firstLine="656"/>
        <w:spacing w:after="0" w:line="264" w:lineRule="auto"/>
        <w:tabs>
          <w:tab w:leader="none" w:pos="9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81" w:lineRule="exact"/>
        <w:rPr>
          <w:rFonts w:ascii="Arial" w:cs="Arial" w:eastAsia="Arial" w:hAnsi="Arial"/>
          <w:sz w:val="18"/>
          <w:szCs w:val="18"/>
          <w:color w:val="auto"/>
        </w:rPr>
      </w:pPr>
    </w:p>
    <w:p>
      <w:pPr>
        <w:ind w:right="20" w:firstLine="656"/>
        <w:spacing w:after="0" w:line="259" w:lineRule="auto"/>
        <w:tabs>
          <w:tab w:leader="none" w:pos="9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right="80" w:firstLine="656"/>
        <w:spacing w:after="0" w:line="312" w:lineRule="auto"/>
        <w:tabs>
          <w:tab w:leader="none" w:pos="97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 the Effective Date to add Executory Contracts or Unexpired Leases to the list of Executory Contracts and Unexpired Leases to be assumed or rejected (as applicable);</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4" w:name="page85"/>
    <w:bookmarkEnd w:id="84"/>
    <w:p>
      <w:pPr>
        <w:ind w:left="980" w:hanging="324"/>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ensure that distributions to Holders of Allowed Claims or Allowed Equity Interests are accomplished pursuant to the provisions of this Plan;</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86" w:lineRule="exact"/>
        <w:rPr>
          <w:rFonts w:ascii="Arial" w:cs="Arial" w:eastAsia="Arial" w:hAnsi="Arial"/>
          <w:sz w:val="18"/>
          <w:szCs w:val="18"/>
          <w:color w:val="auto"/>
        </w:rPr>
      </w:pPr>
    </w:p>
    <w:p>
      <w:pPr>
        <w:ind w:right="20" w:firstLine="656"/>
        <w:spacing w:after="0" w:line="342" w:lineRule="auto"/>
        <w:tabs>
          <w:tab w:leader="none" w:pos="97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23" w:lineRule="exact"/>
        <w:rPr>
          <w:rFonts w:ascii="Arial" w:cs="Arial" w:eastAsia="Arial" w:hAnsi="Arial"/>
          <w:sz w:val="16"/>
          <w:szCs w:val="16"/>
          <w:color w:val="auto"/>
        </w:rPr>
      </w:pPr>
    </w:p>
    <w:p>
      <w:pPr>
        <w:ind w:right="240" w:firstLine="656"/>
        <w:spacing w:after="0" w:line="277" w:lineRule="auto"/>
        <w:tabs>
          <w:tab w:leader="none" w:pos="9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hear and determine all Causes of Action that are pending as of the Effective Date or that may be commenced in the future;</w:t>
      </w:r>
    </w:p>
    <w:p>
      <w:pPr>
        <w:spacing w:after="0" w:line="225" w:lineRule="exact"/>
        <w:rPr>
          <w:rFonts w:ascii="Arial" w:cs="Arial" w:eastAsia="Arial" w:hAnsi="Arial"/>
          <w:sz w:val="18"/>
          <w:szCs w:val="18"/>
          <w:color w:val="auto"/>
        </w:rPr>
      </w:pPr>
    </w:p>
    <w:p>
      <w:pPr>
        <w:ind w:right="140" w:firstLine="656"/>
        <w:spacing w:after="0" w:line="277"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enforce the terms and conditions of this Plan, the Confirmation Order, and the Restructuring Documents;</w:t>
      </w:r>
    </w:p>
    <w:p>
      <w:pPr>
        <w:spacing w:after="0" w:line="225" w:lineRule="exact"/>
        <w:rPr>
          <w:rFonts w:ascii="Arial" w:cs="Arial" w:eastAsia="Arial" w:hAnsi="Arial"/>
          <w:sz w:val="18"/>
          <w:szCs w:val="18"/>
          <w:color w:val="auto"/>
        </w:rPr>
      </w:pPr>
    </w:p>
    <w:p>
      <w:pPr>
        <w:ind w:right="580" w:firstLine="656"/>
        <w:spacing w:after="0" w:line="264"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resolve any cases, controversies, suits or disputes with respect to the Release, the Exculpation, the indemnification and other provisions contained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right="180" w:firstLine="656"/>
        <w:spacing w:after="0" w:line="277"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right="420" w:firstLine="656"/>
        <w:spacing w:after="0" w:line="277" w:lineRule="auto"/>
        <w:tabs>
          <w:tab w:leader="none" w:pos="9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this Plan, the Disclosure Statement, the Confirmation Order or any release or exculpation adopted in connection with this Plan;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an order concluding or closing the Chapter 11 Cases.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85" w:name="page86"/>
    <w:bookmarkEnd w:id="85"/>
    <w:p>
      <w:pPr>
        <w:spacing w:after="0" w:line="259" w:lineRule="auto"/>
        <w:rPr>
          <w:sz w:val="20"/>
          <w:szCs w:val="20"/>
          <w:color w:val="auto"/>
        </w:rPr>
      </w:pPr>
      <w:r>
        <w:rPr>
          <w:rFonts w:ascii="Arial" w:cs="Arial" w:eastAsia="Arial" w:hAnsi="Arial"/>
          <w:sz w:val="18"/>
          <w:szCs w:val="18"/>
          <w:color w:val="auto"/>
        </w:rPr>
        <w:t xml:space="preserve">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will have no effect upon and will not control, prohibit, or limit the exercise of jurisdiction by any other court having jurisdiction with respect to such matter.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“Substantial Consummation” of this Plan, as defined in 11 U.S.C. § 1101(2), will be deemed to occur on the Effective Date.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Statutory Fees; Post-Effective Date Fees and Expenses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58"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Statutory Committee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On the Effective Date, the current and former members of the Committee,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following limited purposes: (i) pursuing claims and final fee applications filed pursuant to sections 330 and 331 of the Bankruptcy Code in accordance with </w:t>
      </w:r>
      <w:r>
        <w:rPr>
          <w:rFonts w:ascii="Arial" w:cs="Arial" w:eastAsia="Arial" w:hAnsi="Arial"/>
          <w:sz w:val="16"/>
          <w:szCs w:val="16"/>
          <w:u w:val="single" w:color="auto"/>
          <w:color w:val="auto"/>
        </w:rPr>
        <w:t>Article II.A</w:t>
      </w:r>
      <w:r>
        <w:rPr>
          <w:rFonts w:ascii="Arial" w:cs="Arial" w:eastAsia="Arial" w:hAnsi="Arial"/>
          <w:sz w:val="16"/>
          <w:szCs w:val="16"/>
          <w:color w:val="auto"/>
        </w:rPr>
        <w:t>; and (ii) any appeals of the Confirmation Order or other appeal to which the Committee is a party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left="660" w:hanging="652"/>
        <w:spacing w:after="0"/>
        <w:tabs>
          <w:tab w:leader="none" w:pos="660"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Conflicts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87"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 of Plan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1127(a) of the Bankruptcy Code, and which shall be done in consultation with the Committee;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1127(b) of the Bankruptcy Code, and which shall be done in consultation with the Committee,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72" w:lineRule="exact"/>
        <w:rPr>
          <w:sz w:val="20"/>
          <w:szCs w:val="20"/>
          <w:color w:val="auto"/>
        </w:rPr>
      </w:pPr>
    </w:p>
    <w:p>
      <w:pPr>
        <w:ind w:left="640" w:hanging="632"/>
        <w:spacing w:after="0"/>
        <w:tabs>
          <w:tab w:leader="none" w:pos="64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Revocation or Withdrawal of Plan</w:t>
      </w:r>
    </w:p>
    <w:p>
      <w:pPr>
        <w:spacing w:after="0" w:line="2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 or Unexpired Leases effected by this Plan and any document or agreement executed pursuant hereto will be deemed null and void except as may be set forth in a separate order entered by the Bankruptcy Court; and (3) nothing contained in this Plan will:</w:t>
      </w:r>
    </w:p>
    <w:p>
      <w:pPr>
        <w:spacing w:after="0" w:line="5" w:lineRule="exact"/>
        <w:rPr>
          <w:sz w:val="20"/>
          <w:szCs w:val="20"/>
          <w:color w:val="auto"/>
        </w:rPr>
      </w:pPr>
    </w:p>
    <w:p>
      <w:pPr>
        <w:ind w:left="5620" w:right="1960" w:hanging="5612"/>
        <w:spacing w:after="0" w:line="511" w:lineRule="auto"/>
        <w:tabs>
          <w:tab w:leader="none" w:pos="2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constitute a waiver or release of any Claims by or against, or any Equity Interests in, the applicable Debtors or any other Entity;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right="80" w:firstLine="8"/>
        <w:spacing w:after="0" w:line="277"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prejudice in any manner the rights of the applicable Debtors or any other Entity; or (c) constitute an admission, acknowledgement, offer or undertaking of any sort by the applicable Debtors or any other Entity.</w:t>
      </w:r>
    </w:p>
    <w:p>
      <w:pPr>
        <w:spacing w:after="0" w:line="170"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Successors and Assigns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87"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Rights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54"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81"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left="660" w:hanging="652"/>
        <w:spacing w:after="0"/>
        <w:tabs>
          <w:tab w:leader="none" w:pos="66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Service of Documents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this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If to the Debtors</w:t>
      </w:r>
      <w:r>
        <w:rPr>
          <w:rFonts w:ascii="Arial" w:cs="Arial" w:eastAsia="Arial" w:hAnsi="Arial"/>
          <w:sz w:val="18"/>
          <w:szCs w:val="18"/>
          <w:color w:val="auto"/>
        </w:rPr>
        <w:t>:</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If to the Ad Hoc Noteholder Committee</w:t>
      </w:r>
      <w:r>
        <w:rPr>
          <w:rFonts w:ascii="Arial" w:cs="Arial" w:eastAsia="Arial" w:hAnsi="Arial"/>
          <w:sz w:val="18"/>
          <w:szCs w:val="18"/>
          <w:color w:val="auto"/>
        </w:rPr>
        <w:t>:</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89" w:name="page90"/>
    <w:bookmarkEnd w:id="89"/>
    <w:p>
      <w:pPr>
        <w:ind w:left="2000"/>
        <w:spacing w:after="0"/>
        <w:rPr>
          <w:sz w:val="20"/>
          <w:szCs w:val="20"/>
          <w:color w:val="auto"/>
        </w:rPr>
      </w:pPr>
      <w:r>
        <w:rPr>
          <w:rFonts w:ascii="Arial" w:cs="Arial" w:eastAsia="Arial" w:hAnsi="Arial"/>
          <w:sz w:val="18"/>
          <w:szCs w:val="18"/>
          <w:b w:val="1"/>
          <w:bCs w:val="1"/>
          <w:u w:val="single" w:color="auto"/>
          <w:color w:val="auto"/>
        </w:rPr>
        <w:t>If to the Committee</w:t>
      </w:r>
      <w:r>
        <w:rPr>
          <w:rFonts w:ascii="Arial" w:cs="Arial" w:eastAsia="Arial" w:hAnsi="Arial"/>
          <w:sz w:val="18"/>
          <w:szCs w:val="18"/>
          <w:color w:val="auto"/>
        </w:rPr>
        <w:t>:</w:t>
      </w:r>
    </w:p>
    <w:p>
      <w:pPr>
        <w:spacing w:after="0" w:line="22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Ropes and Gray LLP</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New York, NY 10036-8704</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Attn: Mark R. Somerstein; Matthew M. Roose</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 Dial: (212) 596-9000</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Fax: (212) 596-9090</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Email: mark.somerstein@ropesgray.com and matthew.roose@ropesgray.com</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Exemption from Transfer Taxes Pursuant to Section 1146(a) of the Bankruptcy Code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82"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construed and enforced in accordance with, the laws of New York, without giving effect to the principles of conflicts of law of such jurisdiction.</w:t>
      </w:r>
    </w:p>
    <w:p>
      <w:pPr>
        <w:spacing w:after="0" w:line="225"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i w:val="1"/>
          <w:iCs w:val="1"/>
          <w:color w:val="auto"/>
        </w:rPr>
      </w:pPr>
      <w:r>
        <w:rPr>
          <w:rFonts w:ascii="Arial" w:cs="Arial" w:eastAsia="Arial" w:hAnsi="Arial"/>
          <w:sz w:val="18"/>
          <w:szCs w:val="18"/>
          <w:i w:val="1"/>
          <w:iCs w:val="1"/>
          <w:color w:val="auto"/>
        </w:rPr>
        <w:t>Tax Reporting and Compliance</w:t>
      </w:r>
    </w:p>
    <w:p>
      <w:pPr>
        <w:spacing w:after="0" w:line="22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4"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Schedules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exhibits and schedules to this Plan, including the Exhibits and Plan Schedules, are incorporated herein and are a part of this Plan as if set forth in full herein.</w:t>
      </w:r>
    </w:p>
    <w:p>
      <w:pPr>
        <w:spacing w:after="0" w:line="170"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No Strict Construction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This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78"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Entire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81"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Closing of Chapter 11 Cases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70"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i w:val="1"/>
          <w:iCs w:val="1"/>
          <w:color w:val="auto"/>
        </w:rPr>
      </w:pPr>
      <w:r>
        <w:rPr>
          <w:rFonts w:ascii="Arial" w:cs="Arial" w:eastAsia="Arial" w:hAnsi="Arial"/>
          <w:sz w:val="18"/>
          <w:szCs w:val="18"/>
          <w:i w:val="1"/>
          <w:iCs w:val="1"/>
          <w:color w:val="auto"/>
        </w:rPr>
        <w:t>2002 Notice Parties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Dated: September 4, 2019</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 AND ITS AFFILIATE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c>
          <w:tcPr>
            <w:tcW w:w="40" w:type="dxa"/>
            <w:vAlign w:val="bottom"/>
          </w:tcPr>
          <w:p>
            <w:pPr>
              <w:spacing w:after="0"/>
              <w:rPr>
                <w:sz w:val="20"/>
                <w:szCs w:val="20"/>
                <w:color w:val="auto"/>
              </w:rPr>
            </w:pPr>
          </w:p>
        </w:tc>
      </w:tr>
      <w:tr>
        <w:trPr>
          <w:trHeight w:val="21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426"/>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74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decimal"/>
      <w:start w:val="1"/>
    </w:lvl>
  </w:abstractNum>
  <w:abstractNum w:abstractNumId="6">
    <w:nsid w:val="7BD3EE7B"/>
    <w:multiLevelType w:val="hybridMultilevel"/>
    <w:lvl w:ilvl="0">
      <w:lvlJc w:val="left"/>
      <w:lvlText w:val="%1."/>
      <w:numFmt w:val="upperLetter"/>
      <w:start w:val="3"/>
    </w:lvl>
  </w:abstractNum>
  <w:abstractNum w:abstractNumId="7">
    <w:nsid w:val="51D9C564"/>
    <w:multiLevelType w:val="hybridMultilevel"/>
    <w:lvl w:ilvl="0">
      <w:lvlJc w:val="left"/>
      <w:lvlText w:val="%1."/>
      <w:numFmt w:val="upperLetter"/>
      <w:start w:val="1"/>
    </w:lvl>
  </w:abstractNum>
  <w:abstractNum w:abstractNumId="8">
    <w:nsid w:val="613EFDC5"/>
    <w:multiLevelType w:val="hybridMultilevel"/>
    <w:lvl w:ilvl="0">
      <w:lvlJc w:val="left"/>
      <w:lvlText w:val="%1."/>
      <w:numFmt w:val="upperLetter"/>
      <w:start w:val="2"/>
    </w:lvl>
  </w:abstractNum>
  <w:abstractNum w:abstractNumId="9">
    <w:nsid w:val="BF72B14"/>
    <w:multiLevelType w:val="hybridMultilevel"/>
    <w:lvl w:ilvl="0">
      <w:lvlJc w:val="left"/>
      <w:lvlText w:val="(%1)"/>
      <w:numFmt w:val="lowerLetter"/>
      <w:start w:val="2"/>
    </w:lvl>
  </w:abstractNum>
  <w:abstractNum w:abstractNumId="10">
    <w:nsid w:val="11447B73"/>
    <w:multiLevelType w:val="hybridMultilevel"/>
    <w:lvl w:ilvl="0">
      <w:lvlJc w:val="left"/>
      <w:lvlText w:val="(%1)"/>
      <w:numFmt w:val="lowerLetter"/>
      <w:start w:val="2"/>
    </w:lvl>
  </w:abstractNum>
  <w:abstractNum w:abstractNumId="11">
    <w:nsid w:val="42963E5A"/>
    <w:multiLevelType w:val="hybridMultilevel"/>
    <w:lvl w:ilvl="0">
      <w:lvlJc w:val="left"/>
      <w:lvlText w:val="(%1)"/>
      <w:numFmt w:val="decimal"/>
      <w:start w:val="2"/>
    </w:lvl>
  </w:abstractNum>
  <w:abstractNum w:abstractNumId="12">
    <w:nsid w:val="A0382C5"/>
    <w:multiLevelType w:val="hybridMultilevel"/>
    <w:lvl w:ilvl="0">
      <w:lvlJc w:val="left"/>
      <w:lvlText w:val="(%1)"/>
      <w:numFmt w:val="lowerLetter"/>
      <w:start w:val="5"/>
    </w:lvl>
  </w:abstractNum>
  <w:abstractNum w:abstractNumId="13">
    <w:nsid w:val="8F2B15E"/>
    <w:multiLevelType w:val="hybridMultilevel"/>
    <w:lvl w:ilvl="0">
      <w:lvlJc w:val="left"/>
      <w:lvlText w:val="(%1)"/>
      <w:numFmt w:val="lowerLetter"/>
      <w:start w:val="12"/>
    </w:lvl>
  </w:abstractNum>
  <w:abstractNum w:abstractNumId="14">
    <w:nsid w:val="1A32234B"/>
    <w:multiLevelType w:val="hybridMultilevel"/>
    <w:lvl w:ilvl="0">
      <w:lvlJc w:val="left"/>
      <w:lvlText w:val="%1."/>
      <w:numFmt w:val="upperLetter"/>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1."/>
      <w:numFmt w:val="upperLetter"/>
      <w:start w:val="2"/>
    </w:lvl>
  </w:abstractNum>
  <w:abstractNum w:abstractNumId="17">
    <w:nsid w:val="4962813B"/>
    <w:multiLevelType w:val="hybridMultilevel"/>
    <w:lvl w:ilvl="0">
      <w:lvlJc w:val="left"/>
      <w:lvlText w:val="%1."/>
      <w:numFmt w:val="upperLetter"/>
      <w:start w:val="3"/>
    </w:lvl>
  </w:abstractNum>
  <w:abstractNum w:abstractNumId="18">
    <w:nsid w:val="60B6DF70"/>
    <w:multiLevelType w:val="hybridMultilevel"/>
    <w:lvl w:ilvl="0">
      <w:lvlJc w:val="left"/>
      <w:lvlText w:val="%1."/>
      <w:numFmt w:val="upperLetter"/>
      <w:start w:val="1"/>
    </w:lvl>
  </w:abstractNum>
  <w:abstractNum w:abstractNumId="19">
    <w:nsid w:val="6A5EE6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0">
    <w:nsid w:val="14330624"/>
    <w:multiLevelType w:val="hybridMultilevel"/>
    <w:lvl w:ilvl="0">
      <w:lvlJc w:val="left"/>
      <w:lvlText w:val="(%1)"/>
      <w:numFmt w:val="decimal"/>
      <w:start w:val="2"/>
    </w:lvl>
  </w:abstractNum>
  <w:abstractNum w:abstractNumId="21">
    <w:nsid w:val="7FFFCA11"/>
    <w:multiLevelType w:val="hybridMultilevel"/>
    <w:lvl w:ilvl="0">
      <w:lvlJc w:val="left"/>
      <w:lvlText w:val="%1"/>
      <w:numFmt w:val="decimal"/>
      <w:start w:val="1"/>
    </w:lvl>
    <w:lvl w:ilvl="1">
      <w:lvlJc w:val="left"/>
      <w:lvlText w:val="(%2)"/>
      <w:numFmt w:val="lowerLetter"/>
      <w:start w:val="3"/>
    </w:lvl>
  </w:abstractNum>
  <w:abstractNum w:abstractNumId="22">
    <w:nsid w:val="1A27709E"/>
    <w:multiLevelType w:val="hybridMultilevel"/>
    <w:lvl w:ilvl="0">
      <w:lvlJc w:val="left"/>
      <w:lvlText w:val="%1."/>
      <w:numFmt w:val="decimal"/>
      <w:start w:val="2"/>
    </w:lvl>
    <w:lvl w:ilvl="1">
      <w:lvlJc w:val="left"/>
      <w:lvlText w:val="(%2)"/>
      <w:numFmt w:val="lowerLetter"/>
      <w:start w:val="1"/>
    </w:lvl>
  </w:abstractNum>
  <w:abstractNum w:abstractNumId="23">
    <w:nsid w:val="71EA1109"/>
    <w:multiLevelType w:val="hybridMultilevel"/>
    <w:lvl w:ilvl="0">
      <w:lvlJc w:val="left"/>
      <w:lvlText w:val="%1"/>
      <w:numFmt w:val="decimal"/>
      <w:start w:val="1"/>
    </w:lvl>
    <w:lvl w:ilvl="1">
      <w:lvlJc w:val="left"/>
      <w:lvlText w:val="(%2)"/>
      <w:numFmt w:val="lowerLetter"/>
      <w:start w:val="3"/>
    </w:lvl>
  </w:abstractNum>
  <w:abstractNum w:abstractNumId="24">
    <w:nsid w:val="100F59DC"/>
    <w:multiLevelType w:val="hybridMultilevel"/>
    <w:lvl w:ilvl="0">
      <w:lvlJc w:val="left"/>
      <w:lvlText w:val="%1."/>
      <w:numFmt w:val="decimal"/>
      <w:start w:val="4"/>
    </w:lvl>
    <w:lvl w:ilvl="1">
      <w:lvlJc w:val="left"/>
      <w:lvlText w:val="(%2)"/>
      <w:numFmt w:val="lowerLetter"/>
      <w:start w:val="1"/>
    </w:lvl>
  </w:abstractNum>
  <w:abstractNum w:abstractNumId="25">
    <w:nsid w:val="7FB7E0AA"/>
    <w:multiLevelType w:val="hybridMultilevel"/>
    <w:lvl w:ilvl="0">
      <w:lvlJc w:val="left"/>
      <w:lvlText w:val="%1"/>
      <w:numFmt w:val="decimal"/>
      <w:start w:val="1"/>
    </w:lvl>
    <w:lvl w:ilvl="1">
      <w:lvlJc w:val="left"/>
      <w:lvlText w:val="(%2)"/>
      <w:numFmt w:val="lowerLetter"/>
      <w:start w:val="4"/>
    </w:lvl>
  </w:abstractNum>
  <w:abstractNum w:abstractNumId="26">
    <w:nsid w:val="6EB5BD4"/>
    <w:multiLevelType w:val="hybridMultilevel"/>
    <w:lvl w:ilvl="0">
      <w:lvlJc w:val="left"/>
      <w:lvlText w:val="%1."/>
      <w:numFmt w:val="decimal"/>
      <w:start w:val="5"/>
    </w:lvl>
    <w:lvl w:ilvl="1">
      <w:lvlJc w:val="left"/>
      <w:lvlText w:val="(%2)"/>
      <w:numFmt w:val="lowerLetter"/>
      <w:start w:val="1"/>
    </w:lvl>
  </w:abstractNum>
  <w:abstractNum w:abstractNumId="27">
    <w:nsid w:val="6F6DD9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
    <w:nsid w:val="94211F2"/>
    <w:multiLevelType w:val="hybridMultilevel"/>
    <w:lvl w:ilvl="0">
      <w:lvlJc w:val="left"/>
      <w:lvlText w:val="%1"/>
      <w:numFmt w:val="decimal"/>
      <w:start w:val="1"/>
    </w:lvl>
    <w:lvl w:ilvl="1">
      <w:lvlJc w:val="left"/>
      <w:lvlText w:val="(%2)"/>
      <w:numFmt w:val="lowerLetter"/>
      <w:start w:val="3"/>
    </w:lvl>
  </w:abstractNum>
  <w:abstractNum w:abstractNumId="29">
    <w:nsid w:val="885E1B"/>
    <w:multiLevelType w:val="hybridMultilevel"/>
    <w:lvl w:ilvl="0">
      <w:lvlJc w:val="left"/>
      <w:lvlText w:val="%1."/>
      <w:numFmt w:val="decimal"/>
      <w:start w:val="8"/>
    </w:lvl>
    <w:lvl w:ilvl="1">
      <w:lvlJc w:val="left"/>
      <w:lvlText w:val="(%2)"/>
      <w:numFmt w:val="lowerLetter"/>
      <w:start w:val="1"/>
    </w:lvl>
  </w:abstractNum>
  <w:abstractNum w:abstractNumId="30">
    <w:nsid w:val="76272110"/>
    <w:multiLevelType w:val="hybridMultilevel"/>
    <w:lvl w:ilvl="0">
      <w:lvlJc w:val="left"/>
      <w:lvlText w:val="%1"/>
      <w:numFmt w:val="decimal"/>
      <w:start w:val="1"/>
    </w:lvl>
    <w:lvl w:ilvl="1">
      <w:lvlJc w:val="left"/>
      <w:lvlText w:val="(%2)"/>
      <w:numFmt w:val="lowerLetter"/>
      <w:start w:val="3"/>
    </w:lvl>
  </w:abstractNum>
  <w:abstractNum w:abstractNumId="31">
    <w:nsid w:val="4C04A8AF"/>
    <w:multiLevelType w:val="hybridMultilevel"/>
    <w:lvl w:ilvl="0">
      <w:lvlJc w:val="left"/>
      <w:lvlText w:val="%1."/>
      <w:numFmt w:val="decimal"/>
      <w:start w:val="9"/>
    </w:lvl>
    <w:lvl w:ilvl="1">
      <w:lvlJc w:val="left"/>
      <w:lvlText w:val="(%2)"/>
      <w:numFmt w:val="lowerLetter"/>
      <w:start w:val="1"/>
    </w:lvl>
  </w:abstractNum>
  <w:abstractNum w:abstractNumId="32">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3">
    <w:nsid w:val="14E17E33"/>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34">
    <w:nsid w:val="3222E7CD"/>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5">
    <w:nsid w:val="74DE0EE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6">
    <w:nsid w:val="68EBC550"/>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abstractNum>
  <w:abstractNum w:abstractNumId="37">
    <w:nsid w:val="2DF6D648"/>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8">
    <w:nsid w:val="46B7D447"/>
    <w:multiLevelType w:val="hybridMultilevel"/>
    <w:lvl w:ilvl="0">
      <w:lvlJc w:val="left"/>
      <w:lvlText w:val="(%1)"/>
      <w:numFmt w:val="lowerRoman"/>
      <w:start w:val="10"/>
    </w:lvl>
  </w:abstractNum>
  <w:abstractNum w:abstractNumId="39">
    <w:nsid w:val="4A2AC315"/>
    <w:multiLevelType w:val="hybridMultilevel"/>
    <w:lvl w:ilvl="0">
      <w:lvlJc w:val="left"/>
      <w:lvlText w:val="%1."/>
      <w:numFmt w:val="upperLetter"/>
      <w:start w:val="4"/>
    </w:lvl>
  </w:abstractNum>
  <w:abstractNum w:abstractNumId="40">
    <w:nsid w:val="39EE015C"/>
    <w:multiLevelType w:val="hybridMultilevel"/>
    <w:lvl w:ilvl="0">
      <w:lvlJc w:val="left"/>
      <w:lvlText w:val="%1."/>
      <w:numFmt w:val="upperLetter"/>
      <w:start w:val="1"/>
    </w:lvl>
  </w:abstractNum>
  <w:abstractNum w:abstractNumId="41">
    <w:nsid w:val="57FC4FBB"/>
    <w:multiLevelType w:val="hybridMultilevel"/>
    <w:lvl w:ilvl="0">
      <w:lvlJc w:val="left"/>
      <w:lvlText w:val="%1."/>
      <w:numFmt w:val="upperLetter"/>
      <w:start w:val="2"/>
    </w:lvl>
  </w:abstractNum>
  <w:abstractNum w:abstractNumId="42">
    <w:nsid w:val="CC1016F"/>
    <w:multiLevelType w:val="hybridMultilevel"/>
    <w:lvl w:ilvl="0">
      <w:lvlJc w:val="left"/>
      <w:lvlText w:val="%1."/>
      <w:numFmt w:val="upperLetter"/>
      <w:start w:val="3"/>
    </w:lvl>
  </w:abstractNum>
  <w:abstractNum w:abstractNumId="43">
    <w:nsid w:val="43F18422"/>
    <w:multiLevelType w:val="hybridMultilevel"/>
    <w:lvl w:ilvl="0">
      <w:lvlJc w:val="left"/>
      <w:lvlText w:val="%1."/>
      <w:numFmt w:val="upperLetter"/>
      <w:start w:val="4"/>
    </w:lvl>
  </w:abstractNum>
  <w:abstractNum w:abstractNumId="44">
    <w:nsid w:val="60EF0119"/>
    <w:multiLevelType w:val="hybridMultilevel"/>
    <w:lvl w:ilvl="0">
      <w:lvlJc w:val="left"/>
      <w:lvlText w:val="%1."/>
      <w:numFmt w:val="upperLetter"/>
      <w:start w:val="5"/>
    </w:lvl>
  </w:abstractNum>
  <w:abstractNum w:abstractNumId="45">
    <w:nsid w:val="26F324BA"/>
    <w:multiLevelType w:val="hybridMultilevel"/>
    <w:lvl w:ilvl="0">
      <w:lvlJc w:val="left"/>
      <w:lvlText w:val="%1."/>
      <w:numFmt w:val="upperLetter"/>
      <w:start w:val="6"/>
    </w:lvl>
  </w:abstractNum>
  <w:abstractNum w:abstractNumId="46">
    <w:nsid w:val="7F01579B"/>
    <w:multiLevelType w:val="hybridMultilevel"/>
    <w:lvl w:ilvl="0">
      <w:lvlJc w:val="left"/>
      <w:lvlText w:val="%1."/>
      <w:numFmt w:val="upperLetter"/>
      <w:start w:val="1"/>
    </w:lvl>
  </w:abstractNum>
  <w:abstractNum w:abstractNumId="47">
    <w:nsid w:val="49DA307D"/>
    <w:multiLevelType w:val="hybridMultilevel"/>
    <w:lvl w:ilvl="0">
      <w:lvlJc w:val="left"/>
      <w:lvlText w:val="%1."/>
      <w:numFmt w:val="upperLetter"/>
      <w:start w:val="2"/>
    </w:lvl>
  </w:abstractNum>
  <w:abstractNum w:abstractNumId="48">
    <w:nsid w:val="7055A5F5"/>
    <w:multiLevelType w:val="hybridMultilevel"/>
    <w:lvl w:ilvl="0">
      <w:lvlJc w:val="left"/>
      <w:lvlText w:val="%1."/>
      <w:numFmt w:val="upperLetter"/>
      <w:start w:val="3"/>
    </w:lvl>
  </w:abstractNum>
  <w:abstractNum w:abstractNumId="49">
    <w:nsid w:val="5FB8370B"/>
    <w:multiLevelType w:val="hybridMultilevel"/>
    <w:lvl w:ilvl="0">
      <w:lvlJc w:val="left"/>
      <w:lvlText w:val="%1."/>
      <w:numFmt w:val="upperLetter"/>
      <w:start w:val="4"/>
    </w:lvl>
  </w:abstractNum>
  <w:abstractNum w:abstractNumId="50">
    <w:nsid w:val="50801EE1"/>
    <w:multiLevelType w:val="hybridMultilevel"/>
    <w:lvl w:ilvl="0">
      <w:lvlJc w:val="left"/>
      <w:lvlText w:val="%1."/>
      <w:numFmt w:val="upperLetter"/>
      <w:start w:val="5"/>
    </w:lvl>
  </w:abstractNum>
  <w:abstractNum w:abstractNumId="51">
    <w:nsid w:val="488AC1A"/>
    <w:multiLevelType w:val="hybridMultilevel"/>
    <w:lvl w:ilvl="0">
      <w:lvlJc w:val="left"/>
      <w:lvlText w:val="%1."/>
      <w:numFmt w:val="upperLetter"/>
      <w:start w:val="6"/>
    </w:lvl>
  </w:abstractNum>
  <w:abstractNum w:abstractNumId="52">
    <w:nsid w:val="5FB8011C"/>
    <w:multiLevelType w:val="hybridMultilevel"/>
    <w:lvl w:ilvl="0">
      <w:lvlJc w:val="left"/>
      <w:lvlText w:val="%1."/>
      <w:numFmt w:val="upperLetter"/>
      <w:start w:val="7"/>
    </w:lvl>
  </w:abstractNum>
  <w:abstractNum w:abstractNumId="53">
    <w:nsid w:val="6AA78F7F"/>
    <w:multiLevelType w:val="hybridMultilevel"/>
    <w:lvl w:ilvl="0">
      <w:lvlJc w:val="left"/>
      <w:lvlText w:val="%1."/>
      <w:numFmt w:val="upperLetter"/>
      <w:start w:val="8"/>
    </w:lvl>
  </w:abstractNum>
  <w:abstractNum w:abstractNumId="54">
    <w:nsid w:val="7672BD23"/>
    <w:multiLevelType w:val="hybridMultilevel"/>
    <w:lvl w:ilvl="0">
      <w:lvlJc w:val="left"/>
      <w:lvlText w:val="%1."/>
      <w:numFmt w:val="upperLetter"/>
      <w:start w:val="9"/>
    </w:lvl>
  </w:abstractNum>
  <w:abstractNum w:abstractNumId="55">
    <w:nsid w:val="6FC75AF8"/>
    <w:multiLevelType w:val="hybridMultilevel"/>
    <w:lvl w:ilvl="0">
      <w:lvlJc w:val="left"/>
      <w:lvlText w:val="%1."/>
      <w:numFmt w:val="upperLetter"/>
      <w:start w:val="10"/>
    </w:lvl>
  </w:abstractNum>
  <w:abstractNum w:abstractNumId="56">
    <w:nsid w:val="6A5F7029"/>
    <w:multiLevelType w:val="hybridMultilevel"/>
    <w:lvl w:ilvl="0">
      <w:lvlJc w:val="left"/>
      <w:lvlText w:val="%1."/>
      <w:numFmt w:val="upperLetter"/>
      <w:start w:val="11"/>
    </w:lvl>
  </w:abstractNum>
  <w:abstractNum w:abstractNumId="57">
    <w:nsid w:val="7D5E18F8"/>
    <w:multiLevelType w:val="hybridMultilevel"/>
    <w:lvl w:ilvl="0">
      <w:lvlJc w:val="left"/>
      <w:lvlText w:val="%1."/>
      <w:numFmt w:val="upperLetter"/>
      <w:start w:val="12"/>
    </w:lvl>
  </w:abstractNum>
  <w:abstractNum w:abstractNumId="58">
    <w:nsid w:val="5F3534A4"/>
    <w:multiLevelType w:val="hybridMultilevel"/>
    <w:lvl w:ilvl="0">
      <w:lvlJc w:val="left"/>
      <w:lvlText w:val="%1."/>
      <w:numFmt w:val="upperLetter"/>
      <w:start w:val="13"/>
    </w:lvl>
  </w:abstractNum>
  <w:abstractNum w:abstractNumId="59">
    <w:nsid w:val="73A1821B"/>
    <w:multiLevelType w:val="hybridMultilevel"/>
    <w:lvl w:ilvl="0">
      <w:lvlJc w:val="left"/>
      <w:lvlText w:val="%1."/>
      <w:numFmt w:val="upperLetter"/>
      <w:start w:val="14"/>
    </w:lvl>
  </w:abstractNum>
  <w:abstractNum w:abstractNumId="60">
    <w:nsid w:val="7DE67713"/>
    <w:multiLevelType w:val="hybridMultilevel"/>
    <w:lvl w:ilvl="0">
      <w:lvlJc w:val="left"/>
      <w:lvlText w:val="(%1)"/>
      <w:numFmt w:val="decimal"/>
      <w:start w:val="6"/>
    </w:lvl>
  </w:abstractNum>
  <w:abstractNum w:abstractNumId="61">
    <w:nsid w:val="555C55B5"/>
    <w:multiLevelType w:val="hybridMultilevel"/>
    <w:lvl w:ilvl="0">
      <w:lvlJc w:val="left"/>
      <w:lvlText w:val="%1."/>
      <w:numFmt w:val="upperLetter"/>
      <w:start w:val="15"/>
    </w:lvl>
  </w:abstractNum>
  <w:abstractNum w:abstractNumId="62">
    <w:nsid w:val="3FA62ACA"/>
    <w:multiLevelType w:val="hybridMultilevel"/>
    <w:lvl w:ilvl="0">
      <w:lvlJc w:val="left"/>
      <w:lvlText w:val="%1."/>
      <w:numFmt w:val="upperLetter"/>
      <w:start w:val="16"/>
    </w:lvl>
  </w:abstractNum>
  <w:abstractNum w:abstractNumId="63">
    <w:nsid w:val="14FCE74E"/>
    <w:multiLevelType w:val="hybridMultilevel"/>
    <w:lvl w:ilvl="0">
      <w:lvlJc w:val="left"/>
      <w:lvlText w:val="%1."/>
      <w:numFmt w:val="upperLetter"/>
      <w:start w:val="17"/>
    </w:lvl>
  </w:abstractNum>
  <w:abstractNum w:abstractNumId="64">
    <w:nsid w:val="6A3DD3E8"/>
    <w:multiLevelType w:val="hybridMultilevel"/>
    <w:lvl w:ilvl="0">
      <w:lvlJc w:val="left"/>
      <w:lvlText w:val="%1."/>
      <w:numFmt w:val="upperLetter"/>
      <w:start w:val="18"/>
    </w:lvl>
  </w:abstractNum>
  <w:abstractNum w:abstractNumId="65">
    <w:nsid w:val="71C91298"/>
    <w:multiLevelType w:val="hybridMultilevel"/>
    <w:lvl w:ilvl="0">
      <w:lvlJc w:val="left"/>
      <w:lvlText w:val="%1."/>
      <w:numFmt w:val="upperLetter"/>
      <w:start w:val="19"/>
    </w:lvl>
  </w:abstractNum>
  <w:abstractNum w:abstractNumId="66">
    <w:nsid w:val="9DAF632"/>
    <w:multiLevelType w:val="hybridMultilevel"/>
    <w:lvl w:ilvl="0">
      <w:lvlJc w:val="left"/>
      <w:lvlText w:val="%1."/>
      <w:numFmt w:val="upperLetter"/>
      <w:start w:val="20"/>
    </w:lvl>
  </w:abstractNum>
  <w:abstractNum w:abstractNumId="67">
    <w:nsid w:val="53299938"/>
    <w:multiLevelType w:val="hybridMultilevel"/>
    <w:lvl w:ilvl="0">
      <w:lvlJc w:val="left"/>
      <w:lvlText w:val="%1."/>
      <w:numFmt w:val="upperLetter"/>
      <w:start w:val="21"/>
    </w:lvl>
  </w:abstractNum>
  <w:abstractNum w:abstractNumId="68">
    <w:nsid w:val="1FBFE8E0"/>
    <w:multiLevelType w:val="hybridMultilevel"/>
    <w:lvl w:ilvl="0">
      <w:lvlJc w:val="left"/>
      <w:lvlText w:val="%1."/>
      <w:numFmt w:val="upperLetter"/>
      <w:start w:val="22"/>
    </w:lvl>
  </w:abstractNum>
  <w:abstractNum w:abstractNumId="69">
    <w:nsid w:val="5092CA79"/>
    <w:multiLevelType w:val="hybridMultilevel"/>
    <w:lvl w:ilvl="0">
      <w:lvlJc w:val="left"/>
      <w:lvlText w:val="%1."/>
      <w:numFmt w:val="upperLetter"/>
      <w:start w:val="23"/>
    </w:lvl>
  </w:abstractNum>
  <w:abstractNum w:abstractNumId="70">
    <w:nsid w:val="1D545C4D"/>
    <w:multiLevelType w:val="hybridMultilevel"/>
    <w:lvl w:ilvl="0">
      <w:lvlJc w:val="left"/>
      <w:lvlText w:val="%1."/>
      <w:numFmt w:val="upperLetter"/>
      <w:start w:val="1"/>
    </w:lvl>
  </w:abstractNum>
  <w:abstractNum w:abstractNumId="71">
    <w:nsid w:val="59ADEA3D"/>
    <w:multiLevelType w:val="hybridMultilevel"/>
    <w:lvl w:ilvl="0">
      <w:lvlJc w:val="left"/>
      <w:lvlText w:val="(%1)"/>
      <w:numFmt w:val="lowerRoman"/>
      <w:start w:val="1"/>
    </w:lvl>
  </w:abstractNum>
  <w:abstractNum w:abstractNumId="72">
    <w:nsid w:val="288F1A34"/>
    <w:multiLevelType w:val="hybridMultilevel"/>
    <w:lvl w:ilvl="0">
      <w:lvlJc w:val="left"/>
      <w:lvlText w:val="%1."/>
      <w:numFmt w:val="upperLetter"/>
      <w:start w:val="2"/>
    </w:lvl>
  </w:abstractNum>
  <w:abstractNum w:abstractNumId="73">
    <w:nsid w:val="2A155DBC"/>
    <w:multiLevelType w:val="hybridMultilevel"/>
    <w:lvl w:ilvl="0">
      <w:lvlJc w:val="left"/>
      <w:lvlText w:val="%1."/>
      <w:numFmt w:val="upperLetter"/>
      <w:start w:val="3"/>
    </w:lvl>
  </w:abstractNum>
  <w:abstractNum w:abstractNumId="74">
    <w:nsid w:val="1D9F6E5F"/>
    <w:multiLevelType w:val="hybridMultilevel"/>
    <w:lvl w:ilvl="0">
      <w:lvlJc w:val="left"/>
      <w:lvlText w:val="%1."/>
      <w:numFmt w:val="upperLetter"/>
      <w:start w:val="4"/>
    </w:lvl>
  </w:abstractNum>
  <w:abstractNum w:abstractNumId="75">
    <w:nsid w:val="97E1B4E"/>
    <w:multiLevelType w:val="hybridMultilevel"/>
    <w:lvl w:ilvl="0">
      <w:lvlJc w:val="left"/>
      <w:lvlText w:val="%1."/>
      <w:numFmt w:val="upperLetter"/>
      <w:start w:val="5"/>
    </w:lvl>
  </w:abstractNum>
  <w:abstractNum w:abstractNumId="76">
    <w:nsid w:val="51088277"/>
    <w:multiLevelType w:val="hybridMultilevel"/>
    <w:lvl w:ilvl="0">
      <w:lvlJc w:val="left"/>
      <w:lvlText w:val="%1."/>
      <w:numFmt w:val="upperLetter"/>
      <w:start w:val="6"/>
    </w:lvl>
  </w:abstractNum>
  <w:abstractNum w:abstractNumId="77">
    <w:nsid w:val="1CA0C5FA"/>
    <w:multiLevelType w:val="hybridMultilevel"/>
    <w:lvl w:ilvl="0">
      <w:lvlJc w:val="left"/>
      <w:lvlText w:val="%1."/>
      <w:numFmt w:val="upperLetter"/>
      <w:start w:val="7"/>
    </w:lvl>
  </w:abstractNum>
  <w:abstractNum w:abstractNumId="78">
    <w:nsid w:val="53584BCB"/>
    <w:multiLevelType w:val="hybridMultilevel"/>
    <w:lvl w:ilvl="0">
      <w:lvlJc w:val="left"/>
      <w:lvlText w:val="%1."/>
      <w:numFmt w:val="upperLetter"/>
      <w:start w:val="8"/>
    </w:lvl>
  </w:abstractNum>
  <w:abstractNum w:abstractNumId="79">
    <w:nsid w:val="415E286C"/>
    <w:multiLevelType w:val="hybridMultilevel"/>
    <w:lvl w:ilvl="0">
      <w:lvlJc w:val="left"/>
      <w:lvlText w:val="%1."/>
      <w:numFmt w:val="upperLetter"/>
      <w:start w:val="9"/>
    </w:lvl>
  </w:abstractNum>
  <w:abstractNum w:abstractNumId="80">
    <w:nsid w:val="7C58FD05"/>
    <w:multiLevelType w:val="hybridMultilevel"/>
    <w:lvl w:ilvl="0">
      <w:lvlJc w:val="left"/>
      <w:lvlText w:val="%1."/>
      <w:numFmt w:val="upperLetter"/>
      <w:start w:val="10"/>
    </w:lvl>
  </w:abstractNum>
  <w:abstractNum w:abstractNumId="81">
    <w:nsid w:val="23D86AAC"/>
    <w:multiLevelType w:val="hybridMultilevel"/>
    <w:lvl w:ilvl="0">
      <w:lvlJc w:val="left"/>
      <w:lvlText w:val="%1."/>
      <w:numFmt w:val="upperLetter"/>
      <w:start w:val="1"/>
    </w:lvl>
  </w:abstractNum>
  <w:abstractNum w:abstractNumId="82">
    <w:nsid w:val="45E6D486"/>
    <w:multiLevelType w:val="hybridMultilevel"/>
    <w:lvl w:ilvl="0">
      <w:lvlJc w:val="left"/>
      <w:lvlText w:val="%1."/>
      <w:numFmt w:val="upperLetter"/>
      <w:start w:val="2"/>
    </w:lvl>
  </w:abstractNum>
  <w:abstractNum w:abstractNumId="83">
    <w:nsid w:val="5C10FE21"/>
    <w:multiLevelType w:val="hybridMultilevel"/>
    <w:lvl w:ilvl="0">
      <w:lvlJc w:val="left"/>
      <w:lvlText w:val="%1."/>
      <w:numFmt w:val="upperLetter"/>
      <w:start w:val="3"/>
    </w:lvl>
  </w:abstractNum>
  <w:abstractNum w:abstractNumId="84">
    <w:nsid w:val="E7FFA2B"/>
    <w:multiLevelType w:val="hybridMultilevel"/>
    <w:lvl w:ilvl="0">
      <w:lvlJc w:val="left"/>
      <w:lvlText w:val="%1."/>
      <w:numFmt w:val="upperLetter"/>
      <w:start w:val="4"/>
    </w:lvl>
    <w:lvl w:ilvl="1">
      <w:lvlJc w:val="left"/>
      <w:lvlText w:val="%2."/>
      <w:numFmt w:val="decimal"/>
      <w:start w:val="1"/>
    </w:lvl>
  </w:abstractNum>
  <w:abstractNum w:abstractNumId="85">
    <w:nsid w:val="3C5991AA"/>
    <w:multiLevelType w:val="hybridMultilevel"/>
    <w:lvl w:ilvl="0">
      <w:lvlJc w:val="left"/>
      <w:lvlText w:val="%1."/>
      <w:numFmt w:val="decimal"/>
      <w:start w:val="2"/>
    </w:lvl>
  </w:abstractNum>
  <w:abstractNum w:abstractNumId="86">
    <w:nsid w:val="4BD8591A"/>
    <w:multiLevelType w:val="hybridMultilevel"/>
    <w:lvl w:ilvl="0">
      <w:lvlJc w:val="left"/>
      <w:lvlText w:val="%1."/>
      <w:numFmt w:val="decimal"/>
      <w:start w:val="3"/>
    </w:lvl>
  </w:abstractNum>
  <w:abstractNum w:abstractNumId="87">
    <w:nsid w:val="78DF6A55"/>
    <w:multiLevelType w:val="hybridMultilevel"/>
    <w:lvl w:ilvl="0">
      <w:lvlJc w:val="left"/>
      <w:lvlText w:val="%1."/>
      <w:numFmt w:val="decimal"/>
      <w:start w:val="4"/>
    </w:lvl>
    <w:lvl w:ilvl="1">
      <w:lvlJc w:val="left"/>
      <w:lvlText w:val="(%2)"/>
      <w:numFmt w:val="lowerLetter"/>
      <w:start w:val="1"/>
    </w:lvl>
  </w:abstractNum>
  <w:abstractNum w:abstractNumId="88">
    <w:nsid w:val="39B7AAA2"/>
    <w:multiLevelType w:val="hybridMultilevel"/>
    <w:lvl w:ilvl="0">
      <w:lvlJc w:val="left"/>
      <w:lvlText w:val="(%1)"/>
      <w:numFmt w:val="lowerLetter"/>
      <w:start w:val="2"/>
    </w:lvl>
  </w:abstractNum>
  <w:abstractNum w:abstractNumId="89">
    <w:nsid w:val="2B0D8DBE"/>
    <w:multiLevelType w:val="hybridMultilevel"/>
    <w:lvl w:ilvl="0">
      <w:lvlJc w:val="left"/>
      <w:lvlText w:val="(%1)"/>
      <w:numFmt w:val="lowerLetter"/>
      <w:start w:val="3"/>
    </w:lvl>
  </w:abstractNum>
  <w:abstractNum w:abstractNumId="90">
    <w:nsid w:val="6C80EC70"/>
    <w:multiLevelType w:val="hybridMultilevel"/>
    <w:lvl w:ilvl="0">
      <w:lvlJc w:val="left"/>
      <w:lvlText w:val="%1."/>
      <w:numFmt w:val="upperLetter"/>
      <w:start w:val="5"/>
    </w:lvl>
  </w:abstractNum>
  <w:abstractNum w:abstractNumId="91">
    <w:nsid w:val="379E21B5"/>
    <w:multiLevelType w:val="hybridMultilevel"/>
    <w:lvl w:ilvl="0">
      <w:lvlJc w:val="left"/>
      <w:lvlText w:val="%1."/>
      <w:numFmt w:val="upperLetter"/>
      <w:start w:val="6"/>
    </w:lvl>
  </w:abstractNum>
  <w:abstractNum w:abstractNumId="92">
    <w:nsid w:val="69E373"/>
    <w:multiLevelType w:val="hybridMultilevel"/>
    <w:lvl w:ilvl="0">
      <w:lvlJc w:val="left"/>
      <w:lvlText w:val="%1."/>
      <w:numFmt w:val="upperLetter"/>
      <w:start w:val="8"/>
    </w:lvl>
  </w:abstractNum>
  <w:abstractNum w:abstractNumId="93">
    <w:nsid w:val="2C27173B"/>
    <w:multiLevelType w:val="hybridMultilevel"/>
    <w:lvl w:ilvl="0">
      <w:lvlJc w:val="left"/>
      <w:lvlText w:val="%1."/>
      <w:numFmt w:val="upperLetter"/>
      <w:start w:val="9"/>
    </w:lvl>
  </w:abstractNum>
  <w:abstractNum w:abstractNumId="94">
    <w:nsid w:val="4C9B0904"/>
    <w:multiLevelType w:val="hybridMultilevel"/>
    <w:lvl w:ilvl="0">
      <w:lvlJc w:val="left"/>
      <w:lvlText w:val="%1."/>
      <w:numFmt w:val="upperLetter"/>
      <w:start w:val="1"/>
    </w:lvl>
  </w:abstractNum>
  <w:abstractNum w:abstractNumId="95">
    <w:nsid w:val="6AA7B75C"/>
    <w:multiLevelType w:val="hybridMultilevel"/>
    <w:lvl w:ilvl="0">
      <w:lvlJc w:val="left"/>
      <w:lvlText w:val="%1."/>
      <w:numFmt w:val="decimal"/>
      <w:start w:val="2"/>
    </w:lvl>
  </w:abstractNum>
  <w:abstractNum w:abstractNumId="96">
    <w:nsid w:val="1DF029D3"/>
    <w:multiLevelType w:val="hybridMultilevel"/>
    <w:lvl w:ilvl="0">
      <w:lvlJc w:val="left"/>
      <w:lvlText w:val="%1."/>
      <w:numFmt w:val="decimal"/>
      <w:start w:val="3"/>
    </w:lvl>
  </w:abstractNum>
  <w:abstractNum w:abstractNumId="97">
    <w:nsid w:val="5675FF36"/>
    <w:multiLevelType w:val="hybridMultilevel"/>
    <w:lvl w:ilvl="0">
      <w:lvlJc w:val="left"/>
      <w:lvlText w:val="%1."/>
      <w:numFmt w:val="decimal"/>
      <w:start w:val="4"/>
    </w:lvl>
  </w:abstractNum>
  <w:abstractNum w:abstractNumId="98">
    <w:nsid w:val="3DD15094"/>
    <w:multiLevelType w:val="hybridMultilevel"/>
    <w:lvl w:ilvl="0">
      <w:lvlJc w:val="left"/>
      <w:lvlText w:val="%1."/>
      <w:numFmt w:val="upperLetter"/>
      <w:start w:val="2"/>
    </w:lvl>
  </w:abstractNum>
  <w:abstractNum w:abstractNumId="99">
    <w:nsid w:val="3DB012B3"/>
    <w:multiLevelType w:val="hybridMultilevel"/>
    <w:lvl w:ilvl="0">
      <w:lvlJc w:val="left"/>
      <w:lvlText w:val="%1."/>
      <w:numFmt w:val="upperLetter"/>
      <w:start w:val="3"/>
    </w:lvl>
  </w:abstractNum>
  <w:abstractNum w:abstractNumId="100">
    <w:nsid w:val="2708C9AF"/>
    <w:multiLevelType w:val="hybridMultilevel"/>
    <w:lvl w:ilvl="0">
      <w:lvlJc w:val="left"/>
      <w:lvlText w:val="%1."/>
      <w:numFmt w:val="upperLetter"/>
      <w:start w:val="4"/>
    </w:lvl>
  </w:abstractNum>
  <w:abstractNum w:abstractNumId="101">
    <w:nsid w:val="5B25ACE2"/>
    <w:multiLevelType w:val="hybridMultilevel"/>
    <w:lvl w:ilvl="0">
      <w:lvlJc w:val="left"/>
      <w:lvlText w:val="%1."/>
      <w:numFmt w:val="upperLetter"/>
      <w:start w:val="1"/>
    </w:lvl>
    <w:lvl w:ilvl="1">
      <w:lvlJc w:val="left"/>
      <w:lvlText w:val="%2."/>
      <w:numFmt w:val="decimal"/>
      <w:start w:val="1"/>
    </w:lvl>
  </w:abstractNum>
  <w:abstractNum w:abstractNumId="102">
    <w:nsid w:val="175DFCF0"/>
    <w:multiLevelType w:val="hybridMultilevel"/>
    <w:lvl w:ilvl="0">
      <w:lvlJc w:val="left"/>
      <w:lvlText w:val="%1."/>
      <w:numFmt w:val="decimal"/>
      <w:start w:val="4"/>
    </w:lvl>
  </w:abstractNum>
  <w:abstractNum w:abstractNumId="103">
    <w:nsid w:val="4F97E3E4"/>
    <w:multiLevelType w:val="hybridMultilevel"/>
    <w:lvl w:ilvl="0">
      <w:lvlJc w:val="left"/>
      <w:lvlText w:val="%1"/>
      <w:numFmt w:val="upperLetter"/>
      <w:start w:val="1"/>
    </w:lvl>
    <w:lvl w:ilvl="1">
      <w:lvlJc w:val="left"/>
      <w:lvlText w:val="%2."/>
      <w:numFmt w:val="decimal"/>
      <w:start w:val="12"/>
    </w:lvl>
  </w:abstractNum>
  <w:abstractNum w:abstractNumId="104">
    <w:nsid w:val="53B0A9E"/>
    <w:multiLevelType w:val="hybridMultilevel"/>
    <w:lvl w:ilvl="0">
      <w:lvlJc w:val="left"/>
      <w:lvlText w:val="%1."/>
      <w:numFmt w:val="upperLetter"/>
      <w:start w:val="3"/>
    </w:lvl>
    <w:lvl w:ilvl="1">
      <w:lvlJc w:val="left"/>
      <w:lvlText w:val="%2"/>
      <w:numFmt w:val="decimal"/>
      <w:start w:val="1"/>
    </w:lvl>
  </w:abstractNum>
  <w:abstractNum w:abstractNumId="105">
    <w:nsid w:val="34FD6B4F"/>
    <w:multiLevelType w:val="hybridMultilevel"/>
    <w:lvl w:ilvl="0">
      <w:lvlJc w:val="left"/>
      <w:lvlText w:val="%1."/>
      <w:numFmt w:val="upperLetter"/>
      <w:start w:val="4"/>
    </w:lvl>
  </w:abstractNum>
  <w:abstractNum w:abstractNumId="106">
    <w:nsid w:val="5915FF32"/>
    <w:multiLevelType w:val="hybridMultilevel"/>
    <w:lvl w:ilvl="0">
      <w:lvlJc w:val="left"/>
      <w:lvlText w:val="%1."/>
      <w:numFmt w:val="upperLetter"/>
      <w:start w:val="1"/>
    </w:lvl>
  </w:abstractNum>
  <w:abstractNum w:abstractNumId="107">
    <w:nsid w:val="56438D15"/>
    <w:multiLevelType w:val="hybridMultilevel"/>
    <w:lvl w:ilvl="0">
      <w:lvlJc w:val="left"/>
      <w:lvlText w:val="%1."/>
      <w:numFmt w:val="upperLetter"/>
      <w:start w:val="2"/>
    </w:lvl>
    <w:lvl w:ilvl="1">
      <w:lvlJc w:val="left"/>
      <w:lvlText w:val="%2."/>
      <w:numFmt w:val="decimal"/>
      <w:start w:val="1"/>
    </w:lvl>
  </w:abstractNum>
  <w:abstractNum w:abstractNumId="108">
    <w:nsid w:val="519E3149"/>
    <w:multiLevelType w:val="hybridMultilevel"/>
    <w:lvl w:ilvl="0">
      <w:lvlJc w:val="left"/>
      <w:lvlText w:val="%1."/>
      <w:numFmt w:val="decimal"/>
      <w:start w:val="2"/>
    </w:lvl>
  </w:abstractNum>
  <w:abstractNum w:abstractNumId="109">
    <w:nsid w:val="2C6E4AFD"/>
    <w:multiLevelType w:val="hybridMultilevel"/>
    <w:lvl w:ilvl="0">
      <w:lvlJc w:val="left"/>
      <w:lvlText w:val="%1."/>
      <w:numFmt w:val="upperLetter"/>
      <w:start w:val="3"/>
    </w:lvl>
  </w:abstractNum>
  <w:abstractNum w:abstractNumId="110">
    <w:nsid w:val="17A1B582"/>
    <w:multiLevelType w:val="hybridMultilevel"/>
    <w:lvl w:ilvl="0">
      <w:lvlJc w:val="left"/>
      <w:lvlText w:val="%1."/>
      <w:numFmt w:val="upperLetter"/>
      <w:start w:val="4"/>
    </w:lvl>
  </w:abstractNum>
  <w:abstractNum w:abstractNumId="111">
    <w:nsid w:val="4DF72E4E"/>
    <w:multiLevelType w:val="hybridMultilevel"/>
    <w:lvl w:ilvl="0">
      <w:lvlJc w:val="left"/>
      <w:lvlText w:val="%1."/>
      <w:numFmt w:val="upperLetter"/>
      <w:start w:val="5"/>
    </w:lvl>
  </w:abstractNum>
  <w:abstractNum w:abstractNumId="112">
    <w:nsid w:val="5046B5A9"/>
    <w:multiLevelType w:val="hybridMultilevel"/>
    <w:lvl w:ilvl="0">
      <w:lvlJc w:val="left"/>
      <w:lvlText w:val="%1."/>
      <w:numFmt w:val="upperLetter"/>
      <w:start w:val="6"/>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2"/>
    </w:lvl>
  </w:abstractNum>
  <w:abstractNum w:abstractNumId="115">
    <w:nsid w:val="5EC6AFD4"/>
    <w:multiLevelType w:val="hybridMultilevel"/>
    <w:lvl w:ilvl="0">
      <w:lvlJc w:val="left"/>
      <w:lvlText w:val="%1."/>
      <w:numFmt w:val="upperLetter"/>
      <w:start w:val="7"/>
    </w:lvl>
  </w:abstractNum>
  <w:abstractNum w:abstractNumId="116">
    <w:nsid w:val="19E21BB2"/>
    <w:multiLevelType w:val="hybridMultilevel"/>
    <w:lvl w:ilvl="0">
      <w:lvlJc w:val="left"/>
      <w:lvlText w:val="(%1)"/>
      <w:numFmt w:val="upperLetter"/>
      <w:start w:val="35"/>
    </w:lvl>
  </w:abstractNum>
  <w:abstractNum w:abstractNumId="117">
    <w:nsid w:val="75E0858A"/>
    <w:multiLevelType w:val="hybridMultilevel"/>
    <w:lvl w:ilvl="0">
      <w:lvlJc w:val="left"/>
      <w:lvlText w:val="(%1)"/>
      <w:numFmt w:val="upperLetter"/>
      <w:start w:val="61"/>
    </w:lvl>
  </w:abstractNum>
  <w:abstractNum w:abstractNumId="118">
    <w:nsid w:val="57A61A29"/>
    <w:multiLevelType w:val="hybridMultilevel"/>
    <w:lvl w:ilvl="0">
      <w:lvlJc w:val="left"/>
      <w:lvlText w:val="%1."/>
      <w:numFmt w:val="upperLetter"/>
      <w:start w:val="8"/>
    </w:lvl>
  </w:abstractNum>
  <w:abstractNum w:abstractNumId="119">
    <w:nsid w:val="5399C654"/>
    <w:multiLevelType w:val="hybridMultilevel"/>
    <w:lvl w:ilvl="0">
      <w:lvlJc w:val="left"/>
      <w:lvlText w:val="%1."/>
      <w:numFmt w:val="upperLetter"/>
      <w:start w:val="9"/>
    </w:lvl>
  </w:abstractNum>
  <w:abstractNum w:abstractNumId="120">
    <w:nsid w:val="20EE1348"/>
    <w:multiLevelType w:val="hybridMultilevel"/>
    <w:lvl w:ilvl="0">
      <w:lvlJc w:val="left"/>
      <w:lvlText w:val="%1."/>
      <w:numFmt w:val="upperLetter"/>
      <w:start w:val="10"/>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1."/>
      <w:numFmt w:val="decimal"/>
      <w:start w:val="5"/>
    </w:lvl>
  </w:abstractNum>
  <w:abstractNum w:abstractNumId="123">
    <w:nsid w:val="2157F6BC"/>
    <w:multiLevelType w:val="hybridMultilevel"/>
    <w:lvl w:ilvl="0">
      <w:lvlJc w:val="left"/>
      <w:lvlText w:val="%1."/>
      <w:numFmt w:val="upperLetter"/>
      <w:start w:val="1"/>
    </w:lvl>
  </w:abstractNum>
  <w:abstractNum w:abstractNumId="124">
    <w:nsid w:val="704E1DD5"/>
    <w:multiLevelType w:val="hybridMultilevel"/>
    <w:lvl w:ilvl="0">
      <w:lvlJc w:val="left"/>
      <w:lvlText w:val="%1."/>
      <w:numFmt w:val="upperLetter"/>
      <w:start w:val="3"/>
    </w:lvl>
  </w:abstractNum>
  <w:abstractNum w:abstractNumId="125">
    <w:nsid w:val="57D2F10E"/>
    <w:multiLevelType w:val="hybridMultilevel"/>
    <w:lvl w:ilvl="0">
      <w:lvlJc w:val="left"/>
      <w:lvlText w:val="%1."/>
      <w:numFmt w:val="upperLetter"/>
      <w:start w:val="4"/>
    </w:lvl>
  </w:abstractNum>
  <w:abstractNum w:abstractNumId="126">
    <w:nsid w:val="BFFAE18"/>
    <w:multiLevelType w:val="hybridMultilevel"/>
    <w:lvl w:ilvl="0">
      <w:lvlJc w:val="left"/>
      <w:lvlText w:val="%1."/>
      <w:numFmt w:val="upperLetter"/>
      <w:start w:val="5"/>
    </w:lvl>
  </w:abstractNum>
  <w:abstractNum w:abstractNumId="127">
    <w:nsid w:val="E3E47A8"/>
    <w:multiLevelType w:val="hybridMultilevel"/>
    <w:lvl w:ilvl="0">
      <w:lvlJc w:val="left"/>
      <w:lvlText w:val="%1."/>
      <w:numFmt w:val="upperLetter"/>
      <w:start w:val="6"/>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lowerLetter"/>
      <w:start w:val="2"/>
    </w:lvl>
  </w:abstractNum>
  <w:abstractNum w:abstractNumId="130">
    <w:nsid w:val="4BEE5A5B"/>
    <w:multiLevelType w:val="hybridMultilevel"/>
    <w:lvl w:ilvl="0">
      <w:lvlJc w:val="left"/>
      <w:lvlText w:val="%1."/>
      <w:numFmt w:val="upperLetter"/>
      <w:start w:val="7"/>
    </w:lvl>
  </w:abstractNum>
  <w:abstractNum w:abstractNumId="131">
    <w:nsid w:val="5551B9F3"/>
    <w:multiLevelType w:val="hybridMultilevel"/>
    <w:lvl w:ilvl="0">
      <w:lvlJc w:val="left"/>
      <w:lvlText w:val="%1."/>
      <w:numFmt w:val="upperLetter"/>
      <w:start w:val="8"/>
    </w:lvl>
  </w:abstractNum>
  <w:abstractNum w:abstractNumId="132">
    <w:nsid w:val="24F6AB8E"/>
    <w:multiLevelType w:val="hybridMultilevel"/>
    <w:lvl w:ilvl="0">
      <w:lvlJc w:val="left"/>
      <w:lvlText w:val="%1."/>
      <w:numFmt w:val="upperLetter"/>
      <w:start w:val="9"/>
    </w:lvl>
  </w:abstractNum>
  <w:abstractNum w:abstractNumId="133">
    <w:nsid w:val="634C574C"/>
    <w:multiLevelType w:val="hybridMultilevel"/>
    <w:lvl w:ilvl="0">
      <w:lvlJc w:val="left"/>
      <w:lvlText w:val="%1."/>
      <w:numFmt w:val="upperLetter"/>
      <w:start w:val="10"/>
    </w:lvl>
  </w:abstractNum>
  <w:abstractNum w:abstractNumId="134">
    <w:nsid w:val="24E99DD7"/>
    <w:multiLevelType w:val="hybridMultilevel"/>
    <w:lvl w:ilvl="0">
      <w:lvlJc w:val="left"/>
      <w:lvlText w:val="%1."/>
      <w:numFmt w:val="upperLetter"/>
      <w:start w:val="11"/>
    </w:lvl>
  </w:abstractNum>
  <w:abstractNum w:abstractNumId="135">
    <w:nsid w:val="2A31B62D"/>
    <w:multiLevelType w:val="hybridMultilevel"/>
    <w:lvl w:ilvl="0">
      <w:lvlJc w:val="left"/>
      <w:lvlText w:val="%1."/>
      <w:numFmt w:val="upperLetter"/>
      <w:start w:val="12"/>
    </w:lvl>
  </w:abstractNum>
  <w:abstractNum w:abstractNumId="136">
    <w:nsid w:val="1849C29B"/>
    <w:multiLevelType w:val="hybridMultilevel"/>
    <w:lvl w:ilvl="0">
      <w:lvlJc w:val="left"/>
      <w:lvlText w:val="%1."/>
      <w:numFmt w:val="upperLetter"/>
      <w:start w:val="13"/>
    </w:lvl>
  </w:abstractNum>
  <w:abstractNum w:abstractNumId="137">
    <w:nsid w:val="7DFF9D09"/>
    <w:multiLevelType w:val="hybridMultilevel"/>
    <w:lvl w:ilvl="0">
      <w:lvlJc w:val="left"/>
      <w:lvlText w:val="%1."/>
      <w:numFmt w:val="upperLetter"/>
      <w:start w:val="14"/>
    </w:lvl>
  </w:abstractNum>
  <w:abstractNum w:abstractNumId="138">
    <w:nsid w:val="754342"/>
    <w:multiLevelType w:val="hybridMultilevel"/>
    <w:lvl w:ilvl="0">
      <w:lvlJc w:val="left"/>
      <w:lvlText w:val="%1."/>
      <w:numFmt w:val="upperLetter"/>
      <w:start w:val="15"/>
    </w:lvl>
  </w:abstractNum>
  <w:abstractNum w:abstractNumId="139">
    <w:nsid w:val="69E7F3E5"/>
    <w:multiLevelType w:val="hybridMultilevel"/>
    <w:lvl w:ilvl="0">
      <w:lvlJc w:val="left"/>
      <w:lvlText w:val="%1."/>
      <w:numFmt w:val="upperLetter"/>
      <w:start w:val="16"/>
    </w:lvl>
  </w:abstractNum>
  <w:abstractNum w:abstractNumId="140">
    <w:nsid w:val="2A6DE806"/>
    <w:multiLevelType w:val="hybridMultilevel"/>
    <w:lvl w:ilvl="0">
      <w:lvlJc w:val="left"/>
      <w:lvlText w:val="%1."/>
      <w:numFmt w:val="upperLetter"/>
      <w:start w:val="17"/>
    </w:lvl>
  </w:abstractNum>
  <w:abstractNum w:abstractNumId="141">
    <w:nsid w:val="1816F8C4"/>
    <w:multiLevelType w:val="hybridMultilevel"/>
    <w:lvl w:ilvl="0">
      <w:lvlJc w:val="left"/>
      <w:lvlText w:val="%1."/>
      <w:numFmt w:val="upperLetter"/>
      <w:start w:val="18"/>
    </w:lvl>
  </w:abstractNum>
  <w:abstractNum w:abstractNumId="142">
    <w:nsid w:val="37DF2233"/>
    <w:multiLevelType w:val="hybridMultilevel"/>
    <w:lvl w:ilvl="0">
      <w:lvlJc w:val="left"/>
      <w:lvlText w:val="%1."/>
      <w:numFmt w:val="upp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2019-11-29T11:35:31Z</dcterms:created>
  <dcterms:modified xsi:type="dcterms:W3CDTF">2019-11-29T11:35:31Z</dcterms:modified>
</cp:coreProperties>
</file>