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246380</wp:posOffset>
            </wp:positionV>
            <wp:extent cx="118364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-2795905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-2350135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-1766570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-1320800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-875030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413"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-1030605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-584835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306705</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486410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529590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-195580</wp:posOffset>
            </wp:positionV>
            <wp:extent cx="33464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645" cy="22288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137795</wp:posOffset>
            </wp:positionV>
            <wp:extent cx="628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900"/>
        <w:spacing w:after="0"/>
        <w:rPr>
          <w:sz w:val="20"/>
          <w:szCs w:val="20"/>
          <w:color w:val="auto"/>
        </w:rPr>
      </w:pPr>
      <w:r>
        <w:rPr>
          <w:rFonts w:ascii="Arial" w:cs="Arial" w:eastAsia="Arial" w:hAnsi="Arial"/>
          <w:sz w:val="45"/>
          <w:szCs w:val="45"/>
          <w:b w:val="1"/>
          <w:bCs w:val="1"/>
          <w:color w:val="CA0538"/>
        </w:rPr>
        <w:t xml:space="preserve">PROXY STATEMENT </w:t>
      </w:r>
      <w:r>
        <w:rPr>
          <w:rFonts w:ascii="Arial" w:cs="Arial" w:eastAsia="Arial" w:hAnsi="Arial"/>
          <w:sz w:val="45"/>
          <w:szCs w:val="45"/>
          <w:color w:val="CA0538"/>
        </w:rPr>
        <w:t>2019</w:t>
      </w:r>
    </w:p>
    <w:p>
      <w:pPr>
        <w:spacing w:after="0" w:line="321"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NOTICE OF ANNUAL GENERAL</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29"/>
          <w:szCs w:val="29"/>
          <w:color w:val="CA0538"/>
        </w:rPr>
        <w:t>MEETING OF SHAREHOLDERS</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29"/>
          <w:szCs w:val="29"/>
          <w:b w:val="1"/>
          <w:bCs w:val="1"/>
          <w:color w:val="CA0538"/>
        </w:rPr>
        <w:t>To be held on June 25, 2019</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A0538"/>
        </w:rPr>
        <w:t>AGENDA ITEMS FOR YOUR VOTE</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00" w:type="dxa"/>
            <w:vAlign w:val="bottom"/>
          </w:tcPr>
          <w:p>
            <w:pPr>
              <w:ind w:left="60"/>
              <w:spacing w:after="0"/>
              <w:rPr>
                <w:sz w:val="20"/>
                <w:szCs w:val="20"/>
                <w:color w:val="auto"/>
              </w:rPr>
            </w:pPr>
            <w:r>
              <w:rPr>
                <w:rFonts w:ascii="Arial" w:cs="Arial" w:eastAsia="Arial" w:hAnsi="Arial"/>
                <w:sz w:val="15"/>
                <w:szCs w:val="15"/>
                <w:b w:val="1"/>
                <w:bCs w:val="1"/>
                <w:color w:val="575756"/>
              </w:rPr>
              <w:t>Board</w:t>
            </w:r>
          </w:p>
        </w:tc>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8"/>
        </w:trPr>
        <w:tc>
          <w:tcPr>
            <w:tcW w:w="2920" w:type="dxa"/>
            <w:vAlign w:val="bottom"/>
            <w:gridSpan w:val="3"/>
          </w:tcPr>
          <w:p>
            <w:pPr>
              <w:spacing w:after="0"/>
              <w:rPr>
                <w:sz w:val="20"/>
                <w:szCs w:val="20"/>
                <w:color w:val="auto"/>
              </w:rPr>
            </w:pPr>
            <w:r>
              <w:rPr>
                <w:rFonts w:ascii="Arial" w:cs="Arial" w:eastAsia="Arial" w:hAnsi="Arial"/>
                <w:sz w:val="15"/>
                <w:szCs w:val="15"/>
                <w:b w:val="1"/>
                <w:bCs w:val="1"/>
                <w:color w:val="575756"/>
              </w:rPr>
              <w:t>Items</w:t>
            </w:r>
          </w:p>
        </w:tc>
        <w:tc>
          <w:tcPr>
            <w:tcW w:w="2100" w:type="dxa"/>
            <w:vAlign w:val="bottom"/>
          </w:tcPr>
          <w:p>
            <w:pPr>
              <w:ind w:left="60"/>
              <w:spacing w:after="0"/>
              <w:rPr>
                <w:sz w:val="20"/>
                <w:szCs w:val="20"/>
                <w:color w:val="auto"/>
              </w:rPr>
            </w:pPr>
            <w:r>
              <w:rPr>
                <w:rFonts w:ascii="Arial" w:cs="Arial" w:eastAsia="Arial" w:hAnsi="Arial"/>
                <w:sz w:val="15"/>
                <w:szCs w:val="15"/>
                <w:b w:val="1"/>
                <w:bCs w:val="1"/>
                <w:color w:val="575756"/>
              </w:rPr>
              <w:t>Recommendation</w:t>
            </w:r>
          </w:p>
        </w:tc>
        <w:tc>
          <w:tcPr>
            <w:tcW w:w="5040" w:type="dxa"/>
            <w:vAlign w:val="bottom"/>
          </w:tcPr>
          <w:p>
            <w:pPr>
              <w:ind w:left="500"/>
              <w:spacing w:after="0"/>
              <w:rPr>
                <w:sz w:val="20"/>
                <w:szCs w:val="20"/>
                <w:color w:val="auto"/>
              </w:rPr>
            </w:pPr>
            <w:r>
              <w:rPr>
                <w:rFonts w:ascii="Arial" w:cs="Arial" w:eastAsia="Arial" w:hAnsi="Arial"/>
                <w:sz w:val="15"/>
                <w:szCs w:val="15"/>
                <w:b w:val="1"/>
                <w:bCs w:val="1"/>
                <w:color w:val="575756"/>
              </w:rPr>
              <w:t>Reason for Recommendation</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575756"/>
              </w:rPr>
              <w:t>Proxy Page</w:t>
            </w:r>
          </w:p>
        </w:tc>
      </w:tr>
      <w:tr>
        <w:trPr>
          <w:trHeight w:val="35"/>
        </w:trPr>
        <w:tc>
          <w:tcPr>
            <w:tcW w:w="200" w:type="dxa"/>
            <w:vAlign w:val="bottom"/>
            <w:tcBorders>
              <w:bottom w:val="single" w:sz="8" w:color="C6C6C6"/>
            </w:tcBorders>
            <w:gridSpan w:val="2"/>
          </w:tcPr>
          <w:p>
            <w:pPr>
              <w:spacing w:after="0"/>
              <w:rPr>
                <w:sz w:val="3"/>
                <w:szCs w:val="3"/>
                <w:color w:val="auto"/>
              </w:rPr>
            </w:pPr>
          </w:p>
        </w:tc>
        <w:tc>
          <w:tcPr>
            <w:tcW w:w="2720" w:type="dxa"/>
            <w:vAlign w:val="bottom"/>
            <w:tcBorders>
              <w:bottom w:val="single" w:sz="8" w:color="C6C6C6"/>
            </w:tcBorders>
          </w:tcPr>
          <w:p>
            <w:pPr>
              <w:spacing w:after="0"/>
              <w:rPr>
                <w:sz w:val="3"/>
                <w:szCs w:val="3"/>
                <w:color w:val="auto"/>
              </w:rPr>
            </w:pPr>
          </w:p>
        </w:tc>
        <w:tc>
          <w:tcPr>
            <w:tcW w:w="2100" w:type="dxa"/>
            <w:vAlign w:val="bottom"/>
            <w:tcBorders>
              <w:bottom w:val="single" w:sz="8" w:color="C6C6C6"/>
            </w:tcBorders>
          </w:tcPr>
          <w:p>
            <w:pPr>
              <w:spacing w:after="0"/>
              <w:rPr>
                <w:sz w:val="3"/>
                <w:szCs w:val="3"/>
                <w:color w:val="auto"/>
              </w:rPr>
            </w:pPr>
          </w:p>
        </w:tc>
        <w:tc>
          <w:tcPr>
            <w:tcW w:w="5040" w:type="dxa"/>
            <w:vAlign w:val="bottom"/>
            <w:tcBorders>
              <w:bottom w:val="single" w:sz="8" w:color="C6C6C6"/>
            </w:tcBorders>
          </w:tcPr>
          <w:p>
            <w:pPr>
              <w:spacing w:after="0"/>
              <w:rPr>
                <w:sz w:val="3"/>
                <w:szCs w:val="3"/>
                <w:color w:val="auto"/>
              </w:rPr>
            </w:pPr>
          </w:p>
        </w:tc>
        <w:tc>
          <w:tcPr>
            <w:tcW w:w="980" w:type="dxa"/>
            <w:vAlign w:val="bottom"/>
            <w:tcBorders>
              <w:bottom w:val="single" w:sz="8" w:color="C6C6C6"/>
            </w:tcBorders>
          </w:tcPr>
          <w:p>
            <w:pPr>
              <w:spacing w:after="0"/>
              <w:rPr>
                <w:sz w:val="3"/>
                <w:szCs w:val="3"/>
                <w:color w:val="auto"/>
              </w:rPr>
            </w:pPr>
          </w:p>
        </w:tc>
      </w:tr>
      <w:tr>
        <w:trPr>
          <w:trHeight w:val="236"/>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1.</w:t>
            </w:r>
          </w:p>
        </w:tc>
        <w:tc>
          <w:tcPr>
            <w:tcW w:w="2720" w:type="dxa"/>
            <w:vAlign w:val="bottom"/>
          </w:tcPr>
          <w:p>
            <w:pPr>
              <w:jc w:val="center"/>
              <w:spacing w:after="0"/>
              <w:rPr>
                <w:sz w:val="20"/>
                <w:szCs w:val="20"/>
                <w:color w:val="auto"/>
              </w:rPr>
            </w:pPr>
            <w:r>
              <w:rPr>
                <w:rFonts w:ascii="Arial" w:cs="Arial" w:eastAsia="Arial" w:hAnsi="Arial"/>
                <w:sz w:val="18"/>
                <w:szCs w:val="18"/>
                <w:color w:val="6B6B6B"/>
                <w:w w:val="94"/>
              </w:rPr>
              <w:t>Election of Directors</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its members collectively have the skills</w:t>
            </w:r>
          </w:p>
        </w:tc>
        <w:tc>
          <w:tcPr>
            <w:tcW w:w="980" w:type="dxa"/>
            <w:vAlign w:val="bottom"/>
          </w:tcPr>
          <w:p>
            <w:pPr>
              <w:jc w:val="right"/>
              <w:spacing w:after="0"/>
              <w:rPr>
                <w:sz w:val="20"/>
                <w:szCs w:val="20"/>
                <w:color w:val="auto"/>
              </w:rPr>
            </w:pPr>
            <w:r>
              <w:rPr>
                <w:rFonts w:ascii="Arial" w:cs="Arial" w:eastAsia="Arial" w:hAnsi="Arial"/>
                <w:sz w:val="18"/>
                <w:szCs w:val="18"/>
                <w:color w:val="6B6B6B"/>
              </w:rPr>
              <w:t>5</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jc w:val="center"/>
              <w:ind w:left="372"/>
              <w:spacing w:after="0"/>
              <w:rPr>
                <w:sz w:val="20"/>
                <w:szCs w:val="20"/>
                <w:color w:val="auto"/>
              </w:rPr>
            </w:pPr>
            <w:r>
              <w:rPr>
                <w:rFonts w:ascii="Arial" w:cs="Arial" w:eastAsia="Arial" w:hAnsi="Arial"/>
                <w:sz w:val="18"/>
                <w:szCs w:val="18"/>
                <w:color w:val="6B6B6B"/>
                <w:w w:val="81"/>
              </w:rPr>
              <w:t>each</w:t>
            </w:r>
          </w:p>
        </w:tc>
        <w:tc>
          <w:tcPr>
            <w:tcW w:w="5040" w:type="dxa"/>
            <w:vAlign w:val="bottom"/>
          </w:tcPr>
          <w:p>
            <w:pPr>
              <w:ind w:left="500"/>
              <w:spacing w:after="0"/>
              <w:rPr>
                <w:sz w:val="20"/>
                <w:szCs w:val="20"/>
                <w:color w:val="auto"/>
              </w:rPr>
            </w:pPr>
            <w:r>
              <w:rPr>
                <w:rFonts w:ascii="Arial" w:cs="Arial" w:eastAsia="Arial" w:hAnsi="Arial"/>
                <w:sz w:val="18"/>
                <w:szCs w:val="18"/>
                <w:color w:val="6B6B6B"/>
                <w:w w:val="92"/>
              </w:rPr>
              <w:t>and expertise needed to successfully continue to oversee the</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jc w:val="center"/>
              <w:ind w:left="352"/>
              <w:spacing w:after="0"/>
              <w:rPr>
                <w:sz w:val="20"/>
                <w:szCs w:val="20"/>
                <w:color w:val="auto"/>
              </w:rPr>
            </w:pPr>
            <w:r>
              <w:rPr>
                <w:rFonts w:ascii="Arial" w:cs="Arial" w:eastAsia="Arial" w:hAnsi="Arial"/>
                <w:sz w:val="18"/>
                <w:szCs w:val="18"/>
                <w:color w:val="6B6B6B"/>
                <w:w w:val="89"/>
              </w:rPr>
              <w:t>nominee</w:t>
            </w:r>
          </w:p>
        </w:tc>
        <w:tc>
          <w:tcPr>
            <w:tcW w:w="5040" w:type="dxa"/>
            <w:vAlign w:val="bottom"/>
          </w:tcPr>
          <w:p>
            <w:pPr>
              <w:ind w:left="500"/>
              <w:spacing w:after="0"/>
              <w:rPr>
                <w:sz w:val="20"/>
                <w:szCs w:val="20"/>
                <w:color w:val="auto"/>
              </w:rPr>
            </w:pPr>
            <w:r>
              <w:rPr>
                <w:rFonts w:ascii="Arial" w:cs="Arial" w:eastAsia="Arial" w:hAnsi="Arial"/>
                <w:sz w:val="18"/>
                <w:szCs w:val="18"/>
                <w:color w:val="6B6B6B"/>
              </w:rPr>
              <w:t>implementation of Weatherford’s strategic plan for the</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w w:val="95"/>
              </w:rPr>
              <w:t>benefit of shareholders, employees, and other stakeholders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2.</w:t>
            </w:r>
          </w:p>
        </w:tc>
        <w:tc>
          <w:tcPr>
            <w:tcW w:w="2720" w:type="dxa"/>
            <w:vAlign w:val="bottom"/>
          </w:tcPr>
          <w:p>
            <w:pPr>
              <w:jc w:val="center"/>
              <w:spacing w:after="0"/>
              <w:rPr>
                <w:sz w:val="20"/>
                <w:szCs w:val="20"/>
                <w:color w:val="auto"/>
              </w:rPr>
            </w:pPr>
            <w:r>
              <w:rPr>
                <w:rFonts w:ascii="Arial" w:cs="Arial" w:eastAsia="Arial" w:hAnsi="Arial"/>
                <w:sz w:val="18"/>
                <w:szCs w:val="18"/>
                <w:color w:val="6B6B6B"/>
                <w:w w:val="93"/>
              </w:rPr>
              <w:t>Ratify Appointment of Independent</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Based on the recommendation of the audit committee</w:t>
            </w:r>
          </w:p>
        </w:tc>
        <w:tc>
          <w:tcPr>
            <w:tcW w:w="980" w:type="dxa"/>
            <w:vAlign w:val="bottom"/>
          </w:tcPr>
          <w:p>
            <w:pPr>
              <w:jc w:val="right"/>
              <w:spacing w:after="0"/>
              <w:rPr>
                <w:sz w:val="20"/>
                <w:szCs w:val="20"/>
                <w:color w:val="auto"/>
              </w:rPr>
            </w:pPr>
            <w:r>
              <w:rPr>
                <w:rFonts w:ascii="Arial" w:cs="Arial" w:eastAsia="Arial" w:hAnsi="Arial"/>
                <w:sz w:val="18"/>
                <w:szCs w:val="18"/>
                <w:color w:val="6B6B6B"/>
              </w:rPr>
              <w:t>18</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jc w:val="center"/>
              <w:spacing w:after="0"/>
              <w:rPr>
                <w:sz w:val="20"/>
                <w:szCs w:val="20"/>
                <w:color w:val="auto"/>
              </w:rPr>
            </w:pPr>
            <w:r>
              <w:rPr>
                <w:rFonts w:ascii="Arial" w:cs="Arial" w:eastAsia="Arial" w:hAnsi="Arial"/>
                <w:sz w:val="18"/>
                <w:szCs w:val="18"/>
                <w:color w:val="6B6B6B"/>
                <w:w w:val="96"/>
              </w:rPr>
              <w:t>Auditors</w:t>
            </w: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spacing w:after="0"/>
              <w:rPr>
                <w:sz w:val="20"/>
                <w:szCs w:val="20"/>
                <w:color w:val="auto"/>
              </w:rPr>
            </w:pP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3.</w:t>
            </w: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Approve Executive Compensation</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Weatherford’s executive compensation</w:t>
            </w:r>
          </w:p>
        </w:tc>
        <w:tc>
          <w:tcPr>
            <w:tcW w:w="980" w:type="dxa"/>
            <w:vAlign w:val="bottom"/>
          </w:tcPr>
          <w:p>
            <w:pPr>
              <w:jc w:val="right"/>
              <w:spacing w:after="0"/>
              <w:rPr>
                <w:sz w:val="20"/>
                <w:szCs w:val="20"/>
                <w:color w:val="auto"/>
              </w:rPr>
            </w:pPr>
            <w:r>
              <w:rPr>
                <w:rFonts w:ascii="Arial" w:cs="Arial" w:eastAsia="Arial" w:hAnsi="Arial"/>
                <w:sz w:val="18"/>
                <w:szCs w:val="18"/>
                <w:color w:val="6B6B6B"/>
              </w:rPr>
              <w:t>20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program effectively aligns executive compensation with</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performance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4.</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Reverse Stock Split</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the approval of this agenda item</w:t>
            </w:r>
          </w:p>
        </w:tc>
        <w:tc>
          <w:tcPr>
            <w:tcW w:w="980" w:type="dxa"/>
            <w:vAlign w:val="bottom"/>
          </w:tcPr>
          <w:p>
            <w:pPr>
              <w:jc w:val="right"/>
              <w:spacing w:after="0"/>
              <w:rPr>
                <w:sz w:val="20"/>
                <w:szCs w:val="20"/>
                <w:color w:val="auto"/>
              </w:rPr>
            </w:pPr>
            <w:r>
              <w:rPr>
                <w:rFonts w:ascii="Arial" w:cs="Arial" w:eastAsia="Arial" w:hAnsi="Arial"/>
                <w:sz w:val="18"/>
                <w:szCs w:val="18"/>
                <w:color w:val="6B6B6B"/>
              </w:rPr>
              <w:t>40</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enhances the Company’s position to reduce the risk of</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NYSE delisting, to increase eligible investor, analyst and</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broker interest, and to decrease transaction costs to</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shareholders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5.</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Authorized Share Increase</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w w:val="96"/>
              </w:rPr>
              <w:t>The Board believes an increase of authorized share capital</w:t>
            </w:r>
          </w:p>
        </w:tc>
        <w:tc>
          <w:tcPr>
            <w:tcW w:w="980" w:type="dxa"/>
            <w:vAlign w:val="bottom"/>
          </w:tcPr>
          <w:p>
            <w:pPr>
              <w:jc w:val="right"/>
              <w:spacing w:after="0"/>
              <w:rPr>
                <w:sz w:val="20"/>
                <w:szCs w:val="20"/>
                <w:color w:val="auto"/>
              </w:rPr>
            </w:pPr>
            <w:r>
              <w:rPr>
                <w:rFonts w:ascii="Arial" w:cs="Arial" w:eastAsia="Arial" w:hAnsi="Arial"/>
                <w:sz w:val="18"/>
                <w:szCs w:val="18"/>
                <w:color w:val="6B6B6B"/>
              </w:rPr>
              <w:t>46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will provide the Company with greater flexibility in</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considering and planning for future corporate needs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6.</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Authority to Issue Shares</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As required under Irish law for Irish public limited</w:t>
            </w:r>
          </w:p>
        </w:tc>
        <w:tc>
          <w:tcPr>
            <w:tcW w:w="980" w:type="dxa"/>
            <w:vAlign w:val="bottom"/>
          </w:tcPr>
          <w:p>
            <w:pPr>
              <w:jc w:val="right"/>
              <w:spacing w:after="0"/>
              <w:rPr>
                <w:sz w:val="20"/>
                <w:szCs w:val="20"/>
                <w:color w:val="auto"/>
              </w:rPr>
            </w:pPr>
            <w:r>
              <w:rPr>
                <w:rFonts w:ascii="Arial" w:cs="Arial" w:eastAsia="Arial" w:hAnsi="Arial"/>
                <w:sz w:val="18"/>
                <w:szCs w:val="18"/>
                <w:color w:val="6B6B6B"/>
              </w:rPr>
              <w:t>47</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companies and consistent with Irish market practice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7.</w:t>
            </w: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Power to Opt-Out of Preemption</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As required under Irish law for Irish public limited</w:t>
            </w:r>
          </w:p>
        </w:tc>
        <w:tc>
          <w:tcPr>
            <w:tcW w:w="980" w:type="dxa"/>
            <w:vAlign w:val="bottom"/>
          </w:tcPr>
          <w:p>
            <w:pPr>
              <w:jc w:val="right"/>
              <w:spacing w:after="0"/>
              <w:rPr>
                <w:sz w:val="20"/>
                <w:szCs w:val="20"/>
                <w:color w:val="auto"/>
              </w:rPr>
            </w:pPr>
            <w:r>
              <w:rPr>
                <w:rFonts w:ascii="Arial" w:cs="Arial" w:eastAsia="Arial" w:hAnsi="Arial"/>
                <w:sz w:val="18"/>
                <w:szCs w:val="18"/>
                <w:color w:val="6B6B6B"/>
              </w:rPr>
              <w:t>48</w:t>
            </w: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jc w:val="center"/>
              <w:spacing w:after="0"/>
              <w:rPr>
                <w:sz w:val="20"/>
                <w:szCs w:val="20"/>
                <w:color w:val="auto"/>
              </w:rPr>
            </w:pPr>
            <w:r>
              <w:rPr>
                <w:rFonts w:ascii="Arial" w:cs="Arial" w:eastAsia="Arial" w:hAnsi="Arial"/>
                <w:sz w:val="18"/>
                <w:szCs w:val="18"/>
                <w:color w:val="6B6B6B"/>
                <w:w w:val="93"/>
              </w:rPr>
              <w:t>Rights</w:t>
            </w: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companies and consistent with Irish market practice</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8.</w:t>
            </w:r>
          </w:p>
        </w:tc>
        <w:tc>
          <w:tcPr>
            <w:tcW w:w="2720" w:type="dxa"/>
            <w:vAlign w:val="bottom"/>
          </w:tcPr>
          <w:p>
            <w:pPr>
              <w:jc w:val="center"/>
              <w:spacing w:after="0"/>
              <w:rPr>
                <w:sz w:val="20"/>
                <w:szCs w:val="20"/>
                <w:color w:val="auto"/>
              </w:rPr>
            </w:pPr>
            <w:r>
              <w:rPr>
                <w:rFonts w:ascii="Arial" w:cs="Arial" w:eastAsia="Arial" w:hAnsi="Arial"/>
                <w:sz w:val="18"/>
                <w:szCs w:val="18"/>
                <w:color w:val="6B6B6B"/>
                <w:w w:val="89"/>
              </w:rPr>
              <w:t>Approve Amended and Restated</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an amendment and restatement to</w:t>
            </w:r>
          </w:p>
        </w:tc>
        <w:tc>
          <w:tcPr>
            <w:tcW w:w="980" w:type="dxa"/>
            <w:vAlign w:val="bottom"/>
          </w:tcPr>
          <w:p>
            <w:pPr>
              <w:jc w:val="right"/>
              <w:spacing w:after="0"/>
              <w:rPr>
                <w:sz w:val="20"/>
                <w:szCs w:val="20"/>
                <w:color w:val="auto"/>
              </w:rPr>
            </w:pPr>
            <w:r>
              <w:rPr>
                <w:rFonts w:ascii="Arial" w:cs="Arial" w:eastAsia="Arial" w:hAnsi="Arial"/>
                <w:sz w:val="18"/>
                <w:szCs w:val="18"/>
                <w:color w:val="6B6B6B"/>
              </w:rPr>
              <w:t>49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2010 Omnibus Plan</w:t>
            </w: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increase the number of shares available under the plan</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provides incentive opportunities to our officers, directors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w w:val="98"/>
              </w:rPr>
              <w:t>and employees to align their interests with the interests of</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our shareholders</w:t>
            </w:r>
          </w:p>
        </w:tc>
        <w:tc>
          <w:tcPr>
            <w:tcW w:w="980" w:type="dxa"/>
            <w:vAlign w:val="bottom"/>
            <w:tcBorders>
              <w:bottom w:val="single" w:sz="8" w:color="C6C6C6"/>
            </w:tcBorders>
          </w:tcPr>
          <w:p>
            <w:pPr>
              <w:spacing w:after="0"/>
              <w:rPr>
                <w:sz w:val="20"/>
                <w:szCs w:val="20"/>
                <w:color w:val="auto"/>
              </w:rPr>
            </w:pPr>
          </w:p>
        </w:tc>
      </w:tr>
      <w:tr>
        <w:trPr>
          <w:trHeight w:val="242"/>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9.</w:t>
            </w:r>
          </w:p>
        </w:tc>
        <w:tc>
          <w:tcPr>
            <w:tcW w:w="2720" w:type="dxa"/>
            <w:vAlign w:val="bottom"/>
          </w:tcPr>
          <w:p>
            <w:pPr>
              <w:jc w:val="center"/>
              <w:spacing w:after="0"/>
              <w:rPr>
                <w:sz w:val="20"/>
                <w:szCs w:val="20"/>
                <w:color w:val="auto"/>
              </w:rPr>
            </w:pPr>
            <w:r>
              <w:rPr>
                <w:rFonts w:ascii="Arial" w:cs="Arial" w:eastAsia="Arial" w:hAnsi="Arial"/>
                <w:sz w:val="18"/>
                <w:szCs w:val="18"/>
                <w:color w:val="6B6B6B"/>
                <w:w w:val="90"/>
              </w:rPr>
              <w:t>Approve Employee Stock Purchase</w:t>
            </w:r>
          </w:p>
        </w:tc>
        <w:tc>
          <w:tcPr>
            <w:tcW w:w="2100" w:type="dxa"/>
            <w:vAlign w:val="bottom"/>
          </w:tcPr>
          <w:p>
            <w:pPr>
              <w:jc w:val="center"/>
              <w:ind w:left="352"/>
              <w:spacing w:after="0"/>
              <w:rPr>
                <w:sz w:val="20"/>
                <w:szCs w:val="20"/>
                <w:color w:val="auto"/>
              </w:rPr>
            </w:pPr>
            <w:r>
              <w:rPr>
                <w:rFonts w:ascii="Arial" w:cs="Arial" w:eastAsia="Arial" w:hAnsi="Arial"/>
                <w:sz w:val="18"/>
                <w:szCs w:val="18"/>
                <w:b w:val="1"/>
                <w:bCs w:val="1"/>
                <w:color w:val="CA0538"/>
                <w:w w:val="99"/>
              </w:rPr>
              <w:t>FOR</w:t>
            </w:r>
          </w:p>
        </w:tc>
        <w:tc>
          <w:tcPr>
            <w:tcW w:w="5040" w:type="dxa"/>
            <w:vAlign w:val="bottom"/>
          </w:tcPr>
          <w:p>
            <w:pPr>
              <w:ind w:left="500"/>
              <w:spacing w:after="0"/>
              <w:rPr>
                <w:sz w:val="20"/>
                <w:szCs w:val="20"/>
                <w:color w:val="auto"/>
              </w:rPr>
            </w:pPr>
            <w:r>
              <w:rPr>
                <w:rFonts w:ascii="Arial" w:cs="Arial" w:eastAsia="Arial" w:hAnsi="Arial"/>
                <w:sz w:val="18"/>
                <w:szCs w:val="18"/>
                <w:color w:val="6B6B6B"/>
              </w:rPr>
              <w:t>The Board believes that adding additional shares to the</w:t>
            </w:r>
          </w:p>
        </w:tc>
        <w:tc>
          <w:tcPr>
            <w:tcW w:w="980" w:type="dxa"/>
            <w:vAlign w:val="bottom"/>
          </w:tcPr>
          <w:p>
            <w:pPr>
              <w:jc w:val="right"/>
              <w:spacing w:after="0"/>
              <w:rPr>
                <w:sz w:val="20"/>
                <w:szCs w:val="20"/>
                <w:color w:val="auto"/>
              </w:rPr>
            </w:pPr>
            <w:r>
              <w:rPr>
                <w:rFonts w:ascii="Arial" w:cs="Arial" w:eastAsia="Arial" w:hAnsi="Arial"/>
                <w:sz w:val="18"/>
                <w:szCs w:val="18"/>
                <w:color w:val="6B6B6B"/>
              </w:rPr>
              <w:t>56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6B6B6B"/>
                <w:w w:val="91"/>
              </w:rPr>
              <w:t>Plan Amendment</w:t>
            </w: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Weatherford Employee Stock Purchase Plan (ESPP) is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w w:val="97"/>
              </w:rPr>
              <w:t>necessary to continue to provide an ownership culture that</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fosters strong engagement from all of our employees,</w:t>
            </w: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ind w:left="500"/>
              <w:spacing w:after="0"/>
              <w:rPr>
                <w:sz w:val="20"/>
                <w:szCs w:val="20"/>
                <w:color w:val="auto"/>
              </w:rPr>
            </w:pPr>
            <w:r>
              <w:rPr>
                <w:rFonts w:ascii="Arial" w:cs="Arial" w:eastAsia="Arial" w:hAnsi="Arial"/>
                <w:sz w:val="18"/>
                <w:szCs w:val="18"/>
                <w:color w:val="6B6B6B"/>
              </w:rPr>
              <w:t>thereby contributing to improved performance for</w:t>
            </w:r>
          </w:p>
        </w:tc>
        <w:tc>
          <w:tcPr>
            <w:tcW w:w="9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720" w:type="dxa"/>
            <w:vAlign w:val="bottom"/>
            <w:tcBorders>
              <w:bottom w:val="single" w:sz="8" w:color="C6C6C6"/>
            </w:tcBorders>
          </w:tcPr>
          <w:p>
            <w:pPr>
              <w:spacing w:after="0"/>
              <w:rPr>
                <w:sz w:val="20"/>
                <w:szCs w:val="20"/>
                <w:color w:val="auto"/>
              </w:rPr>
            </w:pPr>
          </w:p>
        </w:tc>
        <w:tc>
          <w:tcPr>
            <w:tcW w:w="2100" w:type="dxa"/>
            <w:vAlign w:val="bottom"/>
            <w:tcBorders>
              <w:bottom w:val="single" w:sz="8" w:color="C6C6C6"/>
            </w:tcBorders>
          </w:tcPr>
          <w:p>
            <w:pPr>
              <w:spacing w:after="0"/>
              <w:rPr>
                <w:sz w:val="20"/>
                <w:szCs w:val="20"/>
                <w:color w:val="auto"/>
              </w:rPr>
            </w:pPr>
          </w:p>
        </w:tc>
        <w:tc>
          <w:tcPr>
            <w:tcW w:w="5040" w:type="dxa"/>
            <w:vAlign w:val="bottom"/>
            <w:tcBorders>
              <w:bottom w:val="single" w:sz="8" w:color="C6C6C6"/>
            </w:tcBorders>
          </w:tcPr>
          <w:p>
            <w:pPr>
              <w:ind w:left="500"/>
              <w:spacing w:after="0"/>
              <w:rPr>
                <w:sz w:val="20"/>
                <w:szCs w:val="20"/>
                <w:color w:val="auto"/>
              </w:rPr>
            </w:pPr>
            <w:r>
              <w:rPr>
                <w:rFonts w:ascii="Arial" w:cs="Arial" w:eastAsia="Arial" w:hAnsi="Arial"/>
                <w:sz w:val="18"/>
                <w:szCs w:val="18"/>
                <w:color w:val="6B6B6B"/>
              </w:rPr>
              <w:t>Weatherford shareholders and customers</w:t>
            </w:r>
          </w:p>
        </w:tc>
        <w:tc>
          <w:tcPr>
            <w:tcW w:w="980" w:type="dxa"/>
            <w:vAlign w:val="bottom"/>
            <w:tcBorders>
              <w:bottom w:val="single" w:sz="8" w:color="C6C6C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6997700" cy="711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711835"/>
                    </a:xfrm>
                    <a:prstGeom prst="rect">
                      <a:avLst/>
                    </a:prstGeom>
                    <a:noFill/>
                  </pic:spPr>
                </pic:pic>
              </a:graphicData>
            </a:graphic>
          </wp:anchor>
        </w:drawing>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FFFFFF"/>
        </w:rPr>
        <w:t>VOTING DEADLINE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FFFFFF"/>
        </w:rPr>
        <w:t>5:59 a.m. Central European Time on June 24, 2019 (11:59 p.m. Eastern Time on June 23, 2019)</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34"/>
          <w:szCs w:val="34"/>
          <w:color w:val="575756"/>
        </w:rPr>
        <w:t>Voting instructions for shareholders of record and beneficial shareholders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color w:val="575756"/>
        </w:rPr>
        <w:t>You may vote using one of the following options. In all cases, have your proxy card or voting instructions form in hand and follow the instructions.</w:t>
      </w:r>
    </w:p>
    <w:p>
      <w:pPr>
        <w:sectPr>
          <w:pgSz w:w="11900" w:h="16838" w:orient="portrait"/>
          <w:cols w:equalWidth="0" w:num="1">
            <w:col w:w="11240"/>
          </w:cols>
          <w:pgMar w:left="240" w:top="459" w:right="419" w:bottom="638" w:gutter="0" w:footer="0" w:header="0"/>
        </w:sect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CA053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2101215" cy="1020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215" cy="1020445"/>
                    </a:xfrm>
                    <a:prstGeom prst="rect">
                      <a:avLst/>
                    </a:prstGeom>
                    <a:noFill/>
                  </pic:spPr>
                </pic:pic>
              </a:graphicData>
            </a:graphic>
          </wp:anchor>
        </w:drawing>
      </w:r>
    </w:p>
    <w:p>
      <w:pPr>
        <w:spacing w:after="0" w:line="83" w:lineRule="exact"/>
        <w:rPr>
          <w:sz w:val="20"/>
          <w:szCs w:val="20"/>
          <w:color w:val="auto"/>
        </w:rPr>
      </w:pPr>
    </w:p>
    <w:p>
      <w:pPr>
        <w:jc w:val="both"/>
        <w:ind w:left="1260" w:right="660"/>
        <w:spacing w:after="0" w:line="264" w:lineRule="auto"/>
        <w:rPr>
          <w:sz w:val="20"/>
          <w:szCs w:val="20"/>
          <w:color w:val="auto"/>
        </w:rPr>
      </w:pPr>
      <w:r>
        <w:rPr>
          <w:rFonts w:ascii="Arial" w:cs="Arial" w:eastAsia="Arial" w:hAnsi="Arial"/>
          <w:sz w:val="18"/>
          <w:szCs w:val="18"/>
          <w:color w:val="575756"/>
        </w:rPr>
        <w:t>Follow the instructions to mark, sign, and date your proxy card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-199390</wp:posOffset>
            </wp:positionV>
            <wp:extent cx="1818005" cy="1020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8005" cy="1020445"/>
                    </a:xfrm>
                    <a:prstGeom prst="rect">
                      <a:avLst/>
                    </a:prstGeom>
                    <a:noFill/>
                  </pic:spPr>
                </pic:pic>
              </a:graphicData>
            </a:graphic>
          </wp:anchor>
        </w:drawing>
      </w:r>
    </w:p>
    <w:p>
      <w:pPr>
        <w:spacing w:after="0" w:line="83" w:lineRule="exact"/>
        <w:rPr>
          <w:sz w:val="20"/>
          <w:szCs w:val="20"/>
          <w:color w:val="auto"/>
        </w:rPr>
      </w:pPr>
    </w:p>
    <w:p>
      <w:pPr>
        <w:ind w:right="1160"/>
        <w:spacing w:after="0" w:line="264" w:lineRule="auto"/>
        <w:rPr>
          <w:sz w:val="20"/>
          <w:szCs w:val="20"/>
          <w:color w:val="auto"/>
        </w:rPr>
      </w:pPr>
      <w:r>
        <w:rPr>
          <w:rFonts w:ascii="Arial" w:cs="Arial" w:eastAsia="Arial" w:hAnsi="Arial"/>
          <w:sz w:val="18"/>
          <w:szCs w:val="18"/>
          <w:color w:val="575756"/>
        </w:rPr>
        <w:t>Use any touch-tone telephone to transmit your voting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-199390</wp:posOffset>
            </wp:positionV>
            <wp:extent cx="2727325" cy="1020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7325" cy="1020445"/>
                    </a:xfrm>
                    <a:prstGeom prst="rect">
                      <a:avLst/>
                    </a:prstGeom>
                    <a:noFill/>
                  </pic:spPr>
                </pic:pic>
              </a:graphicData>
            </a:graphic>
          </wp:anchor>
        </w:drawing>
      </w:r>
    </w:p>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6B6B6B"/>
        </w:rPr>
        <w:t>Use the internet to transmit your voting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b w:val="1"/>
          <w:bCs w:val="1"/>
          <w:color w:val="CA0538"/>
        </w:rPr>
        <w:t>www.proxyvote.com</w:t>
      </w:r>
    </w:p>
    <w:p>
      <w:pPr>
        <w:spacing w:after="0" w:line="427" w:lineRule="exact"/>
        <w:rPr>
          <w:sz w:val="20"/>
          <w:szCs w:val="20"/>
          <w:color w:val="auto"/>
        </w:rPr>
      </w:pPr>
    </w:p>
    <w:p>
      <w:pPr>
        <w:sectPr>
          <w:pgSz w:w="11900" w:h="16838" w:orient="portrait"/>
          <w:cols w:equalWidth="0" w:num="3">
            <w:col w:w="3760" w:space="720"/>
            <w:col w:w="3300" w:space="720"/>
            <w:col w:w="2740"/>
          </w:cols>
          <w:pgMar w:left="240" w:top="459" w:right="419" w:bottom="638" w:gutter="0" w:footer="0" w:header="0"/>
          <w:type w:val="continuous"/>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36"/>
          <w:szCs w:val="36"/>
          <w:color w:val="575756"/>
        </w:rPr>
        <w:t>Shareholder Feedback</w:t>
      </w:r>
    </w:p>
    <w:p>
      <w:pPr>
        <w:spacing w:after="0" w:line="10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575756"/>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 w:cs="Arial" w:eastAsia="Arial" w:hAnsi="Arial"/>
          <w:sz w:val="18"/>
          <w:szCs w:val="18"/>
          <w:b w:val="1"/>
          <w:bCs w:val="1"/>
          <w:color w:val="575756"/>
        </w:rPr>
        <w:t>www.weatherfordannualmeeting.com</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90170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638" w:gutter="0" w:footer="0" w:header="0"/>
          <w:type w:val="continuous"/>
        </w:sectPr>
      </w:pPr>
    </w:p>
    <w:p>
      <w:pPr>
        <w:spacing w:after="0" w:line="281" w:lineRule="exact"/>
        <w:rPr>
          <w:sz w:val="20"/>
          <w:szCs w:val="20"/>
          <w:color w:val="auto"/>
        </w:rPr>
      </w:pPr>
    </w:p>
    <w:p>
      <w:pPr>
        <w:ind w:left="786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III</w:t>
      </w:r>
    </w:p>
    <w:p>
      <w:pPr>
        <w:sectPr>
          <w:pgSz w:w="11900" w:h="16838" w:orient="portrait"/>
          <w:cols w:equalWidth="0" w:num="1">
            <w:col w:w="11240"/>
          </w:cols>
          <w:pgMar w:left="240" w:top="459" w:right="419" w:bottom="63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right="3360"/>
        <w:spacing w:after="0" w:line="289" w:lineRule="auto"/>
        <w:rPr>
          <w:sz w:val="20"/>
          <w:szCs w:val="20"/>
          <w:color w:val="auto"/>
        </w:rPr>
      </w:pPr>
      <w:r>
        <w:rPr>
          <w:rFonts w:ascii="Arial" w:cs="Arial" w:eastAsia="Arial" w:hAnsi="Arial"/>
          <w:sz w:val="62"/>
          <w:szCs w:val="62"/>
          <w:color w:val="3C3C45"/>
        </w:rPr>
        <w:t xml:space="preserve">A MESSAGE FROM YOUR </w:t>
      </w:r>
      <w:r>
        <w:rPr>
          <w:rFonts w:ascii="Arial" w:cs="Arial" w:eastAsia="Arial" w:hAnsi="Arial"/>
          <w:sz w:val="62"/>
          <w:szCs w:val="62"/>
          <w:b w:val="1"/>
          <w:bCs w:val="1"/>
          <w:color w:val="3C3C45"/>
        </w:rPr>
        <w:t>BOARD OF DIRECTORS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38"/>
          <w:szCs w:val="38"/>
          <w:b w:val="1"/>
          <w:bCs w:val="1"/>
          <w:color w:val="CA0538"/>
        </w:rPr>
        <w:t>To Our Fellow Shareholders,</w:t>
      </w:r>
    </w:p>
    <w:p>
      <w:pPr>
        <w:spacing w:after="0" w:line="130" w:lineRule="exact"/>
        <w:rPr>
          <w:sz w:val="20"/>
          <w:szCs w:val="20"/>
          <w:color w:val="auto"/>
        </w:rPr>
      </w:pPr>
    </w:p>
    <w:p>
      <w:pPr>
        <w:ind w:left="200"/>
        <w:spacing w:after="0" w:line="244" w:lineRule="auto"/>
        <w:rPr>
          <w:sz w:val="20"/>
          <w:szCs w:val="20"/>
          <w:color w:val="auto"/>
        </w:rPr>
      </w:pPr>
      <w:r>
        <w:rPr>
          <w:rFonts w:ascii="Arial" w:cs="Arial" w:eastAsia="Arial" w:hAnsi="Arial"/>
          <w:sz w:val="20"/>
          <w:szCs w:val="20"/>
          <w:color w:val="575756"/>
        </w:rPr>
        <w:t>Throughout 2018, we worked to transform our organization and build momentum toward profitable growth. In the midst of volatility in the energy sector as well as the stock market, we maintained our resolve: with challenges come opportunities. Our transformation initiative — including innovative new technologies, our newly articulated flawless execution standard and our One Weatherford culture of employee engagement — is impacting every aspect of our company. Every action is focused on satisfying customer needs, delivering improved financial results and creating long-term value for all of our stakeholders.</w:t>
      </w:r>
    </w:p>
    <w:p>
      <w:pPr>
        <w:sectPr>
          <w:pgSz w:w="11900" w:h="16838" w:orient="portrait"/>
          <w:cols w:equalWidth="0" w:num="1">
            <w:col w:w="11220"/>
          </w:cols>
          <w:pgMar w:left="240" w:top="459" w:right="439" w:bottom="1440" w:gutter="0" w:footer="0" w:header="0"/>
        </w:sectPr>
      </w:pPr>
    </w:p>
    <w:p>
      <w:pPr>
        <w:spacing w:after="0" w:line="165"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Industry Challenges</w:t>
      </w:r>
    </w:p>
    <w:p>
      <w:pPr>
        <w:spacing w:after="0" w:line="160" w:lineRule="exact"/>
        <w:rPr>
          <w:sz w:val="20"/>
          <w:szCs w:val="20"/>
          <w:color w:val="auto"/>
        </w:rPr>
      </w:pPr>
    </w:p>
    <w:p>
      <w:pPr>
        <w:ind w:left="200"/>
        <w:spacing w:after="0" w:line="272" w:lineRule="auto"/>
        <w:rPr>
          <w:sz w:val="20"/>
          <w:szCs w:val="20"/>
          <w:color w:val="auto"/>
        </w:rPr>
      </w:pPr>
      <w:r>
        <w:rPr>
          <w:rFonts w:ascii="Arial" w:cs="Arial" w:eastAsia="Arial" w:hAnsi="Arial"/>
          <w:sz w:val="18"/>
          <w:szCs w:val="18"/>
          <w:color w:val="575756"/>
        </w:rPr>
        <w:t>While we have remained focused on our strategic priorities, the market has been reacting to external factors outside of our control. The dramatic decline in oil prices, particularly in the last three months of 2018, negatively impacted our sector’s stock performance. Concerns and uncertainty around global trade, interest rates, and political issues in the U.S. and abroad also weighed on stocks. Despite these circumstances, our operational changes have already led to significant EBITDA improvements, and we believe they are the right actions for long-term success.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Transformation Successes</w:t>
      </w:r>
    </w:p>
    <w:p>
      <w:pPr>
        <w:spacing w:after="0" w:line="147" w:lineRule="exact"/>
        <w:rPr>
          <w:sz w:val="20"/>
          <w:szCs w:val="20"/>
          <w:color w:val="auto"/>
        </w:rPr>
      </w:pPr>
    </w:p>
    <w:p>
      <w:pPr>
        <w:ind w:left="200" w:right="180"/>
        <w:spacing w:after="0" w:line="260" w:lineRule="auto"/>
        <w:rPr>
          <w:sz w:val="20"/>
          <w:szCs w:val="20"/>
          <w:color w:val="auto"/>
        </w:rPr>
      </w:pPr>
      <w:r>
        <w:rPr>
          <w:rFonts w:ascii="Arial" w:cs="Arial" w:eastAsia="Arial" w:hAnsi="Arial"/>
          <w:sz w:val="19"/>
          <w:szCs w:val="19"/>
          <w:color w:val="575756"/>
        </w:rPr>
        <w:t>We made significant progress with our transformation plan. The total recurring transformation benefits recognized in the fourth quarter of 2018 were nearly $100 million, or $400 million on an annualized basis, which represents 40% of the $1 billion target. For the full year, we grew</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9"/>
          <w:szCs w:val="19"/>
          <w:color w:val="575756"/>
        </w:rPr>
        <w:t>adjusted EBITDA</w:t>
      </w:r>
      <w:r>
        <w:rPr>
          <w:rFonts w:ascii="Arial" w:cs="Arial" w:eastAsia="Arial" w:hAnsi="Arial"/>
          <w:sz w:val="15"/>
          <w:szCs w:val="15"/>
          <w:color w:val="575756"/>
        </w:rPr>
        <w:t>1</w:t>
      </w:r>
      <w:r>
        <w:rPr>
          <w:rFonts w:ascii="Arial" w:cs="Arial" w:eastAsia="Arial" w:hAnsi="Arial"/>
          <w:sz w:val="19"/>
          <w:szCs w:val="19"/>
          <w:color w:val="575756"/>
        </w:rPr>
        <w:t xml:space="preserve"> by more than $330 million, or 80% compared to 2017 levels. Based on the work we have completed on specific transformation initiatives, we expect to achieve our $1 billion incremental EBITDA run rate goal by year-end 2019. The specific initiatives resulting in tangible EBITDA improvements centered on new product and technology launches, improved pricing and commercial terms on new and existing contracts, and cross-selling and intracompany collaboration. Our efforts resulted in EBITDA growth that outpaced our peers in 2018.</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575756"/>
        </w:rPr>
        <w:t>We also announced a number of strategic divestitures, including the sale of our Laboratory business, Surface Logging Services, and completed a series of transactions to sell our land rigs, all of which represent significant steps toward refocusing our core portfolio. The proceeds from the sale of these businesses, together with our business enhancements and profit improvements, contributed to positive free cash flow during the fourth quarter of 2018. The ultimate goal of the transformation is to achieve sustainable free cash flow, and we expect our momentum to continue into 2019. This cash generation will enable us to pay down debt, improve our credit metrics, and fund growth opportunities.</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2018 Strategic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702945" cy="668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6686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172720</wp:posOffset>
            </wp:positionV>
            <wp:extent cx="531495" cy="711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 cy="71183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207010</wp:posOffset>
            </wp:positionV>
            <wp:extent cx="702945" cy="677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67754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198120</wp:posOffset>
            </wp:positionV>
            <wp:extent cx="677545" cy="68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545" cy="68580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180975</wp:posOffset>
            </wp:positionV>
            <wp:extent cx="668655"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Arial" w:cs="Arial" w:eastAsia="Arial" w:hAnsi="Arial"/>
                <w:sz w:val="20"/>
                <w:szCs w:val="20"/>
                <w:b w:val="1"/>
                <w:bCs w:val="1"/>
                <w:color w:val="CA0538"/>
              </w:rPr>
              <w:t>IMPROVED</w:t>
            </w:r>
          </w:p>
        </w:tc>
        <w:tc>
          <w:tcPr>
            <w:tcW w:w="2320" w:type="dxa"/>
            <w:vAlign w:val="bottom"/>
          </w:tcPr>
          <w:p>
            <w:pPr>
              <w:ind w:left="320"/>
              <w:spacing w:after="0"/>
              <w:rPr>
                <w:sz w:val="20"/>
                <w:szCs w:val="20"/>
                <w:color w:val="auto"/>
              </w:rPr>
            </w:pPr>
            <w:r>
              <w:rPr>
                <w:rFonts w:ascii="Arial" w:cs="Arial" w:eastAsia="Arial" w:hAnsi="Arial"/>
                <w:sz w:val="20"/>
                <w:szCs w:val="20"/>
                <w:b w:val="1"/>
                <w:bCs w:val="1"/>
                <w:color w:val="CA0538"/>
              </w:rPr>
              <w:t>ACHIEVED</w:t>
            </w:r>
          </w:p>
        </w:tc>
        <w:tc>
          <w:tcPr>
            <w:tcW w:w="1900" w:type="dxa"/>
            <w:vAlign w:val="bottom"/>
          </w:tcPr>
          <w:p>
            <w:pPr>
              <w:ind w:left="180"/>
              <w:spacing w:after="0"/>
              <w:rPr>
                <w:sz w:val="20"/>
                <w:szCs w:val="20"/>
                <w:color w:val="auto"/>
              </w:rPr>
            </w:pPr>
            <w:r>
              <w:rPr>
                <w:rFonts w:ascii="Arial" w:cs="Arial" w:eastAsia="Arial" w:hAnsi="Arial"/>
                <w:sz w:val="20"/>
                <w:szCs w:val="20"/>
                <w:b w:val="1"/>
                <w:bCs w:val="1"/>
                <w:color w:val="CA0538"/>
              </w:rPr>
              <w:t>COMPLETED</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CA0538"/>
              </w:rPr>
              <w:t>NONPRODUCTIVE</w:t>
            </w:r>
          </w:p>
        </w:tc>
        <w:tc>
          <w:tcPr>
            <w:tcW w:w="2320" w:type="dxa"/>
            <w:vAlign w:val="bottom"/>
          </w:tcPr>
          <w:p>
            <w:pPr>
              <w:ind w:left="220"/>
              <w:spacing w:after="0"/>
              <w:rPr>
                <w:sz w:val="20"/>
                <w:szCs w:val="20"/>
                <w:color w:val="auto"/>
              </w:rPr>
            </w:pPr>
            <w:r>
              <w:rPr>
                <w:rFonts w:ascii="Arial" w:cs="Arial" w:eastAsia="Arial" w:hAnsi="Arial"/>
                <w:sz w:val="22"/>
                <w:szCs w:val="22"/>
                <w:b w:val="1"/>
                <w:bCs w:val="1"/>
                <w:color w:val="CA0538"/>
              </w:rPr>
              <w:t>COMMERCIALIZED</w:t>
            </w:r>
          </w:p>
        </w:tc>
      </w:tr>
      <w:tr>
        <w:trPr>
          <w:trHeight w:val="230"/>
        </w:trPr>
        <w:tc>
          <w:tcPr>
            <w:tcW w:w="2080" w:type="dxa"/>
            <w:vAlign w:val="bottom"/>
          </w:tcPr>
          <w:p>
            <w:pPr>
              <w:spacing w:after="0"/>
              <w:rPr>
                <w:sz w:val="20"/>
                <w:szCs w:val="20"/>
                <w:color w:val="auto"/>
              </w:rPr>
            </w:pPr>
            <w:r>
              <w:rPr>
                <w:rFonts w:ascii="Arial" w:cs="Arial" w:eastAsia="Arial" w:hAnsi="Arial"/>
                <w:sz w:val="20"/>
                <w:szCs w:val="20"/>
                <w:b w:val="1"/>
                <w:bCs w:val="1"/>
                <w:color w:val="3C3C45"/>
              </w:rPr>
              <w:t>ADJUSTED</w:t>
            </w:r>
          </w:p>
        </w:tc>
        <w:tc>
          <w:tcPr>
            <w:tcW w:w="2320" w:type="dxa"/>
            <w:vAlign w:val="bottom"/>
          </w:tcPr>
          <w:p>
            <w:pPr>
              <w:ind w:left="320"/>
              <w:spacing w:after="0"/>
              <w:rPr>
                <w:sz w:val="20"/>
                <w:szCs w:val="20"/>
                <w:color w:val="auto"/>
              </w:rPr>
            </w:pPr>
            <w:r>
              <w:rPr>
                <w:rFonts w:ascii="Arial" w:cs="Arial" w:eastAsia="Arial" w:hAnsi="Arial"/>
                <w:sz w:val="20"/>
                <w:szCs w:val="20"/>
                <w:b w:val="1"/>
                <w:bCs w:val="1"/>
                <w:color w:val="3C3C45"/>
              </w:rPr>
              <w:t>100% OF 2018</w:t>
            </w:r>
          </w:p>
        </w:tc>
        <w:tc>
          <w:tcPr>
            <w:tcW w:w="1900" w:type="dxa"/>
            <w:vAlign w:val="bottom"/>
          </w:tcPr>
          <w:p>
            <w:pPr>
              <w:ind w:left="180"/>
              <w:spacing w:after="0"/>
              <w:rPr>
                <w:sz w:val="20"/>
                <w:szCs w:val="20"/>
                <w:color w:val="auto"/>
              </w:rPr>
            </w:pPr>
            <w:r>
              <w:rPr>
                <w:rFonts w:ascii="Arial" w:cs="Arial" w:eastAsia="Arial" w:hAnsi="Arial"/>
                <w:sz w:val="20"/>
                <w:szCs w:val="20"/>
                <w:b w:val="1"/>
                <w:bCs w:val="1"/>
                <w:color w:val="3C3C45"/>
              </w:rPr>
              <w:t>NON-CORE</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CA0538"/>
              </w:rPr>
              <w:t>TIME REDUCED</w:t>
            </w:r>
          </w:p>
        </w:tc>
        <w:tc>
          <w:tcPr>
            <w:tcW w:w="2320" w:type="dxa"/>
            <w:vAlign w:val="bottom"/>
          </w:tcPr>
          <w:p>
            <w:pPr>
              <w:ind w:left="220"/>
              <w:spacing w:after="0" w:line="229" w:lineRule="exact"/>
              <w:rPr>
                <w:sz w:val="20"/>
                <w:szCs w:val="20"/>
                <w:color w:val="auto"/>
              </w:rPr>
            </w:pPr>
            <w:r>
              <w:rPr>
                <w:rFonts w:ascii="Arial" w:cs="Arial" w:eastAsia="Arial" w:hAnsi="Arial"/>
                <w:sz w:val="22"/>
                <w:szCs w:val="22"/>
                <w:b w:val="1"/>
                <w:bCs w:val="1"/>
                <w:color w:val="3C3C45"/>
              </w:rPr>
              <w:t>SEVERAL</w:t>
            </w:r>
          </w:p>
        </w:tc>
      </w:tr>
      <w:tr>
        <w:trPr>
          <w:trHeight w:val="239"/>
        </w:trPr>
        <w:tc>
          <w:tcPr>
            <w:tcW w:w="2080" w:type="dxa"/>
            <w:vAlign w:val="bottom"/>
          </w:tcPr>
          <w:p>
            <w:pPr>
              <w:spacing w:after="0"/>
              <w:rPr>
                <w:sz w:val="20"/>
                <w:szCs w:val="20"/>
                <w:color w:val="auto"/>
              </w:rPr>
            </w:pPr>
            <w:r>
              <w:rPr>
                <w:rFonts w:ascii="Arial" w:cs="Arial" w:eastAsia="Arial" w:hAnsi="Arial"/>
                <w:sz w:val="20"/>
                <w:szCs w:val="20"/>
                <w:b w:val="1"/>
                <w:bCs w:val="1"/>
                <w:color w:val="3C3C45"/>
              </w:rPr>
              <w:t>EBITDA BY 80%</w:t>
            </w:r>
          </w:p>
        </w:tc>
        <w:tc>
          <w:tcPr>
            <w:tcW w:w="2320" w:type="dxa"/>
            <w:vAlign w:val="bottom"/>
          </w:tcPr>
          <w:p>
            <w:pPr>
              <w:ind w:left="320"/>
              <w:spacing w:after="0"/>
              <w:rPr>
                <w:sz w:val="20"/>
                <w:szCs w:val="20"/>
                <w:color w:val="auto"/>
              </w:rPr>
            </w:pPr>
            <w:r>
              <w:rPr>
                <w:rFonts w:ascii="Arial" w:cs="Arial" w:eastAsia="Arial" w:hAnsi="Arial"/>
                <w:sz w:val="20"/>
                <w:szCs w:val="20"/>
                <w:color w:val="575756"/>
              </w:rPr>
              <w:t>TRANSFORMATION</w:t>
            </w:r>
          </w:p>
        </w:tc>
        <w:tc>
          <w:tcPr>
            <w:tcW w:w="1900" w:type="dxa"/>
            <w:vAlign w:val="bottom"/>
          </w:tcPr>
          <w:p>
            <w:pPr>
              <w:ind w:left="180"/>
              <w:spacing w:after="0"/>
              <w:rPr>
                <w:sz w:val="20"/>
                <w:szCs w:val="20"/>
                <w:color w:val="auto"/>
              </w:rPr>
            </w:pPr>
            <w:r>
              <w:rPr>
                <w:rFonts w:ascii="Arial" w:cs="Arial" w:eastAsia="Arial" w:hAnsi="Arial"/>
                <w:sz w:val="20"/>
                <w:szCs w:val="20"/>
                <w:color w:val="575756"/>
              </w:rPr>
              <w:t>ASSET SALES</w:t>
            </w:r>
          </w:p>
        </w:tc>
        <w:tc>
          <w:tcPr>
            <w:tcW w:w="2400" w:type="dxa"/>
            <w:vAlign w:val="bottom"/>
          </w:tcPr>
          <w:p>
            <w:pPr>
              <w:ind w:left="420"/>
              <w:spacing w:after="0"/>
              <w:rPr>
                <w:sz w:val="20"/>
                <w:szCs w:val="20"/>
                <w:color w:val="auto"/>
              </w:rPr>
            </w:pPr>
            <w:r>
              <w:rPr>
                <w:rFonts w:ascii="Arial" w:cs="Arial" w:eastAsia="Arial" w:hAnsi="Arial"/>
                <w:sz w:val="20"/>
                <w:szCs w:val="20"/>
                <w:b w:val="1"/>
                <w:bCs w:val="1"/>
                <w:color w:val="3C3C45"/>
              </w:rPr>
              <w:t>SIGNIFICANTLY</w:t>
            </w:r>
          </w:p>
        </w:tc>
        <w:tc>
          <w:tcPr>
            <w:tcW w:w="2320" w:type="dxa"/>
            <w:vAlign w:val="bottom"/>
          </w:tcPr>
          <w:p>
            <w:pPr>
              <w:ind w:left="220"/>
              <w:spacing w:after="0" w:line="239" w:lineRule="exact"/>
              <w:rPr>
                <w:sz w:val="20"/>
                <w:szCs w:val="20"/>
                <w:color w:val="auto"/>
              </w:rPr>
            </w:pPr>
            <w:r>
              <w:rPr>
                <w:rFonts w:ascii="Arial" w:cs="Arial" w:eastAsia="Arial" w:hAnsi="Arial"/>
                <w:sz w:val="22"/>
                <w:szCs w:val="22"/>
                <w:color w:val="575756"/>
              </w:rPr>
              <w:t>DISTINCTIVE</w:t>
            </w:r>
          </w:p>
        </w:tc>
      </w:tr>
      <w:tr>
        <w:trPr>
          <w:trHeight w:val="307"/>
        </w:trPr>
        <w:tc>
          <w:tcPr>
            <w:tcW w:w="2080" w:type="dxa"/>
            <w:vAlign w:val="bottom"/>
          </w:tcPr>
          <w:p>
            <w:pPr>
              <w:spacing w:after="0"/>
              <w:rPr>
                <w:sz w:val="20"/>
                <w:szCs w:val="20"/>
                <w:color w:val="auto"/>
              </w:rPr>
            </w:pPr>
            <w:r>
              <w:rPr>
                <w:rFonts w:ascii="Arial" w:cs="Arial" w:eastAsia="Arial" w:hAnsi="Arial"/>
                <w:sz w:val="20"/>
                <w:szCs w:val="20"/>
                <w:color w:val="575756"/>
              </w:rPr>
              <w:t>YEAR-OVER-YEAR</w:t>
            </w:r>
          </w:p>
        </w:tc>
        <w:tc>
          <w:tcPr>
            <w:tcW w:w="2320" w:type="dxa"/>
            <w:vAlign w:val="bottom"/>
          </w:tcPr>
          <w:p>
            <w:pPr>
              <w:ind w:left="320"/>
              <w:spacing w:after="0"/>
              <w:rPr>
                <w:sz w:val="20"/>
                <w:szCs w:val="20"/>
                <w:color w:val="auto"/>
              </w:rPr>
            </w:pPr>
            <w:r>
              <w:rPr>
                <w:rFonts w:ascii="Arial" w:cs="Arial" w:eastAsia="Arial" w:hAnsi="Arial"/>
                <w:sz w:val="20"/>
                <w:szCs w:val="20"/>
                <w:color w:val="575756"/>
              </w:rPr>
              <w:t>TARGET</w:t>
            </w:r>
          </w:p>
        </w:tc>
        <w:tc>
          <w:tcPr>
            <w:tcW w:w="1900" w:type="dxa"/>
            <w:vAlign w:val="bottom"/>
          </w:tcPr>
          <w:p>
            <w:pPr>
              <w:spacing w:after="0"/>
              <w:rPr>
                <w:sz w:val="24"/>
                <w:szCs w:val="24"/>
                <w:color w:val="auto"/>
              </w:rPr>
            </w:pPr>
          </w:p>
        </w:tc>
        <w:tc>
          <w:tcPr>
            <w:tcW w:w="2400" w:type="dxa"/>
            <w:vAlign w:val="bottom"/>
          </w:tcPr>
          <w:p>
            <w:pPr>
              <w:ind w:left="420"/>
              <w:spacing w:after="0"/>
              <w:rPr>
                <w:sz w:val="20"/>
                <w:szCs w:val="20"/>
                <w:color w:val="auto"/>
              </w:rPr>
            </w:pPr>
            <w:r>
              <w:rPr>
                <w:rFonts w:ascii="Arial" w:cs="Arial" w:eastAsia="Arial" w:hAnsi="Arial"/>
                <w:sz w:val="20"/>
                <w:szCs w:val="20"/>
                <w:color w:val="575756"/>
              </w:rPr>
              <w:t>YEAR-OVER-YEAR</w:t>
            </w:r>
          </w:p>
        </w:tc>
        <w:tc>
          <w:tcPr>
            <w:tcW w:w="2320" w:type="dxa"/>
            <w:vAlign w:val="bottom"/>
          </w:tcPr>
          <w:p>
            <w:pPr>
              <w:ind w:left="220"/>
              <w:spacing w:after="0"/>
              <w:rPr>
                <w:sz w:val="20"/>
                <w:szCs w:val="20"/>
                <w:color w:val="auto"/>
              </w:rPr>
            </w:pPr>
            <w:r>
              <w:rPr>
                <w:rFonts w:ascii="Arial" w:cs="Arial" w:eastAsia="Arial" w:hAnsi="Arial"/>
                <w:sz w:val="22"/>
                <w:szCs w:val="22"/>
                <w:color w:val="575756"/>
              </w:rPr>
              <w:t>TECHNOLOGIES</w:t>
            </w:r>
          </w:p>
        </w:tc>
      </w:tr>
    </w:tbl>
    <w:p>
      <w:pPr>
        <w:spacing w:after="0" w:line="106" w:lineRule="exact"/>
        <w:rPr>
          <w:sz w:val="20"/>
          <w:szCs w:val="20"/>
          <w:color w:val="auto"/>
        </w:rPr>
      </w:pPr>
    </w:p>
    <w:p>
      <w:pPr>
        <w:ind w:left="400" w:right="80" w:hanging="196"/>
        <w:spacing w:after="0" w:line="253" w:lineRule="auto"/>
        <w:tabs>
          <w:tab w:leader="none" w:pos="400" w:val="left"/>
        </w:tabs>
        <w:numPr>
          <w:ilvl w:val="0"/>
          <w:numId w:val="7"/>
        </w:numPr>
        <w:rPr>
          <w:rFonts w:ascii="Arial" w:cs="Arial" w:eastAsia="Arial" w:hAnsi="Arial"/>
          <w:sz w:val="12"/>
          <w:szCs w:val="12"/>
          <w:color w:val="auto"/>
        </w:rPr>
      </w:pPr>
      <w:r>
        <w:rPr>
          <w:rFonts w:ascii="Arial" w:cs="Arial" w:eastAsia="Arial" w:hAnsi="Arial"/>
          <w:sz w:val="14"/>
          <w:szCs w:val="14"/>
          <w:color w:val="auto"/>
        </w:rPr>
        <w:t>Adjusted EBITDA is a non-GAAP financial measure, and represents earnings before interest, taxes, depreciation and amortization with adjustments for certain income and expense items. See Annex E for a reconciliation of Adjusted EBITDA to its most directly comparable U.S.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IV</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38"/>
          <w:szCs w:val="38"/>
          <w:color w:val="3C3C3B"/>
        </w:rPr>
        <w:t>Innovation Yields Opportunity</w:t>
      </w:r>
    </w:p>
    <w:p>
      <w:pPr>
        <w:spacing w:after="0" w:line="93" w:lineRule="exact"/>
        <w:rPr>
          <w:sz w:val="20"/>
          <w:szCs w:val="20"/>
          <w:color w:val="auto"/>
        </w:rPr>
      </w:pPr>
    </w:p>
    <w:p>
      <w:pPr>
        <w:ind w:left="220"/>
        <w:spacing w:after="0" w:line="268" w:lineRule="auto"/>
        <w:rPr>
          <w:sz w:val="20"/>
          <w:szCs w:val="20"/>
          <w:color w:val="auto"/>
        </w:rPr>
      </w:pPr>
      <w:r>
        <w:rPr>
          <w:rFonts w:ascii="Arial" w:cs="Arial" w:eastAsia="Arial" w:hAnsi="Arial"/>
          <w:sz w:val="18"/>
          <w:szCs w:val="18"/>
          <w:color w:val="575756"/>
        </w:rPr>
        <w:t>As we concentrate on our key product lines and customer service quality, we are focused on providing complete, end-to-end solutions that leverage our technology portfolio and expertise. Recent significant contract wins are indicators of our unique value proposition and global reach. We are differentiating ourselves with expanded digital offerings, such as our Vero™ automated connection integrity solution, which we launched in 2018. We are a pioneer in rig mechanization and are continuing to innovate by applying artificial intelligence to rig equipment. We are the only provider of all forms of artificial lift, and additionally, offer the industry’s first standardized SCADA solution, production optimization software, and advanced and edge analytics, which together create a true production system. In April, we launched the high-performance push-the-bit Magnus</w:t>
      </w:r>
      <w:r>
        <w:rPr>
          <w:rFonts w:ascii="Arial" w:cs="Arial" w:eastAsia="Arial" w:hAnsi="Arial"/>
          <w:sz w:val="14"/>
          <w:szCs w:val="14"/>
          <w:color w:val="575756"/>
        </w:rPr>
        <w:t>®</w:t>
      </w:r>
      <w:r>
        <w:rPr>
          <w:rFonts w:ascii="Arial" w:cs="Arial" w:eastAsia="Arial" w:hAnsi="Arial"/>
          <w:sz w:val="18"/>
          <w:szCs w:val="18"/>
          <w:color w:val="575756"/>
        </w:rPr>
        <w:t xml:space="preserve"> rotary steerable system, a revolutionary addition to our drilling and evaluation business, and we are already increasing production to meet high customer demand. We continually collaborate with our customers to develop integrated solutions to specific field challenges and other cutting-edge services. With our commercialization of new technologies, we plan to continue to build beyond our legacy position and change the landscape.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35"/>
          <w:szCs w:val="35"/>
          <w:color w:val="3C3C3B"/>
        </w:rPr>
        <w:t>Our Commitment to Sustainability</w:t>
      </w:r>
    </w:p>
    <w:p>
      <w:pPr>
        <w:spacing w:after="0" w:line="114" w:lineRule="exact"/>
        <w:rPr>
          <w:sz w:val="20"/>
          <w:szCs w:val="20"/>
          <w:color w:val="auto"/>
        </w:rPr>
      </w:pPr>
    </w:p>
    <w:p>
      <w:pPr>
        <w:ind w:left="220" w:right="140"/>
        <w:spacing w:after="0" w:line="246" w:lineRule="auto"/>
        <w:rPr>
          <w:sz w:val="20"/>
          <w:szCs w:val="20"/>
          <w:color w:val="auto"/>
        </w:rPr>
      </w:pPr>
      <w:r>
        <w:rPr>
          <w:rFonts w:ascii="Arial" w:cs="Arial" w:eastAsia="Arial" w:hAnsi="Arial"/>
          <w:sz w:val="20"/>
          <w:szCs w:val="20"/>
          <w:color w:val="575756"/>
        </w:rPr>
        <w:t>Our successful delivery of innovative technologies is contingent on our ability to meet our customers’ needs in a safe, ethical, and sustainable manner. Accordingly, we are focused on providing efficient services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575756"/>
        </w:rPr>
        <w:t>products that are safe for our employees, reducing our environmental footprint as well as our customers’ and benefit the communities in which we operate. This approach is underpinned by our four sustainability pillars: Responsible Operations, Sustainable Performance, World Class People, and Global Citizenship. Further, in 2018, Weatherford engaged a third-party to conduct a corporate responsibility risk assessment to assist us in identifying risks and opportunities, set enterprise-wide goals, track progress, and enhance our reporting. With the support and oversight of our Environmental, Health &amp; Safety Committee comprised of directors with diversity in expertise related to ethics, human rights, and government relations, we are committed to the further development of a comprehensive sustainability framework in accordance with global standards.</w:t>
      </w:r>
    </w:p>
    <w:p>
      <w:pPr>
        <w:spacing w:after="0" w:line="46" w:lineRule="exact"/>
        <w:rPr>
          <w:sz w:val="20"/>
          <w:szCs w:val="20"/>
          <w:color w:val="auto"/>
        </w:rPr>
      </w:pPr>
    </w:p>
    <w:p>
      <w:pPr>
        <w:spacing w:after="0"/>
        <w:rPr>
          <w:sz w:val="20"/>
          <w:szCs w:val="20"/>
          <w:color w:val="auto"/>
        </w:rPr>
      </w:pPr>
      <w:r>
        <w:rPr>
          <w:rFonts w:ascii="Arial" w:cs="Arial" w:eastAsia="Arial" w:hAnsi="Arial"/>
          <w:sz w:val="38"/>
          <w:szCs w:val="38"/>
          <w:color w:val="3C3C3B"/>
        </w:rPr>
        <w:t>One Weatherford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9"/>
          <w:szCs w:val="19"/>
          <w:color w:val="575756"/>
        </w:rPr>
        <w:t>As stewards of the company, our primary role is one of strategic oversight and guidance. We are also actively engaged and hold ourselves accountable. Several of us have attended and provided input at transformation workstream meetings. We have witnessed firsthand the rigorous process discipline and sense of urgency, as well as incredible spirit and collaboration. We thank each individual for their contributions, without which we would not be in sight of our financial, operational, and cultural goals. We are proud to represent the One Weatherford spirit as we continue our transformational journey back to profitability and toward long-term growth.</w:t>
      </w:r>
    </w:p>
    <w:p>
      <w:pPr>
        <w:spacing w:after="0" w:line="696"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575756"/>
        </w:rPr>
        <w:t>We thank you for your support, and we look forward to our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242570</wp:posOffset>
            </wp:positionV>
            <wp:extent cx="6603365"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336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tabs>
          <w:tab w:leader="none" w:pos="2640" w:val="left"/>
          <w:tab w:leader="none" w:pos="5000" w:val="left"/>
          <w:tab w:leader="none" w:pos="7160" w:val="left"/>
          <w:tab w:leader="none" w:pos="9500" w:val="left"/>
        </w:tabs>
        <w:rPr>
          <w:sz w:val="20"/>
          <w:szCs w:val="20"/>
          <w:color w:val="auto"/>
        </w:rPr>
      </w:pPr>
      <w:r>
        <w:rPr>
          <w:rFonts w:ascii="Arial" w:cs="Arial" w:eastAsia="Arial" w:hAnsi="Arial"/>
          <w:sz w:val="16"/>
          <w:szCs w:val="16"/>
          <w:color w:val="CA0538"/>
        </w:rPr>
        <w:t>Mohamed A. Awad</w:t>
      </w:r>
      <w:r>
        <w:rPr>
          <w:sz w:val="20"/>
          <w:szCs w:val="20"/>
          <w:color w:val="auto"/>
        </w:rPr>
        <w:tab/>
      </w:r>
      <w:r>
        <w:rPr>
          <w:rFonts w:ascii="Arial" w:cs="Arial" w:eastAsia="Arial" w:hAnsi="Arial"/>
          <w:sz w:val="16"/>
          <w:szCs w:val="16"/>
          <w:color w:val="CA0538"/>
        </w:rPr>
        <w:t>Roxanne J. Decyk</w:t>
      </w:r>
      <w:r>
        <w:rPr>
          <w:sz w:val="20"/>
          <w:szCs w:val="20"/>
          <w:color w:val="auto"/>
        </w:rPr>
        <w:tab/>
      </w:r>
      <w:r>
        <w:rPr>
          <w:rFonts w:ascii="Arial" w:cs="Arial" w:eastAsia="Arial" w:hAnsi="Arial"/>
          <w:sz w:val="16"/>
          <w:szCs w:val="16"/>
          <w:color w:val="CA0538"/>
        </w:rPr>
        <w:t>John D. Gass</w:t>
      </w:r>
      <w:r>
        <w:rPr>
          <w:sz w:val="20"/>
          <w:szCs w:val="20"/>
          <w:color w:val="auto"/>
        </w:rPr>
        <w:tab/>
      </w:r>
      <w:r>
        <w:rPr>
          <w:rFonts w:ascii="Arial" w:cs="Arial" w:eastAsia="Arial" w:hAnsi="Arial"/>
          <w:sz w:val="16"/>
          <w:szCs w:val="16"/>
          <w:color w:val="CA0538"/>
        </w:rPr>
        <w:t>Emyr Jones Parry</w:t>
      </w:r>
      <w:r>
        <w:rPr>
          <w:sz w:val="20"/>
          <w:szCs w:val="20"/>
          <w:color w:val="auto"/>
        </w:rPr>
        <w:tab/>
      </w:r>
      <w:r>
        <w:rPr>
          <w:rFonts w:ascii="Arial" w:cs="Arial" w:eastAsia="Arial" w:hAnsi="Arial"/>
          <w:sz w:val="14"/>
          <w:szCs w:val="14"/>
          <w:color w:val="CA0538"/>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95250</wp:posOffset>
            </wp:positionV>
            <wp:extent cx="62611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110" cy="44577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224155</wp:posOffset>
            </wp:positionV>
            <wp:extent cx="516255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25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spacing w:after="0"/>
        <w:tabs>
          <w:tab w:leader="none" w:pos="2540" w:val="left"/>
          <w:tab w:leader="none" w:pos="4780" w:val="left"/>
          <w:tab w:leader="none" w:pos="7180" w:val="left"/>
          <w:tab w:leader="none" w:pos="9580" w:val="left"/>
        </w:tabs>
        <w:rPr>
          <w:sz w:val="20"/>
          <w:szCs w:val="20"/>
          <w:color w:val="auto"/>
        </w:rPr>
      </w:pPr>
      <w:r>
        <w:rPr>
          <w:rFonts w:ascii="Arial" w:cs="Arial" w:eastAsia="Arial" w:hAnsi="Arial"/>
          <w:sz w:val="16"/>
          <w:szCs w:val="16"/>
          <w:color w:val="CA0538"/>
        </w:rPr>
        <w:t>David S. King</w:t>
      </w:r>
      <w:r>
        <w:rPr>
          <w:sz w:val="20"/>
          <w:szCs w:val="20"/>
          <w:color w:val="auto"/>
        </w:rPr>
        <w:tab/>
      </w:r>
      <w:r>
        <w:rPr>
          <w:rFonts w:ascii="Arial" w:cs="Arial" w:eastAsia="Arial" w:hAnsi="Arial"/>
          <w:sz w:val="16"/>
          <w:szCs w:val="16"/>
          <w:color w:val="CA0538"/>
        </w:rPr>
        <w:t>William E. Macaulay</w:t>
      </w:r>
      <w:r>
        <w:rPr>
          <w:sz w:val="20"/>
          <w:szCs w:val="20"/>
          <w:color w:val="auto"/>
        </w:rPr>
        <w:tab/>
      </w:r>
      <w:r>
        <w:rPr>
          <w:rFonts w:ascii="Arial" w:cs="Arial" w:eastAsia="Arial" w:hAnsi="Arial"/>
          <w:sz w:val="16"/>
          <w:szCs w:val="16"/>
          <w:color w:val="CA0538"/>
        </w:rPr>
        <w:t>Mark A. McCollum</w:t>
      </w:r>
      <w:r>
        <w:rPr>
          <w:sz w:val="20"/>
          <w:szCs w:val="20"/>
          <w:color w:val="auto"/>
        </w:rPr>
        <w:tab/>
      </w:r>
      <w:r>
        <w:rPr>
          <w:rFonts w:ascii="Arial" w:cs="Arial" w:eastAsia="Arial" w:hAnsi="Arial"/>
          <w:sz w:val="16"/>
          <w:szCs w:val="16"/>
          <w:color w:val="CA0538"/>
        </w:rPr>
        <w:t>Angela A. Minas</w:t>
      </w:r>
      <w:r>
        <w:rPr>
          <w:sz w:val="20"/>
          <w:szCs w:val="20"/>
          <w:color w:val="auto"/>
        </w:rPr>
        <w:tab/>
      </w:r>
      <w:r>
        <w:rPr>
          <w:rFonts w:ascii="Arial" w:cs="Arial" w:eastAsia="Arial" w:hAnsi="Arial"/>
          <w:sz w:val="15"/>
          <w:szCs w:val="15"/>
          <w:color w:val="CA0538"/>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30" w:lineRule="exact"/>
        <w:rPr>
          <w:sz w:val="20"/>
          <w:szCs w:val="20"/>
          <w:color w:val="auto"/>
        </w:rPr>
      </w:pPr>
    </w:p>
    <w:p>
      <w:pPr>
        <w:ind w:left="792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CHALLENGING INDUSTRY LANDSCAPE</w:t>
      </w:r>
    </w:p>
    <w:p>
      <w:pPr>
        <w:spacing w:after="0" w:line="140" w:lineRule="exact"/>
        <w:rPr>
          <w:sz w:val="20"/>
          <w:szCs w:val="20"/>
          <w:color w:val="auto"/>
        </w:rPr>
      </w:pPr>
    </w:p>
    <w:p>
      <w:pPr>
        <w:ind w:left="200" w:right="140"/>
        <w:spacing w:after="0" w:line="259" w:lineRule="auto"/>
        <w:rPr>
          <w:sz w:val="20"/>
          <w:szCs w:val="20"/>
          <w:color w:val="auto"/>
        </w:rPr>
      </w:pPr>
      <w:r>
        <w:rPr>
          <w:rFonts w:ascii="Arial" w:cs="Arial" w:eastAsia="Arial" w:hAnsi="Arial"/>
          <w:sz w:val="19"/>
          <w:szCs w:val="19"/>
          <w:color w:val="575756"/>
        </w:rPr>
        <w:t>A severe decline in oil prices during the fourth quarter triggered a sell-off in the oilfield service sector. Industry stock prices descended below trough levels during the 2008 to 2009 financial crisis. Front-month contracts for West Texas Intermediate crude dropped from over $76 per barrel on October 3, 2018, to below $44 per barrel on Christmas Eve. Threats from increasing interest rates and global trade disputes shook the broader market. The S&amp;P 500 index dropped nearly 20% from its high for the year reached in September 2018, to its low also on Christmas Eve. Correspondingly, the OSX Index declined by over 50% during trading between early October and late December, and it closed at a low below 76, a level last seen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6534785" cy="1569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478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Our Transformation</w:t>
      </w:r>
    </w:p>
    <w:p>
      <w:pPr>
        <w:spacing w:after="0" w:line="79"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color w:val="575756"/>
        </w:rPr>
        <w:t>In late 2017, Weatherford embarked on a transformation to achieve $1 billion in business enhancements and profit improvements by year-end 2019. Ultimately, our transformation is challenging the way we operate—pushing us to innovate, collaborate, and work more efficiently than ever before. At year-end 2018, the company had implemented more than $800 million of recurring EBITDA improvements, providing a clear line of sight to our $1 billion target. The table below demonstrates our progress throughout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100" w:type="dxa"/>
            <w:vAlign w:val="bottom"/>
          </w:tcPr>
          <w:p>
            <w:pPr>
              <w:spacing w:after="0"/>
              <w:rPr>
                <w:sz w:val="16"/>
                <w:szCs w:val="16"/>
                <w:color w:val="auto"/>
              </w:rPr>
            </w:pPr>
          </w:p>
        </w:tc>
        <w:tc>
          <w:tcPr>
            <w:tcW w:w="4540" w:type="dxa"/>
            <w:vAlign w:val="bottom"/>
          </w:tcPr>
          <w:p>
            <w:pPr>
              <w:ind w:left="160"/>
              <w:spacing w:after="0"/>
              <w:rPr>
                <w:sz w:val="20"/>
                <w:szCs w:val="20"/>
                <w:color w:val="auto"/>
              </w:rPr>
            </w:pPr>
            <w:r>
              <w:rPr>
                <w:rFonts w:ascii="Arial" w:cs="Arial" w:eastAsia="Arial" w:hAnsi="Arial"/>
                <w:sz w:val="15"/>
                <w:szCs w:val="15"/>
                <w:color w:val="CA0538"/>
              </w:rPr>
              <w:t>ACTIONS</w:t>
            </w:r>
          </w:p>
        </w:tc>
        <w:tc>
          <w:tcPr>
            <w:tcW w:w="5380" w:type="dxa"/>
            <w:vAlign w:val="bottom"/>
            <w:gridSpan w:val="2"/>
          </w:tcPr>
          <w:p>
            <w:pPr>
              <w:jc w:val="right"/>
              <w:spacing w:after="0"/>
              <w:rPr>
                <w:sz w:val="20"/>
                <w:szCs w:val="20"/>
                <w:color w:val="auto"/>
              </w:rPr>
            </w:pPr>
            <w:r>
              <w:rPr>
                <w:rFonts w:ascii="Arial" w:cs="Arial" w:eastAsia="Arial" w:hAnsi="Arial"/>
                <w:sz w:val="15"/>
                <w:szCs w:val="15"/>
                <w:color w:val="CA0538"/>
              </w:rPr>
              <w:t>ANNUALIZED PERCENTAGE ACHIEVED THROUGH THE QUARTER</w:t>
            </w:r>
          </w:p>
        </w:tc>
        <w:tc>
          <w:tcPr>
            <w:tcW w:w="0" w:type="dxa"/>
            <w:vAlign w:val="bottom"/>
          </w:tcPr>
          <w:p>
            <w:pPr>
              <w:spacing w:after="0"/>
              <w:rPr>
                <w:sz w:val="1"/>
                <w:szCs w:val="1"/>
                <w:color w:val="auto"/>
              </w:rPr>
            </w:pPr>
          </w:p>
        </w:tc>
      </w:tr>
      <w:tr>
        <w:trPr>
          <w:trHeight w:val="62"/>
        </w:trPr>
        <w:tc>
          <w:tcPr>
            <w:tcW w:w="1100" w:type="dxa"/>
            <w:vAlign w:val="bottom"/>
            <w:tcBorders>
              <w:bottom w:val="single" w:sz="8" w:color="C6C6C6"/>
            </w:tcBorders>
          </w:tcPr>
          <w:p>
            <w:pPr>
              <w:spacing w:after="0"/>
              <w:rPr>
                <w:sz w:val="5"/>
                <w:szCs w:val="5"/>
                <w:color w:val="auto"/>
              </w:rPr>
            </w:pPr>
          </w:p>
        </w:tc>
        <w:tc>
          <w:tcPr>
            <w:tcW w:w="8740" w:type="dxa"/>
            <w:vAlign w:val="bottom"/>
            <w:tcBorders>
              <w:bottom w:val="single" w:sz="8" w:color="C6C6C6"/>
            </w:tcBorders>
            <w:gridSpan w:val="2"/>
          </w:tcPr>
          <w:p>
            <w:pPr>
              <w:spacing w:after="0"/>
              <w:rPr>
                <w:sz w:val="5"/>
                <w:szCs w:val="5"/>
                <w:color w:val="auto"/>
              </w:rPr>
            </w:pPr>
          </w:p>
        </w:tc>
        <w:tc>
          <w:tcPr>
            <w:tcW w:w="1180" w:type="dxa"/>
            <w:vAlign w:val="bottom"/>
            <w:tcBorders>
              <w:bottom w:val="single" w:sz="8" w:color="C6C6C6"/>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1100" w:type="dxa"/>
            <w:vAlign w:val="bottom"/>
            <w:vMerge w:val="restart"/>
          </w:tcPr>
          <w:p>
            <w:pPr>
              <w:ind w:left="400"/>
              <w:spacing w:after="0"/>
              <w:rPr>
                <w:sz w:val="20"/>
                <w:szCs w:val="20"/>
                <w:color w:val="auto"/>
              </w:rPr>
            </w:pPr>
            <w:r>
              <w:rPr>
                <w:rFonts w:ascii="Arial" w:cs="Arial" w:eastAsia="Arial" w:hAnsi="Arial"/>
                <w:sz w:val="41"/>
                <w:szCs w:val="41"/>
                <w:b w:val="1"/>
                <w:bCs w:val="1"/>
                <w:color w:val="FFFFFF"/>
              </w:rPr>
              <w:t>Q1</w:t>
            </w: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9"/>
              </w:rPr>
              <w:t>We started the implementation phase of our transformation to drive increased efficiency and</w:t>
            </w:r>
          </w:p>
        </w:tc>
        <w:tc>
          <w:tcPr>
            <w:tcW w:w="1180" w:type="dxa"/>
            <w:vAlign w:val="bottom"/>
            <w:vMerge w:val="restart"/>
          </w:tcPr>
          <w:p>
            <w:pPr>
              <w:jc w:val="right"/>
              <w:ind w:right="13"/>
              <w:spacing w:after="0"/>
              <w:rPr>
                <w:sz w:val="20"/>
                <w:szCs w:val="20"/>
                <w:color w:val="auto"/>
              </w:rPr>
            </w:pPr>
            <w:r>
              <w:rPr>
                <w:rFonts w:ascii="Arial" w:cs="Arial" w:eastAsia="Arial" w:hAnsi="Arial"/>
                <w:sz w:val="41"/>
                <w:szCs w:val="41"/>
                <w:b w:val="1"/>
                <w:bCs w:val="1"/>
                <w:color w:val="CA0538"/>
              </w:rPr>
              <w:t>10%</w:t>
            </w:r>
          </w:p>
        </w:tc>
        <w:tc>
          <w:tcPr>
            <w:tcW w:w="0" w:type="dxa"/>
            <w:vAlign w:val="bottom"/>
          </w:tcPr>
          <w:p>
            <w:pPr>
              <w:spacing w:after="0"/>
              <w:rPr>
                <w:sz w:val="1"/>
                <w:szCs w:val="1"/>
                <w:color w:val="auto"/>
              </w:rPr>
            </w:pPr>
          </w:p>
        </w:tc>
      </w:tr>
      <w:tr>
        <w:trPr>
          <w:trHeight w:val="224"/>
        </w:trPr>
        <w:tc>
          <w:tcPr>
            <w:tcW w:w="1100" w:type="dxa"/>
            <w:vAlign w:val="bottom"/>
            <w:vMerge w:val="continue"/>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2"/>
              </w:rPr>
              <w:t>effectiveness enabled by standard company-wide processes and clear accountability, which yielded</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tcPr>
          <w:p>
            <w:pPr>
              <w:spacing w:after="0"/>
              <w:rPr>
                <w:sz w:val="22"/>
                <w:szCs w:val="22"/>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b w:val="1"/>
                <w:bCs w:val="1"/>
                <w:color w:val="auto"/>
              </w:rPr>
              <w:t xml:space="preserve">$27 million </w:t>
            </w:r>
            <w:r>
              <w:rPr>
                <w:rFonts w:ascii="Arial" w:cs="Arial" w:eastAsia="Arial" w:hAnsi="Arial"/>
                <w:sz w:val="20"/>
                <w:szCs w:val="20"/>
                <w:color w:val="auto"/>
              </w:rPr>
              <w:t>of estimated recurring benefits driven by the organizational realignment.</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89"/>
              </w:rPr>
              <w:t>As the transformation workstreams progressed through a rigorous cadence and began to make strides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00" w:type="dxa"/>
            <w:vAlign w:val="bottom"/>
            <w:vMerge w:val="restart"/>
          </w:tcPr>
          <w:p>
            <w:pPr>
              <w:ind w:left="400"/>
              <w:spacing w:after="0" w:line="452" w:lineRule="exact"/>
              <w:rPr>
                <w:sz w:val="20"/>
                <w:szCs w:val="20"/>
                <w:color w:val="auto"/>
              </w:rPr>
            </w:pPr>
            <w:r>
              <w:rPr>
                <w:rFonts w:ascii="Arial" w:cs="Arial" w:eastAsia="Arial" w:hAnsi="Arial"/>
                <w:sz w:val="41"/>
                <w:szCs w:val="41"/>
                <w:b w:val="1"/>
                <w:bCs w:val="1"/>
                <w:color w:val="FFFFFF"/>
              </w:rPr>
              <w:t>Q2</w:t>
            </w: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5"/>
              </w:rPr>
              <w:t>in their initiatives, we made measurable progress toward our overall goals. Incremental recurring</w:t>
            </w:r>
          </w:p>
        </w:tc>
        <w:tc>
          <w:tcPr>
            <w:tcW w:w="1180" w:type="dxa"/>
            <w:vAlign w:val="bottom"/>
            <w:vMerge w:val="restart"/>
          </w:tcPr>
          <w:p>
            <w:pPr>
              <w:jc w:val="right"/>
              <w:ind w:right="13"/>
              <w:spacing w:after="0" w:line="452" w:lineRule="exact"/>
              <w:rPr>
                <w:sz w:val="20"/>
                <w:szCs w:val="20"/>
                <w:color w:val="auto"/>
              </w:rPr>
            </w:pPr>
            <w:r>
              <w:rPr>
                <w:rFonts w:ascii="Arial" w:cs="Arial" w:eastAsia="Arial" w:hAnsi="Arial"/>
                <w:sz w:val="41"/>
                <w:szCs w:val="41"/>
                <w:b w:val="1"/>
                <w:bCs w:val="1"/>
                <w:color w:val="CA0538"/>
              </w:rPr>
              <w:t>19%</w:t>
            </w:r>
          </w:p>
        </w:tc>
        <w:tc>
          <w:tcPr>
            <w:tcW w:w="0" w:type="dxa"/>
            <w:vAlign w:val="bottom"/>
          </w:tcPr>
          <w:p>
            <w:pPr>
              <w:spacing w:after="0"/>
              <w:rPr>
                <w:sz w:val="1"/>
                <w:szCs w:val="1"/>
                <w:color w:val="auto"/>
              </w:rPr>
            </w:pPr>
          </w:p>
        </w:tc>
      </w:tr>
      <w:tr>
        <w:trPr>
          <w:trHeight w:val="230"/>
        </w:trPr>
        <w:tc>
          <w:tcPr>
            <w:tcW w:w="1100" w:type="dxa"/>
            <w:vAlign w:val="bottom"/>
            <w:vMerge w:val="continue"/>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2"/>
              </w:rPr>
              <w:t xml:space="preserve">benefits were </w:t>
            </w:r>
            <w:r>
              <w:rPr>
                <w:rFonts w:ascii="Arial" w:cs="Arial" w:eastAsia="Arial" w:hAnsi="Arial"/>
                <w:sz w:val="20"/>
                <w:szCs w:val="20"/>
                <w:b w:val="1"/>
                <w:bCs w:val="1"/>
                <w:color w:val="auto"/>
                <w:w w:val="92"/>
              </w:rPr>
              <w:t>$21 million</w:t>
            </w:r>
            <w:r>
              <w:rPr>
                <w:rFonts w:ascii="Arial" w:cs="Arial" w:eastAsia="Arial" w:hAnsi="Arial"/>
                <w:sz w:val="20"/>
                <w:szCs w:val="20"/>
                <w:color w:val="auto"/>
                <w:w w:val="92"/>
              </w:rPr>
              <w:t>, which, combined with amounts realized during the first quarter, put us at</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3"/>
              </w:rPr>
              <w:t xml:space="preserve">an annualized EBITDA run rate of more than </w:t>
            </w:r>
            <w:r>
              <w:rPr>
                <w:rFonts w:ascii="Arial" w:cs="Arial" w:eastAsia="Arial" w:hAnsi="Arial"/>
                <w:sz w:val="20"/>
                <w:szCs w:val="20"/>
                <w:b w:val="1"/>
                <w:bCs w:val="1"/>
                <w:color w:val="auto"/>
                <w:w w:val="93"/>
              </w:rPr>
              <w:t>$190 million</w:t>
            </w:r>
            <w:r>
              <w:rPr>
                <w:rFonts w:ascii="Arial" w:cs="Arial" w:eastAsia="Arial" w:hAnsi="Arial"/>
                <w:sz w:val="20"/>
                <w:szCs w:val="20"/>
                <w:color w:val="auto"/>
                <w:w w:val="93"/>
              </w:rPr>
              <w:t xml:space="preserve"> or approximately </w:t>
            </w:r>
            <w:r>
              <w:rPr>
                <w:rFonts w:ascii="Arial" w:cs="Arial" w:eastAsia="Arial" w:hAnsi="Arial"/>
                <w:sz w:val="20"/>
                <w:szCs w:val="20"/>
                <w:b w:val="1"/>
                <w:bCs w:val="1"/>
                <w:color w:val="auto"/>
                <w:w w:val="93"/>
              </w:rPr>
              <w:t>19%</w:t>
            </w:r>
            <w:r>
              <w:rPr>
                <w:rFonts w:ascii="Arial" w:cs="Arial" w:eastAsia="Arial" w:hAnsi="Arial"/>
                <w:sz w:val="20"/>
                <w:szCs w:val="20"/>
                <w:color w:val="auto"/>
                <w:w w:val="93"/>
              </w:rPr>
              <w:t xml:space="preserve"> of our total goal.</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8"/>
              </w:rPr>
              <w:t>Thousands of employees across the organization worked together to drive our transformation</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rPr>
              <w:t>forward. Because of their commitment, we continued to carry out initiatives that will deliver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00" w:type="dxa"/>
            <w:vAlign w:val="bottom"/>
            <w:vMerge w:val="restart"/>
          </w:tcPr>
          <w:p>
            <w:pPr>
              <w:ind w:left="400"/>
              <w:spacing w:after="0" w:line="458" w:lineRule="exact"/>
              <w:rPr>
                <w:sz w:val="20"/>
                <w:szCs w:val="20"/>
                <w:color w:val="auto"/>
              </w:rPr>
            </w:pPr>
            <w:r>
              <w:rPr>
                <w:rFonts w:ascii="Arial" w:cs="Arial" w:eastAsia="Arial" w:hAnsi="Arial"/>
                <w:sz w:val="41"/>
                <w:szCs w:val="41"/>
                <w:b w:val="1"/>
                <w:bCs w:val="1"/>
                <w:color w:val="FFFFFF"/>
              </w:rPr>
              <w:t>Q3</w:t>
            </w: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5"/>
              </w:rPr>
              <w:t>improved financial results and add long-term value for all of our stakeholders. Recurring benefits</w:t>
            </w:r>
          </w:p>
        </w:tc>
        <w:tc>
          <w:tcPr>
            <w:tcW w:w="1180" w:type="dxa"/>
            <w:vAlign w:val="bottom"/>
            <w:vMerge w:val="restart"/>
          </w:tcPr>
          <w:p>
            <w:pPr>
              <w:jc w:val="right"/>
              <w:ind w:right="13"/>
              <w:spacing w:after="0" w:line="458" w:lineRule="exact"/>
              <w:rPr>
                <w:sz w:val="20"/>
                <w:szCs w:val="20"/>
                <w:color w:val="auto"/>
              </w:rPr>
            </w:pPr>
            <w:r>
              <w:rPr>
                <w:rFonts w:ascii="Arial" w:cs="Arial" w:eastAsia="Arial" w:hAnsi="Arial"/>
                <w:sz w:val="41"/>
                <w:szCs w:val="41"/>
                <w:b w:val="1"/>
                <w:bCs w:val="1"/>
                <w:color w:val="CA0538"/>
              </w:rPr>
              <w:t>30%</w:t>
            </w:r>
          </w:p>
        </w:tc>
        <w:tc>
          <w:tcPr>
            <w:tcW w:w="0" w:type="dxa"/>
            <w:vAlign w:val="bottom"/>
          </w:tcPr>
          <w:p>
            <w:pPr>
              <w:spacing w:after="0"/>
              <w:rPr>
                <w:sz w:val="1"/>
                <w:szCs w:val="1"/>
                <w:color w:val="auto"/>
              </w:rPr>
            </w:pPr>
          </w:p>
        </w:tc>
      </w:tr>
      <w:tr>
        <w:trPr>
          <w:trHeight w:val="236"/>
        </w:trPr>
        <w:tc>
          <w:tcPr>
            <w:tcW w:w="1100" w:type="dxa"/>
            <w:vAlign w:val="bottom"/>
            <w:vMerge w:val="continue"/>
          </w:tcPr>
          <w:p>
            <w:pPr>
              <w:spacing w:after="0"/>
              <w:rPr>
                <w:sz w:val="20"/>
                <w:szCs w:val="20"/>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3"/>
              </w:rPr>
              <w:t xml:space="preserve">associated with the transformation were approximately </w:t>
            </w:r>
            <w:r>
              <w:rPr>
                <w:rFonts w:ascii="Arial" w:cs="Arial" w:eastAsia="Arial" w:hAnsi="Arial"/>
                <w:sz w:val="20"/>
                <w:szCs w:val="20"/>
                <w:b w:val="1"/>
                <w:bCs w:val="1"/>
                <w:color w:val="auto"/>
                <w:w w:val="93"/>
              </w:rPr>
              <w:t>$27 million</w:t>
            </w:r>
            <w:r>
              <w:rPr>
                <w:rFonts w:ascii="Arial" w:cs="Arial" w:eastAsia="Arial" w:hAnsi="Arial"/>
                <w:sz w:val="20"/>
                <w:szCs w:val="20"/>
                <w:color w:val="auto"/>
                <w:w w:val="93"/>
              </w:rPr>
              <w:t>, which combined with amounts</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3"/>
              </w:rPr>
              <w:t>realized during the first half of the year, put us at an annualized EBITDA run rate of approximately</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4540" w:type="dxa"/>
            <w:vAlign w:val="bottom"/>
          </w:tcPr>
          <w:p>
            <w:pPr>
              <w:ind w:left="620"/>
              <w:spacing w:after="0"/>
              <w:rPr>
                <w:sz w:val="20"/>
                <w:szCs w:val="20"/>
                <w:color w:val="auto"/>
              </w:rPr>
            </w:pPr>
            <w:r>
              <w:rPr>
                <w:rFonts w:ascii="Arial" w:cs="Arial" w:eastAsia="Arial" w:hAnsi="Arial"/>
                <w:sz w:val="20"/>
                <w:szCs w:val="20"/>
                <w:b w:val="1"/>
                <w:bCs w:val="1"/>
                <w:color w:val="auto"/>
              </w:rPr>
              <w:t xml:space="preserve">$300 million </w:t>
            </w:r>
            <w:r>
              <w:rPr>
                <w:rFonts w:ascii="Arial" w:cs="Arial" w:eastAsia="Arial" w:hAnsi="Arial"/>
                <w:sz w:val="20"/>
                <w:szCs w:val="20"/>
                <w:color w:val="auto"/>
              </w:rPr>
              <w:t>or</w:t>
            </w:r>
            <w:r>
              <w:rPr>
                <w:rFonts w:ascii="Arial" w:cs="Arial" w:eastAsia="Arial" w:hAnsi="Arial"/>
                <w:sz w:val="20"/>
                <w:szCs w:val="20"/>
                <w:b w:val="1"/>
                <w:bCs w:val="1"/>
                <w:color w:val="auto"/>
              </w:rPr>
              <w:t xml:space="preserve"> 30% </w:t>
            </w:r>
            <w:r>
              <w:rPr>
                <w:rFonts w:ascii="Arial" w:cs="Arial" w:eastAsia="Arial" w:hAnsi="Arial"/>
                <w:sz w:val="20"/>
                <w:szCs w:val="20"/>
                <w:color w:val="auto"/>
              </w:rPr>
              <w:t>of our overall goal.</w:t>
            </w:r>
          </w:p>
        </w:tc>
        <w:tc>
          <w:tcPr>
            <w:tcW w:w="4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6C6C6"/>
            </w:tcBorders>
          </w:tcPr>
          <w:p>
            <w:pPr>
              <w:spacing w:after="0"/>
              <w:rPr>
                <w:sz w:val="11"/>
                <w:szCs w:val="11"/>
                <w:color w:val="auto"/>
              </w:rPr>
            </w:pPr>
          </w:p>
        </w:tc>
        <w:tc>
          <w:tcPr>
            <w:tcW w:w="8740" w:type="dxa"/>
            <w:vAlign w:val="bottom"/>
            <w:tcBorders>
              <w:bottom w:val="single" w:sz="8" w:color="C6C6C6"/>
            </w:tcBorders>
            <w:gridSpan w:val="2"/>
          </w:tcPr>
          <w:p>
            <w:pPr>
              <w:spacing w:after="0"/>
              <w:rPr>
                <w:sz w:val="11"/>
                <w:szCs w:val="11"/>
                <w:color w:val="auto"/>
              </w:rPr>
            </w:pPr>
          </w:p>
        </w:tc>
        <w:tc>
          <w:tcPr>
            <w:tcW w:w="1180" w:type="dxa"/>
            <w:vAlign w:val="bottom"/>
            <w:tcBorders>
              <w:bottom w:val="single" w:sz="8" w:color="C6C6C6"/>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4"/>
              </w:rPr>
              <w:t>Our ability to generate better than expected operating results and free cash flow during the fourth</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4"/>
              </w:rPr>
              <w:t>quarter was a testament to the progress we continue to make on our transformation plan and the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8740" w:type="dxa"/>
            <w:vAlign w:val="bottom"/>
            <w:gridSpan w:val="2"/>
          </w:tcPr>
          <w:p>
            <w:pPr>
              <w:ind w:left="620"/>
              <w:spacing w:after="0" w:line="224" w:lineRule="exact"/>
              <w:rPr>
                <w:sz w:val="20"/>
                <w:szCs w:val="20"/>
                <w:color w:val="auto"/>
              </w:rPr>
            </w:pPr>
            <w:r>
              <w:rPr>
                <w:rFonts w:ascii="Arial" w:cs="Arial" w:eastAsia="Arial" w:hAnsi="Arial"/>
                <w:sz w:val="20"/>
                <w:szCs w:val="20"/>
                <w:color w:val="auto"/>
                <w:w w:val="93"/>
              </w:rPr>
              <w:t>positive structural changes we have made to our Company over the past year. During the quarter,</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1"/>
              </w:rPr>
              <w:t xml:space="preserve">incremental recurring benefits as a result of the transformation plan were approximately </w:t>
            </w:r>
            <w:r>
              <w:rPr>
                <w:rFonts w:ascii="Arial" w:cs="Arial" w:eastAsia="Arial" w:hAnsi="Arial"/>
                <w:sz w:val="20"/>
                <w:szCs w:val="20"/>
                <w:b w:val="1"/>
                <w:bCs w:val="1"/>
                <w:color w:val="auto"/>
                <w:w w:val="91"/>
              </w:rPr>
              <w:t>$25 million</w:t>
            </w:r>
            <w:r>
              <w:rPr>
                <w:rFonts w:ascii="Arial" w:cs="Arial" w:eastAsia="Arial" w:hAnsi="Arial"/>
                <w:sz w:val="20"/>
                <w:szCs w:val="20"/>
                <w:color w:val="auto"/>
                <w:w w:val="91"/>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ind w:left="400"/>
              <w:spacing w:after="0"/>
              <w:rPr>
                <w:sz w:val="20"/>
                <w:szCs w:val="20"/>
                <w:color w:val="auto"/>
              </w:rPr>
            </w:pPr>
            <w:r>
              <w:rPr>
                <w:rFonts w:ascii="Arial" w:cs="Arial" w:eastAsia="Arial" w:hAnsi="Arial"/>
                <w:sz w:val="41"/>
                <w:szCs w:val="41"/>
                <w:b w:val="1"/>
                <w:bCs w:val="1"/>
                <w:color w:val="FFFFFF"/>
              </w:rPr>
              <w:t>Q4</w:t>
            </w: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w w:val="92"/>
              </w:rPr>
              <w:t xml:space="preserve">which combined with the amounts realized during the first three quarters of 2018, total </w:t>
            </w:r>
            <w:r>
              <w:rPr>
                <w:rFonts w:ascii="Arial" w:cs="Arial" w:eastAsia="Arial" w:hAnsi="Arial"/>
                <w:sz w:val="20"/>
                <w:szCs w:val="20"/>
                <w:b w:val="1"/>
                <w:bCs w:val="1"/>
                <w:color w:val="auto"/>
                <w:w w:val="92"/>
              </w:rPr>
              <w:t>$400 million</w:t>
            </w:r>
          </w:p>
        </w:tc>
        <w:tc>
          <w:tcPr>
            <w:tcW w:w="1180" w:type="dxa"/>
            <w:vAlign w:val="bottom"/>
            <w:vMerge w:val="restart"/>
          </w:tcPr>
          <w:p>
            <w:pPr>
              <w:jc w:val="right"/>
              <w:ind w:right="13"/>
              <w:spacing w:after="0"/>
              <w:rPr>
                <w:sz w:val="20"/>
                <w:szCs w:val="20"/>
                <w:color w:val="auto"/>
              </w:rPr>
            </w:pPr>
            <w:r>
              <w:rPr>
                <w:rFonts w:ascii="Arial" w:cs="Arial" w:eastAsia="Arial" w:hAnsi="Arial"/>
                <w:sz w:val="41"/>
                <w:szCs w:val="41"/>
                <w:b w:val="1"/>
                <w:bCs w:val="1"/>
                <w:color w:val="CA0538"/>
              </w:rPr>
              <w:t>40%</w:t>
            </w:r>
          </w:p>
        </w:tc>
        <w:tc>
          <w:tcPr>
            <w:tcW w:w="0" w:type="dxa"/>
            <w:vAlign w:val="bottom"/>
          </w:tcPr>
          <w:p>
            <w:pPr>
              <w:spacing w:after="0"/>
              <w:rPr>
                <w:sz w:val="1"/>
                <w:szCs w:val="1"/>
                <w:color w:val="auto"/>
              </w:rPr>
            </w:pPr>
          </w:p>
        </w:tc>
      </w:tr>
      <w:tr>
        <w:trPr>
          <w:trHeight w:val="319"/>
        </w:trPr>
        <w:tc>
          <w:tcPr>
            <w:tcW w:w="1100" w:type="dxa"/>
            <w:vAlign w:val="bottom"/>
            <w:vMerge w:val="continue"/>
          </w:tcPr>
          <w:p>
            <w:pPr>
              <w:spacing w:after="0"/>
              <w:rPr>
                <w:sz w:val="24"/>
                <w:szCs w:val="24"/>
                <w:color w:val="auto"/>
              </w:rPr>
            </w:pPr>
          </w:p>
        </w:tc>
        <w:tc>
          <w:tcPr>
            <w:tcW w:w="8740" w:type="dxa"/>
            <w:vAlign w:val="bottom"/>
            <w:gridSpan w:val="2"/>
          </w:tcPr>
          <w:p>
            <w:pPr>
              <w:ind w:left="620"/>
              <w:spacing w:after="0"/>
              <w:rPr>
                <w:sz w:val="20"/>
                <w:szCs w:val="20"/>
                <w:color w:val="auto"/>
              </w:rPr>
            </w:pPr>
            <w:r>
              <w:rPr>
                <w:rFonts w:ascii="Arial" w:cs="Arial" w:eastAsia="Arial" w:hAnsi="Arial"/>
                <w:sz w:val="20"/>
                <w:szCs w:val="20"/>
                <w:color w:val="auto"/>
              </w:rPr>
              <w:t xml:space="preserve">on an annualized basis, which represents 40% of the </w:t>
            </w:r>
            <w:r>
              <w:rPr>
                <w:rFonts w:ascii="Arial" w:cs="Arial" w:eastAsia="Arial" w:hAnsi="Arial"/>
                <w:sz w:val="20"/>
                <w:szCs w:val="20"/>
                <w:b w:val="1"/>
                <w:bCs w:val="1"/>
                <w:color w:val="auto"/>
              </w:rPr>
              <w:t>$1 billion</w:t>
            </w:r>
            <w:r>
              <w:rPr>
                <w:rFonts w:ascii="Arial" w:cs="Arial" w:eastAsia="Arial" w:hAnsi="Arial"/>
                <w:sz w:val="20"/>
                <w:szCs w:val="20"/>
                <w:color w:val="auto"/>
              </w:rPr>
              <w:t xml:space="preserve"> target.</w:t>
            </w: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-3343275</wp:posOffset>
            </wp:positionV>
            <wp:extent cx="866140" cy="4013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6140" cy="4013200"/>
                    </a:xfrm>
                    <a:prstGeom prst="rect">
                      <a:avLst/>
                    </a:prstGeom>
                    <a:noFill/>
                  </pic:spPr>
                </pic:pic>
              </a:graphicData>
            </a:graphic>
          </wp:anchor>
        </w:drawing>
      </w:r>
    </w:p>
    <w:p>
      <w:pPr>
        <w:ind w:left="1940" w:right="1440"/>
        <w:spacing w:after="0" w:line="241" w:lineRule="auto"/>
        <w:rPr>
          <w:sz w:val="20"/>
          <w:szCs w:val="20"/>
          <w:color w:val="auto"/>
        </w:rPr>
      </w:pPr>
      <w:r>
        <w:rPr>
          <w:rFonts w:ascii="Arial" w:cs="Arial" w:eastAsia="Arial" w:hAnsi="Arial"/>
          <w:sz w:val="20"/>
          <w:szCs w:val="20"/>
          <w:color w:val="auto"/>
        </w:rPr>
        <w:t xml:space="preserve">For the full year, we grew adjusted EBITDA by more than </w:t>
      </w:r>
      <w:r>
        <w:rPr>
          <w:rFonts w:ascii="Arial" w:cs="Arial" w:eastAsia="Arial" w:hAnsi="Arial"/>
          <w:sz w:val="20"/>
          <w:szCs w:val="20"/>
          <w:b w:val="1"/>
          <w:bCs w:val="1"/>
          <w:color w:val="auto"/>
        </w:rPr>
        <w:t>$330 million</w:t>
      </w:r>
      <w:r>
        <w:rPr>
          <w:rFonts w:ascii="Arial" w:cs="Arial" w:eastAsia="Arial" w:hAnsi="Arial"/>
          <w:sz w:val="20"/>
          <w:szCs w:val="20"/>
          <w:color w:val="auto"/>
        </w:rPr>
        <w:t>, or 80% compared to 2017 levels, well outpacing the growth rates of our significant peers and the worldwide rig count. Approximately 75% of our year-over-year adjusted EBITDA growth was attributable to our transformation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VI</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GOVERNANCE AND SUSTAINABILITY HIGHLIGHTS</w:t>
      </w:r>
    </w:p>
    <w:p>
      <w:pPr>
        <w:spacing w:after="0" w:line="142" w:lineRule="exact"/>
        <w:rPr>
          <w:sz w:val="20"/>
          <w:szCs w:val="20"/>
          <w:color w:val="auto"/>
        </w:rPr>
      </w:pPr>
    </w:p>
    <w:p>
      <w:pPr>
        <w:jc w:val="both"/>
        <w:ind w:left="200" w:right="180"/>
        <w:spacing w:after="0" w:line="302" w:lineRule="auto"/>
        <w:rPr>
          <w:sz w:val="20"/>
          <w:szCs w:val="20"/>
          <w:color w:val="auto"/>
        </w:rPr>
      </w:pPr>
      <w:r>
        <w:rPr>
          <w:rFonts w:ascii="Arial" w:cs="Arial" w:eastAsia="Arial" w:hAnsi="Arial"/>
          <w:sz w:val="16"/>
          <w:szCs w:val="16"/>
          <w:color w:val="575756"/>
        </w:rPr>
        <w:t>Our Board is committed to delivering the highest standards of corporate governance to all of its shareholders, employees and customers. As such, our Board and its committees meet regularly to ensure our processes recognize best practices and remain aligned with our strategic objectives. In addition, fundamental to our goals as an organization is our focus on being a good corporate citizen, maintaining excellence in the quality of our work, safety of our employees, and in our efforts to protect the environment as we help provide energy vital to economic development and quality of life.</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An Active and Engaged Board</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22"/>
          <w:szCs w:val="22"/>
          <w:color w:val="CA0538"/>
        </w:rPr>
        <w:t>2018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-154940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200" w:right="560"/>
        <w:spacing w:after="0" w:line="300" w:lineRule="auto"/>
        <w:rPr>
          <w:sz w:val="20"/>
          <w:szCs w:val="20"/>
          <w:color w:val="auto"/>
        </w:rPr>
      </w:pPr>
      <w:r>
        <w:rPr>
          <w:rFonts w:ascii="Arial" w:cs="Arial" w:eastAsia="Arial" w:hAnsi="Arial"/>
          <w:sz w:val="30"/>
          <w:szCs w:val="30"/>
          <w:color w:val="CA0538"/>
        </w:rPr>
        <w:t>Director Orientation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her appointment to our Board of Directors in March, Ms. Minas attended a comprehensive orientation session led by Executive Vice President, General Counsel, Chief Compliance Officer and Corporate Secretary Christina M. Ibrahim in Houston, Texas. Ms. Minas received an overview of Weatherford and our transformation priorities, interacted with senior leaders from across the organization, and met with representatives from our corporate Legal, Tax, Insurance, Compliance and Assurance groups to gain an understanding of our internal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80010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30"/>
          <w:szCs w:val="30"/>
          <w:color w:val="CA0538"/>
        </w:rPr>
        <w:t>Site Visits</w:t>
      </w:r>
    </w:p>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Arial" w:cs="Arial" w:eastAsia="Arial" w:hAnsi="Arial"/>
          <w:sz w:val="17"/>
          <w:szCs w:val="17"/>
          <w:color w:val="auto"/>
        </w:rPr>
        <w:t>Our directors are eager to expand their knowledge of the company beyond the boardroom and see our global operations first-hand while interacting directly with employees. In May and November 2018, Mr. Awad and Sir Emyr Jones Parry visited several operations including Argentina, Egypt and Kuwait.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62865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spacing w:after="0" w:line="116" w:lineRule="exact"/>
        <w:rPr>
          <w:sz w:val="20"/>
          <w:szCs w:val="20"/>
          <w:color w:val="auto"/>
        </w:rPr>
      </w:pPr>
    </w:p>
    <w:p>
      <w:pPr>
        <w:ind w:left="200"/>
        <w:spacing w:after="0" w:line="300" w:lineRule="auto"/>
        <w:rPr>
          <w:sz w:val="20"/>
          <w:szCs w:val="20"/>
          <w:color w:val="auto"/>
        </w:rPr>
      </w:pPr>
      <w:r>
        <w:rPr>
          <w:rFonts w:ascii="Arial" w:cs="Arial" w:eastAsia="Arial" w:hAnsi="Arial"/>
          <w:sz w:val="30"/>
          <w:szCs w:val="30"/>
          <w:color w:val="CA0538"/>
        </w:rPr>
        <w:t>Transformation Office Meetings</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Arial" w:cs="Arial" w:eastAsia="Arial" w:hAnsi="Arial"/>
          <w:sz w:val="16"/>
          <w:szCs w:val="16"/>
          <w:color w:val="auto"/>
        </w:rPr>
        <w:t>To drive urgency and hold ourselves and our teams accountable to our transformation goals, we have held weekly Transformation Office meetings to highlight the progress each workstream is making on its initiatives, to problem solve, and to collaborate. Our Board members able to attend these meetings have provided invaluable guidance and expertise. On occasion, these meetings have been attended by Mr. Gass, Mr. Macaulay and Ms. 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55880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20" w:space="640"/>
            <w:col w:w="8260"/>
          </w:cols>
          <w:pgMar w:left="240" w:top="459" w:right="439" w:bottom="1440" w:gutter="0" w:footer="0" w:header="0"/>
          <w:type w:val="continuous"/>
        </w:sectPr>
      </w:pPr>
    </w:p>
    <w:p>
      <w:pPr>
        <w:spacing w:after="0" w:line="31"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Committed to Safe, Ethical, and Sustainable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172720</wp:posOffset>
            </wp:positionV>
            <wp:extent cx="7006590" cy="3353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6590" cy="3353435"/>
                    </a:xfrm>
                    <a:prstGeom prst="rect">
                      <a:avLst/>
                    </a:prstGeom>
                    <a:noFill/>
                  </pic:spPr>
                </pic:pic>
              </a:graphicData>
            </a:graphic>
          </wp:anchor>
        </w:drawing>
      </w: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CA0538"/>
              </w:rPr>
              <w:t>SUMMARY OF 2018 GOALS</w:t>
            </w:r>
          </w:p>
        </w:tc>
        <w:tc>
          <w:tcPr>
            <w:tcW w:w="4440" w:type="dxa"/>
            <w:vAlign w:val="bottom"/>
          </w:tcPr>
          <w:p>
            <w:pPr>
              <w:ind w:left="3100"/>
              <w:spacing w:after="0"/>
              <w:rPr>
                <w:sz w:val="20"/>
                <w:szCs w:val="20"/>
                <w:color w:val="auto"/>
              </w:rPr>
            </w:pPr>
            <w:r>
              <w:rPr>
                <w:rFonts w:ascii="Arial" w:cs="Arial" w:eastAsia="Arial" w:hAnsi="Arial"/>
                <w:sz w:val="18"/>
                <w:szCs w:val="18"/>
                <w:color w:val="CA0538"/>
              </w:rPr>
              <w:t>IN PROGRESS</w:t>
            </w:r>
          </w:p>
        </w:tc>
        <w:tc>
          <w:tcPr>
            <w:tcW w:w="1160" w:type="dxa"/>
            <w:vAlign w:val="bottom"/>
          </w:tcPr>
          <w:p>
            <w:pPr>
              <w:ind w:left="200"/>
              <w:spacing w:after="0"/>
              <w:rPr>
                <w:sz w:val="20"/>
                <w:szCs w:val="20"/>
                <w:color w:val="auto"/>
              </w:rPr>
            </w:pPr>
            <w:r>
              <w:rPr>
                <w:rFonts w:ascii="Arial" w:cs="Arial" w:eastAsia="Arial" w:hAnsi="Arial"/>
                <w:sz w:val="18"/>
                <w:szCs w:val="18"/>
                <w:color w:val="CA0538"/>
                <w:w w:val="94"/>
              </w:rPr>
              <w:t>COMPLETE</w:t>
            </w:r>
          </w:p>
        </w:tc>
      </w:tr>
    </w:tbl>
    <w:p>
      <w:pPr>
        <w:spacing w:after="0" w:line="243"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Sustainable Performance</w:t>
      </w:r>
    </w:p>
    <w:p>
      <w:pPr>
        <w:spacing w:after="0" w:line="1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6% reduction in total electrical use</w:t>
      </w:r>
    </w:p>
    <w:p>
      <w:pPr>
        <w:spacing w:after="0" w:line="7"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5% reduction in total water use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Target total recordable incident rate (TRIR): 0.34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10% reduction nonproductive time (NPT) incidents</w:t>
      </w:r>
    </w:p>
    <w:p>
      <w:pPr>
        <w:spacing w:after="0" w:line="400"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Responsible Operations</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Launch revised Supplier Code of Conduct</w:t>
      </w:r>
    </w:p>
    <w:p>
      <w:pPr>
        <w:spacing w:after="0" w:line="10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Issue Disruptive Event Management Standard</w:t>
      </w:r>
    </w:p>
    <w:p>
      <w:pPr>
        <w:spacing w:after="0" w:line="293"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World-Class People</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Drive support for employee network groups</w:t>
      </w:r>
    </w:p>
    <w:p>
      <w:pPr>
        <w:spacing w:after="0" w:line="104" w:lineRule="exact"/>
        <w:rPr>
          <w:sz w:val="20"/>
          <w:szCs w:val="20"/>
          <w:color w:val="auto"/>
        </w:rPr>
      </w:pPr>
    </w:p>
    <w:p>
      <w:pPr>
        <w:ind w:left="228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Implement advancements to recruitment</w:t>
      </w: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Global Citizenship</w:t>
      </w:r>
    </w:p>
    <w:p>
      <w:pPr>
        <w:spacing w:after="0" w:line="19" w:lineRule="exact"/>
        <w:rPr>
          <w:sz w:val="20"/>
          <w:szCs w:val="20"/>
          <w:color w:val="auto"/>
        </w:rPr>
      </w:pPr>
    </w:p>
    <w:p>
      <w:pPr>
        <w:ind w:left="2460" w:right="3000" w:hanging="179"/>
        <w:spacing w:after="0" w:line="259" w:lineRule="auto"/>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Formalize corporate charitable giving standard and establish framework to track</w:t>
      </w:r>
      <w:r>
        <w:rPr>
          <w:rFonts w:ascii="Arial" w:cs="Arial" w:eastAsia="Arial" w:hAnsi="Arial"/>
          <w:sz w:val="18"/>
          <w:szCs w:val="18"/>
          <w:color w:val="CA0538"/>
        </w:rPr>
        <w:t xml:space="preserve"> </w:t>
      </w:r>
      <w:r>
        <w:rPr>
          <w:rFonts w:ascii="Arial" w:cs="Arial" w:eastAsia="Arial" w:hAnsi="Arial"/>
          <w:sz w:val="18"/>
          <w:szCs w:val="18"/>
          <w:color w:val="000000"/>
        </w:rPr>
        <w:t>donations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186690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7820"/>
        <w:spacing w:after="0"/>
        <w:rPr>
          <w:sz w:val="20"/>
          <w:szCs w:val="20"/>
          <w:color w:val="auto"/>
        </w:rPr>
      </w:pPr>
      <w:r>
        <w:rPr>
          <w:rFonts w:ascii="Arial" w:cs="Arial" w:eastAsia="Arial" w:hAnsi="Arial"/>
          <w:sz w:val="13"/>
          <w:szCs w:val="13"/>
          <w:color w:val="878787"/>
        </w:rPr>
        <w:t xml:space="preserve">Weatherford International plc – 2019 Proxy Statement </w:t>
      </w:r>
      <w:r>
        <w:rPr>
          <w:rFonts w:ascii="Arial" w:cs="Arial" w:eastAsia="Arial" w:hAnsi="Arial"/>
          <w:sz w:val="13"/>
          <w:szCs w:val="13"/>
          <w:b w:val="1"/>
          <w:bCs w:val="1"/>
          <w:color w:val="878787"/>
        </w:rPr>
        <w:t>VII</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A0538"/>
        </w:rPr>
        <w:t>COMPENSATION HIGHLIGHTS</w:t>
      </w:r>
    </w:p>
    <w:p>
      <w:pPr>
        <w:spacing w:after="0" w:line="25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575756"/>
        </w:rPr>
        <w:t>The Compensation Committee aims to provide a framework that aligns the interest of our executive officers with those of our shareholders. Our compensation philosophy supports key financial and strategic objectives as well as drives and rewards strong business performance. This dual approach provides a clear link between pay and performance. The Compensation Program, which gives due consideration to shareholder feedback, continues to evolve to ensure superior value to our shareholders.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Our 2018 Performance</w:t>
      </w:r>
    </w:p>
    <w:p>
      <w:pPr>
        <w:spacing w:after="0" w:line="130" w:lineRule="exact"/>
        <w:rPr>
          <w:sz w:val="20"/>
          <w:szCs w:val="20"/>
          <w:color w:val="auto"/>
        </w:rPr>
      </w:pPr>
    </w:p>
    <w:tbl>
      <w:tblPr>
        <w:tblLayout w:type="fixed"/>
        <w:tblInd w:w="230" w:type="dxa"/>
        <w:tblCellMar>
          <w:top w:w="0" w:type="dxa"/>
          <w:left w:w="0" w:type="dxa"/>
          <w:bottom w:w="0" w:type="dxa"/>
          <w:right w:w="0" w:type="dxa"/>
        </w:tblCellMar>
      </w:tblPr>
      <w:tr>
        <w:trPr>
          <w:trHeight w:val="409"/>
        </w:trPr>
        <w:tc>
          <w:tcPr>
            <w:tcW w:w="2960" w:type="dxa"/>
            <w:vAlign w:val="bottom"/>
            <w:tcBorders>
              <w:top w:val="single" w:sz="8" w:color="auto"/>
              <w:left w:val="single" w:sz="8" w:color="auto"/>
              <w:right w:val="single" w:sz="8" w:color="auto"/>
            </w:tcBorders>
          </w:tcPr>
          <w:p>
            <w:pPr>
              <w:jc w:val="center"/>
              <w:ind w:left="8"/>
              <w:spacing w:after="0"/>
              <w:rPr>
                <w:sz w:val="20"/>
                <w:szCs w:val="20"/>
                <w:color w:val="auto"/>
              </w:rPr>
            </w:pPr>
            <w:r>
              <w:rPr>
                <w:rFonts w:ascii="Arial" w:cs="Arial" w:eastAsia="Arial" w:hAnsi="Arial"/>
                <w:sz w:val="25"/>
                <w:szCs w:val="25"/>
                <w:color w:val="575756"/>
              </w:rPr>
              <w:t>$762 MILLION</w:t>
            </w:r>
          </w:p>
        </w:tc>
        <w:tc>
          <w:tcPr>
            <w:tcW w:w="140" w:type="dxa"/>
            <w:vAlign w:val="bottom"/>
            <w:tcBorders>
              <w:right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8"/>
              </w:rPr>
              <w:t>NEGATIVE</w:t>
            </w:r>
          </w:p>
        </w:tc>
        <w:tc>
          <w:tcPr>
            <w:tcW w:w="140" w:type="dxa"/>
            <w:vAlign w:val="bottom"/>
            <w:tcBorders>
              <w:right w:val="single" w:sz="8" w:color="auto"/>
            </w:tcBorders>
          </w:tcPr>
          <w:p>
            <w:pPr>
              <w:spacing w:after="0"/>
              <w:rPr>
                <w:sz w:val="24"/>
                <w:szCs w:val="24"/>
                <w:color w:val="auto"/>
              </w:rPr>
            </w:pPr>
          </w:p>
        </w:tc>
        <w:tc>
          <w:tcPr>
            <w:tcW w:w="2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w w:val="99"/>
              </w:rPr>
              <w:t>SAFETY</w:t>
            </w:r>
          </w:p>
        </w:tc>
        <w:tc>
          <w:tcPr>
            <w:tcW w:w="140" w:type="dxa"/>
            <w:vAlign w:val="bottom"/>
            <w:tcBorders>
              <w:right w:val="single" w:sz="8" w:color="auto"/>
            </w:tcBorders>
          </w:tcPr>
          <w:p>
            <w:pPr>
              <w:spacing w:after="0"/>
              <w:rPr>
                <w:sz w:val="24"/>
                <w:szCs w:val="24"/>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9"/>
              </w:rPr>
              <w:t>$375 MILLION</w:t>
            </w:r>
          </w:p>
        </w:tc>
        <w:tc>
          <w:tcPr>
            <w:tcW w:w="0" w:type="dxa"/>
            <w:vAlign w:val="bottom"/>
          </w:tcPr>
          <w:p>
            <w:pPr>
              <w:spacing w:after="0"/>
              <w:rPr>
                <w:sz w:val="1"/>
                <w:szCs w:val="1"/>
                <w:color w:val="auto"/>
              </w:rPr>
            </w:pPr>
          </w:p>
        </w:tc>
      </w:tr>
      <w:tr>
        <w:trPr>
          <w:trHeight w:val="122"/>
        </w:trPr>
        <w:tc>
          <w:tcPr>
            <w:tcW w:w="2960" w:type="dxa"/>
            <w:vAlign w:val="bottom"/>
            <w:tcBorders>
              <w:left w:val="single" w:sz="8" w:color="auto"/>
              <w:right w:val="single" w:sz="8" w:color="auto"/>
            </w:tcBorders>
            <w:vMerge w:val="restart"/>
          </w:tcPr>
          <w:p>
            <w:pPr>
              <w:jc w:val="center"/>
              <w:ind w:left="8"/>
              <w:spacing w:after="0"/>
              <w:rPr>
                <w:sz w:val="20"/>
                <w:szCs w:val="20"/>
                <w:color w:val="auto"/>
              </w:rPr>
            </w:pPr>
            <w:r>
              <w:rPr>
                <w:rFonts w:ascii="Arial" w:cs="Arial" w:eastAsia="Arial" w:hAnsi="Arial"/>
                <w:sz w:val="25"/>
                <w:szCs w:val="25"/>
                <w:b w:val="1"/>
                <w:bCs w:val="1"/>
                <w:color w:val="CA0538"/>
                <w:w w:val="97"/>
              </w:rPr>
              <w:t>ADJUSTED</w:t>
            </w:r>
          </w:p>
        </w:tc>
        <w:tc>
          <w:tcPr>
            <w:tcW w:w="14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w w:val="99"/>
              </w:rPr>
              <w:t>FREE CASH</w:t>
            </w:r>
          </w:p>
        </w:tc>
        <w:tc>
          <w:tcPr>
            <w:tcW w:w="1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Borders>
              <w:left w:val="single" w:sz="8" w:color="auto"/>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9"/>
              </w:rPr>
              <w:t>TRIR</w:t>
            </w:r>
          </w:p>
        </w:tc>
        <w:tc>
          <w:tcPr>
            <w:tcW w:w="1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rPr>
              <w:t>TRANSFORMATION</w:t>
            </w:r>
          </w:p>
        </w:tc>
        <w:tc>
          <w:tcPr>
            <w:tcW w:w="0" w:type="dxa"/>
            <w:vAlign w:val="bottom"/>
          </w:tcPr>
          <w:p>
            <w:pPr>
              <w:spacing w:after="0"/>
              <w:rPr>
                <w:sz w:val="1"/>
                <w:szCs w:val="1"/>
                <w:color w:val="auto"/>
              </w:rPr>
            </w:pPr>
          </w:p>
        </w:tc>
      </w:tr>
      <w:tr>
        <w:trPr>
          <w:trHeight w:val="153"/>
        </w:trPr>
        <w:tc>
          <w:tcPr>
            <w:tcW w:w="2960" w:type="dxa"/>
            <w:vAlign w:val="bottom"/>
            <w:tcBorders>
              <w:left w:val="single" w:sz="8" w:color="auto"/>
              <w:right w:val="single" w:sz="8" w:color="auto"/>
            </w:tcBorders>
            <w:vMerge w:val="restart"/>
          </w:tcPr>
          <w:p>
            <w:pPr>
              <w:jc w:val="center"/>
              <w:ind w:left="8"/>
              <w:spacing w:after="0"/>
              <w:rPr>
                <w:sz w:val="20"/>
                <w:szCs w:val="20"/>
                <w:color w:val="auto"/>
              </w:rPr>
            </w:pPr>
            <w:r>
              <w:rPr>
                <w:rFonts w:ascii="Arial" w:cs="Arial" w:eastAsia="Arial" w:hAnsi="Arial"/>
                <w:sz w:val="25"/>
                <w:szCs w:val="25"/>
                <w:b w:val="1"/>
                <w:bCs w:val="1"/>
                <w:color w:val="CA0538"/>
              </w:rPr>
              <w:t>EBITDA</w:t>
            </w:r>
          </w:p>
        </w:tc>
        <w:tc>
          <w:tcPr>
            <w:tcW w:w="1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CA0538"/>
              </w:rPr>
              <w:t>FLOW</w:t>
            </w:r>
          </w:p>
        </w:tc>
        <w:tc>
          <w:tcPr>
            <w:tcW w:w="14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60" w:type="dxa"/>
            <w:vAlign w:val="bottom"/>
            <w:tcBorders>
              <w:left w:val="single" w:sz="8" w:color="auto"/>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960" w:type="dxa"/>
            <w:vAlign w:val="bottom"/>
            <w:tcBorders>
              <w:left w:val="single" w:sz="8" w:color="auto"/>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960" w:type="dxa"/>
            <w:vAlign w:val="bottom"/>
            <w:tcBorders>
              <w:left w:val="single" w:sz="8" w:color="auto"/>
              <w:right w:val="single" w:sz="8" w:color="auto"/>
            </w:tcBorders>
            <w:shd w:val="clear" w:color="auto" w:fill="E3E3E3"/>
          </w:tcPr>
          <w:p>
            <w:pPr>
              <w:jc w:val="center"/>
              <w:ind w:left="28"/>
              <w:spacing w:after="0"/>
              <w:rPr>
                <w:sz w:val="20"/>
                <w:szCs w:val="20"/>
                <w:color w:val="auto"/>
              </w:rPr>
            </w:pPr>
            <w:r>
              <w:rPr>
                <w:rFonts w:ascii="Arial" w:cs="Arial" w:eastAsia="Arial" w:hAnsi="Arial"/>
                <w:sz w:val="18"/>
                <w:szCs w:val="18"/>
                <w:b w:val="1"/>
                <w:bCs w:val="1"/>
                <w:color w:val="auto"/>
              </w:rPr>
              <w:t>THRESHOLD</w:t>
            </w:r>
          </w:p>
        </w:tc>
        <w:tc>
          <w:tcPr>
            <w:tcW w:w="14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7"/>
              </w:rPr>
              <w:t>BELOW THRESHOLD</w:t>
            </w:r>
          </w:p>
        </w:tc>
        <w:tc>
          <w:tcPr>
            <w:tcW w:w="14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TARGET</w:t>
            </w:r>
          </w:p>
        </w:tc>
        <w:tc>
          <w:tcPr>
            <w:tcW w:w="14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THRESHOLD</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right w:val="single" w:sz="8" w:color="auto"/>
            </w:tcBorders>
            <w:shd w:val="clear" w:color="auto" w:fill="E3E3E3"/>
          </w:tcPr>
          <w:p>
            <w:pPr>
              <w:jc w:val="center"/>
              <w:ind w:left="28"/>
              <w:spacing w:after="0"/>
              <w:rPr>
                <w:sz w:val="20"/>
                <w:szCs w:val="20"/>
                <w:color w:val="auto"/>
              </w:rPr>
            </w:pPr>
            <w:r>
              <w:rPr>
                <w:rFonts w:ascii="Arial" w:cs="Arial" w:eastAsia="Arial" w:hAnsi="Arial"/>
                <w:sz w:val="18"/>
                <w:szCs w:val="18"/>
                <w:b w:val="1"/>
                <w:bCs w:val="1"/>
                <w:color w:val="auto"/>
              </w:rPr>
              <w:t>ACHIEVEMENT</w:t>
            </w:r>
          </w:p>
        </w:tc>
        <w:tc>
          <w:tcPr>
            <w:tcW w:w="14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9"/>
              </w:rPr>
              <w:t>ACHIEVEMENT</w:t>
            </w:r>
          </w:p>
        </w:tc>
        <w:tc>
          <w:tcPr>
            <w:tcW w:w="1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1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0" w:type="dxa"/>
            <w:vAlign w:val="bottom"/>
          </w:tcPr>
          <w:p>
            <w:pPr>
              <w:spacing w:after="0"/>
              <w:rPr>
                <w:sz w:val="1"/>
                <w:szCs w:val="1"/>
                <w:color w:val="auto"/>
              </w:rPr>
            </w:pPr>
          </w:p>
        </w:tc>
      </w:tr>
      <w:tr>
        <w:trPr>
          <w:trHeight w:val="135"/>
        </w:trPr>
        <w:tc>
          <w:tcPr>
            <w:tcW w:w="2960" w:type="dxa"/>
            <w:vAlign w:val="bottom"/>
            <w:tcBorders>
              <w:left w:val="single" w:sz="8" w:color="auto"/>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shd w:val="clear" w:color="auto" w:fill="E3E3E3"/>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shd w:val="clear" w:color="auto" w:fill="E3E3E3"/>
          </w:tcPr>
          <w:p>
            <w:pPr>
              <w:spacing w:after="0"/>
              <w:rPr>
                <w:sz w:val="11"/>
                <w:szCs w:val="1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Principal Elements of Compensation</w:t>
      </w:r>
    </w:p>
    <w:p>
      <w:pPr>
        <w:spacing w:after="0" w:line="122"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Our compensation program rewards our named executive officers (NEOs) for achieving strategic and operational goals, and it emphasizes long-term performance for Weatherford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117475</wp:posOffset>
            </wp:positionV>
            <wp:extent cx="8890"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283210"/>
                    </a:xfrm>
                    <a:prstGeom prst="rect">
                      <a:avLst/>
                    </a:prstGeom>
                    <a:noFill/>
                  </pic:spPr>
                </pic:pic>
              </a:graphicData>
            </a:graphic>
          </wp:anchor>
        </w:drawing>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shd w:val="clear" w:color="auto" w:fill="3C3C3B"/>
          </w:tcPr>
          <w:p>
            <w:pPr>
              <w:spacing w:after="0"/>
              <w:rPr>
                <w:sz w:val="17"/>
                <w:szCs w:val="17"/>
                <w:color w:val="auto"/>
              </w:rPr>
            </w:pPr>
          </w:p>
        </w:tc>
        <w:tc>
          <w:tcPr>
            <w:tcW w:w="1800" w:type="dxa"/>
            <w:vAlign w:val="bottom"/>
            <w:shd w:val="clear" w:color="auto" w:fill="3C3C3B"/>
          </w:tcPr>
          <w:p>
            <w:pPr>
              <w:ind w:left="400"/>
              <w:spacing w:after="0"/>
              <w:rPr>
                <w:sz w:val="20"/>
                <w:szCs w:val="20"/>
                <w:color w:val="auto"/>
              </w:rPr>
            </w:pPr>
            <w:r>
              <w:rPr>
                <w:rFonts w:ascii="Arial" w:cs="Arial" w:eastAsia="Arial" w:hAnsi="Arial"/>
                <w:sz w:val="18"/>
                <w:szCs w:val="18"/>
                <w:b w:val="1"/>
                <w:bCs w:val="1"/>
                <w:color w:val="FFFFFF"/>
              </w:rPr>
              <w:t>Base</w:t>
            </w:r>
          </w:p>
        </w:tc>
        <w:tc>
          <w:tcPr>
            <w:tcW w:w="2500" w:type="dxa"/>
            <w:vAlign w:val="bottom"/>
            <w:tcBorders>
              <w:right w:val="single" w:sz="8" w:color="3C3C3B"/>
            </w:tcBorders>
            <w:shd w:val="clear" w:color="auto" w:fill="3C3C3B"/>
          </w:tcPr>
          <w:p>
            <w:pPr>
              <w:ind w:left="440"/>
              <w:spacing w:after="0"/>
              <w:rPr>
                <w:sz w:val="20"/>
                <w:szCs w:val="20"/>
                <w:color w:val="auto"/>
              </w:rPr>
            </w:pPr>
            <w:r>
              <w:rPr>
                <w:rFonts w:ascii="Arial" w:cs="Arial" w:eastAsia="Arial" w:hAnsi="Arial"/>
                <w:sz w:val="18"/>
                <w:szCs w:val="18"/>
                <w:b w:val="1"/>
                <w:bCs w:val="1"/>
                <w:color w:val="FFFFFF"/>
              </w:rPr>
              <w:t>Annual</w:t>
            </w:r>
          </w:p>
        </w:tc>
        <w:tc>
          <w:tcPr>
            <w:tcW w:w="1820" w:type="dxa"/>
            <w:vAlign w:val="bottom"/>
            <w:shd w:val="clear" w:color="auto" w:fill="3C3C3B"/>
          </w:tcPr>
          <w:p>
            <w:pPr>
              <w:ind w:left="100"/>
              <w:spacing w:after="0"/>
              <w:rPr>
                <w:sz w:val="20"/>
                <w:szCs w:val="20"/>
                <w:color w:val="auto"/>
              </w:rPr>
            </w:pPr>
            <w:r>
              <w:rPr>
                <w:rFonts w:ascii="Arial" w:cs="Arial" w:eastAsia="Arial" w:hAnsi="Arial"/>
                <w:sz w:val="18"/>
                <w:szCs w:val="18"/>
                <w:b w:val="1"/>
                <w:bCs w:val="1"/>
                <w:color w:val="FFFFFF"/>
              </w:rPr>
              <w:t>Performance</w:t>
            </w:r>
          </w:p>
        </w:tc>
        <w:tc>
          <w:tcPr>
            <w:tcW w:w="2340" w:type="dxa"/>
            <w:vAlign w:val="bottom"/>
            <w:shd w:val="clear" w:color="auto" w:fill="3C3C3B"/>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2560" w:type="dxa"/>
            <w:vAlign w:val="bottom"/>
            <w:shd w:val="clear" w:color="auto" w:fill="3C3C3B"/>
          </w:tcPr>
          <w:p>
            <w:pPr>
              <w:spacing w:after="0"/>
              <w:rPr>
                <w:sz w:val="21"/>
                <w:szCs w:val="21"/>
                <w:color w:val="auto"/>
              </w:rPr>
            </w:pPr>
          </w:p>
        </w:tc>
        <w:tc>
          <w:tcPr>
            <w:tcW w:w="1800" w:type="dxa"/>
            <w:vAlign w:val="bottom"/>
            <w:shd w:val="clear" w:color="auto" w:fill="3C3C3B"/>
          </w:tcPr>
          <w:p>
            <w:pPr>
              <w:ind w:left="400"/>
              <w:spacing w:after="0"/>
              <w:rPr>
                <w:sz w:val="20"/>
                <w:szCs w:val="20"/>
                <w:color w:val="auto"/>
              </w:rPr>
            </w:pPr>
            <w:r>
              <w:rPr>
                <w:rFonts w:ascii="Arial" w:cs="Arial" w:eastAsia="Arial" w:hAnsi="Arial"/>
                <w:sz w:val="18"/>
                <w:szCs w:val="18"/>
                <w:b w:val="1"/>
                <w:bCs w:val="1"/>
                <w:color w:val="FFFFFF"/>
              </w:rPr>
              <w:t>Salary</w:t>
            </w:r>
          </w:p>
        </w:tc>
        <w:tc>
          <w:tcPr>
            <w:tcW w:w="2500" w:type="dxa"/>
            <w:vAlign w:val="bottom"/>
            <w:tcBorders>
              <w:right w:val="single" w:sz="8" w:color="3C3C3B"/>
            </w:tcBorders>
            <w:shd w:val="clear" w:color="auto" w:fill="3C3C3B"/>
          </w:tcPr>
          <w:p>
            <w:pPr>
              <w:ind w:left="440"/>
              <w:spacing w:after="0"/>
              <w:rPr>
                <w:sz w:val="20"/>
                <w:szCs w:val="20"/>
                <w:color w:val="auto"/>
              </w:rPr>
            </w:pPr>
            <w:r>
              <w:rPr>
                <w:rFonts w:ascii="Arial" w:cs="Arial" w:eastAsia="Arial" w:hAnsi="Arial"/>
                <w:sz w:val="18"/>
                <w:szCs w:val="18"/>
                <w:b w:val="1"/>
                <w:bCs w:val="1"/>
                <w:color w:val="FFFFFF"/>
              </w:rPr>
              <w:t>Incentive</w:t>
            </w:r>
          </w:p>
        </w:tc>
        <w:tc>
          <w:tcPr>
            <w:tcW w:w="1820" w:type="dxa"/>
            <w:vAlign w:val="bottom"/>
            <w:shd w:val="clear" w:color="auto" w:fill="3C3C3B"/>
          </w:tcPr>
          <w:p>
            <w:pPr>
              <w:ind w:left="100"/>
              <w:spacing w:after="0"/>
              <w:rPr>
                <w:sz w:val="20"/>
                <w:szCs w:val="20"/>
                <w:color w:val="auto"/>
              </w:rPr>
            </w:pPr>
            <w:r>
              <w:rPr>
                <w:rFonts w:ascii="Arial" w:cs="Arial" w:eastAsia="Arial" w:hAnsi="Arial"/>
                <w:sz w:val="18"/>
                <w:szCs w:val="18"/>
                <w:b w:val="1"/>
                <w:bCs w:val="1"/>
                <w:color w:val="FFFFFF"/>
              </w:rPr>
              <w:t>Share Units</w:t>
            </w:r>
          </w:p>
        </w:tc>
        <w:tc>
          <w:tcPr>
            <w:tcW w:w="2340" w:type="dxa"/>
            <w:vAlign w:val="bottom"/>
            <w:shd w:val="clear" w:color="auto" w:fill="3C3C3B"/>
          </w:tcPr>
          <w:p>
            <w:pPr>
              <w:ind w:left="260"/>
              <w:spacing w:after="0"/>
              <w:rPr>
                <w:sz w:val="20"/>
                <w:szCs w:val="20"/>
                <w:color w:val="auto"/>
              </w:rPr>
            </w:pPr>
            <w:r>
              <w:rPr>
                <w:rFonts w:ascii="Arial" w:cs="Arial" w:eastAsia="Arial" w:hAnsi="Arial"/>
                <w:sz w:val="18"/>
                <w:szCs w:val="18"/>
                <w:b w:val="1"/>
                <w:bCs w:val="1"/>
                <w:color w:val="FFFFFF"/>
              </w:rPr>
              <w:t>Restricted Share Units</w:t>
            </w:r>
          </w:p>
        </w:tc>
      </w:tr>
      <w:tr>
        <w:trPr>
          <w:trHeight w:val="216"/>
        </w:trPr>
        <w:tc>
          <w:tcPr>
            <w:tcW w:w="20" w:type="dxa"/>
            <w:vAlign w:val="bottom"/>
            <w:tcBorders>
              <w:bottom w:val="single" w:sz="8" w:color="C6C6C6"/>
            </w:tcBorders>
          </w:tcPr>
          <w:p>
            <w:pPr>
              <w:spacing w:after="0"/>
              <w:rPr>
                <w:sz w:val="18"/>
                <w:szCs w:val="18"/>
                <w:color w:val="auto"/>
              </w:rPr>
            </w:pPr>
          </w:p>
        </w:tc>
        <w:tc>
          <w:tcPr>
            <w:tcW w:w="2560" w:type="dxa"/>
            <w:vAlign w:val="bottom"/>
            <w:tcBorders>
              <w:bottom w:val="single" w:sz="8" w:color="C6C6C6"/>
            </w:tcBorders>
          </w:tcPr>
          <w:p>
            <w:pPr>
              <w:spacing w:after="0"/>
              <w:rPr>
                <w:sz w:val="20"/>
                <w:szCs w:val="20"/>
                <w:color w:val="auto"/>
              </w:rPr>
            </w:pPr>
            <w:r>
              <w:rPr>
                <w:rFonts w:ascii="Arial" w:cs="Arial" w:eastAsia="Arial" w:hAnsi="Arial"/>
                <w:sz w:val="18"/>
                <w:szCs w:val="18"/>
                <w:b w:val="1"/>
                <w:bCs w:val="1"/>
                <w:color w:val="575756"/>
              </w:rPr>
              <w:t>DELIVERY</w:t>
            </w:r>
          </w:p>
        </w:tc>
        <w:tc>
          <w:tcPr>
            <w:tcW w:w="1800" w:type="dxa"/>
            <w:vAlign w:val="bottom"/>
            <w:tcBorders>
              <w:bottom w:val="single" w:sz="8" w:color="C6C6C6"/>
            </w:tcBorders>
          </w:tcPr>
          <w:p>
            <w:pPr>
              <w:spacing w:after="0"/>
              <w:rPr>
                <w:sz w:val="18"/>
                <w:szCs w:val="18"/>
                <w:color w:val="auto"/>
              </w:rPr>
            </w:pPr>
          </w:p>
        </w:tc>
        <w:tc>
          <w:tcPr>
            <w:tcW w:w="2500" w:type="dxa"/>
            <w:vAlign w:val="bottom"/>
            <w:tcBorders>
              <w:bottom w:val="single" w:sz="8" w:color="C6C6C6"/>
              <w:right w:val="single" w:sz="8" w:color="C6C6C6"/>
            </w:tcBorders>
          </w:tcPr>
          <w:p>
            <w:pPr>
              <w:ind w:left="340"/>
              <w:spacing w:after="0"/>
              <w:rPr>
                <w:sz w:val="20"/>
                <w:szCs w:val="20"/>
                <w:color w:val="auto"/>
              </w:rPr>
            </w:pPr>
            <w:r>
              <w:rPr>
                <w:rFonts w:ascii="Arial" w:cs="Arial" w:eastAsia="Arial" w:hAnsi="Arial"/>
                <w:sz w:val="18"/>
                <w:szCs w:val="18"/>
                <w:b w:val="1"/>
                <w:bCs w:val="1"/>
                <w:color w:val="auto"/>
              </w:rPr>
              <w:t>Cash</w:t>
            </w:r>
          </w:p>
        </w:tc>
        <w:tc>
          <w:tcPr>
            <w:tcW w:w="1820" w:type="dxa"/>
            <w:vAlign w:val="bottom"/>
            <w:tcBorders>
              <w:bottom w:val="single" w:sz="8" w:color="C6C6C6"/>
            </w:tcBorders>
          </w:tcPr>
          <w:p>
            <w:pPr>
              <w:spacing w:after="0"/>
              <w:rPr>
                <w:sz w:val="18"/>
                <w:szCs w:val="18"/>
                <w:color w:val="auto"/>
              </w:rPr>
            </w:pPr>
          </w:p>
        </w:tc>
        <w:tc>
          <w:tcPr>
            <w:tcW w:w="2340" w:type="dxa"/>
            <w:vAlign w:val="bottom"/>
            <w:tcBorders>
              <w:bottom w:val="single" w:sz="8" w:color="C6C6C6"/>
            </w:tcBorders>
          </w:tcPr>
          <w:p>
            <w:pPr>
              <w:ind w:left="4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580" w:type="dxa"/>
            <w:vAlign w:val="bottom"/>
            <w:tcBorders>
              <w:bottom w:val="single" w:sz="8" w:color="C6C6C6"/>
            </w:tcBorders>
            <w:gridSpan w:val="2"/>
          </w:tcPr>
          <w:p>
            <w:pPr>
              <w:spacing w:after="0"/>
              <w:rPr>
                <w:sz w:val="20"/>
                <w:szCs w:val="20"/>
                <w:color w:val="auto"/>
              </w:rPr>
            </w:pPr>
            <w:r>
              <w:rPr>
                <w:rFonts w:ascii="Arial" w:cs="Arial" w:eastAsia="Arial" w:hAnsi="Arial"/>
                <w:sz w:val="18"/>
                <w:szCs w:val="18"/>
                <w:b w:val="1"/>
                <w:bCs w:val="1"/>
                <w:color w:val="575756"/>
              </w:rPr>
              <w:t>PERFORMANCE PERIOD</w:t>
            </w:r>
          </w:p>
        </w:tc>
        <w:tc>
          <w:tcPr>
            <w:tcW w:w="1800" w:type="dxa"/>
            <w:vAlign w:val="bottom"/>
            <w:tcBorders>
              <w:bottom w:val="single" w:sz="8" w:color="C6C6C6"/>
            </w:tcBorders>
          </w:tcPr>
          <w:p>
            <w:pPr>
              <w:spacing w:after="0"/>
              <w:rPr>
                <w:sz w:val="18"/>
                <w:szCs w:val="18"/>
                <w:color w:val="auto"/>
              </w:rPr>
            </w:pPr>
          </w:p>
        </w:tc>
        <w:tc>
          <w:tcPr>
            <w:tcW w:w="2500" w:type="dxa"/>
            <w:vAlign w:val="bottom"/>
            <w:tcBorders>
              <w:bottom w:val="single" w:sz="8" w:color="C6C6C6"/>
              <w:right w:val="single" w:sz="8" w:color="C6C6C6"/>
            </w:tcBorders>
          </w:tcPr>
          <w:p>
            <w:pPr>
              <w:ind w:left="100"/>
              <w:spacing w:after="0"/>
              <w:rPr>
                <w:sz w:val="20"/>
                <w:szCs w:val="20"/>
                <w:color w:val="auto"/>
              </w:rPr>
            </w:pPr>
            <w:r>
              <w:rPr>
                <w:rFonts w:ascii="Arial" w:cs="Arial" w:eastAsia="Arial" w:hAnsi="Arial"/>
                <w:sz w:val="18"/>
                <w:szCs w:val="18"/>
                <w:b w:val="1"/>
                <w:bCs w:val="1"/>
                <w:color w:val="575756"/>
              </w:rPr>
              <w:t>Short-term</w:t>
            </w:r>
          </w:p>
        </w:tc>
        <w:tc>
          <w:tcPr>
            <w:tcW w:w="4160" w:type="dxa"/>
            <w:vAlign w:val="bottom"/>
            <w:tcBorders>
              <w:bottom w:val="single" w:sz="8" w:color="C6C6C6"/>
            </w:tcBorders>
            <w:gridSpan w:val="2"/>
          </w:tcPr>
          <w:p>
            <w:pPr>
              <w:ind w:left="1700"/>
              <w:spacing w:after="0"/>
              <w:rPr>
                <w:sz w:val="20"/>
                <w:szCs w:val="20"/>
                <w:color w:val="auto"/>
              </w:rPr>
            </w:pPr>
            <w:r>
              <w:rPr>
                <w:rFonts w:ascii="Arial" w:cs="Arial" w:eastAsia="Arial" w:hAnsi="Arial"/>
                <w:sz w:val="18"/>
                <w:szCs w:val="18"/>
                <w:b w:val="1"/>
                <w:bCs w:val="1"/>
                <w:color w:val="575756"/>
              </w:rPr>
              <w:t>Long-term</w:t>
            </w:r>
          </w:p>
        </w:tc>
      </w:tr>
      <w:tr>
        <w:trPr>
          <w:trHeight w:val="195"/>
        </w:trPr>
        <w:tc>
          <w:tcPr>
            <w:tcW w:w="2580" w:type="dxa"/>
            <w:vAlign w:val="bottom"/>
            <w:gridSpan w:val="2"/>
          </w:tcPr>
          <w:p>
            <w:pPr>
              <w:spacing w:after="0" w:line="195" w:lineRule="exact"/>
              <w:rPr>
                <w:sz w:val="20"/>
                <w:szCs w:val="20"/>
                <w:color w:val="auto"/>
              </w:rPr>
            </w:pPr>
            <w:r>
              <w:rPr>
                <w:rFonts w:ascii="Arial" w:cs="Arial" w:eastAsia="Arial" w:hAnsi="Arial"/>
                <w:sz w:val="18"/>
                <w:szCs w:val="18"/>
                <w:b w:val="1"/>
                <w:bCs w:val="1"/>
                <w:color w:val="575756"/>
              </w:rPr>
              <w:t>OBJECTIVE</w:t>
            </w:r>
          </w:p>
        </w:tc>
        <w:tc>
          <w:tcPr>
            <w:tcW w:w="1800" w:type="dxa"/>
            <w:vAlign w:val="bottom"/>
          </w:tcPr>
          <w:p>
            <w:pPr>
              <w:ind w:left="400"/>
              <w:spacing w:after="0" w:line="195" w:lineRule="exact"/>
              <w:rPr>
                <w:sz w:val="20"/>
                <w:szCs w:val="20"/>
                <w:color w:val="auto"/>
              </w:rPr>
            </w:pPr>
            <w:r>
              <w:rPr>
                <w:rFonts w:ascii="Arial" w:cs="Arial" w:eastAsia="Arial" w:hAnsi="Arial"/>
                <w:sz w:val="18"/>
                <w:szCs w:val="18"/>
                <w:color w:val="575756"/>
              </w:rPr>
              <w:t>Provides regular</w:t>
            </w:r>
          </w:p>
        </w:tc>
        <w:tc>
          <w:tcPr>
            <w:tcW w:w="2500" w:type="dxa"/>
            <w:vAlign w:val="bottom"/>
            <w:tcBorders>
              <w:right w:val="single" w:sz="8" w:color="C6C6C6"/>
            </w:tcBorders>
          </w:tcPr>
          <w:p>
            <w:pPr>
              <w:ind w:left="440"/>
              <w:spacing w:after="0" w:line="195" w:lineRule="exact"/>
              <w:rPr>
                <w:sz w:val="20"/>
                <w:szCs w:val="20"/>
                <w:color w:val="auto"/>
              </w:rPr>
            </w:pPr>
            <w:r>
              <w:rPr>
                <w:rFonts w:ascii="Arial" w:cs="Arial" w:eastAsia="Arial" w:hAnsi="Arial"/>
                <w:sz w:val="18"/>
                <w:szCs w:val="18"/>
                <w:color w:val="575756"/>
              </w:rPr>
              <w:t>Rewards contributions to</w:t>
            </w:r>
          </w:p>
        </w:tc>
        <w:tc>
          <w:tcPr>
            <w:tcW w:w="1820" w:type="dxa"/>
            <w:vAlign w:val="bottom"/>
          </w:tcPr>
          <w:p>
            <w:pPr>
              <w:ind w:left="100"/>
              <w:spacing w:after="0" w:line="195" w:lineRule="exact"/>
              <w:rPr>
                <w:sz w:val="20"/>
                <w:szCs w:val="20"/>
                <w:color w:val="auto"/>
              </w:rPr>
            </w:pPr>
            <w:r>
              <w:rPr>
                <w:rFonts w:ascii="Arial" w:cs="Arial" w:eastAsia="Arial" w:hAnsi="Arial"/>
                <w:sz w:val="18"/>
                <w:szCs w:val="18"/>
                <w:color w:val="575756"/>
                <w:w w:val="91"/>
              </w:rPr>
              <w:t>Correlates realized pay</w:t>
            </w:r>
          </w:p>
        </w:tc>
        <w:tc>
          <w:tcPr>
            <w:tcW w:w="2340" w:type="dxa"/>
            <w:vAlign w:val="bottom"/>
          </w:tcPr>
          <w:p>
            <w:pPr>
              <w:ind w:left="260"/>
              <w:spacing w:after="0" w:line="195" w:lineRule="exact"/>
              <w:rPr>
                <w:sz w:val="20"/>
                <w:szCs w:val="20"/>
                <w:color w:val="auto"/>
              </w:rPr>
            </w:pPr>
            <w:r>
              <w:rPr>
                <w:rFonts w:ascii="Arial" w:cs="Arial" w:eastAsia="Arial" w:hAnsi="Arial"/>
                <w:sz w:val="18"/>
                <w:szCs w:val="18"/>
                <w:color w:val="575756"/>
              </w:rPr>
              <w:t>Incentivizes management</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300" w:type="dxa"/>
            <w:vAlign w:val="bottom"/>
            <w:tcBorders>
              <w:right w:val="single" w:sz="8" w:color="C6C6C6"/>
            </w:tcBorders>
            <w:gridSpan w:val="2"/>
          </w:tcPr>
          <w:p>
            <w:pPr>
              <w:ind w:left="400"/>
              <w:spacing w:after="0"/>
              <w:rPr>
                <w:sz w:val="20"/>
                <w:szCs w:val="20"/>
                <w:color w:val="auto"/>
              </w:rPr>
            </w:pPr>
            <w:r>
              <w:rPr>
                <w:rFonts w:ascii="Arial" w:cs="Arial" w:eastAsia="Arial" w:hAnsi="Arial"/>
                <w:sz w:val="18"/>
                <w:szCs w:val="18"/>
                <w:color w:val="575756"/>
              </w:rPr>
              <w:t>income at reasonable,   annual targets and</w:t>
            </w:r>
          </w:p>
        </w:tc>
        <w:tc>
          <w:tcPr>
            <w:tcW w:w="1820" w:type="dxa"/>
            <w:vAlign w:val="bottom"/>
          </w:tcPr>
          <w:p>
            <w:pPr>
              <w:ind w:left="100"/>
              <w:spacing w:after="0"/>
              <w:rPr>
                <w:sz w:val="20"/>
                <w:szCs w:val="20"/>
                <w:color w:val="auto"/>
              </w:rPr>
            </w:pPr>
            <w:r>
              <w:rPr>
                <w:rFonts w:ascii="Arial" w:cs="Arial" w:eastAsia="Arial" w:hAnsi="Arial"/>
                <w:sz w:val="18"/>
                <w:szCs w:val="18"/>
                <w:color w:val="575756"/>
              </w:rPr>
              <w:t>with increases in</w:t>
            </w:r>
          </w:p>
        </w:tc>
        <w:tc>
          <w:tcPr>
            <w:tcW w:w="2340" w:type="dxa"/>
            <w:vAlign w:val="bottom"/>
          </w:tcPr>
          <w:p>
            <w:pPr>
              <w:ind w:left="260"/>
              <w:spacing w:after="0"/>
              <w:rPr>
                <w:sz w:val="20"/>
                <w:szCs w:val="20"/>
                <w:color w:val="auto"/>
              </w:rPr>
            </w:pPr>
            <w:r>
              <w:rPr>
                <w:rFonts w:ascii="Arial" w:cs="Arial" w:eastAsia="Arial" w:hAnsi="Arial"/>
                <w:sz w:val="18"/>
                <w:szCs w:val="18"/>
                <w:color w:val="575756"/>
              </w:rPr>
              <w:t>contributions to long-</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ind w:left="400"/>
              <w:spacing w:after="0"/>
              <w:rPr>
                <w:sz w:val="20"/>
                <w:szCs w:val="20"/>
                <w:color w:val="auto"/>
              </w:rPr>
            </w:pPr>
            <w:r>
              <w:rPr>
                <w:rFonts w:ascii="Arial" w:cs="Arial" w:eastAsia="Arial" w:hAnsi="Arial"/>
                <w:sz w:val="18"/>
                <w:szCs w:val="18"/>
                <w:color w:val="575756"/>
                <w:w w:val="97"/>
              </w:rPr>
              <w:t>competitive levels</w:t>
            </w:r>
          </w:p>
        </w:tc>
        <w:tc>
          <w:tcPr>
            <w:tcW w:w="2500" w:type="dxa"/>
            <w:vAlign w:val="bottom"/>
            <w:tcBorders>
              <w:right w:val="single" w:sz="8" w:color="C6C6C6"/>
            </w:tcBorders>
          </w:tcPr>
          <w:p>
            <w:pPr>
              <w:ind w:left="440"/>
              <w:spacing w:after="0"/>
              <w:rPr>
                <w:sz w:val="20"/>
                <w:szCs w:val="20"/>
                <w:color w:val="auto"/>
              </w:rPr>
            </w:pPr>
            <w:r>
              <w:rPr>
                <w:rFonts w:ascii="Arial" w:cs="Arial" w:eastAsia="Arial" w:hAnsi="Arial"/>
                <w:sz w:val="18"/>
                <w:szCs w:val="18"/>
                <w:color w:val="575756"/>
              </w:rPr>
              <w:t>individual performance</w:t>
            </w:r>
          </w:p>
        </w:tc>
        <w:tc>
          <w:tcPr>
            <w:tcW w:w="1820" w:type="dxa"/>
            <w:vAlign w:val="bottom"/>
          </w:tcPr>
          <w:p>
            <w:pPr>
              <w:ind w:left="100"/>
              <w:spacing w:after="0"/>
              <w:rPr>
                <w:sz w:val="20"/>
                <w:szCs w:val="20"/>
                <w:color w:val="auto"/>
              </w:rPr>
            </w:pPr>
            <w:r>
              <w:rPr>
                <w:rFonts w:ascii="Arial" w:cs="Arial" w:eastAsia="Arial" w:hAnsi="Arial"/>
                <w:sz w:val="18"/>
                <w:szCs w:val="18"/>
                <w:color w:val="575756"/>
              </w:rPr>
              <w:t>shareholder value</w:t>
            </w:r>
          </w:p>
        </w:tc>
        <w:tc>
          <w:tcPr>
            <w:tcW w:w="2340" w:type="dxa"/>
            <w:vAlign w:val="bottom"/>
          </w:tcPr>
          <w:p>
            <w:pPr>
              <w:ind w:left="260"/>
              <w:spacing w:after="0"/>
              <w:rPr>
                <w:sz w:val="20"/>
                <w:szCs w:val="20"/>
                <w:color w:val="auto"/>
              </w:rPr>
            </w:pPr>
            <w:r>
              <w:rPr>
                <w:rFonts w:ascii="Arial" w:cs="Arial" w:eastAsia="Arial" w:hAnsi="Arial"/>
                <w:sz w:val="18"/>
                <w:szCs w:val="18"/>
                <w:color w:val="575756"/>
              </w:rPr>
              <w:t>term increases in</w:t>
            </w:r>
          </w:p>
        </w:tc>
      </w:tr>
      <w:tr>
        <w:trPr>
          <w:trHeight w:val="230"/>
        </w:trPr>
        <w:tc>
          <w:tcPr>
            <w:tcW w:w="20" w:type="dxa"/>
            <w:vAlign w:val="bottom"/>
          </w:tcPr>
          <w:p>
            <w:pPr>
              <w:spacing w:after="0"/>
              <w:rPr>
                <w:sz w:val="20"/>
                <w:szCs w:val="20"/>
                <w:color w:val="auto"/>
              </w:rPr>
            </w:pPr>
          </w:p>
        </w:tc>
        <w:tc>
          <w:tcPr>
            <w:tcW w:w="2560" w:type="dxa"/>
            <w:vAlign w:val="bottom"/>
            <w:tcBorders>
              <w:bottom w:val="single" w:sz="8" w:color="C6C6C6"/>
            </w:tcBorders>
          </w:tcPr>
          <w:p>
            <w:pPr>
              <w:spacing w:after="0"/>
              <w:rPr>
                <w:sz w:val="20"/>
                <w:szCs w:val="20"/>
                <w:color w:val="auto"/>
              </w:rPr>
            </w:pPr>
          </w:p>
        </w:tc>
        <w:tc>
          <w:tcPr>
            <w:tcW w:w="1800" w:type="dxa"/>
            <w:vAlign w:val="bottom"/>
            <w:tcBorders>
              <w:bottom w:val="single" w:sz="8" w:color="C6C6C6"/>
            </w:tcBorders>
          </w:tcPr>
          <w:p>
            <w:pPr>
              <w:spacing w:after="0"/>
              <w:rPr>
                <w:sz w:val="20"/>
                <w:szCs w:val="20"/>
                <w:color w:val="auto"/>
              </w:rPr>
            </w:pPr>
          </w:p>
        </w:tc>
        <w:tc>
          <w:tcPr>
            <w:tcW w:w="2500" w:type="dxa"/>
            <w:vAlign w:val="bottom"/>
            <w:tcBorders>
              <w:bottom w:val="single" w:sz="8" w:color="C6C6C6"/>
              <w:right w:val="single" w:sz="8" w:color="C6C6C6"/>
            </w:tcBorders>
          </w:tcPr>
          <w:p>
            <w:pPr>
              <w:spacing w:after="0"/>
              <w:rPr>
                <w:sz w:val="20"/>
                <w:szCs w:val="20"/>
                <w:color w:val="auto"/>
              </w:rPr>
            </w:pPr>
          </w:p>
        </w:tc>
        <w:tc>
          <w:tcPr>
            <w:tcW w:w="1820" w:type="dxa"/>
            <w:vAlign w:val="bottom"/>
            <w:tcBorders>
              <w:bottom w:val="single" w:sz="8" w:color="C6C6C6"/>
            </w:tcBorders>
          </w:tcPr>
          <w:p>
            <w:pPr>
              <w:spacing w:after="0"/>
              <w:rPr>
                <w:sz w:val="20"/>
                <w:szCs w:val="20"/>
                <w:color w:val="auto"/>
              </w:rPr>
            </w:pPr>
          </w:p>
        </w:tc>
        <w:tc>
          <w:tcPr>
            <w:tcW w:w="2340" w:type="dxa"/>
            <w:vAlign w:val="bottom"/>
            <w:tcBorders>
              <w:bottom w:val="single" w:sz="8" w:color="C6C6C6"/>
            </w:tcBorders>
          </w:tcPr>
          <w:p>
            <w:pPr>
              <w:ind w:left="260"/>
              <w:spacing w:after="0"/>
              <w:rPr>
                <w:sz w:val="20"/>
                <w:szCs w:val="20"/>
                <w:color w:val="auto"/>
              </w:rPr>
            </w:pPr>
            <w:r>
              <w:rPr>
                <w:rFonts w:ascii="Arial" w:cs="Arial" w:eastAsia="Arial" w:hAnsi="Arial"/>
                <w:sz w:val="18"/>
                <w:szCs w:val="18"/>
                <w:color w:val="575756"/>
              </w:rPr>
              <w:t>shareholder value</w:t>
            </w:r>
          </w:p>
        </w:tc>
      </w:tr>
      <w:tr>
        <w:trPr>
          <w:trHeight w:val="210"/>
        </w:trPr>
        <w:tc>
          <w:tcPr>
            <w:tcW w:w="20" w:type="dxa"/>
            <w:vAlign w:val="bottom"/>
            <w:tcBorders>
              <w:bottom w:val="single" w:sz="8" w:color="C6C6C6"/>
            </w:tcBorders>
          </w:tcPr>
          <w:p>
            <w:pPr>
              <w:spacing w:after="0"/>
              <w:rPr>
                <w:sz w:val="18"/>
                <w:szCs w:val="18"/>
                <w:color w:val="auto"/>
              </w:rPr>
            </w:pPr>
          </w:p>
        </w:tc>
        <w:tc>
          <w:tcPr>
            <w:tcW w:w="2560" w:type="dxa"/>
            <w:vAlign w:val="bottom"/>
            <w:tcBorders>
              <w:bottom w:val="single" w:sz="8" w:color="C6C6C6"/>
            </w:tcBorders>
          </w:tcPr>
          <w:p>
            <w:pPr>
              <w:spacing w:after="0"/>
              <w:rPr>
                <w:sz w:val="20"/>
                <w:szCs w:val="20"/>
                <w:color w:val="auto"/>
              </w:rPr>
            </w:pPr>
            <w:r>
              <w:rPr>
                <w:rFonts w:ascii="Arial" w:cs="Arial" w:eastAsia="Arial" w:hAnsi="Arial"/>
                <w:sz w:val="18"/>
                <w:szCs w:val="18"/>
                <w:b w:val="1"/>
                <w:bCs w:val="1"/>
                <w:color w:val="575756"/>
              </w:rPr>
              <w:t>2018 RESULTS</w:t>
            </w:r>
          </w:p>
        </w:tc>
        <w:tc>
          <w:tcPr>
            <w:tcW w:w="4300" w:type="dxa"/>
            <w:vAlign w:val="bottom"/>
            <w:tcBorders>
              <w:bottom w:val="single" w:sz="8" w:color="C6C6C6"/>
              <w:right w:val="single" w:sz="8" w:color="C6C6C6"/>
            </w:tcBorders>
            <w:gridSpan w:val="2"/>
          </w:tcPr>
          <w:p>
            <w:pPr>
              <w:ind w:left="400"/>
              <w:spacing w:after="0"/>
              <w:rPr>
                <w:sz w:val="20"/>
                <w:szCs w:val="20"/>
                <w:color w:val="auto"/>
              </w:rPr>
            </w:pPr>
            <w:r>
              <w:rPr>
                <w:rFonts w:ascii="Arial" w:cs="Arial" w:eastAsia="Arial" w:hAnsi="Arial"/>
                <w:sz w:val="18"/>
                <w:szCs w:val="18"/>
                <w:b w:val="1"/>
                <w:bCs w:val="1"/>
                <w:color w:val="575756"/>
              </w:rPr>
              <w:t>Market-based salaries; limited cash bonus</w:t>
            </w:r>
          </w:p>
        </w:tc>
        <w:tc>
          <w:tcPr>
            <w:tcW w:w="1820" w:type="dxa"/>
            <w:vAlign w:val="bottom"/>
            <w:tcBorders>
              <w:bottom w:val="single" w:sz="8" w:color="C6C6C6"/>
            </w:tcBorders>
          </w:tcPr>
          <w:p>
            <w:pPr>
              <w:ind w:left="100"/>
              <w:spacing w:after="0"/>
              <w:rPr>
                <w:sz w:val="20"/>
                <w:szCs w:val="20"/>
                <w:color w:val="auto"/>
              </w:rPr>
            </w:pPr>
            <w:r>
              <w:rPr>
                <w:rFonts w:ascii="Arial" w:cs="Arial" w:eastAsia="Arial" w:hAnsi="Arial"/>
                <w:sz w:val="18"/>
                <w:szCs w:val="18"/>
                <w:b w:val="1"/>
                <w:bCs w:val="1"/>
                <w:color w:val="575756"/>
                <w:w w:val="89"/>
              </w:rPr>
              <w:t>No vesting; no payout</w:t>
            </w:r>
          </w:p>
        </w:tc>
        <w:tc>
          <w:tcPr>
            <w:tcW w:w="2340" w:type="dxa"/>
            <w:vAlign w:val="bottom"/>
            <w:tcBorders>
              <w:bottom w:val="single" w:sz="8" w:color="C6C6C6"/>
            </w:tcBorders>
          </w:tcPr>
          <w:p>
            <w:pPr>
              <w:ind w:left="260"/>
              <w:spacing w:after="0"/>
              <w:rPr>
                <w:sz w:val="20"/>
                <w:szCs w:val="20"/>
                <w:color w:val="auto"/>
              </w:rPr>
            </w:pPr>
            <w:r>
              <w:rPr>
                <w:rFonts w:ascii="Arial" w:cs="Arial" w:eastAsia="Arial" w:hAnsi="Arial"/>
                <w:sz w:val="18"/>
                <w:szCs w:val="18"/>
                <w:b w:val="1"/>
                <w:bCs w:val="1"/>
                <w:color w:val="575756"/>
              </w:rPr>
              <w:t>Awarded</w:t>
            </w:r>
          </w:p>
        </w:tc>
      </w:tr>
    </w:tbl>
    <w:p>
      <w:pPr>
        <w:spacing w:after="0" w:line="142" w:lineRule="exact"/>
        <w:rPr>
          <w:sz w:val="20"/>
          <w:szCs w:val="20"/>
          <w:color w:val="auto"/>
        </w:rPr>
      </w:pPr>
    </w:p>
    <w:p>
      <w:pPr>
        <w:ind w:left="200"/>
        <w:spacing w:after="0"/>
        <w:rPr>
          <w:sz w:val="20"/>
          <w:szCs w:val="20"/>
          <w:color w:val="auto"/>
        </w:rPr>
      </w:pPr>
      <w:r>
        <w:rPr>
          <w:rFonts w:ascii="Arial" w:cs="Arial" w:eastAsia="Arial" w:hAnsi="Arial"/>
          <w:sz w:val="38"/>
          <w:szCs w:val="38"/>
          <w:color w:val="3C3C3B"/>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1981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4"/>
          <w:szCs w:val="14"/>
          <w:color w:val="878787"/>
        </w:rPr>
        <w:t xml:space="preserve">Weatherford International plc – 2019 Proxy Statement </w:t>
      </w:r>
      <w:r>
        <w:rPr>
          <w:rFonts w:ascii="Arial" w:cs="Arial" w:eastAsia="Arial" w:hAnsi="Arial"/>
          <w:sz w:val="14"/>
          <w:szCs w:val="14"/>
          <w:b w:val="1"/>
          <w:bCs w:val="1"/>
          <w:color w:val="878787"/>
        </w:rPr>
        <w:t>VIII</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2940"/>
        <w:spacing w:after="0" w:line="262" w:lineRule="auto"/>
        <w:rPr>
          <w:sz w:val="20"/>
          <w:szCs w:val="20"/>
          <w:color w:val="auto"/>
        </w:rPr>
      </w:pPr>
      <w:r>
        <w:rPr>
          <w:rFonts w:ascii="Arial" w:cs="Arial" w:eastAsia="Arial" w:hAnsi="Arial"/>
          <w:sz w:val="64"/>
          <w:szCs w:val="64"/>
          <w:b w:val="1"/>
          <w:bCs w:val="1"/>
          <w:color w:val="C3002F"/>
        </w:rPr>
        <w:t>NOTICE OF 2019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-1508125</wp:posOffset>
            </wp:positionV>
            <wp:extent cx="831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June 25, 2019</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10:00 a.m. (Central European Time)</w:t>
      </w:r>
    </w:p>
    <w:p>
      <w:pPr>
        <w:ind w:left="200"/>
        <w:spacing w:after="0"/>
        <w:rPr>
          <w:sz w:val="20"/>
          <w:szCs w:val="20"/>
          <w:color w:val="auto"/>
        </w:rPr>
      </w:pPr>
      <w:r>
        <w:rPr>
          <w:rFonts w:ascii="Arial" w:cs="Arial" w:eastAsia="Arial" w:hAnsi="Arial"/>
          <w:sz w:val="18"/>
          <w:szCs w:val="18"/>
          <w:b w:val="1"/>
          <w:bCs w:val="1"/>
          <w:i w:val="1"/>
          <w:iCs w:val="1"/>
          <w:color w:val="auto"/>
        </w:rPr>
        <w:t>Lorzensaal Cham, Cham, Canton of Zug, Switzerland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AGENDA</w:t>
      </w:r>
    </w:p>
    <w:p>
      <w:pPr>
        <w:spacing w:after="0" w:line="270" w:lineRule="exact"/>
        <w:rPr>
          <w:sz w:val="20"/>
          <w:szCs w:val="20"/>
          <w:color w:val="auto"/>
        </w:rPr>
      </w:pPr>
    </w:p>
    <w:p>
      <w:pPr>
        <w:ind w:left="420" w:right="160" w:hanging="216"/>
        <w:spacing w:after="0" w:line="250" w:lineRule="auto"/>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By separate resolutions, to elect the ten individuals named in this Proxy Statement as directors of Weatherford International plc (the “Company”) until the 2020 annual general meeting of shareholders of the Company (the “2020 AGM”) or, in each case, until his or her earlier death, retirement, resignation or removal from the position of director.</w:t>
      </w:r>
    </w:p>
    <w:p>
      <w:pPr>
        <w:spacing w:after="0" w:line="199" w:lineRule="exact"/>
        <w:rPr>
          <w:rFonts w:ascii="Arial" w:cs="Arial" w:eastAsia="Arial" w:hAnsi="Arial"/>
          <w:sz w:val="14"/>
          <w:szCs w:val="14"/>
          <w:color w:val="C3002F"/>
        </w:rPr>
      </w:pPr>
    </w:p>
    <w:p>
      <w:pPr>
        <w:ind w:left="420" w:right="20" w:hanging="216"/>
        <w:spacing w:after="0" w:line="250" w:lineRule="auto"/>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2019 and KPMG Chartered Accountants, Dublin, as the Company’s statutory auditor under Irish law to hold office until the close of the 2020 AGM, and to authorize the Board of Directors of the Company (the “Board”), acting through the Audit Committee, to determine the auditors’ remuneration.</w:t>
      </w:r>
    </w:p>
    <w:p>
      <w:pPr>
        <w:spacing w:after="0" w:line="199"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217" w:lineRule="exact"/>
        <w:rPr>
          <w:rFonts w:ascii="Arial" w:cs="Arial" w:eastAsia="Arial" w:hAnsi="Arial"/>
          <w:sz w:val="14"/>
          <w:szCs w:val="14"/>
          <w:color w:val="C3002F"/>
        </w:rPr>
      </w:pPr>
    </w:p>
    <w:p>
      <w:pPr>
        <w:ind w:left="420" w:right="220" w:hanging="216"/>
        <w:spacing w:after="0" w:line="258" w:lineRule="auto"/>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a reverse stock split (i.e., a consolidation of share capital under Irish law) whereby every 20 ordinary shares of $0.001 each be consolidated into 1 ordinary share.</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an increase of the Company’s authorized share capital by the creation of an additional 33,900,000 ordinary shares.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grant the Board authority to issue shares under Irish law.</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grant the Board power to opt-out of statutory pre-emption rights under Irish law.</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and adopt an amendment and restatement of the Company’s 2010 Omnibus Incentive Plan.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and adopt an amendment to the Company’s Employee Stock Purchase Plan.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RECORD DATE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April 26, 2019</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VOTING</w:t>
      </w:r>
    </w:p>
    <w:p>
      <w:pPr>
        <w:spacing w:after="0" w:line="243"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 or her place at the Annual General Meeting. A proxy holder need not be a registered shareholder. Proxies must be received by the Voting Deadline set forth in the Proxy Statement.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DISTRIBUTION OF PROXY MATERIALS</w:t>
      </w:r>
    </w:p>
    <w:p>
      <w:pPr>
        <w:spacing w:after="0" w:line="243" w:lineRule="exact"/>
        <w:rPr>
          <w:sz w:val="20"/>
          <w:szCs w:val="20"/>
          <w:color w:val="auto"/>
        </w:rPr>
      </w:pPr>
    </w:p>
    <w:p>
      <w:pPr>
        <w:ind w:left="200" w:right="220"/>
        <w:spacing w:after="0" w:line="247" w:lineRule="auto"/>
        <w:rPr>
          <w:sz w:val="20"/>
          <w:szCs w:val="20"/>
          <w:color w:val="auto"/>
        </w:rPr>
      </w:pPr>
      <w:r>
        <w:rPr>
          <w:rFonts w:ascii="Arial" w:cs="Arial" w:eastAsia="Arial" w:hAnsi="Arial"/>
          <w:sz w:val="14"/>
          <w:szCs w:val="14"/>
          <w:color w:val="auto"/>
        </w:rPr>
        <w:t>This notice, the Proxy Statement (of which this notice forms a part), our Annual Report on Form 10-K, and our Irish Statutory Accounts are available electronically on our website at www.weatherford.com. These materials were mailed or made available on or about April 30, 2019 to each registered shareholder in our share register as of the record date. Any shareholder may also obtain a copy of these documents by contacting our U.S. Investor Relations Department at 2000 St. James Place, Houston, Texas 77056 or by telephone at +1 (713) 836-4000.</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3002F"/>
        </w:rPr>
        <w:t>ANNUAL REPORT AND FINANCIAL STATEMENTS</w:t>
      </w:r>
    </w:p>
    <w:p>
      <w:pPr>
        <w:spacing w:after="0" w:line="243" w:lineRule="exact"/>
        <w:rPr>
          <w:sz w:val="20"/>
          <w:szCs w:val="20"/>
          <w:color w:val="auto"/>
        </w:rPr>
      </w:pPr>
    </w:p>
    <w:p>
      <w:pPr>
        <w:ind w:left="200" w:right="20"/>
        <w:spacing w:after="0" w:line="258" w:lineRule="auto"/>
        <w:rPr>
          <w:sz w:val="20"/>
          <w:szCs w:val="20"/>
          <w:color w:val="auto"/>
        </w:rPr>
      </w:pPr>
      <w:r>
        <w:rPr>
          <w:rFonts w:ascii="Arial" w:cs="Arial" w:eastAsia="Arial" w:hAnsi="Arial"/>
          <w:sz w:val="14"/>
          <w:szCs w:val="14"/>
          <w:color w:val="auto"/>
        </w:rPr>
        <w:t>During the Annual General Meeting the Company’s management will present Weatherford’s Irish Statutory Accounts for the fiscal year ended December 31, 2018, along with related directors’ and auditor’s reports, and review the Company’s affairs.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April 30, 2019</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23495</wp:posOffset>
            </wp:positionV>
            <wp:extent cx="2221230" cy="403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June 25, 2019</w:t>
      </w:r>
      <w:r>
        <w:rPr>
          <w:rFonts w:ascii="Arial" w:cs="Arial" w:eastAsia="Arial" w:hAnsi="Arial"/>
          <w:sz w:val="14"/>
          <w:szCs w:val="14"/>
          <w:color w:val="auto"/>
        </w:rPr>
        <w:t>: The Proxy Statement of Weatherford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International plc, our 2018 Annual Report and Irish Statutory Accounts are available at: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0" w:gutter="0" w:footer="0" w:header="0"/>
        </w:sectPr>
      </w:pPr>
    </w:p>
    <w:bookmarkStart w:id="11" w:name="page12"/>
    <w:bookmarkEnd w:id="11"/>
    <w:p>
      <w:pPr>
        <w:ind w:left="634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9820"/>
          </w:cols>
          <w:pgMar w:left="1440" w:top="144"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tbl>
      <w:tblPr>
        <w:tblLayout w:type="fixed"/>
        <w:tblInd w:w="200" w:type="dxa"/>
        <w:tblCellMar>
          <w:top w:w="0" w:type="dxa"/>
          <w:left w:w="0" w:type="dxa"/>
          <w:bottom w:w="0" w:type="dxa"/>
          <w:right w:w="0" w:type="dxa"/>
        </w:tblCellMar>
      </w:tblPr>
      <w:tr>
        <w:trPr>
          <w:trHeight w:val="702"/>
        </w:trPr>
        <w:tc>
          <w:tcPr>
            <w:tcW w:w="4700" w:type="dxa"/>
            <w:vAlign w:val="bottom"/>
            <w:gridSpan w:val="2"/>
            <w:vMerge w:val="restart"/>
          </w:tcPr>
          <w:p>
            <w:pPr>
              <w:jc w:val="right"/>
              <w:ind w:right="220"/>
              <w:spacing w:after="0" w:line="977" w:lineRule="exact"/>
              <w:rPr>
                <w:sz w:val="20"/>
                <w:szCs w:val="20"/>
                <w:color w:val="auto"/>
              </w:rPr>
            </w:pPr>
            <w:r>
              <w:rPr>
                <w:rFonts w:ascii="Arial" w:cs="Arial" w:eastAsia="Arial" w:hAnsi="Arial"/>
                <w:sz w:val="29"/>
                <w:szCs w:val="29"/>
                <w:b w:val="1"/>
                <w:bCs w:val="1"/>
                <w:color w:val="C3002F"/>
                <w:w w:val="93"/>
              </w:rPr>
              <w:t xml:space="preserve">TABLE OF CONTENTS  </w:t>
            </w:r>
            <w:r>
              <w:rPr>
                <w:rFonts w:ascii="Arial" w:cs="Arial" w:eastAsia="Arial" w:hAnsi="Arial"/>
                <w:sz w:val="86"/>
                <w:szCs w:val="86"/>
                <w:b w:val="1"/>
                <w:bCs w:val="1"/>
                <w:color w:val="000000"/>
                <w:w w:val="93"/>
                <w:vertAlign w:val="subscript"/>
              </w:rPr>
              <w:t>01-04</w:t>
            </w:r>
          </w:p>
        </w:tc>
        <w:tc>
          <w:tcPr>
            <w:tcW w:w="6340" w:type="dxa"/>
            <w:vAlign w:val="bottom"/>
            <w:gridSpan w:val="6"/>
          </w:tcPr>
          <w:p>
            <w:pPr>
              <w:spacing w:after="0"/>
              <w:rPr>
                <w:rFonts w:ascii="Arial" w:cs="Arial" w:eastAsia="Arial" w:hAnsi="Arial"/>
                <w:sz w:val="22"/>
                <w:szCs w:val="22"/>
                <w:color w:val="0000EE"/>
              </w:rPr>
            </w:pPr>
            <w:hyperlink w:anchor="page15">
              <w:r>
                <w:rPr>
                  <w:rFonts w:ascii="Arial" w:cs="Arial" w:eastAsia="Arial" w:hAnsi="Arial"/>
                  <w:sz w:val="22"/>
                  <w:szCs w:val="22"/>
                  <w:color w:val="0000EE"/>
                </w:rPr>
                <w:t>PROXY STATEMENT</w:t>
              </w:r>
            </w:hyperlink>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60" w:type="dxa"/>
            <w:vAlign w:val="bottom"/>
            <w:gridSpan w:val="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Meeting and Voting Information</w:t>
              </w:r>
            </w:hyperlink>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700" w:type="dxa"/>
            <w:vAlign w:val="bottom"/>
            <w:gridSpan w:val="2"/>
            <w:vMerge w:val="restart"/>
          </w:tcPr>
          <w:p>
            <w:pPr>
              <w:jc w:val="right"/>
              <w:ind w:right="220"/>
              <w:spacing w:after="0"/>
              <w:rPr>
                <w:sz w:val="20"/>
                <w:szCs w:val="20"/>
                <w:color w:val="auto"/>
              </w:rPr>
            </w:pPr>
            <w:r>
              <w:rPr>
                <w:rFonts w:ascii="Arial" w:cs="Arial" w:eastAsia="Arial" w:hAnsi="Arial"/>
                <w:sz w:val="43"/>
                <w:szCs w:val="43"/>
                <w:b w:val="1"/>
                <w:bCs w:val="1"/>
                <w:color w:val="auto"/>
              </w:rPr>
              <w:t>05-17</w:t>
            </w:r>
          </w:p>
        </w:tc>
        <w:tc>
          <w:tcPr>
            <w:tcW w:w="6340" w:type="dxa"/>
            <w:vAlign w:val="bottom"/>
            <w:gridSpan w:val="6"/>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AGENDA ITEM 1 – ELECTION OF DIRECTORS</w:t>
              </w:r>
            </w:hyperlink>
          </w:p>
        </w:tc>
        <w:tc>
          <w:tcPr>
            <w:tcW w:w="0" w:type="dxa"/>
            <w:vAlign w:val="bottom"/>
          </w:tcPr>
          <w:p>
            <w:pPr>
              <w:spacing w:after="0"/>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28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auto"/>
              </w:rPr>
              <w:t>6</w:t>
            </w:r>
          </w:p>
        </w:tc>
        <w:tc>
          <w:tcPr>
            <w:tcW w:w="216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Director Nominee Biographies</w:t>
              </w:r>
            </w:hyperlink>
          </w:p>
        </w:tc>
        <w:tc>
          <w:tcPr>
            <w:tcW w:w="2220" w:type="dxa"/>
            <w:vAlign w:val="bottom"/>
            <w:tcBorders>
              <w:top w:val="single" w:sz="8" w:color="0000EE"/>
            </w:tcBorders>
            <w:gridSpan w:val="2"/>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-865505</wp:posOffset>
            </wp:positionV>
            <wp:extent cx="626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-840105</wp:posOffset>
            </wp:positionV>
            <wp:extent cx="4982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4" w:lineRule="exact"/>
        <w:rPr>
          <w:sz w:val="20"/>
          <w:szCs w:val="20"/>
          <w:color w:val="auto"/>
        </w:rPr>
      </w:pPr>
    </w:p>
    <w:p>
      <w:pPr>
        <w:ind w:left="5180" w:hanging="287"/>
        <w:spacing w:after="0"/>
        <w:tabs>
          <w:tab w:leader="none" w:pos="5180" w:val="left"/>
        </w:tabs>
        <w:numPr>
          <w:ilvl w:val="0"/>
          <w:numId w:val="9"/>
        </w:numPr>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Our Board and Our Board Committees</w:t>
        </w:r>
      </w:hyperlink>
    </w:p>
    <w:p>
      <w:pPr>
        <w:spacing w:after="0" w:line="7" w:lineRule="exact"/>
        <w:rPr>
          <w:rFonts w:ascii="Arial" w:cs="Arial" w:eastAsia="Arial" w:hAnsi="Arial"/>
          <w:sz w:val="16"/>
          <w:szCs w:val="16"/>
          <w:u w:val="single" w:color="auto"/>
          <w:color w:val="0000EE"/>
        </w:rPr>
      </w:pPr>
    </w:p>
    <w:p>
      <w:pPr>
        <w:ind w:left="5180" w:hanging="287"/>
        <w:spacing w:after="0" w:line="225" w:lineRule="auto"/>
        <w:tabs>
          <w:tab w:leader="none" w:pos="5180" w:val="left"/>
        </w:tabs>
        <w:numPr>
          <w:ilvl w:val="0"/>
          <w:numId w:val="9"/>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Corporate Governance Matters</w:t>
        </w:r>
      </w:hyperlink>
    </w:p>
    <w:p>
      <w:pPr>
        <w:ind w:left="5180" w:hanging="287"/>
        <w:spacing w:after="0" w:line="235" w:lineRule="auto"/>
        <w:tabs>
          <w:tab w:leader="none" w:pos="5180" w:val="left"/>
        </w:tabs>
        <w:numPr>
          <w:ilvl w:val="0"/>
          <w:numId w:val="10"/>
        </w:numPr>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Director Compensation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2148840</wp:posOffset>
            </wp:positionH>
            <wp:positionV relativeFrom="paragraph">
              <wp:posOffset>81280</wp:posOffset>
            </wp:positionV>
            <wp:extent cx="4982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3560" w:type="dxa"/>
        <w:tblCellMar>
          <w:top w:w="0" w:type="dxa"/>
          <w:left w:w="0" w:type="dxa"/>
          <w:bottom w:w="0" w:type="dxa"/>
          <w:right w:w="0" w:type="dxa"/>
        </w:tblCellMar>
      </w:tblPr>
      <w:tr>
        <w:trPr>
          <w:trHeight w:val="256"/>
        </w:trPr>
        <w:tc>
          <w:tcPr>
            <w:tcW w:w="1340" w:type="dxa"/>
            <w:vAlign w:val="bottom"/>
            <w:vMerge w:val="restart"/>
          </w:tcPr>
          <w:p>
            <w:pPr>
              <w:jc w:val="right"/>
              <w:ind w:right="4"/>
              <w:spacing w:after="0"/>
              <w:rPr>
                <w:sz w:val="20"/>
                <w:szCs w:val="20"/>
                <w:color w:val="auto"/>
              </w:rPr>
            </w:pPr>
            <w:r>
              <w:rPr>
                <w:rFonts w:ascii="Arial" w:cs="Arial" w:eastAsia="Arial" w:hAnsi="Arial"/>
                <w:sz w:val="43"/>
                <w:szCs w:val="43"/>
                <w:b w:val="1"/>
                <w:bCs w:val="1"/>
                <w:color w:val="auto"/>
              </w:rPr>
              <w:t>18-19</w:t>
            </w:r>
          </w:p>
        </w:tc>
        <w:tc>
          <w:tcPr>
            <w:tcW w:w="6240" w:type="dxa"/>
            <w:vAlign w:val="bottom"/>
            <w:tcBorders>
              <w:bottom w:val="single" w:sz="8" w:color="0000EE"/>
            </w:tcBorders>
            <w:gridSpan w:val="2"/>
          </w:tcPr>
          <w:p>
            <w:pPr>
              <w:spacing w:after="0"/>
              <w:rPr>
                <w:rFonts w:ascii="Arial" w:cs="Arial" w:eastAsia="Arial" w:hAnsi="Arial"/>
                <w:sz w:val="22"/>
                <w:szCs w:val="22"/>
                <w:color w:val="0000EE"/>
                <w:w w:val="97"/>
              </w:rPr>
            </w:pPr>
            <w:hyperlink w:anchor="page32">
              <w:r>
                <w:rPr>
                  <w:rFonts w:ascii="Arial" w:cs="Arial" w:eastAsia="Arial" w:hAnsi="Arial"/>
                  <w:sz w:val="22"/>
                  <w:szCs w:val="22"/>
                  <w:color w:val="0000EE"/>
                  <w:w w:val="97"/>
                </w:rPr>
                <w:t>AGENDA ITEM 2 – RATIFY APPOINTMENT OF INDEPENDENT</w:t>
              </w:r>
            </w:hyperlink>
          </w:p>
        </w:tc>
        <w:tc>
          <w:tcPr>
            <w:tcW w:w="0" w:type="dxa"/>
            <w:vAlign w:val="bottom"/>
          </w:tcPr>
          <w:p>
            <w:pPr>
              <w:spacing w:after="0"/>
              <w:rPr>
                <w:sz w:val="1"/>
                <w:szCs w:val="1"/>
                <w:color w:val="auto"/>
              </w:rPr>
            </w:pPr>
          </w:p>
        </w:tc>
      </w:tr>
      <w:tr>
        <w:trPr>
          <w:trHeight w:val="223"/>
        </w:trPr>
        <w:tc>
          <w:tcPr>
            <w:tcW w:w="1340" w:type="dxa"/>
            <w:vAlign w:val="bottom"/>
            <w:vMerge w:val="continue"/>
          </w:tcPr>
          <w:p>
            <w:pPr>
              <w:spacing w:after="0"/>
              <w:rPr>
                <w:sz w:val="19"/>
                <w:szCs w:val="19"/>
                <w:color w:val="auto"/>
              </w:rPr>
            </w:pPr>
          </w:p>
        </w:tc>
        <w:tc>
          <w:tcPr>
            <w:tcW w:w="6240" w:type="dxa"/>
            <w:vAlign w:val="bottom"/>
            <w:gridSpan w:val="2"/>
          </w:tcPr>
          <w:p>
            <w:pPr>
              <w:spacing w:after="0" w:line="223" w:lineRule="exact"/>
              <w:rPr>
                <w:rFonts w:ascii="Arial" w:cs="Arial" w:eastAsia="Arial" w:hAnsi="Arial"/>
                <w:sz w:val="22"/>
                <w:szCs w:val="22"/>
                <w:color w:val="0000EE"/>
              </w:rPr>
            </w:pPr>
            <w:hyperlink w:anchor="page32">
              <w:r>
                <w:rPr>
                  <w:rFonts w:ascii="Arial" w:cs="Arial" w:eastAsia="Arial" w:hAnsi="Arial"/>
                  <w:sz w:val="22"/>
                  <w:szCs w:val="22"/>
                  <w:color w:val="0000EE"/>
                </w:rPr>
                <w:t>AUDITORS AND AUTHORIZE AUDITORS’ REMUNERATION</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5180" w:hanging="287"/>
        <w:spacing w:after="0"/>
        <w:tabs>
          <w:tab w:leader="none" w:pos="5180" w:val="left"/>
        </w:tabs>
        <w:numPr>
          <w:ilvl w:val="0"/>
          <w:numId w:val="11"/>
        </w:numPr>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Fees Paid to KPMG</w:t>
        </w:r>
      </w:hyperlink>
    </w:p>
    <w:p>
      <w:pPr>
        <w:ind w:left="5180" w:hanging="287"/>
        <w:spacing w:after="0" w:line="234" w:lineRule="auto"/>
        <w:tabs>
          <w:tab w:leader="none" w:pos="5180" w:val="left"/>
        </w:tabs>
        <w:numPr>
          <w:ilvl w:val="0"/>
          <w:numId w:val="12"/>
        </w:numPr>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Audit Committee Pre-Approval Policy</w:t>
        </w:r>
      </w:hyperlink>
    </w:p>
    <w:p>
      <w:pPr>
        <w:spacing w:after="0" w:line="8" w:lineRule="exact"/>
        <w:rPr>
          <w:rFonts w:ascii="Arial" w:cs="Arial" w:eastAsia="Arial" w:hAnsi="Arial"/>
          <w:sz w:val="16"/>
          <w:szCs w:val="16"/>
          <w:u w:val="single" w:color="auto"/>
          <w:color w:val="0000EE"/>
        </w:rPr>
      </w:pPr>
    </w:p>
    <w:p>
      <w:pPr>
        <w:ind w:left="5180" w:hanging="287"/>
        <w:spacing w:after="0" w:line="225" w:lineRule="auto"/>
        <w:tabs>
          <w:tab w:leader="none" w:pos="5180" w:val="left"/>
        </w:tabs>
        <w:numPr>
          <w:ilvl w:val="0"/>
          <w:numId w:val="12"/>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2148840</wp:posOffset>
            </wp:positionH>
            <wp:positionV relativeFrom="paragraph">
              <wp:posOffset>81280</wp:posOffset>
            </wp:positionV>
            <wp:extent cx="4982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220" w:type="dxa"/>
        <w:tblCellMar>
          <w:top w:w="0" w:type="dxa"/>
          <w:left w:w="0" w:type="dxa"/>
          <w:bottom w:w="0" w:type="dxa"/>
          <w:right w:w="0" w:type="dxa"/>
        </w:tblCellMar>
      </w:tblPr>
      <w:tr>
        <w:trPr>
          <w:trHeight w:val="256"/>
        </w:trPr>
        <w:tc>
          <w:tcPr>
            <w:tcW w:w="3160" w:type="dxa"/>
            <w:vAlign w:val="bottom"/>
          </w:tcPr>
          <w:p>
            <w:pPr>
              <w:spacing w:after="0"/>
              <w:rPr>
                <w:sz w:val="22"/>
                <w:szCs w:val="22"/>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20</w:t>
            </w:r>
          </w:p>
        </w:tc>
        <w:tc>
          <w:tcPr>
            <w:tcW w:w="6340" w:type="dxa"/>
            <w:vAlign w:val="bottom"/>
            <w:gridSpan w:val="31"/>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AGENDA ITEM 3 – ADVISORY APPROVAL OF EXECUTIVE</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860" w:type="dxa"/>
            <w:vAlign w:val="bottom"/>
            <w:tcBorders>
              <w:top w:val="single" w:sz="8" w:color="0000EE"/>
            </w:tcBorders>
            <w:gridSpan w:val="27"/>
          </w:tcPr>
          <w:p>
            <w:pPr>
              <w:spacing w:after="0" w:line="223" w:lineRule="exact"/>
              <w:rPr>
                <w:rFonts w:ascii="Arial" w:cs="Arial" w:eastAsia="Arial" w:hAnsi="Arial"/>
                <w:sz w:val="22"/>
                <w:szCs w:val="22"/>
                <w:color w:val="0000EE"/>
              </w:rPr>
            </w:pPr>
            <w:hyperlink w:anchor="page34">
              <w:r>
                <w:rPr>
                  <w:rFonts w:ascii="Arial" w:cs="Arial" w:eastAsia="Arial" w:hAnsi="Arial"/>
                  <w:sz w:val="22"/>
                  <w:szCs w:val="22"/>
                  <w:color w:val="0000EE"/>
                </w:rPr>
                <w:t>COMPENSATION</w:t>
              </w:r>
            </w:hyperlink>
          </w:p>
        </w:tc>
        <w:tc>
          <w:tcPr>
            <w:tcW w:w="4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line="478" w:lineRule="exact"/>
              <w:rPr>
                <w:sz w:val="20"/>
                <w:szCs w:val="20"/>
                <w:color w:val="auto"/>
              </w:rPr>
            </w:pPr>
            <w:r>
              <w:rPr>
                <w:rFonts w:ascii="Arial" w:cs="Arial" w:eastAsia="Arial" w:hAnsi="Arial"/>
                <w:sz w:val="43"/>
                <w:szCs w:val="43"/>
                <w:b w:val="1"/>
                <w:bCs w:val="1"/>
                <w:color w:val="auto"/>
              </w:rPr>
              <w:t>21-32</w:t>
            </w:r>
          </w:p>
        </w:tc>
        <w:tc>
          <w:tcPr>
            <w:tcW w:w="6340" w:type="dxa"/>
            <w:vAlign w:val="bottom"/>
            <w:gridSpan w:val="31"/>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740" w:type="dxa"/>
            <w:vAlign w:val="bottom"/>
            <w:tcBorders>
              <w:top w:val="single" w:sz="8" w:color="0000EE"/>
            </w:tcBorders>
            <w:gridSpan w:val="23"/>
          </w:tcPr>
          <w:p>
            <w:pPr>
              <w:spacing w:after="0" w:line="170" w:lineRule="exact"/>
              <w:rPr>
                <w:rFonts w:ascii="Arial" w:cs="Arial" w:eastAsia="Arial" w:hAnsi="Arial"/>
                <w:sz w:val="18"/>
                <w:szCs w:val="18"/>
                <w:color w:val="auto"/>
              </w:rPr>
            </w:pPr>
            <w:r>
              <w:rPr>
                <w:rFonts w:ascii="Arial" w:cs="Arial" w:eastAsia="Arial" w:hAnsi="Arial"/>
                <w:sz w:val="18"/>
                <w:szCs w:val="18"/>
                <w:color w:val="auto"/>
              </w:rPr>
              <w:t xml:space="preserve">23 </w:t>
            </w:r>
            <w:hyperlink w:anchor="page37">
              <w:r>
                <w:rPr>
                  <w:rFonts w:ascii="Arial" w:cs="Arial" w:eastAsia="Arial" w:hAnsi="Arial"/>
                  <w:sz w:val="16"/>
                  <w:szCs w:val="16"/>
                  <w:color w:val="0000EE"/>
                </w:rPr>
                <w:t>Elements of Our Executive Compensation Program</w:t>
              </w:r>
            </w:hyperlink>
          </w:p>
        </w:tc>
        <w:tc>
          <w:tcPr>
            <w:tcW w:w="16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29</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32</w:t>
            </w:r>
          </w:p>
        </w:tc>
        <w:tc>
          <w:tcPr>
            <w:tcW w:w="42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Compensation Committee Report</w:t>
              </w:r>
            </w:hyperlink>
          </w:p>
        </w:tc>
        <w:tc>
          <w:tcPr>
            <w:tcW w:w="18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33-38</w:t>
            </w:r>
          </w:p>
        </w:tc>
        <w:tc>
          <w:tcPr>
            <w:tcW w:w="3940" w:type="dxa"/>
            <w:vAlign w:val="bottom"/>
            <w:tcBorders>
              <w:bottom w:val="single" w:sz="8" w:color="0000EE"/>
            </w:tcBorders>
            <w:gridSpan w:val="18"/>
          </w:tcPr>
          <w:p>
            <w:pPr>
              <w:spacing w:after="0"/>
              <w:rPr>
                <w:rFonts w:ascii="Arial" w:cs="Arial" w:eastAsia="Arial" w:hAnsi="Arial"/>
                <w:sz w:val="22"/>
                <w:szCs w:val="22"/>
                <w:color w:val="0000EE"/>
                <w:w w:val="97"/>
              </w:rPr>
            </w:pPr>
            <w:hyperlink w:anchor="page48">
              <w:r>
                <w:rPr>
                  <w:rFonts w:ascii="Arial" w:cs="Arial" w:eastAsia="Arial" w:hAnsi="Arial"/>
                  <w:sz w:val="22"/>
                  <w:szCs w:val="22"/>
                  <w:color w:val="0000EE"/>
                  <w:w w:val="97"/>
                </w:rPr>
                <w:t>EXECUTIVE COMPENSATION TABLES</w:t>
              </w:r>
            </w:hyperlink>
          </w:p>
        </w:tc>
        <w:tc>
          <w:tcPr>
            <w:tcW w:w="2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634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33 </w:t>
            </w:r>
            <w:hyperlink w:anchor="page48">
              <w:r>
                <w:rPr>
                  <w:rFonts w:ascii="Arial" w:cs="Arial" w:eastAsia="Arial" w:hAnsi="Arial"/>
                  <w:sz w:val="16"/>
                  <w:szCs w:val="16"/>
                  <w:color w:val="0000EE"/>
                </w:rPr>
                <w:t>2018 Summary Compensation Table</w:t>
              </w:r>
            </w:hyperlink>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line="189" w:lineRule="exact"/>
              <w:rPr>
                <w:sz w:val="20"/>
                <w:szCs w:val="20"/>
                <w:color w:val="auto"/>
              </w:rPr>
            </w:pPr>
            <w:r>
              <w:rPr>
                <w:rFonts w:ascii="Arial" w:cs="Arial" w:eastAsia="Arial" w:hAnsi="Arial"/>
                <w:sz w:val="18"/>
                <w:szCs w:val="18"/>
                <w:color w:val="auto"/>
              </w:rPr>
              <w:t>34</w:t>
            </w:r>
          </w:p>
        </w:tc>
        <w:tc>
          <w:tcPr>
            <w:tcW w:w="2620" w:type="dxa"/>
            <w:vAlign w:val="bottom"/>
            <w:tcBorders>
              <w:top w:val="single" w:sz="8" w:color="0000EE"/>
            </w:tcBorders>
            <w:gridSpan w:val="12"/>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Grants of Plan-Based Awards</w:t>
              </w:r>
            </w:hyperlink>
          </w:p>
        </w:tc>
        <w:tc>
          <w:tcPr>
            <w:tcW w:w="34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35</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60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Outstanding Equity Awards at December 31, 2018</w:t>
              </w:r>
            </w:hyperlink>
          </w:p>
        </w:tc>
        <w:tc>
          <w:tcPr>
            <w:tcW w:w="2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36</w:t>
            </w:r>
          </w:p>
        </w:tc>
        <w:tc>
          <w:tcPr>
            <w:tcW w:w="6060" w:type="dxa"/>
            <w:vAlign w:val="bottom"/>
            <w:gridSpan w:val="30"/>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Option Exercises and Shares Vested in 2018</w:t>
              </w:r>
            </w:hyperlink>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36</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5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39</w:t>
            </w:r>
          </w:p>
        </w:tc>
        <w:tc>
          <w:tcPr>
            <w:tcW w:w="6340" w:type="dxa"/>
            <w:vAlign w:val="bottom"/>
            <w:gridSpan w:val="31"/>
          </w:tcPr>
          <w:p>
            <w:pPr>
              <w:spacing w:after="0"/>
              <w:rPr>
                <w:rFonts w:ascii="Arial" w:cs="Arial" w:eastAsia="Arial" w:hAnsi="Arial"/>
                <w:sz w:val="22"/>
                <w:szCs w:val="22"/>
                <w:color w:val="0000EE"/>
              </w:rPr>
            </w:pPr>
            <w:hyperlink w:anchor="page54">
              <w:r>
                <w:rPr>
                  <w:rFonts w:ascii="Arial" w:cs="Arial" w:eastAsia="Arial" w:hAnsi="Arial"/>
                  <w:sz w:val="22"/>
                  <w:szCs w:val="22"/>
                  <w:color w:val="0000EE"/>
                </w:rPr>
                <w:t>PAY RATIO DISCLOSURE</w:t>
              </w:r>
            </w:hyperlink>
          </w:p>
        </w:tc>
        <w:tc>
          <w:tcPr>
            <w:tcW w:w="0" w:type="dxa"/>
            <w:vAlign w:val="bottom"/>
          </w:tcPr>
          <w:p>
            <w:pPr>
              <w:spacing w:after="0"/>
              <w:rPr>
                <w:sz w:val="1"/>
                <w:szCs w:val="1"/>
                <w:color w:val="auto"/>
              </w:rPr>
            </w:pPr>
          </w:p>
        </w:tc>
      </w:tr>
      <w:tr>
        <w:trPr>
          <w:trHeight w:val="299"/>
        </w:trPr>
        <w:tc>
          <w:tcPr>
            <w:tcW w:w="3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40-45</w:t>
            </w:r>
          </w:p>
        </w:tc>
        <w:tc>
          <w:tcPr>
            <w:tcW w:w="6340" w:type="dxa"/>
            <w:vAlign w:val="bottom"/>
            <w:gridSpan w:val="31"/>
          </w:tcPr>
          <w:p>
            <w:pPr>
              <w:spacing w:after="0"/>
              <w:rPr>
                <w:rFonts w:ascii="Arial" w:cs="Arial" w:eastAsia="Arial" w:hAnsi="Arial"/>
                <w:sz w:val="22"/>
                <w:szCs w:val="22"/>
                <w:color w:val="0000EE"/>
              </w:rPr>
            </w:pPr>
            <w:hyperlink w:anchor="page55">
              <w:r>
                <w:rPr>
                  <w:rFonts w:ascii="Arial" w:cs="Arial" w:eastAsia="Arial" w:hAnsi="Arial"/>
                  <w:sz w:val="22"/>
                  <w:szCs w:val="22"/>
                  <w:color w:val="0000EE"/>
                </w:rPr>
                <w:t>AGENDA ITEM 4 – AMENDMENT TO MEMORANDUM OF</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680" w:type="dxa"/>
            <w:vAlign w:val="bottom"/>
            <w:tcBorders>
              <w:top w:val="single" w:sz="8" w:color="0000EE"/>
            </w:tcBorders>
            <w:gridSpan w:val="26"/>
          </w:tcPr>
          <w:p>
            <w:pPr>
              <w:spacing w:after="0" w:line="223" w:lineRule="exact"/>
              <w:rPr>
                <w:rFonts w:ascii="Arial" w:cs="Arial" w:eastAsia="Arial" w:hAnsi="Arial"/>
                <w:sz w:val="22"/>
                <w:szCs w:val="22"/>
                <w:color w:val="0000EE"/>
              </w:rPr>
            </w:pPr>
            <w:hyperlink w:anchor="page55">
              <w:r>
                <w:rPr>
                  <w:rFonts w:ascii="Arial" w:cs="Arial" w:eastAsia="Arial" w:hAnsi="Arial"/>
                  <w:sz w:val="22"/>
                  <w:szCs w:val="22"/>
                  <w:color w:val="0000EE"/>
                </w:rPr>
                <w:t>ASSOCIATION TO EFFECT A REVERSE STOCK SPLIT</w:t>
              </w:r>
            </w:hyperlink>
          </w:p>
        </w:tc>
        <w:tc>
          <w:tcPr>
            <w:tcW w:w="6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5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46</w:t>
            </w:r>
          </w:p>
        </w:tc>
        <w:tc>
          <w:tcPr>
            <w:tcW w:w="6340" w:type="dxa"/>
            <w:vAlign w:val="bottom"/>
            <w:gridSpan w:val="31"/>
          </w:tcPr>
          <w:p>
            <w:pPr>
              <w:spacing w:after="0"/>
              <w:rPr>
                <w:rFonts w:ascii="Arial" w:cs="Arial" w:eastAsia="Arial" w:hAnsi="Arial"/>
                <w:sz w:val="22"/>
                <w:szCs w:val="22"/>
                <w:color w:val="0000EE"/>
              </w:rPr>
            </w:pPr>
            <w:hyperlink w:anchor="page61">
              <w:r>
                <w:rPr>
                  <w:rFonts w:ascii="Arial" w:cs="Arial" w:eastAsia="Arial" w:hAnsi="Arial"/>
                  <w:sz w:val="22"/>
                  <w:szCs w:val="22"/>
                  <w:color w:val="0000EE"/>
                </w:rPr>
                <w:t>AGENDA ITEM 5 – AMENDMENT TO MEMORANDUM OF</w:t>
              </w:r>
            </w:hyperlink>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340" w:type="dxa"/>
            <w:vAlign w:val="bottom"/>
            <w:gridSpan w:val="31"/>
          </w:tcPr>
          <w:p>
            <w:pPr>
              <w:spacing w:after="0" w:line="223" w:lineRule="exact"/>
              <w:rPr>
                <w:rFonts w:ascii="Arial" w:cs="Arial" w:eastAsia="Arial" w:hAnsi="Arial"/>
                <w:sz w:val="22"/>
                <w:szCs w:val="22"/>
                <w:color w:val="0000EE"/>
                <w:w w:val="99"/>
              </w:rPr>
            </w:pPr>
            <w:hyperlink w:anchor="page61">
              <w:r>
                <w:rPr>
                  <w:rFonts w:ascii="Arial" w:cs="Arial" w:eastAsia="Arial" w:hAnsi="Arial"/>
                  <w:sz w:val="22"/>
                  <w:szCs w:val="22"/>
                  <w:color w:val="0000EE"/>
                  <w:w w:val="99"/>
                </w:rPr>
                <w:t>ASSOCIATION TO INCREASE AUTHORIZED SHARE CAPITAL</w:t>
              </w:r>
            </w:hyperlink>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5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47</w:t>
            </w:r>
          </w:p>
        </w:tc>
        <w:tc>
          <w:tcPr>
            <w:tcW w:w="6340" w:type="dxa"/>
            <w:vAlign w:val="bottom"/>
            <w:gridSpan w:val="31"/>
          </w:tcPr>
          <w:p>
            <w:pPr>
              <w:spacing w:after="0"/>
              <w:rPr>
                <w:rFonts w:ascii="Arial" w:cs="Arial" w:eastAsia="Arial" w:hAnsi="Arial"/>
                <w:sz w:val="22"/>
                <w:szCs w:val="22"/>
                <w:color w:val="0000EE"/>
              </w:rPr>
            </w:pPr>
            <w:hyperlink w:anchor="page62">
              <w:r>
                <w:rPr>
                  <w:rFonts w:ascii="Arial" w:cs="Arial" w:eastAsia="Arial" w:hAnsi="Arial"/>
                  <w:sz w:val="22"/>
                  <w:szCs w:val="22"/>
                  <w:color w:val="0000EE"/>
                </w:rPr>
                <w:t>AGENDA ITEM 6 – BOARD AUTHORITY TO ISSUE SHARES</w:t>
              </w:r>
            </w:hyperlink>
          </w:p>
        </w:tc>
        <w:tc>
          <w:tcPr>
            <w:tcW w:w="0" w:type="dxa"/>
            <w:vAlign w:val="bottom"/>
          </w:tcPr>
          <w:p>
            <w:pPr>
              <w:spacing w:after="0"/>
              <w:rPr>
                <w:sz w:val="1"/>
                <w:szCs w:val="1"/>
                <w:color w:val="auto"/>
              </w:rPr>
            </w:pPr>
          </w:p>
        </w:tc>
      </w:tr>
      <w:tr>
        <w:trPr>
          <w:trHeight w:val="299"/>
        </w:trPr>
        <w:tc>
          <w:tcPr>
            <w:tcW w:w="3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6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48</w:t>
            </w:r>
          </w:p>
        </w:tc>
        <w:tc>
          <w:tcPr>
            <w:tcW w:w="6340" w:type="dxa"/>
            <w:vAlign w:val="bottom"/>
            <w:gridSpan w:val="31"/>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AGENDA ITEM 7 – BOARD POWER TO OPT-OUT OF</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280" w:type="dxa"/>
            <w:vAlign w:val="bottom"/>
            <w:tcBorders>
              <w:top w:val="single" w:sz="8" w:color="0000EE"/>
            </w:tcBorders>
            <w:gridSpan w:val="24"/>
          </w:tcPr>
          <w:p>
            <w:pPr>
              <w:spacing w:after="0" w:line="223" w:lineRule="exact"/>
              <w:rPr>
                <w:rFonts w:ascii="Arial" w:cs="Arial" w:eastAsia="Arial" w:hAnsi="Arial"/>
                <w:sz w:val="22"/>
                <w:szCs w:val="22"/>
                <w:color w:val="0000EE"/>
              </w:rPr>
            </w:pPr>
            <w:hyperlink w:anchor="page63">
              <w:r>
                <w:rPr>
                  <w:rFonts w:ascii="Arial" w:cs="Arial" w:eastAsia="Arial" w:hAnsi="Arial"/>
                  <w:sz w:val="22"/>
                  <w:szCs w:val="22"/>
                  <w:color w:val="0000EE"/>
                </w:rPr>
                <w:t>PREEMPTION RIGHTS</w:t>
              </w:r>
            </w:hyperlink>
          </w:p>
        </w:tc>
        <w:tc>
          <w:tcPr>
            <w:tcW w:w="10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49-55</w:t>
            </w:r>
          </w:p>
        </w:tc>
        <w:tc>
          <w:tcPr>
            <w:tcW w:w="6300" w:type="dxa"/>
            <w:vAlign w:val="bottom"/>
            <w:tcBorders>
              <w:bottom w:val="single" w:sz="8" w:color="0000EE"/>
            </w:tcBorders>
            <w:gridSpan w:val="30"/>
          </w:tcPr>
          <w:p>
            <w:pPr>
              <w:spacing w:after="0"/>
              <w:rPr>
                <w:rFonts w:ascii="Arial" w:cs="Arial" w:eastAsia="Arial" w:hAnsi="Arial"/>
                <w:sz w:val="22"/>
                <w:szCs w:val="22"/>
                <w:color w:val="0000EE"/>
                <w:w w:val="97"/>
              </w:rPr>
            </w:pPr>
            <w:hyperlink w:anchor="page64">
              <w:r>
                <w:rPr>
                  <w:rFonts w:ascii="Arial" w:cs="Arial" w:eastAsia="Arial" w:hAnsi="Arial"/>
                  <w:sz w:val="22"/>
                  <w:szCs w:val="22"/>
                  <w:color w:val="0000EE"/>
                  <w:w w:val="97"/>
                </w:rPr>
                <w:t>AGENDA ITEM 8 – AMENDMENT AND RESTATEMENT OF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340" w:type="dxa"/>
            <w:vAlign w:val="bottom"/>
            <w:gridSpan w:val="31"/>
          </w:tcPr>
          <w:p>
            <w:pPr>
              <w:spacing w:after="0" w:line="223" w:lineRule="exact"/>
              <w:rPr>
                <w:rFonts w:ascii="Arial" w:cs="Arial" w:eastAsia="Arial" w:hAnsi="Arial"/>
                <w:sz w:val="22"/>
                <w:szCs w:val="22"/>
                <w:color w:val="0000EE"/>
              </w:rPr>
            </w:pPr>
            <w:hyperlink w:anchor="page64">
              <w:r>
                <w:rPr>
                  <w:rFonts w:ascii="Arial" w:cs="Arial" w:eastAsia="Arial" w:hAnsi="Arial"/>
                  <w:sz w:val="22"/>
                  <w:szCs w:val="22"/>
                  <w:color w:val="0000EE"/>
                </w:rPr>
                <w:t>COMPANY’S 2010 OMNIBUS INCENTIVE PLAN</w:t>
              </w:r>
            </w:hyperlink>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5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60" w:type="dxa"/>
            <w:vAlign w:val="bottom"/>
            <w:tcBorders>
              <w:top w:val="single" w:sz="8" w:color="0000EE"/>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56-59</w:t>
            </w:r>
          </w:p>
        </w:tc>
        <w:tc>
          <w:tcPr>
            <w:tcW w:w="6340" w:type="dxa"/>
            <w:vAlign w:val="bottom"/>
            <w:gridSpan w:val="31"/>
          </w:tcPr>
          <w:p>
            <w:pPr>
              <w:spacing w:after="0"/>
              <w:rPr>
                <w:rFonts w:ascii="Arial" w:cs="Arial" w:eastAsia="Arial" w:hAnsi="Arial"/>
                <w:sz w:val="22"/>
                <w:szCs w:val="22"/>
                <w:color w:val="0000EE"/>
              </w:rPr>
            </w:pPr>
            <w:hyperlink w:anchor="page71">
              <w:r>
                <w:rPr>
                  <w:rFonts w:ascii="Arial" w:cs="Arial" w:eastAsia="Arial" w:hAnsi="Arial"/>
                  <w:sz w:val="22"/>
                  <w:szCs w:val="22"/>
                  <w:color w:val="0000EE"/>
                </w:rPr>
                <w:t>AGENDA ITEM 9 – AMENDMENT TO THE COMPANY’S</w:t>
              </w:r>
            </w:hyperlink>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460" w:type="dxa"/>
            <w:vAlign w:val="bottom"/>
            <w:tcBorders>
              <w:top w:val="single" w:sz="8" w:color="0000EE"/>
            </w:tcBorders>
            <w:gridSpan w:val="25"/>
          </w:tcPr>
          <w:p>
            <w:pPr>
              <w:spacing w:after="0" w:line="223" w:lineRule="exact"/>
              <w:rPr>
                <w:rFonts w:ascii="Arial" w:cs="Arial" w:eastAsia="Arial" w:hAnsi="Arial"/>
                <w:sz w:val="22"/>
                <w:szCs w:val="22"/>
                <w:color w:val="0000EE"/>
              </w:rPr>
            </w:pPr>
            <w:hyperlink w:anchor="page71">
              <w:r>
                <w:rPr>
                  <w:rFonts w:ascii="Arial" w:cs="Arial" w:eastAsia="Arial" w:hAnsi="Arial"/>
                  <w:sz w:val="22"/>
                  <w:szCs w:val="22"/>
                  <w:color w:val="0000EE"/>
                </w:rPr>
                <w:t>EMPLOYEE STOCK PURCHASE PLAN</w:t>
              </w:r>
            </w:hyperlink>
          </w:p>
        </w:tc>
        <w:tc>
          <w:tcPr>
            <w:tcW w:w="8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80" w:type="dxa"/>
            <w:vAlign w:val="bottom"/>
            <w:tcBorders>
              <w:top w:val="single" w:sz="8" w:color="0000EE"/>
              <w:bottom w:val="single" w:sz="8" w:color="auto"/>
            </w:tcBorders>
          </w:tcPr>
          <w:p>
            <w:pPr>
              <w:spacing w:after="0"/>
              <w:rPr>
                <w:sz w:val="13"/>
                <w:szCs w:val="13"/>
                <w:color w:val="auto"/>
              </w:rPr>
            </w:pPr>
          </w:p>
        </w:tc>
        <w:tc>
          <w:tcPr>
            <w:tcW w:w="9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60" w:type="dxa"/>
            <w:vAlign w:val="bottom"/>
            <w:tcBorders>
              <w:top w:val="single" w:sz="8" w:color="0000EE"/>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4"/>
                <w:szCs w:val="24"/>
                <w:color w:val="auto"/>
              </w:rPr>
            </w:pPr>
          </w:p>
        </w:tc>
        <w:tc>
          <w:tcPr>
            <w:tcW w:w="152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60-63</w:t>
            </w:r>
          </w:p>
        </w:tc>
        <w:tc>
          <w:tcPr>
            <w:tcW w:w="6340" w:type="dxa"/>
            <w:vAlign w:val="bottom"/>
            <w:gridSpan w:val="31"/>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OTHER INFORMATION</w:t>
              </w:r>
            </w:hyperlink>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300" w:type="dxa"/>
            <w:vAlign w:val="bottom"/>
            <w:tcBorders>
              <w:top w:val="single" w:sz="8" w:color="0000EE"/>
            </w:tcBorders>
            <w:gridSpan w:val="8"/>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60 </w:t>
            </w:r>
            <w:hyperlink w:anchor="page75">
              <w:r>
                <w:rPr>
                  <w:rFonts w:ascii="Arial" w:cs="Arial" w:eastAsia="Arial" w:hAnsi="Arial"/>
                  <w:sz w:val="16"/>
                  <w:szCs w:val="16"/>
                  <w:color w:val="0000EE"/>
                </w:rPr>
                <w:t>Share Ownership</w:t>
              </w:r>
            </w:hyperlink>
          </w:p>
        </w:tc>
        <w:tc>
          <w:tcPr>
            <w:tcW w:w="404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61</w:t>
            </w: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180" w:type="dxa"/>
            <w:vAlign w:val="bottom"/>
            <w:tcBorders>
              <w:bottom w:val="single" w:sz="8" w:color="0000EE"/>
            </w:tcBorders>
            <w:gridSpan w:val="18"/>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Section 16(a) Beneficial Ownership Reporting Compliance</w:t>
              </w:r>
            </w:hyperlink>
          </w:p>
        </w:tc>
        <w:tc>
          <w:tcPr>
            <w:tcW w:w="18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61</w:t>
            </w:r>
          </w:p>
        </w:tc>
        <w:tc>
          <w:tcPr>
            <w:tcW w:w="19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Incorporation by Reference</w:t>
              </w:r>
            </w:hyperlink>
          </w:p>
        </w:tc>
        <w:tc>
          <w:tcPr>
            <w:tcW w:w="410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6060" w:type="dxa"/>
            <w:vAlign w:val="bottom"/>
            <w:gridSpan w:val="30"/>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Presentation of Irish Statutory Accounts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19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w:anchor="page77">
              <w:r>
                <w:rPr>
                  <w:rFonts w:ascii="Arial" w:cs="Arial" w:eastAsia="Arial" w:hAnsi="Arial"/>
                  <w:sz w:val="16"/>
                  <w:szCs w:val="16"/>
                  <w:color w:val="0000EE"/>
                  <w:w w:val="99"/>
                </w:rPr>
                <w:t>Proposals by Shareholders</w:t>
              </w:r>
            </w:hyperlink>
          </w:p>
        </w:tc>
        <w:tc>
          <w:tcPr>
            <w:tcW w:w="900" w:type="dxa"/>
            <w:vAlign w:val="bottom"/>
            <w:tcBorders>
              <w:top w:val="single" w:sz="8" w:color="0000EE"/>
            </w:tcBorders>
            <w:gridSpan w:val="8"/>
          </w:tcPr>
          <w:p>
            <w:pPr>
              <w:spacing w:after="0"/>
              <w:rPr>
                <w:sz w:val="15"/>
                <w:szCs w:val="15"/>
                <w:color w:val="auto"/>
              </w:rPr>
            </w:pPr>
          </w:p>
        </w:tc>
        <w:tc>
          <w:tcPr>
            <w:tcW w:w="32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6060" w:type="dxa"/>
            <w:vAlign w:val="bottom"/>
            <w:gridSpan w:val="30"/>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Other Business</w:t>
              </w:r>
            </w:hyperlink>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line="163" w:lineRule="exact"/>
              <w:rPr>
                <w:sz w:val="20"/>
                <w:szCs w:val="20"/>
                <w:color w:val="auto"/>
              </w:rPr>
            </w:pPr>
            <w:r>
              <w:rPr>
                <w:rFonts w:ascii="Arial" w:cs="Arial" w:eastAsia="Arial" w:hAnsi="Arial"/>
                <w:sz w:val="18"/>
                <w:szCs w:val="18"/>
                <w:color w:val="auto"/>
              </w:rPr>
              <w:t>62</w:t>
            </w:r>
          </w:p>
        </w:tc>
        <w:tc>
          <w:tcPr>
            <w:tcW w:w="110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77">
              <w:r>
                <w:rPr>
                  <w:rFonts w:ascii="Arial" w:cs="Arial" w:eastAsia="Arial" w:hAnsi="Arial"/>
                  <w:sz w:val="16"/>
                  <w:szCs w:val="16"/>
                  <w:color w:val="0000EE"/>
                </w:rPr>
                <w:t>Householding</w:t>
              </w:r>
            </w:hyperlink>
          </w:p>
        </w:tc>
        <w:tc>
          <w:tcPr>
            <w:tcW w:w="496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vMerge w:val="restart"/>
          </w:tcPr>
          <w:p>
            <w:pPr>
              <w:spacing w:after="0" w:line="182" w:lineRule="exact"/>
              <w:rPr>
                <w:sz w:val="20"/>
                <w:szCs w:val="20"/>
                <w:color w:val="auto"/>
              </w:rPr>
            </w:pPr>
            <w:r>
              <w:rPr>
                <w:rFonts w:ascii="Arial" w:cs="Arial" w:eastAsia="Arial" w:hAnsi="Arial"/>
                <w:sz w:val="18"/>
                <w:szCs w:val="18"/>
                <w:color w:val="auto"/>
              </w:rPr>
              <w:t>63</w:t>
            </w:r>
          </w:p>
        </w:tc>
        <w:tc>
          <w:tcPr>
            <w:tcW w:w="980" w:type="dxa"/>
            <w:vAlign w:val="bottom"/>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8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060" w:type="dxa"/>
            <w:vAlign w:val="bottom"/>
            <w:gridSpan w:val="30"/>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Additional Information Available</w:t>
              </w:r>
            </w:hyperlink>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666666"/>
            </w:tcBorders>
          </w:tcPr>
          <w:p>
            <w:pPr>
              <w:spacing w:after="0"/>
              <w:rPr>
                <w:sz w:val="14"/>
                <w:szCs w:val="14"/>
                <w:color w:val="auto"/>
              </w:rPr>
            </w:pPr>
          </w:p>
        </w:tc>
        <w:tc>
          <w:tcPr>
            <w:tcW w:w="1520" w:type="dxa"/>
            <w:vAlign w:val="bottom"/>
            <w:tcBorders>
              <w:bottom w:val="single" w:sz="8" w:color="666666"/>
            </w:tcBorders>
          </w:tcPr>
          <w:p>
            <w:pPr>
              <w:spacing w:after="0"/>
              <w:rPr>
                <w:sz w:val="14"/>
                <w:szCs w:val="14"/>
                <w:color w:val="auto"/>
              </w:rPr>
            </w:pPr>
          </w:p>
        </w:tc>
        <w:tc>
          <w:tcPr>
            <w:tcW w:w="280" w:type="dxa"/>
            <w:vAlign w:val="bottom"/>
            <w:tcBorders>
              <w:bottom w:val="single" w:sz="8" w:color="666666"/>
            </w:tcBorders>
          </w:tcPr>
          <w:p>
            <w:pPr>
              <w:spacing w:after="0"/>
              <w:rPr>
                <w:sz w:val="14"/>
                <w:szCs w:val="14"/>
                <w:color w:val="auto"/>
              </w:rPr>
            </w:pPr>
          </w:p>
        </w:tc>
        <w:tc>
          <w:tcPr>
            <w:tcW w:w="98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140" w:type="dxa"/>
            <w:vAlign w:val="bottom"/>
            <w:tcBorders>
              <w:bottom w:val="single" w:sz="8" w:color="666666"/>
            </w:tcBorders>
          </w:tcPr>
          <w:p>
            <w:pPr>
              <w:spacing w:after="0"/>
              <w:rPr>
                <w:sz w:val="14"/>
                <w:szCs w:val="14"/>
                <w:color w:val="auto"/>
              </w:rPr>
            </w:pPr>
          </w:p>
        </w:tc>
        <w:tc>
          <w:tcPr>
            <w:tcW w:w="200" w:type="dxa"/>
            <w:vAlign w:val="bottom"/>
            <w:tcBorders>
              <w:bottom w:val="single" w:sz="8" w:color="666666"/>
            </w:tcBorders>
          </w:tcPr>
          <w:p>
            <w:pPr>
              <w:spacing w:after="0"/>
              <w:rPr>
                <w:sz w:val="14"/>
                <w:szCs w:val="14"/>
                <w:color w:val="auto"/>
              </w:rPr>
            </w:pPr>
          </w:p>
        </w:tc>
        <w:tc>
          <w:tcPr>
            <w:tcW w:w="50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60" w:type="dxa"/>
            <w:vAlign w:val="bottom"/>
            <w:tcBorders>
              <w:bottom w:val="single" w:sz="8" w:color="666666"/>
            </w:tcBorders>
          </w:tcPr>
          <w:p>
            <w:pPr>
              <w:spacing w:after="0"/>
              <w:rPr>
                <w:sz w:val="14"/>
                <w:szCs w:val="14"/>
                <w:color w:val="auto"/>
              </w:rPr>
            </w:pPr>
          </w:p>
        </w:tc>
        <w:tc>
          <w:tcPr>
            <w:tcW w:w="100" w:type="dxa"/>
            <w:vAlign w:val="bottom"/>
            <w:tcBorders>
              <w:bottom w:val="single" w:sz="8" w:color="666666"/>
            </w:tcBorders>
          </w:tcPr>
          <w:p>
            <w:pPr>
              <w:spacing w:after="0"/>
              <w:rPr>
                <w:sz w:val="14"/>
                <w:szCs w:val="14"/>
                <w:color w:val="auto"/>
              </w:rPr>
            </w:pPr>
          </w:p>
        </w:tc>
        <w:tc>
          <w:tcPr>
            <w:tcW w:w="14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360" w:type="dxa"/>
            <w:vAlign w:val="bottom"/>
            <w:tcBorders>
              <w:bottom w:val="single" w:sz="8" w:color="666666"/>
            </w:tcBorders>
          </w:tcPr>
          <w:p>
            <w:pPr>
              <w:spacing w:after="0"/>
              <w:rPr>
                <w:sz w:val="14"/>
                <w:szCs w:val="14"/>
                <w:color w:val="auto"/>
              </w:rPr>
            </w:pPr>
          </w:p>
        </w:tc>
        <w:tc>
          <w:tcPr>
            <w:tcW w:w="380" w:type="dxa"/>
            <w:vAlign w:val="bottom"/>
            <w:tcBorders>
              <w:bottom w:val="single" w:sz="8" w:color="666666"/>
            </w:tcBorders>
          </w:tcPr>
          <w:p>
            <w:pPr>
              <w:spacing w:after="0"/>
              <w:rPr>
                <w:sz w:val="14"/>
                <w:szCs w:val="14"/>
                <w:color w:val="auto"/>
              </w:rPr>
            </w:pPr>
          </w:p>
        </w:tc>
        <w:tc>
          <w:tcPr>
            <w:tcW w:w="20" w:type="dxa"/>
            <w:vAlign w:val="bottom"/>
            <w:tcBorders>
              <w:bottom w:val="single" w:sz="8" w:color="666666"/>
            </w:tcBorders>
          </w:tcPr>
          <w:p>
            <w:pPr>
              <w:spacing w:after="0"/>
              <w:rPr>
                <w:sz w:val="14"/>
                <w:szCs w:val="14"/>
                <w:color w:val="auto"/>
              </w:rPr>
            </w:pPr>
          </w:p>
        </w:tc>
        <w:tc>
          <w:tcPr>
            <w:tcW w:w="60" w:type="dxa"/>
            <w:vAlign w:val="bottom"/>
            <w:tcBorders>
              <w:bottom w:val="single" w:sz="8" w:color="666666"/>
            </w:tcBorders>
          </w:tcPr>
          <w:p>
            <w:pPr>
              <w:spacing w:after="0"/>
              <w:rPr>
                <w:sz w:val="14"/>
                <w:szCs w:val="14"/>
                <w:color w:val="auto"/>
              </w:rPr>
            </w:pPr>
          </w:p>
        </w:tc>
        <w:tc>
          <w:tcPr>
            <w:tcW w:w="52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18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18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200" w:type="dxa"/>
            <w:vAlign w:val="bottom"/>
            <w:tcBorders>
              <w:bottom w:val="single" w:sz="8" w:color="666666"/>
            </w:tcBorders>
          </w:tcPr>
          <w:p>
            <w:pPr>
              <w:spacing w:after="0"/>
              <w:rPr>
                <w:sz w:val="14"/>
                <w:szCs w:val="14"/>
                <w:color w:val="auto"/>
              </w:rPr>
            </w:pPr>
          </w:p>
        </w:tc>
        <w:tc>
          <w:tcPr>
            <w:tcW w:w="120" w:type="dxa"/>
            <w:vAlign w:val="bottom"/>
            <w:tcBorders>
              <w:bottom w:val="single" w:sz="8" w:color="666666"/>
            </w:tcBorders>
          </w:tcPr>
          <w:p>
            <w:pPr>
              <w:spacing w:after="0"/>
              <w:rPr>
                <w:sz w:val="14"/>
                <w:szCs w:val="14"/>
                <w:color w:val="auto"/>
              </w:rPr>
            </w:pPr>
          </w:p>
        </w:tc>
        <w:tc>
          <w:tcPr>
            <w:tcW w:w="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240" w:top="459" w:right="419" w:bottom="545" w:gutter="0" w:footer="0" w:header="0"/>
        </w:sectPr>
      </w:pPr>
    </w:p>
    <w:p>
      <w:pPr>
        <w:ind w:left="754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545"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146" w:lineRule="exact"/>
        <w:rPr>
          <w:sz w:val="20"/>
          <w:szCs w:val="20"/>
          <w:color w:val="auto"/>
        </w:rPr>
      </w:pPr>
    </w:p>
    <w:p>
      <w:pPr>
        <w:ind w:left="3400" w:right="360" w:hanging="796"/>
        <w:spacing w:after="0" w:line="181" w:lineRule="auto"/>
        <w:rPr>
          <w:rFonts w:ascii="Arial" w:cs="Arial" w:eastAsia="Arial" w:hAnsi="Arial"/>
          <w:sz w:val="21"/>
          <w:szCs w:val="21"/>
          <w:u w:val="single" w:color="auto"/>
          <w:color w:val="0000EE"/>
        </w:rPr>
      </w:pPr>
      <w:hyperlink w:anchor="page79"/>
      <w:r>
        <w:rPr>
          <w:rFonts w:ascii="Arial" w:cs="Arial" w:eastAsia="Arial" w:hAnsi="Arial"/>
          <w:sz w:val="83"/>
          <w:szCs w:val="83"/>
          <w:b w:val="1"/>
          <w:bCs w:val="1"/>
          <w:color w:val="000000"/>
          <w:vertAlign w:val="subscript"/>
        </w:rPr>
        <w:t>A-1</w:t>
      </w:r>
      <w:r>
        <w:rPr>
          <w:rFonts w:ascii="Arial" w:cs="Arial" w:eastAsia="Arial" w:hAnsi="Arial"/>
          <w:sz w:val="21"/>
          <w:szCs w:val="21"/>
          <w:color w:val="0000EE"/>
        </w:rPr>
        <w:t xml:space="preserve"> </w:t>
      </w:r>
      <w:hyperlink w:anchor="page79">
        <w:r>
          <w:rPr>
            <w:rFonts w:ascii="Arial" w:cs="Arial" w:eastAsia="Arial" w:hAnsi="Arial"/>
            <w:sz w:val="21"/>
            <w:szCs w:val="21"/>
            <w:u w:val="single" w:color="auto"/>
            <w:color w:val="0000EE"/>
          </w:rPr>
          <w:t>ANNEX A – AMENDED MEMORANDUM AND ARTICLES OF ASSOCIATION</w:t>
        </w:r>
      </w:hyperlink>
      <w:r>
        <w:rPr>
          <w:rFonts w:ascii="Arial" w:cs="Arial" w:eastAsia="Arial" w:hAnsi="Arial"/>
          <w:sz w:val="21"/>
          <w:szCs w:val="21"/>
          <w:color w:val="0000EE"/>
        </w:rPr>
        <w:t xml:space="preserve"> </w:t>
      </w:r>
      <w:hyperlink w:anchor="page79">
        <w:r>
          <w:rPr>
            <w:rFonts w:ascii="Arial" w:cs="Arial" w:eastAsia="Arial" w:hAnsi="Arial"/>
            <w:sz w:val="21"/>
            <w:szCs w:val="21"/>
            <w:u w:val="single" w:color="auto"/>
            <w:color w:val="0000EE"/>
          </w:rPr>
          <w:t>(REVERSE STOCK SPLIT)</w:t>
        </w:r>
      </w:hyperlink>
    </w:p>
    <w:p>
      <w:pPr>
        <w:spacing w:after="0" w:line="20" w:lineRule="exact"/>
        <w:rPr>
          <w:rFonts w:ascii="Arial" w:cs="Arial" w:eastAsia="Arial" w:hAnsi="Arial"/>
          <w:sz w:val="21"/>
          <w:szCs w:val="21"/>
          <w:color w:val="0000EE"/>
        </w:rPr>
      </w:pPr>
      <w:r>
        <w:rPr>
          <w:rFonts w:ascii="Arial" w:cs="Arial" w:eastAsia="Arial" w:hAnsi="Arial"/>
          <w:sz w:val="21"/>
          <w:szCs w:val="21"/>
          <w:color w:val="0000EE"/>
        </w:rPr>
        <w:drawing>
          <wp:anchor simplePos="0" relativeHeight="251657728" behindDoc="1" locked="0" layoutInCell="0" allowOverlap="1">
            <wp:simplePos x="0" y="0"/>
            <wp:positionH relativeFrom="column">
              <wp:posOffset>1609090</wp:posOffset>
            </wp:positionH>
            <wp:positionV relativeFrom="paragraph">
              <wp:posOffset>-459105</wp:posOffset>
            </wp:positionV>
            <wp:extent cx="5522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3400" w:right="360" w:hanging="796"/>
        <w:spacing w:after="0" w:line="181" w:lineRule="auto"/>
        <w:rPr>
          <w:rFonts w:ascii="Arial" w:cs="Arial" w:eastAsia="Arial" w:hAnsi="Arial"/>
          <w:sz w:val="20"/>
          <w:szCs w:val="20"/>
          <w:u w:val="single" w:color="auto"/>
          <w:color w:val="0000EE"/>
        </w:rPr>
      </w:pPr>
      <w:hyperlink w:anchor="page106"/>
      <w:r>
        <w:rPr>
          <w:rFonts w:ascii="Arial" w:cs="Arial" w:eastAsia="Arial" w:hAnsi="Arial"/>
          <w:sz w:val="64"/>
          <w:szCs w:val="64"/>
          <w:b w:val="1"/>
          <w:bCs w:val="1"/>
          <w:color w:val="000000"/>
          <w:vertAlign w:val="subscript"/>
        </w:rPr>
        <w:t>B-1</w:t>
      </w:r>
      <w:r>
        <w:rPr>
          <w:rFonts w:ascii="Arial" w:cs="Arial" w:eastAsia="Arial" w:hAnsi="Arial"/>
          <w:sz w:val="20"/>
          <w:szCs w:val="20"/>
          <w:color w:val="0000EE"/>
        </w:rPr>
        <w:t xml:space="preserve"> </w:t>
      </w:r>
      <w:hyperlink w:anchor="page106">
        <w:r>
          <w:rPr>
            <w:rFonts w:ascii="Arial" w:cs="Arial" w:eastAsia="Arial" w:hAnsi="Arial"/>
            <w:sz w:val="20"/>
            <w:szCs w:val="20"/>
            <w:u w:val="single" w:color="auto"/>
            <w:color w:val="0000EE"/>
          </w:rPr>
          <w:t>ANNEX B – AMENDED MEMORANDUM AND ARTICLES OF ASSOCIATION</w:t>
        </w:r>
      </w:hyperlink>
      <w:r>
        <w:rPr>
          <w:rFonts w:ascii="Arial" w:cs="Arial" w:eastAsia="Arial" w:hAnsi="Arial"/>
          <w:sz w:val="20"/>
          <w:szCs w:val="20"/>
          <w:color w:val="0000EE"/>
        </w:rPr>
        <w:t xml:space="preserve"> </w:t>
      </w:r>
      <w:hyperlink w:anchor="page106">
        <w:r>
          <w:rPr>
            <w:rFonts w:ascii="Arial" w:cs="Arial" w:eastAsia="Arial" w:hAnsi="Arial"/>
            <w:sz w:val="20"/>
            <w:szCs w:val="20"/>
            <w:u w:val="single" w:color="auto"/>
            <w:color w:val="0000EE"/>
          </w:rPr>
          <w:t>(AUTHORIZED SHARE INCREASE)</w:t>
        </w:r>
      </w:hyperlink>
    </w:p>
    <w:p>
      <w:pPr>
        <w:spacing w:after="0" w:line="20" w:lineRule="exact"/>
        <w:rPr>
          <w:rFonts w:ascii="Arial" w:cs="Arial" w:eastAsia="Arial" w:hAnsi="Arial"/>
          <w:sz w:val="20"/>
          <w:szCs w:val="20"/>
          <w:color w:val="0000EE"/>
        </w:rPr>
      </w:pPr>
      <w:r>
        <w:rPr>
          <w:rFonts w:ascii="Arial" w:cs="Arial" w:eastAsia="Arial" w:hAnsi="Arial"/>
          <w:sz w:val="20"/>
          <w:szCs w:val="20"/>
          <w:color w:val="0000EE"/>
        </w:rPr>
        <w:drawing>
          <wp:anchor simplePos="0" relativeHeight="251657728" behindDoc="1" locked="0" layoutInCell="0" allowOverlap="1">
            <wp:simplePos x="0" y="0"/>
            <wp:positionH relativeFrom="column">
              <wp:posOffset>1609090</wp:posOffset>
            </wp:positionH>
            <wp:positionV relativeFrom="paragraph">
              <wp:posOffset>-382270</wp:posOffset>
            </wp:positionV>
            <wp:extent cx="5522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jc w:val="right"/>
        <w:spacing w:after="0" w:line="183" w:lineRule="auto"/>
        <w:rPr>
          <w:rFonts w:ascii="Arial" w:cs="Arial" w:eastAsia="Arial" w:hAnsi="Arial"/>
          <w:sz w:val="22"/>
          <w:szCs w:val="22"/>
          <w:color w:val="0000EE"/>
        </w:rPr>
      </w:pPr>
      <w:hyperlink w:anchor="page133"/>
      <w:r>
        <w:rPr>
          <w:rFonts w:ascii="Arial" w:cs="Arial" w:eastAsia="Arial" w:hAnsi="Arial"/>
          <w:sz w:val="86"/>
          <w:szCs w:val="86"/>
          <w:b w:val="1"/>
          <w:bCs w:val="1"/>
          <w:color w:val="000000"/>
          <w:vertAlign w:val="subscript"/>
        </w:rPr>
        <w:t>C-1</w:t>
      </w:r>
      <w:r>
        <w:rPr>
          <w:rFonts w:ascii="Arial" w:cs="Arial" w:eastAsia="Arial" w:hAnsi="Arial"/>
          <w:sz w:val="22"/>
          <w:szCs w:val="22"/>
          <w:color w:val="0000EE"/>
        </w:rPr>
        <w:t xml:space="preserve"> </w:t>
      </w:r>
      <w:hyperlink w:anchor="page133">
        <w:r>
          <w:rPr>
            <w:rFonts w:ascii="Arial" w:cs="Arial" w:eastAsia="Arial" w:hAnsi="Arial"/>
            <w:sz w:val="22"/>
            <w:szCs w:val="22"/>
            <w:u w:val="single" w:color="auto"/>
            <w:color w:val="0000EE"/>
          </w:rPr>
          <w:t>ANNEX C – 2010 OMNIBUS INCENTIVE PLAN, AS AMENDED AND RESTATED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-12065</wp:posOffset>
            </wp:positionV>
            <wp:extent cx="5522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-398145</wp:posOffset>
            </wp:positionV>
            <wp:extent cx="5522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2600"/>
        <w:spacing w:after="0" w:line="181" w:lineRule="auto"/>
        <w:rPr>
          <w:rFonts w:ascii="Arial" w:cs="Arial" w:eastAsia="Arial" w:hAnsi="Arial"/>
          <w:sz w:val="20"/>
          <w:szCs w:val="20"/>
          <w:color w:val="0000EE"/>
        </w:rPr>
      </w:pPr>
      <w:hyperlink w:anchor="page150"/>
      <w:r>
        <w:rPr>
          <w:rFonts w:ascii="Arial" w:cs="Arial" w:eastAsia="Arial" w:hAnsi="Arial"/>
          <w:sz w:val="70"/>
          <w:szCs w:val="70"/>
          <w:b w:val="1"/>
          <w:bCs w:val="1"/>
          <w:color w:val="000000"/>
          <w:vertAlign w:val="subscript"/>
        </w:rPr>
        <w:t>D-1</w:t>
      </w:r>
      <w:r>
        <w:rPr>
          <w:rFonts w:ascii="Arial" w:cs="Arial" w:eastAsia="Arial" w:hAnsi="Arial"/>
          <w:sz w:val="20"/>
          <w:szCs w:val="20"/>
          <w:color w:val="0000EE"/>
        </w:rPr>
        <w:t xml:space="preserve"> </w:t>
      </w:r>
      <w:hyperlink w:anchor="page150">
        <w:r>
          <w:rPr>
            <w:rFonts w:ascii="Arial" w:cs="Arial" w:eastAsia="Arial" w:hAnsi="Arial"/>
            <w:sz w:val="20"/>
            <w:szCs w:val="20"/>
            <w:color w:val="0000EE"/>
          </w:rPr>
          <w:t>ANNEX</w:t>
        </w:r>
        <w:r>
          <w:rPr>
            <w:rFonts w:ascii="Arial" w:cs="Arial" w:eastAsia="Arial" w:hAnsi="Arial"/>
            <w:sz w:val="37"/>
            <w:szCs w:val="37"/>
            <w:u w:val="single" w:color="auto"/>
            <w:color w:val="0000EE"/>
            <w:vertAlign w:val="subscript"/>
          </w:rPr>
          <w:t>PLAN</w:t>
        </w:r>
        <w:r>
          <w:rPr>
            <w:rFonts w:ascii="Arial" w:cs="Arial" w:eastAsia="Arial" w:hAnsi="Arial"/>
            <w:sz w:val="20"/>
            <w:szCs w:val="20"/>
            <w:color w:val="0000EE"/>
          </w:rPr>
          <w:t xml:space="preserve"> D – SECOND AMENDMENT TO EMPLOYEE STOCK PURCHASE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-200660</wp:posOffset>
            </wp:positionV>
            <wp:extent cx="45999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99940" cy="8890"/>
                    </a:xfrm>
                    <a:prstGeom prst="rect">
                      <a:avLst/>
                    </a:prstGeom>
                    <a:noFill/>
                  </pic:spPr>
                </pic:pic>
              </a:graphicData>
            </a:graphic>
          </wp:anchor>
        </w:drawing>
      </w:r>
    </w:p>
    <w:p>
      <w:pPr>
        <w:ind w:left="2600"/>
        <w:spacing w:after="0" w:line="182" w:lineRule="auto"/>
        <w:rPr>
          <w:rFonts w:ascii="Arial" w:cs="Arial" w:eastAsia="Arial" w:hAnsi="Arial"/>
          <w:sz w:val="18"/>
          <w:szCs w:val="18"/>
          <w:color w:val="0000EE"/>
        </w:rPr>
      </w:pPr>
      <w:hyperlink w:anchor="page151"/>
      <w:r>
        <w:rPr>
          <w:rFonts w:ascii="Arial" w:cs="Arial" w:eastAsia="Arial" w:hAnsi="Arial"/>
          <w:sz w:val="51"/>
          <w:szCs w:val="51"/>
          <w:b w:val="1"/>
          <w:bCs w:val="1"/>
          <w:color w:val="000000"/>
          <w:vertAlign w:val="subscript"/>
        </w:rPr>
        <w:t>E-1</w:t>
      </w:r>
      <w:r>
        <w:rPr>
          <w:rFonts w:ascii="Arial" w:cs="Arial" w:eastAsia="Arial" w:hAnsi="Arial"/>
          <w:sz w:val="18"/>
          <w:szCs w:val="18"/>
          <w:color w:val="0000EE"/>
        </w:rPr>
        <w:t xml:space="preserve"> </w:t>
      </w:r>
      <w:hyperlink w:anchor="page151">
        <w:r>
          <w:rPr>
            <w:rFonts w:ascii="Arial" w:cs="Arial" w:eastAsia="Arial" w:hAnsi="Arial"/>
            <w:sz w:val="18"/>
            <w:szCs w:val="18"/>
            <w:u w:val="single" w:color="auto"/>
            <w:color w:val="0000EE"/>
          </w:rPr>
          <w:t>ANNEX E – RECONCILIATION OF GAAP TO NON-GAAP FINANCIAL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-217170</wp:posOffset>
            </wp:positionV>
            <wp:extent cx="5522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3400"/>
        <w:spacing w:after="0"/>
        <w:rPr>
          <w:rFonts w:ascii="Arial" w:cs="Arial" w:eastAsia="Arial" w:hAnsi="Arial"/>
          <w:sz w:val="22"/>
          <w:szCs w:val="22"/>
          <w:u w:val="single" w:color="auto"/>
          <w:color w:val="0000EE"/>
        </w:rPr>
      </w:pPr>
      <w:hyperlink w:anchor="page151">
        <w:r>
          <w:rPr>
            <w:rFonts w:ascii="Arial" w:cs="Arial" w:eastAsia="Arial" w:hAnsi="Arial"/>
            <w:sz w:val="22"/>
            <w:szCs w:val="22"/>
            <w:u w:val="single" w:color="auto"/>
            <w:color w:val="0000EE"/>
          </w:rPr>
          <w:t>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83820</wp:posOffset>
            </wp:positionV>
            <wp:extent cx="55225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8318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June 25, 2019 at 10:00 a.m. (Central European Time), Lorzensaal Cham, Cham, Canton of Zug, Switzerland.</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 and Swiss tax resident.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Our principal executive offices in Switzerland are located at Weststrasse 1, 6340 Baar, Switzerland, and our telephone number is +41.22.816.1500.</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References to “$” or “USD” in this Proxy Statement are references to United States dollars.</w:t>
      </w:r>
    </w:p>
    <w:p>
      <w:pPr>
        <w:spacing w:after="0" w:line="177"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This Proxy Statement and proxy card are first being mailed or made available on behalf of our Board of Directors, or our “Board,” to all shareholders beginning on or about April 30,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auto"/>
              </w:rPr>
              <w:t>Board</w:t>
            </w: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5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Proposal</w:t>
            </w: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Required Approval</w:t>
            </w:r>
          </w:p>
        </w:tc>
        <w:tc>
          <w:tcPr>
            <w:tcW w:w="1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Recommendation</w:t>
            </w:r>
          </w:p>
        </w:tc>
      </w:tr>
      <w:tr>
        <w:trPr>
          <w:trHeight w:val="220"/>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1.</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ten individuals named in this Proxy</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color w:val="000000"/>
              </w:rPr>
              <w:t>each</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Statement until the 2020 AGM or, in each case, until his or her earlier death, retirement, resignation or removal</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jc w:val="center"/>
              <w:ind w:left="128"/>
              <w:spacing w:after="0"/>
              <w:rPr>
                <w:sz w:val="20"/>
                <w:szCs w:val="20"/>
                <w:color w:val="auto"/>
              </w:rPr>
            </w:pPr>
            <w:r>
              <w:rPr>
                <w:rFonts w:ascii="Arial" w:cs="Arial" w:eastAsia="Arial" w:hAnsi="Arial"/>
                <w:sz w:val="14"/>
                <w:szCs w:val="14"/>
                <w:color w:val="auto"/>
              </w:rPr>
              <w:t>nominee</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from the position of director.</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2.</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2019 and KPMG</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Chartered Accountants, Dublin as the Company’s statutory auditor under Irish law to hold office until the close</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of the 2020 AGM, and to authorize the Board, acting through the Audit Committee, to determine the auditors’</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remuneration.</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3.</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executive officers.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4.</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Reverse Stock Split. </w:t>
            </w:r>
            <w:r>
              <w:rPr>
                <w:rFonts w:ascii="Arial" w:cs="Arial" w:eastAsia="Arial" w:hAnsi="Arial"/>
                <w:sz w:val="14"/>
                <w:szCs w:val="14"/>
                <w:color w:val="auto"/>
              </w:rPr>
              <w:t>To approve a reverse stock split (i.e., a consolidation of share capital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whereby every 20 ordinary shares of $0.001 each be consolidated into 1 ordinary share.</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Authorized Share Increase. </w:t>
            </w:r>
            <w:r>
              <w:rPr>
                <w:rFonts w:ascii="Arial" w:cs="Arial" w:eastAsia="Arial" w:hAnsi="Arial"/>
                <w:sz w:val="14"/>
                <w:szCs w:val="14"/>
                <w:color w:val="auto"/>
              </w:rPr>
              <w:t>To approve an increase of our authorized share capital by the creation of an</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additional 33,900,000 ordinary shares.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6.</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Authority to Issue Shares. </w:t>
            </w:r>
            <w:r>
              <w:rPr>
                <w:rFonts w:ascii="Arial" w:cs="Arial" w:eastAsia="Arial" w:hAnsi="Arial"/>
                <w:sz w:val="14"/>
                <w:szCs w:val="14"/>
                <w:color w:val="auto"/>
              </w:rPr>
              <w:t>To grant the Board authority to issue shares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7.</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Authority to Opt-Out of Preemption Rights. </w:t>
            </w:r>
            <w:r>
              <w:rPr>
                <w:rFonts w:ascii="Arial" w:cs="Arial" w:eastAsia="Arial" w:hAnsi="Arial"/>
                <w:sz w:val="14"/>
                <w:szCs w:val="14"/>
                <w:color w:val="auto"/>
              </w:rPr>
              <w:t>To grant the Board power to opt-out of statutory pre-emption</w:t>
            </w:r>
          </w:p>
        </w:tc>
        <w:tc>
          <w:tcPr>
            <w:tcW w:w="1720" w:type="dxa"/>
            <w:vAlign w:val="bottom"/>
          </w:tcPr>
          <w:p>
            <w:pPr>
              <w:ind w:left="240"/>
              <w:spacing w:after="0"/>
              <w:rPr>
                <w:sz w:val="20"/>
                <w:szCs w:val="20"/>
                <w:color w:val="auto"/>
              </w:rPr>
            </w:pPr>
            <w:r>
              <w:rPr>
                <w:rFonts w:ascii="Arial" w:cs="Arial" w:eastAsia="Arial" w:hAnsi="Arial"/>
                <w:sz w:val="14"/>
                <w:szCs w:val="14"/>
                <w:color w:val="auto"/>
              </w:rPr>
              <w:t>75%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rights under Irish law.</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8.</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2010 Omnibus Plan Amendment and Restatement. </w:t>
            </w:r>
            <w:r>
              <w:rPr>
                <w:rFonts w:ascii="Arial" w:cs="Arial" w:eastAsia="Arial" w:hAnsi="Arial"/>
                <w:sz w:val="14"/>
                <w:szCs w:val="14"/>
                <w:color w:val="auto"/>
              </w:rPr>
              <w:t>To approve and adopt an amendment and</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restatement of the Weatherford 2010 Plan to increase the number of authorized shares.</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520" w:type="dxa"/>
            <w:vAlign w:val="bottom"/>
            <w:tcBorders>
              <w:bottom w:val="single" w:sz="8" w:color="666666"/>
            </w:tcBorders>
          </w:tcPr>
          <w:p>
            <w:pPr>
              <w:spacing w:after="0"/>
              <w:rPr>
                <w:sz w:val="3"/>
                <w:szCs w:val="3"/>
                <w:color w:val="auto"/>
              </w:rPr>
            </w:pPr>
          </w:p>
        </w:tc>
        <w:tc>
          <w:tcPr>
            <w:tcW w:w="172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tcPr>
          <w:p>
            <w:pPr>
              <w:spacing w:after="0"/>
              <w:rPr>
                <w:sz w:val="3"/>
                <w:szCs w:val="3"/>
                <w:color w:val="auto"/>
              </w:rPr>
            </w:pPr>
          </w:p>
        </w:tc>
      </w:tr>
      <w:tr>
        <w:trPr>
          <w:trHeight w:val="214"/>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9.</w:t>
            </w:r>
          </w:p>
        </w:tc>
        <w:tc>
          <w:tcPr>
            <w:tcW w:w="752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Employee Stock Purchase Plan Amendment. </w:t>
            </w:r>
            <w:r>
              <w:rPr>
                <w:rFonts w:ascii="Arial" w:cs="Arial" w:eastAsia="Arial" w:hAnsi="Arial"/>
                <w:sz w:val="14"/>
                <w:szCs w:val="14"/>
                <w:color w:val="auto"/>
              </w:rPr>
              <w:t>To approve and adopt an amendment to the</w:t>
            </w:r>
          </w:p>
        </w:tc>
        <w:tc>
          <w:tcPr>
            <w:tcW w:w="1720" w:type="dxa"/>
            <w:vAlign w:val="bottom"/>
          </w:tcPr>
          <w:p>
            <w:pPr>
              <w:ind w:left="240"/>
              <w:spacing w:after="0"/>
              <w:rPr>
                <w:sz w:val="20"/>
                <w:szCs w:val="20"/>
                <w:color w:val="auto"/>
              </w:rPr>
            </w:pPr>
            <w:r>
              <w:rPr>
                <w:rFonts w:ascii="Arial" w:cs="Arial" w:eastAsia="Arial" w:hAnsi="Arial"/>
                <w:sz w:val="14"/>
                <w:szCs w:val="14"/>
                <w:color w:val="auto"/>
              </w:rPr>
              <w:t>Majority of Votes</w:t>
            </w:r>
          </w:p>
        </w:tc>
        <w:tc>
          <w:tcPr>
            <w:tcW w:w="1440" w:type="dxa"/>
            <w:vAlign w:val="bottom"/>
          </w:tcPr>
          <w:p>
            <w:pPr>
              <w:jc w:val="center"/>
              <w:ind w:left="10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Weatherford Employee Stock Purchase Plan to increase the aggregate number of shares that may be</w:t>
            </w:r>
          </w:p>
        </w:tc>
        <w:tc>
          <w:tcPr>
            <w:tcW w:w="1720" w:type="dxa"/>
            <w:vAlign w:val="bottom"/>
          </w:tcPr>
          <w:p>
            <w:pPr>
              <w:ind w:left="240"/>
              <w:spacing w:after="0"/>
              <w:rPr>
                <w:sz w:val="20"/>
                <w:szCs w:val="20"/>
                <w:color w:val="auto"/>
              </w:rPr>
            </w:pPr>
            <w:r>
              <w:rPr>
                <w:rFonts w:ascii="Arial" w:cs="Arial" w:eastAsia="Arial" w:hAnsi="Arial"/>
                <w:sz w:val="14"/>
                <w:szCs w:val="14"/>
                <w:color w:val="auto"/>
              </w:rPr>
              <w:t>Cast</w:t>
            </w:r>
          </w:p>
        </w:tc>
        <w:tc>
          <w:tcPr>
            <w:tcW w:w="14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520" w:type="dxa"/>
            <w:vAlign w:val="bottom"/>
          </w:tcPr>
          <w:p>
            <w:pPr>
              <w:ind w:left="240"/>
              <w:spacing w:after="0"/>
              <w:rPr>
                <w:sz w:val="20"/>
                <w:szCs w:val="20"/>
                <w:color w:val="auto"/>
              </w:rPr>
            </w:pPr>
            <w:r>
              <w:rPr>
                <w:rFonts w:ascii="Arial" w:cs="Arial" w:eastAsia="Arial" w:hAnsi="Arial"/>
                <w:sz w:val="14"/>
                <w:szCs w:val="14"/>
                <w:color w:val="auto"/>
              </w:rPr>
              <w:t>purchased under the ESPP.</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pacing w:after="0" w:line="194"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2018, along with related directors’ and auditors’ reports, and review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WHO CAN VOTE</w:t>
      </w:r>
    </w:p>
    <w:p>
      <w:pPr>
        <w:spacing w:after="0" w:line="280"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All registered shareholders at the close of business on April 26, 2019 (the “Record Date”)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469" w:gutter="0" w:footer="0" w:header="0"/>
        </w:sectPr>
      </w:pPr>
    </w:p>
    <w:p>
      <w:pPr>
        <w:spacing w:after="0" w:line="200" w:lineRule="exact"/>
        <w:rPr>
          <w:sz w:val="20"/>
          <w:szCs w:val="20"/>
          <w:color w:val="auto"/>
        </w:rPr>
      </w:pPr>
    </w:p>
    <w:p>
      <w:pPr>
        <w:spacing w:after="0" w:line="213"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240"/>
          </w:cols>
          <w:pgMar w:left="240" w:top="459" w:right="419" w:bottom="469"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MEETING ATTENDANCE</w:t>
      </w:r>
    </w:p>
    <w:p>
      <w:pPr>
        <w:spacing w:after="0" w:line="280" w:lineRule="exact"/>
        <w:rPr>
          <w:sz w:val="20"/>
          <w:szCs w:val="20"/>
          <w:color w:val="auto"/>
        </w:rPr>
      </w:pPr>
    </w:p>
    <w:p>
      <w:pPr>
        <w:jc w:val="both"/>
        <w:ind w:left="200" w:right="300"/>
        <w:spacing w:after="0" w:line="250"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99"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Registered shareholders who wish to so participate in the Annual General Meeting may do so by attending in person or at the offices of our Irish lawyers, Matheson, located at 70 Sir John Rogerson’s Quay, Dublin 2, Ireland, at the time of the meeting. All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HOW TO VOTE</w:t>
      </w:r>
    </w:p>
    <w:p>
      <w:pPr>
        <w:spacing w:after="0" w:line="280"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voting in one of the ways described on page iii no later than the Voting Deadline (defined below) whether or not you plan to attend.</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C3002F"/>
        </w:rPr>
        <w:t xml:space="preserve">Voting Deadline: </w:t>
      </w:r>
      <w:r>
        <w:rPr>
          <w:rFonts w:ascii="Arial" w:cs="Arial" w:eastAsia="Arial" w:hAnsi="Arial"/>
          <w:sz w:val="14"/>
          <w:szCs w:val="14"/>
          <w:color w:val="000000"/>
        </w:rPr>
        <w:t>5:59 a.m. (Central European Time) on June 24, 2019 (11:59 p.m. (Eastern Time) on June 23, 2019).</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72" w:lineRule="exact"/>
        <w:rPr>
          <w:sz w:val="20"/>
          <w:szCs w:val="20"/>
          <w:color w:val="auto"/>
        </w:rPr>
      </w:pPr>
    </w:p>
    <w:p>
      <w:pPr>
        <w:ind w:left="200" w:right="40"/>
        <w:spacing w:after="0" w:line="256"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shares. </w:t>
      </w:r>
      <w:r>
        <w:rPr>
          <w:rFonts w:ascii="Arial" w:cs="Arial" w:eastAsia="Arial" w:hAnsi="Arial"/>
          <w:sz w:val="14"/>
          <w:szCs w:val="14"/>
          <w:b w:val="1"/>
          <w:bCs w:val="1"/>
          <w:color w:val="auto"/>
        </w:rPr>
        <w:t>This may be very difficult for an individual shareholder to do, so individual shareholders holding in street name are strongly encouraged to submit their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224155</wp:posOffset>
            </wp:positionV>
            <wp:extent cx="831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QUORUM AND VOTING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quorum at our Annual General Meeting will be two or more persons holding or representing by proxy more than 50% of the total issued voting rights of our ordinary shares.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the Record Date, there were approximately 1,003,533,795 ordinary shares issued and entitled to vote.</w:t>
      </w:r>
    </w:p>
    <w:p>
      <w:pPr>
        <w:spacing w:after="0" w:line="177" w:lineRule="exact"/>
        <w:rPr>
          <w:sz w:val="20"/>
          <w:szCs w:val="20"/>
          <w:color w:val="auto"/>
        </w:rPr>
      </w:pPr>
    </w:p>
    <w:p>
      <w:pPr>
        <w:ind w:left="200" w:right="260"/>
        <w:spacing w:after="0" w:line="250"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59"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discretion to vote your shares with respect to “routine” proposals. The “routine” proposal in this Proxy Statement is Agenda Item 2. All other proposals (i.e., Agenda Items 1, 3, 4, 5, 6, 7, 8 and 9) are “non-routine” and your broker may not vote your shares. Accordingly, if you hold your shares in “street name,” your broker will not be able to vote your shares on these matters unless your broker receives voting instructions from you.</w:t>
      </w:r>
    </w:p>
    <w:p>
      <w:pPr>
        <w:spacing w:after="0" w:line="175"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Approval of each proposal other than Agenda Item 7 will be decided by an “ordinary resolution” (i.e., by a simple majority of the votes cast “For” or “Against,” in person or by proxy, provided a quorum is present). Approval of Agenda Item 7 will be decided by a “special resolution” that requires the affirmative vote of at least 75% of the votes cast by the holders of ordinary shares represented at the meeting in person or by proxy. Generally, abstentions and broker “non-votes” will not affect the voting results; however, Agenda Items 8 and 9 are also subject to separate NYSE rules. Under NYSE rules, abstentions will be considered votes cast. As a result, abstentions will have the effect of a vote against Agenda Items 8 and 9 under NYSE rules. Broker “non-votes” will not affect the voting results for any proposal under Irish law or NYSE rules.</w:t>
      </w:r>
    </w:p>
    <w:p>
      <w:pPr>
        <w:spacing w:after="0" w:line="16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If the proposal for the election of a director nominee does not receive the required majority of the votes cast, then the director will not be elected and the position on the Board that would have been filled by the director nominee will become vacant. The Board has the ability to fill the vacancy upon the recommendation of its Corporate Governance and Nominating Committee, subject to re-election by the Company’s shareholders at the next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276"/>
        <w:spacing w:after="0"/>
        <w:tabs>
          <w:tab w:leader="none" w:pos="480" w:val="left"/>
        </w:tabs>
        <w:numPr>
          <w:ilvl w:val="0"/>
          <w:numId w:val="1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1260" w:type="dxa"/>
            <w:vAlign w:val="bottom"/>
          </w:tcPr>
          <w:p>
            <w:pPr>
              <w:spacing w:after="0"/>
              <w:rPr>
                <w:sz w:val="14"/>
                <w:szCs w:val="14"/>
                <w:color w:val="auto"/>
              </w:rPr>
            </w:pPr>
          </w:p>
        </w:tc>
      </w:tr>
      <w:tr>
        <w:trPr>
          <w:trHeight w:val="189"/>
        </w:trPr>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Proposal</w:t>
            </w:r>
          </w:p>
        </w:tc>
        <w:tc>
          <w:tcPr>
            <w:tcW w:w="2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Required Approval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Votes</w:t>
            </w: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Abstentions</w:t>
            </w:r>
          </w:p>
        </w:tc>
      </w:tr>
      <w:tr>
        <w:trPr>
          <w:trHeight w:val="231"/>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1.</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Election of Directors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2.</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Ratify Appointment of Independent Auditors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Yes</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N/A</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3.</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Approve Executive Compensation</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4.</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Approve Reverse Stock Split</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5.</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Increase Authorized Shares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6.</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Authority to Issue Shares</w:t>
            </w:r>
          </w:p>
        </w:tc>
        <w:tc>
          <w:tcPr>
            <w:tcW w:w="2280" w:type="dxa"/>
            <w:vAlign w:val="bottom"/>
            <w:tcBorders>
              <w:bottom w:val="single" w:sz="8" w:color="666666"/>
            </w:tcBorders>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7.</w:t>
            </w:r>
          </w:p>
        </w:tc>
        <w:tc>
          <w:tcPr>
            <w:tcW w:w="52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Opt-out of Preemption Rights</w:t>
            </w:r>
          </w:p>
        </w:tc>
        <w:tc>
          <w:tcPr>
            <w:tcW w:w="2280" w:type="dxa"/>
            <w:vAlign w:val="bottom"/>
            <w:tcBorders>
              <w:bottom w:val="single" w:sz="8" w:color="666666"/>
            </w:tcBorders>
          </w:tcPr>
          <w:p>
            <w:pPr>
              <w:jc w:val="center"/>
              <w:ind w:left="508"/>
              <w:spacing w:after="0"/>
              <w:rPr>
                <w:sz w:val="20"/>
                <w:szCs w:val="20"/>
                <w:color w:val="auto"/>
              </w:rPr>
            </w:pPr>
            <w:r>
              <w:rPr>
                <w:rFonts w:ascii="Arial" w:cs="Arial" w:eastAsia="Arial" w:hAnsi="Arial"/>
                <w:sz w:val="14"/>
                <w:szCs w:val="14"/>
                <w:color w:val="auto"/>
              </w:rPr>
              <w:t>75%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Borders>
              <w:bottom w:val="single" w:sz="8" w:color="666666"/>
            </w:tcBorders>
          </w:tcPr>
          <w:p>
            <w:pPr>
              <w:jc w:val="center"/>
              <w:ind w:left="68"/>
              <w:spacing w:after="0"/>
              <w:rPr>
                <w:sz w:val="20"/>
                <w:szCs w:val="20"/>
                <w:color w:val="auto"/>
              </w:rPr>
            </w:pPr>
            <w:r>
              <w:rPr>
                <w:rFonts w:ascii="Arial" w:cs="Arial" w:eastAsia="Arial" w:hAnsi="Arial"/>
                <w:sz w:val="14"/>
                <w:szCs w:val="14"/>
                <w:color w:val="auto"/>
                <w:w w:val="99"/>
              </w:rPr>
              <w:t>No effect</w:t>
            </w:r>
          </w:p>
        </w:tc>
      </w:tr>
      <w:tr>
        <w:trPr>
          <w:trHeight w:val="220"/>
        </w:trPr>
        <w:tc>
          <w:tcPr>
            <w:tcW w:w="140" w:type="dxa"/>
            <w:vAlign w:val="bottom"/>
            <w:gridSpan w:val="2"/>
          </w:tcPr>
          <w:p>
            <w:pPr>
              <w:spacing w:after="0"/>
              <w:rPr>
                <w:sz w:val="20"/>
                <w:szCs w:val="20"/>
                <w:color w:val="auto"/>
              </w:rPr>
            </w:pPr>
            <w:r>
              <w:rPr>
                <w:rFonts w:ascii="Arial" w:cs="Arial" w:eastAsia="Arial" w:hAnsi="Arial"/>
                <w:sz w:val="14"/>
                <w:szCs w:val="14"/>
                <w:color w:val="auto"/>
              </w:rPr>
              <w:t>8.</w:t>
            </w:r>
          </w:p>
        </w:tc>
        <w:tc>
          <w:tcPr>
            <w:tcW w:w="5220" w:type="dxa"/>
            <w:vAlign w:val="bottom"/>
          </w:tcPr>
          <w:p>
            <w:pPr>
              <w:ind w:left="20"/>
              <w:spacing w:after="0"/>
              <w:rPr>
                <w:sz w:val="20"/>
                <w:szCs w:val="20"/>
                <w:color w:val="auto"/>
              </w:rPr>
            </w:pPr>
            <w:r>
              <w:rPr>
                <w:rFonts w:ascii="Arial" w:cs="Arial" w:eastAsia="Arial" w:hAnsi="Arial"/>
                <w:sz w:val="14"/>
                <w:szCs w:val="14"/>
                <w:color w:val="auto"/>
              </w:rPr>
              <w:t>Approve and adopt 2010 Omnibus Plan Amendment and Restatement</w:t>
            </w:r>
          </w:p>
        </w:tc>
        <w:tc>
          <w:tcPr>
            <w:tcW w:w="2280" w:type="dxa"/>
            <w:vAlign w:val="bottom"/>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rPr>
              <w:t>Yes (counts as a</w:t>
            </w:r>
          </w:p>
        </w:tc>
      </w:tr>
      <w:tr>
        <w:trPr>
          <w:trHeight w:val="178"/>
        </w:trPr>
        <w:tc>
          <w:tcPr>
            <w:tcW w:w="20" w:type="dxa"/>
            <w:vAlign w:val="bottom"/>
          </w:tcPr>
          <w:p>
            <w:pPr>
              <w:spacing w:after="0"/>
              <w:rPr>
                <w:sz w:val="15"/>
                <w:szCs w:val="15"/>
                <w:color w:val="auto"/>
              </w:rPr>
            </w:pPr>
          </w:p>
        </w:tc>
        <w:tc>
          <w:tcPr>
            <w:tcW w:w="120" w:type="dxa"/>
            <w:vAlign w:val="bottom"/>
            <w:tcBorders>
              <w:bottom w:val="single" w:sz="8" w:color="666666"/>
            </w:tcBorders>
          </w:tcPr>
          <w:p>
            <w:pPr>
              <w:spacing w:after="0"/>
              <w:rPr>
                <w:sz w:val="15"/>
                <w:szCs w:val="15"/>
                <w:color w:val="auto"/>
              </w:rPr>
            </w:pPr>
          </w:p>
        </w:tc>
        <w:tc>
          <w:tcPr>
            <w:tcW w:w="5220" w:type="dxa"/>
            <w:vAlign w:val="bottom"/>
            <w:tcBorders>
              <w:bottom w:val="single" w:sz="8" w:color="666666"/>
            </w:tcBorders>
          </w:tcPr>
          <w:p>
            <w:pPr>
              <w:spacing w:after="0"/>
              <w:rPr>
                <w:sz w:val="15"/>
                <w:szCs w:val="15"/>
                <w:color w:val="auto"/>
              </w:rPr>
            </w:pPr>
          </w:p>
        </w:tc>
        <w:tc>
          <w:tcPr>
            <w:tcW w:w="2280" w:type="dxa"/>
            <w:vAlign w:val="bottom"/>
            <w:tcBorders>
              <w:bottom w:val="single" w:sz="8" w:color="666666"/>
            </w:tcBorders>
          </w:tcPr>
          <w:p>
            <w:pPr>
              <w:spacing w:after="0"/>
              <w:rPr>
                <w:sz w:val="15"/>
                <w:szCs w:val="15"/>
                <w:color w:val="auto"/>
              </w:rPr>
            </w:pPr>
          </w:p>
        </w:tc>
        <w:tc>
          <w:tcPr>
            <w:tcW w:w="1240" w:type="dxa"/>
            <w:vAlign w:val="bottom"/>
            <w:tcBorders>
              <w:bottom w:val="single" w:sz="8" w:color="666666"/>
            </w:tcBorders>
          </w:tcPr>
          <w:p>
            <w:pPr>
              <w:spacing w:after="0"/>
              <w:rPr>
                <w:sz w:val="15"/>
                <w:szCs w:val="15"/>
                <w:color w:val="auto"/>
              </w:rPr>
            </w:pPr>
          </w:p>
        </w:tc>
        <w:tc>
          <w:tcPr>
            <w:tcW w:w="900" w:type="dxa"/>
            <w:vAlign w:val="bottom"/>
            <w:tcBorders>
              <w:bottom w:val="single" w:sz="8" w:color="666666"/>
            </w:tcBorders>
          </w:tcPr>
          <w:p>
            <w:pPr>
              <w:spacing w:after="0"/>
              <w:rPr>
                <w:sz w:val="15"/>
                <w:szCs w:val="15"/>
                <w:color w:val="auto"/>
              </w:rPr>
            </w:pPr>
          </w:p>
        </w:tc>
        <w:tc>
          <w:tcPr>
            <w:tcW w:w="1260" w:type="dxa"/>
            <w:vAlign w:val="bottom"/>
            <w:tcBorders>
              <w:bottom w:val="single" w:sz="8" w:color="666666"/>
            </w:tcBorders>
          </w:tcPr>
          <w:p>
            <w:pPr>
              <w:jc w:val="center"/>
              <w:ind w:left="48"/>
              <w:spacing w:after="0"/>
              <w:rPr>
                <w:sz w:val="20"/>
                <w:szCs w:val="20"/>
                <w:color w:val="auto"/>
              </w:rPr>
            </w:pPr>
            <w:r>
              <w:rPr>
                <w:rFonts w:ascii="Arial" w:cs="Arial" w:eastAsia="Arial" w:hAnsi="Arial"/>
                <w:sz w:val="14"/>
                <w:szCs w:val="14"/>
                <w:color w:val="auto"/>
              </w:rPr>
              <w:t>vote against)</w:t>
            </w:r>
          </w:p>
        </w:tc>
      </w:tr>
      <w:tr>
        <w:trPr>
          <w:trHeight w:val="220"/>
        </w:trPr>
        <w:tc>
          <w:tcPr>
            <w:tcW w:w="140" w:type="dxa"/>
            <w:vAlign w:val="bottom"/>
            <w:gridSpan w:val="2"/>
          </w:tcPr>
          <w:p>
            <w:pPr>
              <w:spacing w:after="0"/>
              <w:rPr>
                <w:sz w:val="20"/>
                <w:szCs w:val="20"/>
                <w:color w:val="auto"/>
              </w:rPr>
            </w:pPr>
            <w:r>
              <w:rPr>
                <w:rFonts w:ascii="Arial" w:cs="Arial" w:eastAsia="Arial" w:hAnsi="Arial"/>
                <w:sz w:val="14"/>
                <w:szCs w:val="14"/>
                <w:color w:val="auto"/>
              </w:rPr>
              <w:t>9.</w:t>
            </w:r>
          </w:p>
        </w:tc>
        <w:tc>
          <w:tcPr>
            <w:tcW w:w="5220" w:type="dxa"/>
            <w:vAlign w:val="bottom"/>
          </w:tcPr>
          <w:p>
            <w:pPr>
              <w:ind w:left="20"/>
              <w:spacing w:after="0"/>
              <w:rPr>
                <w:sz w:val="20"/>
                <w:szCs w:val="20"/>
                <w:color w:val="auto"/>
              </w:rPr>
            </w:pPr>
            <w:r>
              <w:rPr>
                <w:rFonts w:ascii="Arial" w:cs="Arial" w:eastAsia="Arial" w:hAnsi="Arial"/>
                <w:sz w:val="14"/>
                <w:szCs w:val="14"/>
                <w:color w:val="auto"/>
              </w:rPr>
              <w:t>Approve and adopt Employee Stock Purchase Plan Amendment</w:t>
            </w:r>
          </w:p>
        </w:tc>
        <w:tc>
          <w:tcPr>
            <w:tcW w:w="2280" w:type="dxa"/>
            <w:vAlign w:val="bottom"/>
          </w:tcPr>
          <w:p>
            <w:pPr>
              <w:jc w:val="center"/>
              <w:ind w:left="52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rPr>
              <w:t>Yes (counts as a</w:t>
            </w:r>
          </w:p>
        </w:tc>
      </w:tr>
      <w:tr>
        <w:trPr>
          <w:trHeight w:val="178"/>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vote against)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PROXIES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copy of either:</w:t>
      </w:r>
    </w:p>
    <w:p>
      <w:pPr>
        <w:spacing w:after="0" w:line="217" w:lineRule="exact"/>
        <w:rPr>
          <w:sz w:val="20"/>
          <w:szCs w:val="20"/>
          <w:color w:val="auto"/>
        </w:rPr>
      </w:pPr>
    </w:p>
    <w:p>
      <w:pPr>
        <w:ind w:left="740" w:right="160" w:hanging="428"/>
        <w:spacing w:after="0" w:line="250" w:lineRule="auto"/>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Notice of Internet Availability of Proxy Materials (“Notice of Internet Availability”) notifying each shareholder entitled to vote at the Annual General Meeting how to vote and how to electronically access a copy of this Proxy Statement and our Annual Report and Irish Statutory Accounts for the year ended December 31, 2018 (the “Proxy Materials)” or</w:t>
      </w:r>
    </w:p>
    <w:p>
      <w:pPr>
        <w:spacing w:after="0" w:line="199" w:lineRule="exact"/>
        <w:rPr>
          <w:rFonts w:ascii="Arial" w:cs="Arial" w:eastAsia="Arial" w:hAnsi="Arial"/>
          <w:sz w:val="14"/>
          <w:szCs w:val="14"/>
          <w:color w:val="auto"/>
        </w:rPr>
      </w:pPr>
    </w:p>
    <w:p>
      <w:pPr>
        <w:ind w:left="740" w:hanging="428"/>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Proxy Materials and proxy card</w:t>
      </w:r>
    </w:p>
    <w:p>
      <w:pPr>
        <w:spacing w:after="0" w:line="177"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are being sent to each shareholder registered in our share register as of the Record Date. Shareholders not registered in our share register as of the Record Date,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159"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72"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64"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grant your proxy and vote your shares.</w:t>
      </w:r>
    </w:p>
    <w:p>
      <w:pPr>
        <w:spacing w:after="0" w:line="154"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 (“Articles”).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7" w:lineRule="exact"/>
        <w:rPr>
          <w:sz w:val="20"/>
          <w:szCs w:val="20"/>
          <w:color w:val="auto"/>
        </w:rPr>
      </w:pPr>
    </w:p>
    <w:p>
      <w:pPr>
        <w:ind w:left="420" w:right="120" w:hanging="216"/>
        <w:spacing w:after="0" w:line="258" w:lineRule="auto"/>
        <w:tabs>
          <w:tab w:leader="none" w:pos="420" w:val="left"/>
        </w:tabs>
        <w:numPr>
          <w:ilvl w:val="0"/>
          <w:numId w:val="15"/>
        </w:numPr>
        <w:rPr>
          <w:rFonts w:ascii="Arial" w:cs="Arial" w:eastAsia="Arial" w:hAnsi="Arial"/>
          <w:sz w:val="14"/>
          <w:szCs w:val="14"/>
          <w:color w:val="C3002F"/>
        </w:rPr>
      </w:pPr>
      <w:r>
        <w:rPr>
          <w:rFonts w:ascii="Arial" w:cs="Arial" w:eastAsia="Arial" w:hAnsi="Arial"/>
          <w:sz w:val="14"/>
          <w:szCs w:val="14"/>
          <w:color w:val="auto"/>
        </w:rPr>
        <w:t>writing to the Corporate Secretary at Weststrasse 1, 6340 Baar, Switzerland, or at the Company’s registered office, 70 Sir John Rogerson’s Quay, Dublin 2, Ireland, such that the revocation is received at least one hour prior to the commencement of the Annual General Meeting; or</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15"/>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80"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7" w:lineRule="exact"/>
        <w:rPr>
          <w:sz w:val="20"/>
          <w:szCs w:val="20"/>
          <w:color w:val="auto"/>
        </w:rPr>
      </w:pPr>
    </w:p>
    <w:p>
      <w:pPr>
        <w:ind w:left="200" w:right="18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MULTIPLE PROXY CARDS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COST OF PROXY SOLICITATION</w:t>
      </w:r>
    </w:p>
    <w:p>
      <w:pPr>
        <w:spacing w:after="0" w:line="280"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We have retained Okapi Partners LLC to solicit proxies from our shareholders at an estimated fee of $20,000, plus expenses.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ADJOURNMENT</w:t>
      </w:r>
    </w:p>
    <w:p>
      <w:pPr>
        <w:spacing w:after="0" w:line="280" w:lineRule="exact"/>
        <w:rPr>
          <w:sz w:val="20"/>
          <w:szCs w:val="20"/>
          <w:color w:val="auto"/>
        </w:rPr>
      </w:pPr>
    </w:p>
    <w:p>
      <w:pPr>
        <w:jc w:val="both"/>
        <w:ind w:left="200" w:right="60"/>
        <w:spacing w:after="0" w:line="258" w:lineRule="auto"/>
        <w:rPr>
          <w:sz w:val="20"/>
          <w:szCs w:val="20"/>
          <w:color w:val="auto"/>
        </w:rPr>
      </w:pPr>
      <w:r>
        <w:rPr>
          <w:rFonts w:ascii="Arial" w:cs="Arial" w:eastAsia="Arial" w:hAnsi="Arial"/>
          <w:sz w:val="14"/>
          <w:szCs w:val="14"/>
          <w:color w:val="auto"/>
        </w:rPr>
        <w:t>The Chairman may, with the consent of the meeting, adjourn all, or part, of the business to be considered at the Annual General Meeting (including adjourning some or all of the Agenda Items) to another date or until the meeting is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QUESTIONS</w:t>
      </w:r>
    </w:p>
    <w:p>
      <w:pPr>
        <w:spacing w:after="0" w:line="280" w:lineRule="exact"/>
        <w:rPr>
          <w:sz w:val="20"/>
          <w:szCs w:val="20"/>
          <w:color w:val="auto"/>
        </w:rPr>
      </w:pPr>
    </w:p>
    <w:p>
      <w:pPr>
        <w:ind w:left="200" w:right="60"/>
        <w:spacing w:after="0" w:line="250" w:lineRule="auto"/>
        <w:rPr>
          <w:sz w:val="20"/>
          <w:szCs w:val="20"/>
          <w:color w:val="auto"/>
        </w:rPr>
      </w:pPr>
      <w:r>
        <w:rPr>
          <w:rFonts w:ascii="Arial" w:cs="Arial" w:eastAsia="Arial" w:hAnsi="Arial"/>
          <w:sz w:val="14"/>
          <w:szCs w:val="14"/>
          <w:color w:val="auto"/>
        </w:rPr>
        <w:t>You may call our proxy solicitor, Okapi Partners LLC, toll-free at (855) 305-0857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64"/>
          <w:szCs w:val="64"/>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-454025</wp:posOffset>
            </wp:positionV>
            <wp:extent cx="8318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154305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80" w:hanging="276"/>
        <w:spacing w:after="0"/>
        <w:tabs>
          <w:tab w:leader="none" w:pos="480" w:val="left"/>
        </w:tabs>
        <w:numPr>
          <w:ilvl w:val="0"/>
          <w:numId w:val="1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000"/>
        <w:spacing w:after="0" w:line="275" w:lineRule="auto"/>
        <w:rPr>
          <w:sz w:val="20"/>
          <w:szCs w:val="20"/>
          <w:color w:val="auto"/>
        </w:rPr>
      </w:pPr>
      <w:r>
        <w:rPr>
          <w:rFonts w:ascii="Arial" w:cs="Arial" w:eastAsia="Arial" w:hAnsi="Arial"/>
          <w:sz w:val="65"/>
          <w:szCs w:val="65"/>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director.</w:t>
      </w:r>
    </w:p>
    <w:p>
      <w:pPr>
        <w:spacing w:after="0" w:line="216"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Upon the recommendation of the Corporate Governance and Nominating Committee, the Company’s Board of Directors has nominated the following ten nominees to be elected at the Annual General Meeting: Mohamed A. Awad, Roxanne J. Decyk, John D. Gass, Emyr Jones Parry, Francis S. Kalman, David S. King, William E. Macaulay, Mark A. McCollum, Angela A. Minas and Guillermo Ortiz.</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All of the non-employee nominees for director, i.e., all of the nominees other than Mr. McCollum, are independent under the rules of the NYSE.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Each director is an existing director who, in accordance with the Articles, shall retire at the Annual General Meeting and is eligible for re-election.</w:t>
      </w:r>
    </w:p>
    <w:p>
      <w:pPr>
        <w:spacing w:after="0" w:line="190"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Each director elected will serve until the 2020 annual general meeting or, in each case, until his or her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45" w:lineRule="exact"/>
        <w:rPr>
          <w:sz w:val="20"/>
          <w:szCs w:val="20"/>
          <w:color w:val="auto"/>
        </w:rPr>
      </w:pPr>
    </w:p>
    <w:p>
      <w:pPr>
        <w:ind w:left="200" w:right="80"/>
        <w:spacing w:after="0" w:line="267"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If you properly submit a proxy card but do not indicate how you wish to vote, the Proxy Holders will vote for all of the listed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8318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520"/>
        <w:spacing w:after="0" w:line="281" w:lineRule="auto"/>
        <w:rPr>
          <w:sz w:val="20"/>
          <w:szCs w:val="20"/>
          <w:color w:val="auto"/>
        </w:rPr>
      </w:pPr>
      <w:r>
        <w:rPr>
          <w:rFonts w:ascii="Arial" w:cs="Arial" w:eastAsia="Arial" w:hAnsi="Arial"/>
          <w:sz w:val="43"/>
          <w:szCs w:val="43"/>
          <w:b w:val="1"/>
          <w:bCs w:val="1"/>
          <w:color w:val="C3002F"/>
        </w:rPr>
        <w:t>DIRECTORS’ DIVERSITY OF SKILLS AND EXPERTISE</w:t>
      </w:r>
    </w:p>
    <w:p>
      <w:pPr>
        <w:spacing w:after="0" w:line="116"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Our Board’s composition is carefully considered by the Corporate Governance and Nominating Committee to ensure diversity in the broadest sense – of culture, background, outlook, experience, gender and tenure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61" w:lineRule="exact"/>
        <w:rPr>
          <w:sz w:val="20"/>
          <w:szCs w:val="20"/>
          <w:color w:val="auto"/>
        </w:rPr>
      </w:pPr>
    </w:p>
    <w:p>
      <w:pPr>
        <w:ind w:left="200" w:right="460"/>
        <w:spacing w:after="0" w:line="245" w:lineRule="auto"/>
        <w:rPr>
          <w:sz w:val="20"/>
          <w:szCs w:val="20"/>
          <w:color w:val="auto"/>
        </w:rPr>
      </w:pPr>
      <w:r>
        <w:rPr>
          <w:rFonts w:ascii="Arial" w:cs="Arial" w:eastAsia="Arial" w:hAnsi="Arial"/>
          <w:sz w:val="14"/>
          <w:szCs w:val="14"/>
          <w:color w:val="auto"/>
        </w:rPr>
        <w:t>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6997700" cy="2246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268605</wp:posOffset>
            </wp:positionV>
            <wp:extent cx="6997700" cy="1449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44907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089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9070" cy="10890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2014</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280" w:right="400"/>
        <w:spacing w:after="0" w:line="250"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1449070" cy="26244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66</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MOHAMED A. AWAD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Mr. Awad is a retired executive who served as Chairman of Schlumberger–Middle East and Asia from 2001 to 2012. Mr. Awad joined Schlumberger in 1981 and, over the next 30 years, held positions of increasing responsibility, both internationally and in the U.S., in the wireline, well services, drilling and measurement, oilfield services and corporate groups. In addition to his role at Schlumberger, Mr. Awad served as a director of Arabian Drilling Company in Saudi Arabia from 2005 until 2012.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Tulsa, M.S., Petroleum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Cairo University, B.S., Petroleum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Wealth of experience with a career in the oilfield services industry spanning 30+ years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Strong technology background which enables him to help guide the Company’s strategic direction</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Deep appreciation for diversity established through international leadership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7"/>
        </w:numPr>
        <w:rPr>
          <w:rFonts w:ascii="Arial" w:cs="Arial" w:eastAsia="Arial" w:hAnsi="Arial"/>
          <w:sz w:val="14"/>
          <w:szCs w:val="14"/>
          <w:color w:val="C3002F"/>
        </w:rPr>
      </w:pPr>
      <w:r>
        <w:rPr>
          <w:rFonts w:ascii="Arial" w:cs="Arial" w:eastAsia="Arial" w:hAnsi="Arial"/>
          <w:sz w:val="14"/>
          <w:szCs w:val="14"/>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598170</wp:posOffset>
            </wp:positionV>
            <wp:extent cx="5419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ROXANNE J. DECYK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Mrs. Decyk is a retired executive who most recently served as Former Executive Vice President of Global Government Relations for Royal Dutch Shell plc, a role she held from 2009 to 2010. From 2008 until 2009, Ms. Decyk served as Corporate Affairs and Sustainable Development Director of Royal Dutch Shell plc, from 2005 to 2009, she served on the Executive Committee and from 2005 to 2008, she also served as Corporate Affairs Director. Prior thereto, Ms. Decyk was Senior Vice President — Corporate Affairs and Human Resources of Shell Oil Company and Vice President of Corporate Strategy of Shell International Limited. She was previously a Director of Petrofac Limited from 2011 until May 2015, Snap-on Incorporated from 1993 until June 2014, Orbital ATK Inc. from 2010 – 2018, DigitalGlobe, Inc. from 2014 – 2017 and Ensco plc from 2013 – 2019.</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Illinois at Urbana-Champaign, B.A., English Literature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Marquette University Law School, J.D.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18"/>
        </w:numPr>
        <w:rPr>
          <w:rFonts w:ascii="Arial" w:cs="Arial" w:eastAsia="Arial" w:hAnsi="Arial"/>
          <w:sz w:val="14"/>
          <w:szCs w:val="14"/>
          <w:color w:val="C3002F"/>
        </w:rPr>
      </w:pPr>
      <w:r>
        <w:rPr>
          <w:rFonts w:ascii="Arial" w:cs="Arial" w:eastAsia="Arial" w:hAnsi="Arial"/>
          <w:sz w:val="14"/>
          <w:szCs w:val="14"/>
          <w:color w:val="auto"/>
        </w:rPr>
        <w:t>Significant experience in corporate strategy and planning</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8"/>
        </w:numPr>
        <w:rPr>
          <w:rFonts w:ascii="Arial" w:cs="Arial" w:eastAsia="Arial" w:hAnsi="Arial"/>
          <w:sz w:val="14"/>
          <w:szCs w:val="14"/>
          <w:color w:val="C3002F"/>
        </w:rPr>
      </w:pPr>
      <w:r>
        <w:rPr>
          <w:rFonts w:ascii="Arial" w:cs="Arial" w:eastAsia="Arial" w:hAnsi="Arial"/>
          <w:sz w:val="14"/>
          <w:szCs w:val="14"/>
          <w:color w:val="auto"/>
        </w:rPr>
        <w:t>Experience in various executive leadership positions for international, integrated energy companies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8"/>
        </w:numPr>
        <w:rPr>
          <w:rFonts w:ascii="Arial" w:cs="Arial" w:eastAsia="Arial" w:hAnsi="Arial"/>
          <w:sz w:val="14"/>
          <w:szCs w:val="14"/>
          <w:color w:val="C3002F"/>
        </w:rPr>
      </w:pPr>
      <w:r>
        <w:rPr>
          <w:rFonts w:ascii="Arial" w:cs="Arial" w:eastAsia="Arial" w:hAnsi="Arial"/>
          <w:sz w:val="14"/>
          <w:szCs w:val="14"/>
          <w:color w:val="auto"/>
        </w:rPr>
        <w:t>Extensive knowledge in human resources and executive compensation</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18"/>
        </w:numPr>
        <w:rPr>
          <w:rFonts w:ascii="Arial" w:cs="Arial" w:eastAsia="Arial" w:hAnsi="Arial"/>
          <w:sz w:val="14"/>
          <w:szCs w:val="14"/>
          <w:color w:val="C3002F"/>
        </w:rPr>
      </w:pPr>
      <w:r>
        <w:rPr>
          <w:rFonts w:ascii="Arial" w:cs="Arial" w:eastAsia="Arial" w:hAnsi="Arial"/>
          <w:sz w:val="14"/>
          <w:szCs w:val="14"/>
          <w:color w:val="auto"/>
        </w:rPr>
        <w:t>Expertise in global government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280670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2120" w:space="560"/>
            <w:col w:w="8480"/>
          </w:cols>
          <w:pgMar w:left="240" w:top="459" w:right="499" w:bottom="1440" w:gutter="0" w:footer="0" w:header="0"/>
          <w:type w:val="continuous"/>
        </w:sectPr>
      </w:pPr>
    </w:p>
    <w:p>
      <w:pPr>
        <w:spacing w:after="0" w:line="382" w:lineRule="exact"/>
        <w:rPr>
          <w:sz w:val="20"/>
          <w:szCs w:val="20"/>
          <w:color w:val="auto"/>
        </w:rPr>
      </w:pPr>
    </w:p>
    <w:p>
      <w:pPr>
        <w:ind w:left="480" w:hanging="276"/>
        <w:spacing w:after="0"/>
        <w:tabs>
          <w:tab w:leader="none" w:pos="480" w:val="left"/>
        </w:tabs>
        <w:numPr>
          <w:ilvl w:val="0"/>
          <w:numId w:val="1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60"/>
          </w:cols>
          <w:pgMar w:left="240" w:top="459" w:right="49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-1705610</wp:posOffset>
            </wp:positionV>
            <wp:extent cx="1449070" cy="272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9070" cy="27273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right="300"/>
        <w:spacing w:after="0" w:line="241" w:lineRule="auto"/>
        <w:rPr>
          <w:sz w:val="20"/>
          <w:szCs w:val="20"/>
          <w:color w:val="auto"/>
        </w:rPr>
      </w:pPr>
      <w:r>
        <w:rPr>
          <w:rFonts w:ascii="Arial" w:cs="Arial" w:eastAsia="Arial" w:hAnsi="Arial"/>
          <w:sz w:val="14"/>
          <w:szCs w:val="14"/>
          <w:color w:val="FFFFFF"/>
        </w:rPr>
        <w:t>Compensation (Chair) Corporate Governance and Nominating</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Southwestern Energy Company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Suncor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1449070" cy="14490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111760</wp:posOffset>
            </wp:positionV>
            <wp:extent cx="5419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JOHN D. GASS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7"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Mr. Gass has been a director of Southwestern Energy Company since November 2012. He became a director of Suncor Energy Inc. in February 2014. Mr. Gass serves on the Advisory Board for the Vanderbilt Eye Institute. He is a member of the American Society of Civil Engineers and the Society of Petroleum Engineers.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Vanderbilt University, B.E.,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Tulane University, M.E., Civil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right="320" w:hanging="147"/>
        <w:spacing w:after="0" w:line="258" w:lineRule="auto"/>
        <w:tabs>
          <w:tab w:leader="none" w:pos="307"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39 years of experience in the energy exploration and production industry, providing insight into the needs and priorities of the Company’s customers</w:t>
      </w:r>
    </w:p>
    <w:p>
      <w:pPr>
        <w:spacing w:after="0" w:line="59" w:lineRule="exact"/>
        <w:rPr>
          <w:rFonts w:ascii="Arial" w:cs="Arial" w:eastAsia="Arial" w:hAnsi="Arial"/>
          <w:sz w:val="14"/>
          <w:szCs w:val="14"/>
          <w:color w:val="C3002F"/>
        </w:rPr>
      </w:pPr>
    </w:p>
    <w:p>
      <w:pPr>
        <w:ind w:left="300" w:right="420" w:hanging="147"/>
        <w:spacing w:after="0" w:line="258" w:lineRule="auto"/>
        <w:tabs>
          <w:tab w:leader="none" w:pos="307"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Executive leadership experience, with a strong emphasis in operational strategy, major project development, and executive management</w:t>
      </w:r>
    </w:p>
    <w:p>
      <w:pPr>
        <w:spacing w:after="0" w:line="59" w:lineRule="exact"/>
        <w:rPr>
          <w:rFonts w:ascii="Arial" w:cs="Arial" w:eastAsia="Arial" w:hAnsi="Arial"/>
          <w:sz w:val="14"/>
          <w:szCs w:val="14"/>
          <w:color w:val="C3002F"/>
        </w:rPr>
      </w:pPr>
    </w:p>
    <w:p>
      <w:pPr>
        <w:ind w:left="300" w:hanging="147"/>
        <w:spacing w:after="0"/>
        <w:tabs>
          <w:tab w:leader="none" w:pos="30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Significant international experience in Europe, Africa and the Asia 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288925</wp:posOffset>
            </wp:positionV>
            <wp:extent cx="5419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2400" w:space="28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191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9070" cy="119189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line="241" w:lineRule="auto"/>
        <w:rPr>
          <w:sz w:val="20"/>
          <w:szCs w:val="20"/>
          <w:color w:val="auto"/>
        </w:rPr>
      </w:pPr>
      <w:r>
        <w:rPr>
          <w:rFonts w:ascii="Arial" w:cs="Arial" w:eastAsia="Arial" w:hAnsi="Arial"/>
          <w:sz w:val="14"/>
          <w:szCs w:val="14"/>
          <w:color w:val="FFFFFF"/>
        </w:rPr>
        <w:t>Health, Safety and Environment (Chair) Corporate Governance and Nominating</w:t>
      </w:r>
    </w:p>
    <w:p>
      <w:pPr>
        <w:spacing w:after="0" w:line="2" w:lineRule="exact"/>
        <w:rPr>
          <w:sz w:val="20"/>
          <w:szCs w:val="20"/>
          <w:color w:val="auto"/>
        </w:rPr>
      </w:pPr>
    </w:p>
    <w:p>
      <w:pPr>
        <w:ind w:left="280" w:right="380"/>
        <w:spacing w:after="0" w:line="250"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EMYR JONES PARRY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Sir Emyr served as the Chancellor of Aberystwyth University, located in Wales, from 2008 to 2017 and was Chairman of the All Wales Convention, a body established by the Welsh Assembly Government to review Wales’s constitutional arrangements, from 2007 to 2009. He was Chairman of the Corporate and Social Responsibility External Advisory Group of First Group plc, a transport operator, from 2008 to 2011 and was the Chairman of Redress, a human rights organization from 2008 to 2016. Sir Emyr previously held numerous diplomatic positions, including UK Permanent Representative to the UN from 2003 to 2007 and UK Ambassador to NATO from 2001 to 2003, specializing in European Union affairs including energy policy. He has been the President of the Learned Society of Wales since May 2014.</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Cardiff, B.Sc., Theoretical Physics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Cambridge, Ph.D., Polymer Physics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Wealth of government relations, diplomatic and negotiation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High level of public and social policy knowledge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Important international perspective, with an emphasis on global issues and European markets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1"/>
        </w:numPr>
        <w:rPr>
          <w:rFonts w:ascii="Arial" w:cs="Arial" w:eastAsia="Arial" w:hAnsi="Arial"/>
          <w:sz w:val="14"/>
          <w:szCs w:val="14"/>
          <w:color w:val="C3002F"/>
        </w:rPr>
      </w:pPr>
      <w:r>
        <w:rPr>
          <w:rFonts w:ascii="Arial" w:cs="Arial" w:eastAsia="Arial" w:hAnsi="Arial"/>
          <w:sz w:val="14"/>
          <w:szCs w:val="14"/>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383540</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2100" w:space="580"/>
            <w:col w:w="8540"/>
          </w:cols>
          <w:pgMar w:left="240" w:top="459" w:right="439" w:bottom="1440" w:gutter="0" w:footer="0" w:header="0"/>
          <w:type w:val="continuous"/>
        </w:sectPr>
      </w:pPr>
    </w:p>
    <w:p>
      <w:pPr>
        <w:spacing w:after="0" w:line="184"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1449070" cy="2967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490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 (Chair)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280" w:right="380"/>
        <w:spacing w:after="0" w:line="250"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1449070" cy="1449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5419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70"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64"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In addition to his existing directorships, during the past five years, Mr. Kalman has also served on the board of Pride International, Inc., which merged into Ensco plc, Ensco plc, which merged with Rowan Companies plc, and CHC Group Ltd. and Kraton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Long Island University, B.S.,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Extensive knowledge in accounting and financial reporting</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Chief financial officer experience and serving as chairman of the audit committee of other public companies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Executive leadership and strategic planning experience in the international energy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2"/>
        </w:numPr>
        <w:rPr>
          <w:rFonts w:ascii="Arial" w:cs="Arial" w:eastAsia="Arial" w:hAnsi="Arial"/>
          <w:sz w:val="14"/>
          <w:szCs w:val="14"/>
          <w:color w:val="C3002F"/>
        </w:rPr>
      </w:pPr>
      <w:r>
        <w:rPr>
          <w:rFonts w:ascii="Arial" w:cs="Arial" w:eastAsia="Arial" w:hAnsi="Arial"/>
          <w:sz w:val="14"/>
          <w:szCs w:val="14"/>
          <w:color w:val="auto"/>
        </w:rPr>
        <w:t>Experience in multiple components of the energy industry, including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271780</wp:posOffset>
            </wp:positionV>
            <wp:extent cx="5419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580"/>
            <w:col w:w="852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AGE</w:t>
      </w:r>
      <w:r>
        <w:rPr>
          <w:rFonts w:ascii="Arial" w:cs="Arial" w:eastAsia="Arial" w:hAnsi="Arial"/>
          <w:sz w:val="14"/>
          <w:szCs w:val="14"/>
          <w:color w:val="FFFFFF"/>
        </w:rPr>
        <w:t>:</w:t>
      </w:r>
      <w:r>
        <w:rPr>
          <w:rFonts w:ascii="Arial" w:cs="Arial" w:eastAsia="Arial" w:hAnsi="Arial"/>
          <w:sz w:val="14"/>
          <w:szCs w:val="14"/>
          <w:b w:val="1"/>
          <w:bCs w:val="1"/>
          <w:color w:val="FFFFFF"/>
        </w:rPr>
        <w:t xml:space="preserve"> </w:t>
      </w:r>
      <w:r>
        <w:rPr>
          <w:rFonts w:ascii="Arial" w:cs="Arial" w:eastAsia="Arial" w:hAnsi="Arial"/>
          <w:sz w:val="12"/>
          <w:szCs w:val="12"/>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063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10636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280" w:righ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DAVID S. KING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King has more than 35 years’ experience in the international oilfield service industry including serving in executive operational leadership positions at Halliburton Company. He retired from Halliburton in 2010 where he served as the President of the Completions and Production Division, a $7 billion business. In 2013, he came out of retirement when he was recruited to serve as CEO of Archer Company Ltd. In this capacity, Mr. King was instrumental in driving a turnaround, which created strong financial and operational performance over six consecutive quarters and lead to the successful divestiture of their North American assets in 2015. Mr. King recently retired from Archer in 2016. During the past five years, Mr. King has served as a member of the investment committee of Sheridan Production Company and as a director on the boards of Seventy Seven Energy Inc. and Preferred Sands, Inc.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Alabama, B.S.,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Harvard Business School, Advanced Management Program</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More than 35 years of broad experience in the oilfield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Significant Chief Executive Officer and Board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Highly qualified operational leader with keen understanding of customer needs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Extensive knowledge of oilfield services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254635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280"/>
            <w:col w:w="8520"/>
          </w:cols>
          <w:pgMar w:left="240" w:top="459" w:right="45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480" w:hanging="276"/>
        <w:spacing w:after="0"/>
        <w:tabs>
          <w:tab w:leader="none" w:pos="480" w:val="left"/>
        </w:tabs>
        <w:numPr>
          <w:ilvl w:val="0"/>
          <w:numId w:val="2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-1833880</wp:posOffset>
            </wp:positionV>
            <wp:extent cx="1449070" cy="2915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49070" cy="29159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right="20"/>
        <w:spacing w:after="0" w:line="241" w:lineRule="auto"/>
        <w:rPr>
          <w:sz w:val="20"/>
          <w:szCs w:val="20"/>
          <w:color w:val="auto"/>
        </w:rPr>
      </w:pPr>
      <w:r>
        <w:rPr>
          <w:rFonts w:ascii="Arial" w:cs="Arial" w:eastAsia="Arial" w:hAnsi="Arial"/>
          <w:sz w:val="14"/>
          <w:szCs w:val="14"/>
          <w:color w:val="FFFFFF"/>
        </w:rPr>
        <w:t>Chairman of the Board Corporate Governance and Nominating (Chair)</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1449070" cy="14490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111760</wp:posOffset>
            </wp:positionV>
            <wp:extent cx="5419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WILLIAM E. MACAULAY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Mr. Macaulay is the Chairman of First Reserve, a global private equity firm focused on the energy industry. He has been with First Reserve since 1983. Mr. Macaulay sits on the firm’s investment committees. Mr. Macaulay served as a director of Weatherford Enterra from October 1995 to May 1998. Mr. Macaulay also served as Director of Corporate Finance for Oppenheimer &amp; Co., Inc., where he worked from 1972 to 1982.</w:t>
      </w:r>
    </w:p>
    <w:p>
      <w:pPr>
        <w:spacing w:after="0" w:line="67"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Previously, Mr. Macaulay served as Chairman of Dresser-Rand Group, Inc., Foundation Coal Holdings Inc., Pride International and CHC Group Ltd., and as a director of Dresser, Inc., National Oilwell Varco and Glencore plc.</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City College of New York, B.B.A.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Pennsylvania, Wharton School of Business,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Serves as Chairman, i.e. the lead director, of the Company’s Board</w:t>
      </w:r>
    </w:p>
    <w:p>
      <w:pPr>
        <w:spacing w:after="0" w:line="82" w:lineRule="exact"/>
        <w:rPr>
          <w:rFonts w:ascii="Arial" w:cs="Arial" w:eastAsia="Arial" w:hAnsi="Arial"/>
          <w:sz w:val="14"/>
          <w:szCs w:val="14"/>
          <w:color w:val="C3002F"/>
        </w:rPr>
      </w:pPr>
    </w:p>
    <w:p>
      <w:pPr>
        <w:ind w:left="300" w:right="60" w:hanging="147"/>
        <w:spacing w:after="0" w:line="258" w:lineRule="auto"/>
        <w:tabs>
          <w:tab w:leader="none" w:pos="307"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Significant investment and financial expertise as chairman of one of the world’s leading energy and natural gas resources private equity firms</w:t>
      </w:r>
    </w:p>
    <w:p>
      <w:pPr>
        <w:spacing w:after="0" w:line="59"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Chief executive officer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Extensive knowledge of the oilfield service industry</w:t>
      </w:r>
    </w:p>
    <w:p>
      <w:pPr>
        <w:spacing w:after="0" w:line="82" w:lineRule="exact"/>
        <w:rPr>
          <w:rFonts w:ascii="Arial" w:cs="Arial" w:eastAsia="Arial" w:hAnsi="Arial"/>
          <w:sz w:val="14"/>
          <w:szCs w:val="14"/>
          <w:color w:val="C3002F"/>
        </w:rPr>
      </w:pPr>
    </w:p>
    <w:p>
      <w:pPr>
        <w:ind w:left="300" w:right="160" w:hanging="147"/>
        <w:spacing w:after="0" w:line="258" w:lineRule="auto"/>
        <w:tabs>
          <w:tab w:leader="none" w:pos="307"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20+ 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257175</wp:posOffset>
            </wp:positionV>
            <wp:extent cx="5419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6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9861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49070" cy="9861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None</w:t>
      </w:r>
    </w:p>
    <w:p>
      <w:pPr>
        <w:spacing w:after="0" w:line="1" w:lineRule="exact"/>
        <w:rPr>
          <w:sz w:val="20"/>
          <w:szCs w:val="20"/>
          <w:color w:val="auto"/>
        </w:rPr>
      </w:pPr>
    </w:p>
    <w:p>
      <w:pPr>
        <w:ind w:left="2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Westlake Chemical Corporation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MARK A. MCCOLLUM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Mr. McCollum has over 38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 He is also a registered CPA in the State of Texas. Mr. McCollum is a member of the Board of Directors of Westlake Chemical Corporation and serves on the Audit, Compensation, Nominating and Governance, and Corporate Risk Committees. He is a member of the Board of Regents at Baylor University, the Board of Trustees for the Baylor College of Medicine and the advisory board of Every Village. Mr. McCollum was a member of the Board of Directors of Archrock, Inc. and served on the Audit and Compensation Committees.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Baylor University, Bachelor Degree in Business Administration, Major in Accounting and Business Law</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Significant leadership experience, with a strong background in accounting and finance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Deep understanding of the challenges facing the industry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Strong knowledge of customer demands and desires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Commitment to organizational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109220</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300"/>
            <w:col w:w="8540"/>
          </w:cols>
          <w:pgMar w:left="240" w:top="459" w:right="439" w:bottom="1440" w:gutter="0" w:footer="0" w:header="0"/>
          <w:type w:val="continuous"/>
        </w:sectPr>
      </w:pPr>
    </w:p>
    <w:p>
      <w:pPr>
        <w:spacing w:after="0" w:line="80" w:lineRule="exact"/>
        <w:rPr>
          <w:sz w:val="20"/>
          <w:szCs w:val="20"/>
          <w:color w:val="auto"/>
        </w:rPr>
      </w:pPr>
    </w:p>
    <w:p>
      <w:pPr>
        <w:ind w:left="7460"/>
        <w:spacing w:after="0"/>
        <w:tabs>
          <w:tab w:leader="none" w:pos="1112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1449070" cy="2761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4907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55</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2018</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2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360"/>
        <w:spacing w:after="0" w:line="258" w:lineRule="auto"/>
        <w:rPr>
          <w:sz w:val="20"/>
          <w:szCs w:val="20"/>
          <w:color w:val="auto"/>
        </w:rPr>
      </w:pPr>
      <w:r>
        <w:rPr>
          <w:rFonts w:ascii="Arial" w:cs="Arial" w:eastAsia="Arial" w:hAnsi="Arial"/>
          <w:sz w:val="14"/>
          <w:szCs w:val="14"/>
          <w:color w:val="FFFFFF"/>
        </w:rPr>
        <w:t>Westlake Chemical Partners LP CNX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1449070" cy="14490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ANGELA A. 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5419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Ms. Minas has more than 30 years of experience in the energy sector. Most recently, she served as the Chief Financial Officer of DCP Midstream Partners LP a role she held from 2008 to 2012, and the Chief Financial Officer of Constellation Energy Partners LLC, a role she held from 2006 to 2008. Prior to her executive leadership roles in the energy sector, Ms. Minas served as Senior Vice President, Global Consulting at Science Applications International Corporation and as a partner at Arthur Andersen LLP, leading the firm’s North American oil and gas consulting practice. Ms. Minas also serves as a director of Westlake Chemical Partners LP and the general partner of CNX Midstream Partners LP. She currently serves on the Council of Overseers at Rice University Graduate Business School. Ms. Minas was previously a director at Ciner Resources LP.</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Jesse H. Jones Graduate Business School, M.B.A., Finance and Accounting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B.A., Managerial Studies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Extensive executive leadership and board experience, including audit committee experience</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Deep understanding of oil and gas, and broader energy sectors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Significant financial and accounting expertise with strong knowledge of the capital markets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Proven track record of implementing high-performing corporate growth strategies and business transformation initiatives</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National Association of Corporate Directors (NACD) Leadership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271780</wp:posOffset>
            </wp:positionV>
            <wp:extent cx="5419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2400" w:space="280"/>
            <w:col w:w="85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-170180</wp:posOffset>
            </wp:positionV>
            <wp:extent cx="1449070" cy="1397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9070" cy="139763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Audit (Vice Chair)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280" w:right="8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Grupo Aeroportuario del</w:t>
      </w:r>
    </w:p>
    <w:p>
      <w:pPr>
        <w:spacing w:after="0" w:line="1" w:lineRule="exact"/>
        <w:rPr>
          <w:sz w:val="20"/>
          <w:szCs w:val="20"/>
          <w:color w:val="auto"/>
        </w:rPr>
      </w:pPr>
    </w:p>
    <w:p>
      <w:pPr>
        <w:ind w:left="360"/>
        <w:spacing w:after="0" w:line="247" w:lineRule="auto"/>
        <w:rPr>
          <w:sz w:val="20"/>
          <w:szCs w:val="20"/>
          <w:color w:val="auto"/>
        </w:rPr>
      </w:pPr>
      <w:r>
        <w:rPr>
          <w:rFonts w:ascii="Arial" w:cs="Arial" w:eastAsia="Arial" w:hAnsi="Arial"/>
          <w:sz w:val="14"/>
          <w:szCs w:val="14"/>
          <w:color w:val="FFFFFF"/>
        </w:rPr>
        <w:t>Sureste S.A.B. de C.V. Mexichem S.A.B. de C.V. Vitro S.A.B. de C.V. BTG Pactual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GUILLERMO ORTIZ</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Dr. Ortiz is currently a partner and Chairman for BTG Pactual for Latin America,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National Autonomous University of Mexico, B.A., Economics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Stanford University, M.Sc. and Ph.D.,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300" w:hanging="147"/>
        <w:spacing w:after="0"/>
        <w:tabs>
          <w:tab w:leader="none" w:pos="30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w:t>
      </w:r>
    </w:p>
    <w:p>
      <w:pPr>
        <w:spacing w:after="0" w:line="82" w:lineRule="exact"/>
        <w:rPr>
          <w:rFonts w:ascii="Arial" w:cs="Arial" w:eastAsia="Arial" w:hAnsi="Arial"/>
          <w:sz w:val="14"/>
          <w:szCs w:val="14"/>
          <w:color w:val="C3002F"/>
        </w:rPr>
      </w:pPr>
    </w:p>
    <w:p>
      <w:pPr>
        <w:ind w:left="300" w:hanging="147"/>
        <w:spacing w:after="0"/>
        <w:tabs>
          <w:tab w:leader="none" w:pos="30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1012" w:lineRule="exact"/>
        <w:rPr>
          <w:sz w:val="20"/>
          <w:szCs w:val="20"/>
          <w:color w:val="auto"/>
        </w:rPr>
      </w:pPr>
    </w:p>
    <w:p>
      <w:pPr>
        <w:sectPr>
          <w:pgSz w:w="11900" w:h="16838" w:orient="portrait"/>
          <w:cols w:equalWidth="0" w:num="2">
            <w:col w:w="1980" w:space="700"/>
            <w:col w:w="8540"/>
          </w:cols>
          <w:pgMar w:left="240" w:top="459" w:right="439" w:bottom="1440" w:gutter="0" w:footer="0" w:header="0"/>
          <w:type w:val="continuous"/>
        </w:sectPr>
      </w:pPr>
    </w:p>
    <w:p>
      <w:pPr>
        <w:spacing w:after="0" w:line="96" w:lineRule="exact"/>
        <w:rPr>
          <w:sz w:val="20"/>
          <w:szCs w:val="20"/>
          <w:color w:val="auto"/>
        </w:rPr>
      </w:pPr>
    </w:p>
    <w:p>
      <w:pPr>
        <w:ind w:left="200" w:right="440"/>
        <w:spacing w:after="0" w:line="250" w:lineRule="auto"/>
        <w:rPr>
          <w:sz w:val="20"/>
          <w:szCs w:val="20"/>
          <w:color w:val="auto"/>
        </w:rPr>
      </w:pPr>
      <w:r>
        <w:rPr>
          <w:rFonts w:ascii="Arial" w:cs="Arial" w:eastAsia="Arial" w:hAnsi="Arial"/>
          <w:sz w:val="14"/>
          <w:szCs w:val="14"/>
          <w:color w:val="auto"/>
        </w:rPr>
        <w:t>Dr. Ortiz has served tirelessly as a director of the Company for eight years and the Company strongly supports his re-election. In previous years, ISS Proxy Advisory Services has recommended against the election of Dr. Guillermo Ortiz, based on its characterization of his service as being “overboarded.” Glass Lewis, another proxy advisory firm, has previously recommended a vote in favor of Dr. Ortiz.</w:t>
      </w:r>
    </w:p>
    <w:p>
      <w:pPr>
        <w:spacing w:after="0" w:line="159"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Dr. Ortiz is in his third year of service on the board of Banco BTG Pactual and BTG Pactual Participations. BTG Pactual is structured as two separate sub-groups of commonly owned entities: (i) Banco BTG Pactual and (ii) BTG Pactual Participations, which is the general partner of, and controls, BTGI. However, the two sub-groups are managed in a strategically unified manner for the benefit of the overall enterprise. As such, Weatherford continues to consider this service, and the related time commitment of Dr. Ortiz, to be for the benefit of one company and we do not view him as “overboarded.” At last year’s annual general meeting of shareholders, over 79% of the votes cast were in favor of Dr. Ortiz’s re-election.</w:t>
      </w:r>
    </w:p>
    <w:p>
      <w:pPr>
        <w:spacing w:after="0" w:line="178"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As set forth in our corporate governance principles, when evaluating our directors in consideration of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560" w:hanging="356"/>
        <w:spacing w:after="0"/>
        <w:tabs>
          <w:tab w:leader="none" w:pos="560" w:val="left"/>
        </w:tabs>
        <w:numPr>
          <w:ilvl w:val="0"/>
          <w:numId w:val="2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jc w:val="both"/>
        <w:ind w:left="200" w:right="160"/>
        <w:spacing w:after="0" w:line="250" w:lineRule="auto"/>
        <w:rPr>
          <w:sz w:val="20"/>
          <w:szCs w:val="20"/>
          <w:color w:val="auto"/>
        </w:rPr>
      </w:pPr>
      <w:r>
        <w:rPr>
          <w:rFonts w:ascii="Arial" w:cs="Arial" w:eastAsia="Arial" w:hAnsi="Arial"/>
          <w:sz w:val="14"/>
          <w:szCs w:val="14"/>
          <w:color w:val="auto"/>
        </w:rPr>
        <w:t>We continue to strongly believe Dr. Ortiz has devoted, and will continue to devote, sufficient time to carry out his Weatherford board duties effectively. The boards of Banco BTG Pactual and BTG Pactual Participations meet at the same time and belong to the same group of companies. Dr. Ortiz’s service on these boards does not detract from his service on Weatherford’s board. As described above, Dr. Ortiz has:</w:t>
      </w:r>
    </w:p>
    <w:p>
      <w:pPr>
        <w:spacing w:after="0" w:line="199" w:lineRule="exact"/>
        <w:rPr>
          <w:sz w:val="20"/>
          <w:szCs w:val="20"/>
          <w:color w:val="auto"/>
        </w:rPr>
      </w:pPr>
    </w:p>
    <w:p>
      <w:pPr>
        <w:ind w:left="520" w:hanging="208"/>
        <w:spacing w:after="0"/>
        <w:tabs>
          <w:tab w:leader="none" w:pos="52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 and he is a</w:t>
      </w:r>
    </w:p>
    <w:p>
      <w:pPr>
        <w:spacing w:after="0" w:line="217" w:lineRule="exact"/>
        <w:rPr>
          <w:rFonts w:ascii="Arial" w:cs="Arial" w:eastAsia="Arial" w:hAnsi="Arial"/>
          <w:sz w:val="14"/>
          <w:szCs w:val="14"/>
          <w:color w:val="C3002F"/>
        </w:rPr>
      </w:pPr>
    </w:p>
    <w:p>
      <w:pPr>
        <w:ind w:left="520" w:hanging="208"/>
        <w:spacing w:after="0"/>
        <w:tabs>
          <w:tab w:leader="none" w:pos="52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OUR BOARD AND OUR BOARD COMMITTEES</w:t>
      </w:r>
    </w:p>
    <w:p>
      <w:pPr>
        <w:spacing w:after="0" w:line="280"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Corporate Governance and Nominating; and Health, Safety and Environment, all of which are further described below. Members are as of the date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5746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57467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62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288925</wp:posOffset>
            </wp:positionV>
            <wp:extent cx="1551940" cy="5222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51940"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Mr. King,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Ms. Minas,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Dr. Ortiz (Vice Chair)</w:t>
      </w:r>
    </w:p>
    <w:p>
      <w:pPr>
        <w:spacing w:after="0" w:line="38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620" w:right="196" w:hanging="146"/>
        <w:spacing w:after="0" w:line="245"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620" w:right="456" w:hanging="146"/>
        <w:spacing w:after="0" w:line="258"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59" w:lineRule="exact"/>
        <w:rPr>
          <w:rFonts w:ascii="Arial" w:cs="Arial" w:eastAsia="Arial" w:hAnsi="Arial"/>
          <w:sz w:val="14"/>
          <w:szCs w:val="14"/>
          <w:color w:val="C3002F"/>
        </w:rPr>
      </w:pPr>
    </w:p>
    <w:p>
      <w:pPr>
        <w:ind w:left="620" w:right="156" w:hanging="146"/>
        <w:spacing w:after="0" w:line="250"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4" w:lineRule="exact"/>
        <w:rPr>
          <w:rFonts w:ascii="Arial" w:cs="Arial" w:eastAsia="Arial" w:hAnsi="Arial"/>
          <w:sz w:val="14"/>
          <w:szCs w:val="14"/>
          <w:color w:val="C3002F"/>
        </w:rPr>
      </w:pPr>
    </w:p>
    <w:p>
      <w:pPr>
        <w:ind w:left="620" w:right="296" w:hanging="146"/>
        <w:spacing w:after="0" w:line="244"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71" w:lineRule="exact"/>
        <w:rPr>
          <w:rFonts w:ascii="Arial" w:cs="Arial" w:eastAsia="Arial" w:hAnsi="Arial"/>
          <w:sz w:val="14"/>
          <w:szCs w:val="14"/>
          <w:color w:val="C3002F"/>
        </w:rPr>
      </w:pPr>
    </w:p>
    <w:p>
      <w:pPr>
        <w:ind w:left="620" w:right="496" w:hanging="146"/>
        <w:spacing w:after="0" w:line="247"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6" w:lineRule="exact"/>
        <w:rPr>
          <w:rFonts w:ascii="Arial" w:cs="Arial" w:eastAsia="Arial" w:hAnsi="Arial"/>
          <w:sz w:val="14"/>
          <w:szCs w:val="14"/>
          <w:color w:val="C3002F"/>
        </w:rPr>
      </w:pPr>
    </w:p>
    <w:p>
      <w:pPr>
        <w:ind w:left="620" w:right="96" w:hanging="146"/>
        <w:spacing w:after="0" w:line="244" w:lineRule="auto"/>
        <w:tabs>
          <w:tab w:leader="none" w:pos="62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1208405</wp:posOffset>
            </wp:positionV>
            <wp:extent cx="155194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519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4"/>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288925</wp:posOffset>
            </wp:positionV>
            <wp:extent cx="1629410" cy="522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29410"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4"/>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Ms. Decyk,</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Mr. Gass (Chair),</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4"/>
          <w:szCs w:val="14"/>
          <w:color w:val="auto"/>
        </w:rPr>
        <w:t>Dr. Ortiz</w:t>
      </w:r>
    </w:p>
    <w:p>
      <w:pPr>
        <w:spacing w:after="0" w:line="388"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4" w:right="132" w:hanging="144"/>
        <w:spacing w:after="0" w:line="244"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Monitoring and reviewing the Company’s overall compensation and benefits program design to ensure program discourages excess risk taking;</w:t>
      </w:r>
    </w:p>
    <w:p>
      <w:pPr>
        <w:spacing w:after="0" w:line="71" w:lineRule="exact"/>
        <w:rPr>
          <w:rFonts w:ascii="Arial" w:cs="Arial" w:eastAsia="Arial" w:hAnsi="Arial"/>
          <w:sz w:val="14"/>
          <w:szCs w:val="14"/>
          <w:color w:val="C3002F"/>
        </w:rPr>
      </w:pPr>
    </w:p>
    <w:p>
      <w:pPr>
        <w:ind w:left="144" w:right="312" w:hanging="144"/>
        <w:spacing w:after="0" w:line="244"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assessing compensation program’s continued competitiveness and consistency with compensation philosophy, corporate strategy and objectives;</w:t>
      </w:r>
    </w:p>
    <w:p>
      <w:pPr>
        <w:spacing w:after="0" w:line="69" w:lineRule="exact"/>
        <w:rPr>
          <w:rFonts w:ascii="Arial" w:cs="Arial" w:eastAsia="Arial" w:hAnsi="Arial"/>
          <w:sz w:val="14"/>
          <w:szCs w:val="14"/>
          <w:color w:val="C3002F"/>
        </w:rPr>
      </w:pPr>
    </w:p>
    <w:p>
      <w:pPr>
        <w:ind w:left="144" w:right="412" w:hanging="144"/>
        <w:spacing w:after="0" w:line="250"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reviewing and approving corporate goals and objectives;</w:t>
      </w:r>
    </w:p>
    <w:p>
      <w:pPr>
        <w:spacing w:after="0" w:line="64" w:lineRule="exact"/>
        <w:rPr>
          <w:rFonts w:ascii="Arial" w:cs="Arial" w:eastAsia="Arial" w:hAnsi="Arial"/>
          <w:sz w:val="14"/>
          <w:szCs w:val="14"/>
          <w:color w:val="C3002F"/>
        </w:rPr>
      </w:pPr>
    </w:p>
    <w:p>
      <w:pPr>
        <w:ind w:left="144" w:right="172" w:hanging="144"/>
        <w:spacing w:after="0" w:line="247"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reviewing, with the CEO, and approving each component of compensation of our executive officers;</w:t>
      </w:r>
    </w:p>
    <w:p>
      <w:pPr>
        <w:spacing w:after="0" w:line="66" w:lineRule="exact"/>
        <w:rPr>
          <w:rFonts w:ascii="Arial" w:cs="Arial" w:eastAsia="Arial" w:hAnsi="Arial"/>
          <w:sz w:val="14"/>
          <w:szCs w:val="14"/>
          <w:color w:val="C3002F"/>
        </w:rPr>
      </w:pPr>
    </w:p>
    <w:p>
      <w:pPr>
        <w:ind w:left="144" w:right="232" w:hanging="144"/>
        <w:spacing w:after="0" w:line="250"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selecting appropriate compensation peer groups; and</w:t>
      </w:r>
    </w:p>
    <w:p>
      <w:pPr>
        <w:spacing w:after="0" w:line="64" w:lineRule="exact"/>
        <w:rPr>
          <w:rFonts w:ascii="Arial" w:cs="Arial" w:eastAsia="Arial" w:hAnsi="Arial"/>
          <w:sz w:val="14"/>
          <w:szCs w:val="14"/>
          <w:color w:val="C3002F"/>
        </w:rPr>
      </w:pPr>
    </w:p>
    <w:p>
      <w:pPr>
        <w:ind w:left="144" w:right="212" w:hanging="144"/>
        <w:spacing w:after="0" w:line="244" w:lineRule="auto"/>
        <w:tabs>
          <w:tab w:leader="none" w:pos="152"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making decisions regarding severance, executive compensation plans, incentive compensation plans and equity-based plans and administering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795655</wp:posOffset>
            </wp:positionV>
            <wp:extent cx="162941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2941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7"/>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CORPORATE</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GOVERNANCE</w:t>
      </w:r>
    </w:p>
    <w:p>
      <w:pPr>
        <w:spacing w:after="0" w:line="1" w:lineRule="exact"/>
        <w:rPr>
          <w:sz w:val="20"/>
          <w:szCs w:val="20"/>
          <w:color w:val="auto"/>
        </w:rPr>
      </w:pPr>
    </w:p>
    <w:p>
      <w:pPr>
        <w:ind w:left="148"/>
        <w:spacing w:after="0"/>
        <w:rPr>
          <w:sz w:val="20"/>
          <w:szCs w:val="20"/>
          <w:color w:val="auto"/>
        </w:rPr>
      </w:pPr>
      <w:r>
        <w:rPr>
          <w:rFonts w:ascii="Arial" w:cs="Arial" w:eastAsia="Arial" w:hAnsi="Arial"/>
          <w:sz w:val="14"/>
          <w:szCs w:val="14"/>
          <w:color w:val="FFFFFF"/>
        </w:rPr>
        <w:t>AND NOMINATING</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83185</wp:posOffset>
            </wp:positionV>
            <wp:extent cx="1663700" cy="5222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63700" cy="5222875"/>
                    </a:xfrm>
                    <a:prstGeom prst="rect">
                      <a:avLst/>
                    </a:prstGeom>
                    <a:noFill/>
                  </pic:spPr>
                </pic:pic>
              </a:graphicData>
            </a:graphic>
          </wp:anchor>
        </w:drawing>
      </w:r>
    </w:p>
    <w:p>
      <w:pPr>
        <w:spacing w:after="0" w:line="328" w:lineRule="exact"/>
        <w:rPr>
          <w:sz w:val="20"/>
          <w:szCs w:val="20"/>
          <w:color w:val="auto"/>
        </w:rPr>
      </w:pPr>
    </w:p>
    <w:p>
      <w:pPr>
        <w:ind w:left="168"/>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Ms. Decyk,</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Sir Emyr Jones Parry,</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Kalman</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4"/>
          <w:szCs w:val="14"/>
          <w:color w:val="auto"/>
        </w:rPr>
        <w:t>Mr. Macaulay (Chair)</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8" w:right="308" w:hanging="148"/>
        <w:spacing w:after="0" w:line="250"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64" w:lineRule="exact"/>
        <w:rPr>
          <w:rFonts w:ascii="Arial" w:cs="Arial" w:eastAsia="Arial" w:hAnsi="Arial"/>
          <w:sz w:val="14"/>
          <w:szCs w:val="14"/>
          <w:color w:val="C3002F"/>
        </w:rPr>
      </w:pPr>
    </w:p>
    <w:p>
      <w:pPr>
        <w:ind w:left="148" w:right="268" w:hanging="148"/>
        <w:spacing w:after="0" w:line="244"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recommending director nominees for each annual general meeting of shareholders, to fill any vacancies, and recommending directors for each committee;</w:t>
      </w:r>
    </w:p>
    <w:p>
      <w:pPr>
        <w:spacing w:after="0" w:line="69" w:lineRule="exact"/>
        <w:rPr>
          <w:rFonts w:ascii="Arial" w:cs="Arial" w:eastAsia="Arial" w:hAnsi="Arial"/>
          <w:sz w:val="14"/>
          <w:szCs w:val="14"/>
          <w:color w:val="C3002F"/>
        </w:rPr>
      </w:pPr>
    </w:p>
    <w:p>
      <w:pPr>
        <w:ind w:left="148" w:right="148" w:hanging="148"/>
        <w:spacing w:after="0" w:line="245"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48" w:right="308" w:hanging="148"/>
        <w:spacing w:after="0" w:line="245"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reviewing and recommending changes to the Company’s Corporate Governance Principles for Board approval;</w:t>
      </w:r>
    </w:p>
    <w:p>
      <w:pPr>
        <w:spacing w:after="0" w:line="69" w:lineRule="exact"/>
        <w:rPr>
          <w:rFonts w:ascii="Arial" w:cs="Arial" w:eastAsia="Arial" w:hAnsi="Arial"/>
          <w:sz w:val="14"/>
          <w:szCs w:val="14"/>
          <w:color w:val="C3002F"/>
        </w:rPr>
      </w:pPr>
    </w:p>
    <w:p>
      <w:pPr>
        <w:ind w:left="148" w:right="208" w:hanging="148"/>
        <w:spacing w:after="0" w:line="247"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w:t>
      </w:r>
    </w:p>
    <w:p>
      <w:pPr>
        <w:spacing w:after="0" w:line="66" w:lineRule="exact"/>
        <w:rPr>
          <w:rFonts w:ascii="Arial" w:cs="Arial" w:eastAsia="Arial" w:hAnsi="Arial"/>
          <w:sz w:val="14"/>
          <w:szCs w:val="14"/>
          <w:color w:val="C3002F"/>
        </w:rPr>
      </w:pPr>
    </w:p>
    <w:p>
      <w:pPr>
        <w:ind w:left="148" w:right="788" w:hanging="148"/>
        <w:spacing w:after="0" w:line="258"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overseeing director education;</w:t>
      </w:r>
    </w:p>
    <w:p>
      <w:pPr>
        <w:spacing w:after="0" w:line="59" w:lineRule="exact"/>
        <w:rPr>
          <w:rFonts w:ascii="Arial" w:cs="Arial" w:eastAsia="Arial" w:hAnsi="Arial"/>
          <w:sz w:val="14"/>
          <w:szCs w:val="14"/>
          <w:color w:val="C3002F"/>
        </w:rPr>
      </w:pPr>
    </w:p>
    <w:p>
      <w:pPr>
        <w:ind w:left="148" w:right="188" w:hanging="148"/>
        <w:spacing w:after="0" w:line="245"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oversee the Company’s risk-management process in relation to corporate governance and business standards; and</w:t>
      </w:r>
    </w:p>
    <w:p>
      <w:pPr>
        <w:spacing w:after="0" w:line="69" w:lineRule="exact"/>
        <w:rPr>
          <w:rFonts w:ascii="Arial" w:cs="Arial" w:eastAsia="Arial" w:hAnsi="Arial"/>
          <w:sz w:val="14"/>
          <w:szCs w:val="14"/>
          <w:color w:val="C3002F"/>
        </w:rPr>
      </w:pPr>
    </w:p>
    <w:p>
      <w:pPr>
        <w:ind w:left="148" w:right="208" w:hanging="148"/>
        <w:spacing w:after="0" w:line="245" w:lineRule="auto"/>
        <w:tabs>
          <w:tab w:leader="none" w:pos="155"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75565</wp:posOffset>
            </wp:positionV>
            <wp:extent cx="166370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3700" cy="163195"/>
                    </a:xfrm>
                    <a:prstGeom prst="rect">
                      <a:avLst/>
                    </a:prstGeom>
                    <a:noFill/>
                  </pic:spPr>
                </pic:pic>
              </a:graphicData>
            </a:graphic>
          </wp:anchor>
        </w:drawing>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128905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HEALTH, SAFETY</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AND</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83185</wp:posOffset>
            </wp:positionV>
            <wp:extent cx="1680845" cy="5222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0845" cy="5222875"/>
                    </a:xfrm>
                    <a:prstGeom prst="rect">
                      <a:avLst/>
                    </a:prstGeom>
                    <a:noFill/>
                  </pic:spPr>
                </pic:pic>
              </a:graphicData>
            </a:graphic>
          </wp:anchor>
        </w:drawing>
      </w:r>
    </w:p>
    <w:p>
      <w:pPr>
        <w:spacing w:after="0" w:line="328" w:lineRule="exact"/>
        <w:rPr>
          <w:sz w:val="20"/>
          <w:szCs w:val="20"/>
          <w:color w:val="auto"/>
        </w:rPr>
      </w:pPr>
    </w:p>
    <w:p>
      <w:pPr>
        <w:ind w:left="152"/>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Sir Emyr Jones Parry (Chair),</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Mr. King,</w:t>
      </w:r>
    </w:p>
    <w:p>
      <w:pPr>
        <w:spacing w:after="0" w:line="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Ms. Minas,</w:t>
      </w:r>
    </w:p>
    <w:p>
      <w:pPr>
        <w:spacing w:after="0" w:line="388" w:lineRule="exact"/>
        <w:rPr>
          <w:sz w:val="20"/>
          <w:szCs w:val="20"/>
          <w:color w:val="auto"/>
        </w:rPr>
      </w:pPr>
    </w:p>
    <w:p>
      <w:pPr>
        <w:ind w:left="152"/>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52" w:right="340" w:hanging="152"/>
        <w:spacing w:after="0" w:line="243"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Reviewing the Company’s policies relating to quality, health, safety, security, environmental stewardship, and corporate responsibility and overseeing adherence and enforcement of these policies and related programs;</w:t>
      </w:r>
    </w:p>
    <w:p>
      <w:pPr>
        <w:spacing w:after="0" w:line="72" w:lineRule="exact"/>
        <w:rPr>
          <w:rFonts w:ascii="Arial" w:cs="Arial" w:eastAsia="Arial" w:hAnsi="Arial"/>
          <w:sz w:val="14"/>
          <w:szCs w:val="14"/>
          <w:color w:val="C3002F"/>
        </w:rPr>
      </w:pPr>
    </w:p>
    <w:p>
      <w:pPr>
        <w:ind w:left="152" w:right="360" w:hanging="152"/>
        <w:spacing w:after="0" w:line="247"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overseeing the Company’s initiatives to promote safety awareness among all employees;</w:t>
      </w:r>
    </w:p>
    <w:p>
      <w:pPr>
        <w:spacing w:after="0" w:line="66" w:lineRule="exact"/>
        <w:rPr>
          <w:rFonts w:ascii="Arial" w:cs="Arial" w:eastAsia="Arial" w:hAnsi="Arial"/>
          <w:sz w:val="14"/>
          <w:szCs w:val="14"/>
          <w:color w:val="C3002F"/>
        </w:rPr>
      </w:pPr>
    </w:p>
    <w:p>
      <w:pPr>
        <w:ind w:left="152" w:right="220" w:hanging="152"/>
        <w:spacing w:after="0" w:line="244"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reviewing strategy and resources of the Company’s QHSSE organization and approving the annual QHSSE plan, including related processes;</w:t>
      </w:r>
    </w:p>
    <w:p>
      <w:pPr>
        <w:spacing w:after="0" w:line="71" w:lineRule="exact"/>
        <w:rPr>
          <w:rFonts w:ascii="Arial" w:cs="Arial" w:eastAsia="Arial" w:hAnsi="Arial"/>
          <w:sz w:val="14"/>
          <w:szCs w:val="14"/>
          <w:color w:val="C3002F"/>
        </w:rPr>
      </w:pPr>
    </w:p>
    <w:p>
      <w:pPr>
        <w:ind w:left="152" w:right="220" w:hanging="152"/>
        <w:spacing w:after="0" w:line="244"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reviewing periodic updates on significant technology, health, safety, environmental and sustainable-development and social and public policy issues;</w:t>
      </w:r>
    </w:p>
    <w:p>
      <w:pPr>
        <w:spacing w:after="0" w:line="71" w:lineRule="exact"/>
        <w:rPr>
          <w:rFonts w:ascii="Arial" w:cs="Arial" w:eastAsia="Arial" w:hAnsi="Arial"/>
          <w:sz w:val="14"/>
          <w:szCs w:val="14"/>
          <w:color w:val="C3002F"/>
        </w:rPr>
      </w:pPr>
    </w:p>
    <w:p>
      <w:pPr>
        <w:ind w:left="152" w:right="260" w:hanging="152"/>
        <w:spacing w:after="0" w:line="250"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reviewing findings related to any QHSSE incident and making periodic facility visits;</w:t>
      </w:r>
    </w:p>
    <w:p>
      <w:pPr>
        <w:spacing w:after="0" w:line="64" w:lineRule="exact"/>
        <w:rPr>
          <w:rFonts w:ascii="Arial" w:cs="Arial" w:eastAsia="Arial" w:hAnsi="Arial"/>
          <w:sz w:val="14"/>
          <w:szCs w:val="14"/>
          <w:color w:val="C3002F"/>
        </w:rPr>
      </w:pPr>
    </w:p>
    <w:p>
      <w:pPr>
        <w:jc w:val="both"/>
        <w:ind w:left="152" w:right="260" w:hanging="152"/>
        <w:spacing w:after="0" w:line="250"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ensuring annual preparation and review of a sustainability report; and</w:t>
      </w:r>
    </w:p>
    <w:p>
      <w:pPr>
        <w:spacing w:after="0" w:line="64" w:lineRule="exact"/>
        <w:rPr>
          <w:rFonts w:ascii="Arial" w:cs="Arial" w:eastAsia="Arial" w:hAnsi="Arial"/>
          <w:sz w:val="14"/>
          <w:szCs w:val="14"/>
          <w:color w:val="C3002F"/>
        </w:rPr>
      </w:pPr>
    </w:p>
    <w:p>
      <w:pPr>
        <w:ind w:left="152" w:right="360" w:hanging="152"/>
        <w:spacing w:after="0" w:line="247" w:lineRule="auto"/>
        <w:tabs>
          <w:tab w:leader="none" w:pos="159"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assisting the Board with oversight of the Company’s risk-management and security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227965</wp:posOffset>
            </wp:positionV>
            <wp:extent cx="168084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0845" cy="163195"/>
                    </a:xfrm>
                    <a:prstGeom prst="rect">
                      <a:avLst/>
                    </a:prstGeom>
                    <a:noFill/>
                  </pic:spPr>
                </pic:pic>
              </a:graphicData>
            </a:graphic>
          </wp:anchor>
        </w:drawing>
      </w:r>
    </w:p>
    <w:p>
      <w:pPr>
        <w:spacing w:after="0" w:line="393" w:lineRule="exact"/>
        <w:rPr>
          <w:sz w:val="20"/>
          <w:szCs w:val="20"/>
          <w:color w:val="auto"/>
        </w:rPr>
      </w:pPr>
    </w:p>
    <w:p>
      <w:pPr>
        <w:ind w:left="332"/>
        <w:spacing w:after="0"/>
        <w:rPr>
          <w:sz w:val="20"/>
          <w:szCs w:val="20"/>
          <w:color w:val="auto"/>
        </w:rPr>
      </w:pPr>
      <w:r>
        <w:rPr>
          <w:rFonts w:ascii="Arial" w:cs="Arial" w:eastAsia="Arial" w:hAnsi="Arial"/>
          <w:sz w:val="14"/>
          <w:szCs w:val="14"/>
          <w:b w:val="1"/>
          <w:bCs w:val="1"/>
          <w:color w:val="auto"/>
        </w:rPr>
        <w:t xml:space="preserve">Meetings in 2018: </w:t>
      </w:r>
      <w:r>
        <w:rPr>
          <w:rFonts w:ascii="Arial" w:cs="Arial" w:eastAsia="Arial" w:hAnsi="Arial"/>
          <w:sz w:val="14"/>
          <w:szCs w:val="14"/>
          <w:color w:val="auto"/>
        </w:rPr>
        <w:t>4</w:t>
      </w:r>
    </w:p>
    <w:p>
      <w:pPr>
        <w:spacing w:after="0" w:line="200" w:lineRule="exact"/>
        <w:rPr>
          <w:sz w:val="20"/>
          <w:szCs w:val="20"/>
          <w:color w:val="auto"/>
        </w:rPr>
      </w:pPr>
    </w:p>
    <w:p>
      <w:pPr>
        <w:sectPr>
          <w:pgSz w:w="11900" w:h="16838" w:orient="portrait"/>
          <w:cols w:equalWidth="0" w:num="4">
            <w:col w:w="2496" w:space="720"/>
            <w:col w:w="2116" w:space="720"/>
            <w:col w:w="2157" w:space="720"/>
            <w:col w:w="2252"/>
          </w:cols>
          <w:pgMar w:left="240" w:top="459" w:right="479" w:bottom="1440" w:gutter="0" w:footer="0" w:header="0"/>
          <w:type w:val="continuous"/>
        </w:sectPr>
      </w:pPr>
    </w:p>
    <w:p>
      <w:pPr>
        <w:spacing w:after="0" w:line="130" w:lineRule="exact"/>
        <w:rPr>
          <w:sz w:val="20"/>
          <w:szCs w:val="20"/>
          <w:color w:val="auto"/>
        </w:rPr>
      </w:pPr>
    </w:p>
    <w:p>
      <w:pPr>
        <w:ind w:left="560" w:hanging="356"/>
        <w:spacing w:after="0"/>
        <w:tabs>
          <w:tab w:leader="none" w:pos="560" w:val="left"/>
        </w:tabs>
        <w:numPr>
          <w:ilvl w:val="0"/>
          <w:numId w:val="3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80"/>
          </w:cols>
          <w:pgMar w:left="24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CORPORATE GOVERNANCE MATTERS</w:t>
      </w:r>
    </w:p>
    <w:p>
      <w:pPr>
        <w:spacing w:after="0" w:line="280"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HIGHLIGHTS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3540" w:type="dxa"/>
            <w:vAlign w:val="bottom"/>
            <w:tcBorders>
              <w:top w:val="single" w:sz="8" w:color="auto"/>
              <w:bottom w:val="single" w:sz="8" w:color="666666"/>
            </w:tcBorders>
            <w:gridSpan w:val="2"/>
          </w:tcPr>
          <w:p>
            <w:pPr>
              <w:spacing w:after="0"/>
              <w:rPr>
                <w:sz w:val="20"/>
                <w:szCs w:val="20"/>
                <w:color w:val="auto"/>
              </w:rPr>
            </w:pPr>
            <w:r>
              <w:rPr>
                <w:rFonts w:ascii="Arial" w:cs="Arial" w:eastAsia="Arial" w:hAnsi="Arial"/>
                <w:sz w:val="14"/>
                <w:szCs w:val="14"/>
                <w:color w:val="C3002F"/>
              </w:rPr>
              <w:t>Director Independence</w:t>
            </w:r>
          </w:p>
        </w:tc>
        <w:tc>
          <w:tcPr>
            <w:tcW w:w="7500" w:type="dxa"/>
            <w:vAlign w:val="bottom"/>
            <w:tcBorders>
              <w:top w:val="single" w:sz="8" w:color="auto"/>
              <w:bottom w:val="single" w:sz="8" w:color="666666"/>
            </w:tcBorders>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9 out of 10 of our directors are independent.</w:t>
            </w:r>
          </w:p>
        </w:tc>
      </w:tr>
      <w:tr>
        <w:trPr>
          <w:trHeight w:val="150"/>
        </w:trPr>
        <w:tc>
          <w:tcPr>
            <w:tcW w:w="3540" w:type="dxa"/>
            <w:vAlign w:val="bottom"/>
            <w:gridSpan w:val="2"/>
          </w:tcPr>
          <w:p>
            <w:pPr>
              <w:spacing w:after="0" w:line="151" w:lineRule="exact"/>
              <w:rPr>
                <w:sz w:val="20"/>
                <w:szCs w:val="20"/>
                <w:color w:val="auto"/>
              </w:rPr>
            </w:pPr>
            <w:r>
              <w:rPr>
                <w:rFonts w:ascii="Arial" w:cs="Arial" w:eastAsia="Arial" w:hAnsi="Arial"/>
                <w:sz w:val="14"/>
                <w:szCs w:val="14"/>
                <w:color w:val="C3002F"/>
              </w:rPr>
              <w:t>Chairman of the Board</w:t>
            </w:r>
          </w:p>
        </w:tc>
        <w:tc>
          <w:tcPr>
            <w:tcW w:w="7500" w:type="dxa"/>
            <w:vAlign w:val="bottom"/>
          </w:tcPr>
          <w:p>
            <w:pPr>
              <w:ind w:left="660"/>
              <w:spacing w:after="0" w:line="15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Chairman of the Board who, among other items:</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1200"/>
              <w:spacing w:after="0"/>
              <w:rPr>
                <w:sz w:val="20"/>
                <w:szCs w:val="20"/>
                <w:color w:val="auto"/>
              </w:rPr>
            </w:pPr>
            <w:r>
              <w:rPr>
                <w:rFonts w:ascii="Arial" w:cs="Arial" w:eastAsia="Arial" w:hAnsi="Arial"/>
                <w:sz w:val="14"/>
                <w:szCs w:val="14"/>
                <w:color w:val="auto"/>
              </w:rPr>
              <w:t>scheduled meetings and sufficient time for discussion of all agenda items and all topics deemed</w:t>
            </w: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500" w:type="dxa"/>
            <w:vAlign w:val="bottom"/>
          </w:tcPr>
          <w:p>
            <w:pPr>
              <w:ind w:left="1200"/>
              <w:spacing w:after="0" w:line="139" w:lineRule="exact"/>
              <w:rPr>
                <w:sz w:val="20"/>
                <w:szCs w:val="20"/>
                <w:color w:val="auto"/>
              </w:rPr>
            </w:pPr>
            <w:r>
              <w:rPr>
                <w:rFonts w:ascii="Arial" w:cs="Arial" w:eastAsia="Arial" w:hAnsi="Arial"/>
                <w:sz w:val="14"/>
                <w:szCs w:val="14"/>
                <w:color w:val="auto"/>
              </w:rPr>
              <w:t>important by the independent directors are included;</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500" w:type="dxa"/>
            <w:vAlign w:val="bottom"/>
          </w:tcPr>
          <w:p>
            <w:pPr>
              <w:ind w:left="1200"/>
              <w:spacing w:after="0" w:line="139"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1200"/>
              <w:spacing w:after="0" w:line="157" w:lineRule="exact"/>
              <w:rPr>
                <w:sz w:val="20"/>
                <w:szCs w:val="20"/>
                <w:color w:val="auto"/>
              </w:rPr>
            </w:pPr>
            <w:r>
              <w:rPr>
                <w:rFonts w:ascii="Arial" w:cs="Arial" w:eastAsia="Arial" w:hAnsi="Arial"/>
                <w:sz w:val="14"/>
                <w:szCs w:val="14"/>
                <w:color w:val="auto"/>
              </w:rPr>
              <w:t>appropriate.</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Committee Structure</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are composed entirely of independent directors; on an annual basis, the Corporate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Governance and Nominating Committee evaluates and recommends Committee chairman to the</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Board and assesses the appropriateness of any further chair rotations.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Executive Sessions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meetings; in 2018, executive sessions were held at each of the regularly scheduled Board meetings</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and, if appropriate, certain Committee meetings.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Annual Voting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our Board is elected annually with a majority voting standard for uncontested</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elections.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Shareholder Rights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Shareholders representing 10% or more of outstanding shares can call a special shareholders</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meeting.</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Annual Board and Committee Self Evaluation</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director completed an individual evaluation of each other director.</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Share Ownership Guidelines</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Subject to a five-year transition period, our directors are required to own at least five times their</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annual cash retainer; our CEO is required to own at least six times his annual base salary; and our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other NEOs are required to own three times their annual base salary.</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Risk Oversight</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particular oversight of certain key risks, including those that are identified in the Company’s enterprise</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risk management program.</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Succession Planning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rPr>
                <w:sz w:val="20"/>
                <w:szCs w:val="20"/>
                <w:color w:val="auto"/>
              </w:rPr>
            </w:pPr>
            <w:r>
              <w:rPr>
                <w:rFonts w:ascii="Arial" w:cs="Arial" w:eastAsia="Arial" w:hAnsi="Arial"/>
                <w:sz w:val="14"/>
                <w:szCs w:val="14"/>
                <w:color w:val="auto"/>
              </w:rPr>
              <w:t>Board on at least an annual basis concerning management development and succession planning for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all other key positions.</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Over-boarding</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All of our directors (other than one) serve on three or less public company boards; one director</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666666"/>
            </w:tcBorders>
          </w:tcPr>
          <w:p>
            <w:pPr>
              <w:spacing w:after="0"/>
              <w:rPr>
                <w:sz w:val="13"/>
                <w:szCs w:val="13"/>
                <w:color w:val="auto"/>
              </w:rPr>
            </w:pPr>
          </w:p>
        </w:tc>
        <w:tc>
          <w:tcPr>
            <w:tcW w:w="7500" w:type="dxa"/>
            <w:vAlign w:val="bottom"/>
            <w:tcBorders>
              <w:bottom w:val="single" w:sz="8" w:color="666666"/>
            </w:tcBorders>
          </w:tcPr>
          <w:p>
            <w:pPr>
              <w:ind w:left="980"/>
              <w:spacing w:after="0" w:line="157" w:lineRule="exact"/>
              <w:rPr>
                <w:sz w:val="20"/>
                <w:szCs w:val="20"/>
                <w:color w:val="auto"/>
              </w:rPr>
            </w:pPr>
            <w:r>
              <w:rPr>
                <w:rFonts w:ascii="Arial" w:cs="Arial" w:eastAsia="Arial" w:hAnsi="Arial"/>
                <w:sz w:val="14"/>
                <w:szCs w:val="14"/>
                <w:color w:val="auto"/>
              </w:rPr>
              <w:t>serves on four public company boards in addition to the Company.</w:t>
            </w:r>
          </w:p>
        </w:tc>
      </w:tr>
      <w:tr>
        <w:trPr>
          <w:trHeight w:val="153"/>
        </w:trPr>
        <w:tc>
          <w:tcPr>
            <w:tcW w:w="3540" w:type="dxa"/>
            <w:vAlign w:val="bottom"/>
            <w:gridSpan w:val="2"/>
          </w:tcPr>
          <w:p>
            <w:pPr>
              <w:spacing w:after="0" w:line="153" w:lineRule="exact"/>
              <w:rPr>
                <w:sz w:val="20"/>
                <w:szCs w:val="20"/>
                <w:color w:val="auto"/>
              </w:rPr>
            </w:pPr>
            <w:r>
              <w:rPr>
                <w:rFonts w:ascii="Arial" w:cs="Arial" w:eastAsia="Arial" w:hAnsi="Arial"/>
                <w:sz w:val="14"/>
                <w:szCs w:val="14"/>
                <w:color w:val="C3002F"/>
              </w:rPr>
              <w:t>Mandatory Retirement</w:t>
            </w:r>
          </w:p>
        </w:tc>
        <w:tc>
          <w:tcPr>
            <w:tcW w:w="7500" w:type="dxa"/>
            <w:vAlign w:val="bottom"/>
          </w:tcPr>
          <w:p>
            <w:pPr>
              <w:ind w:left="660"/>
              <w:spacing w:after="0" w:line="153" w:lineRule="exact"/>
              <w:rPr>
                <w:sz w:val="20"/>
                <w:szCs w:val="20"/>
                <w:color w:val="auto"/>
              </w:rPr>
            </w:pPr>
            <w:r>
              <w:rPr>
                <w:rFonts w:ascii="MS PGothic" w:cs="MS PGothic" w:eastAsia="MS PGothic" w:hAnsi="MS PGothic"/>
                <w:sz w:val="11"/>
                <w:szCs w:val="11"/>
                <w:color w:val="C3002F"/>
              </w:rPr>
              <w:t>✓</w:t>
            </w:r>
            <w:r>
              <w:rPr>
                <w:rFonts w:ascii="Arial" w:cs="Arial" w:eastAsia="Arial" w:hAnsi="Arial"/>
                <w:sz w:val="11"/>
                <w:szCs w:val="11"/>
                <w:color w:val="auto"/>
              </w:rPr>
              <w:t xml:space="preserve">  We have a mandatory retirement policy for all directors following the earlier of (i) his or her 72</w:t>
            </w:r>
            <w:r>
              <w:rPr>
                <w:rFonts w:ascii="Arial" w:cs="Arial" w:eastAsia="Arial" w:hAnsi="Arial"/>
                <w:sz w:val="17"/>
                <w:szCs w:val="17"/>
                <w:color w:val="auto"/>
                <w:vertAlign w:val="superscript"/>
              </w:rPr>
              <w:t>nd</w:t>
            </w:r>
          </w:p>
        </w:tc>
      </w:t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500" w:type="dxa"/>
            <w:vAlign w:val="bottom"/>
          </w:tcPr>
          <w:p>
            <w:pPr>
              <w:ind w:left="980"/>
              <w:spacing w:after="0" w:line="170" w:lineRule="exact"/>
              <w:rPr>
                <w:sz w:val="20"/>
                <w:szCs w:val="20"/>
                <w:color w:val="auto"/>
              </w:rPr>
            </w:pPr>
            <w:r>
              <w:rPr>
                <w:rFonts w:ascii="Arial" w:cs="Arial" w:eastAsia="Arial" w:hAnsi="Arial"/>
                <w:sz w:val="12"/>
                <w:szCs w:val="12"/>
                <w:color w:val="auto"/>
              </w:rPr>
              <w:t>birthday and (ii) his or her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year of service as a director; however, to facilitate transition, all</w:t>
            </w: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7500" w:type="dxa"/>
            <w:vAlign w:val="bottom"/>
          </w:tcPr>
          <w:p>
            <w:pPr>
              <w:ind w:left="980"/>
              <w:spacing w:after="0" w:line="155" w:lineRule="exact"/>
              <w:rPr>
                <w:sz w:val="20"/>
                <w:szCs w:val="20"/>
                <w:color w:val="auto"/>
              </w:rPr>
            </w:pPr>
            <w:r>
              <w:rPr>
                <w:rFonts w:ascii="Arial" w:cs="Arial" w:eastAsia="Arial" w:hAnsi="Arial"/>
                <w:sz w:val="14"/>
                <w:szCs w:val="14"/>
                <w:color w:val="auto"/>
              </w:rPr>
              <w:t>directors who were elected at the 2015 annual general meeting were not subject to mandatory</w:t>
            </w:r>
          </w:p>
        </w:tc>
      </w:tr>
      <w:tr>
        <w:trPr>
          <w:trHeight w:val="165"/>
        </w:trPr>
        <w:tc>
          <w:tcPr>
            <w:tcW w:w="20" w:type="dxa"/>
            <w:vAlign w:val="bottom"/>
          </w:tcPr>
          <w:p>
            <w:pPr>
              <w:spacing w:after="0"/>
              <w:rPr>
                <w:sz w:val="14"/>
                <w:szCs w:val="14"/>
                <w:color w:val="auto"/>
              </w:rPr>
            </w:pPr>
          </w:p>
        </w:tc>
        <w:tc>
          <w:tcPr>
            <w:tcW w:w="3520" w:type="dxa"/>
            <w:vAlign w:val="bottom"/>
            <w:tcBorders>
              <w:bottom w:val="single" w:sz="8" w:color="666666"/>
            </w:tcBorders>
          </w:tcPr>
          <w:p>
            <w:pPr>
              <w:spacing w:after="0"/>
              <w:rPr>
                <w:sz w:val="14"/>
                <w:szCs w:val="14"/>
                <w:color w:val="auto"/>
              </w:rPr>
            </w:pPr>
          </w:p>
        </w:tc>
        <w:tc>
          <w:tcPr>
            <w:tcW w:w="7500" w:type="dxa"/>
            <w:vAlign w:val="bottom"/>
            <w:tcBorders>
              <w:bottom w:val="single" w:sz="8" w:color="666666"/>
            </w:tcBorders>
          </w:tcPr>
          <w:p>
            <w:pPr>
              <w:ind w:left="980"/>
              <w:spacing w:after="0" w:line="164" w:lineRule="exact"/>
              <w:rPr>
                <w:sz w:val="20"/>
                <w:szCs w:val="20"/>
                <w:color w:val="auto"/>
              </w:rPr>
            </w:pPr>
            <w:r>
              <w:rPr>
                <w:rFonts w:ascii="Arial" w:cs="Arial" w:eastAsia="Arial" w:hAnsi="Arial"/>
                <w:sz w:val="12"/>
                <w:szCs w:val="12"/>
                <w:color w:val="auto"/>
              </w:rPr>
              <w:t>retirement until such director’s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birthday.</w:t>
            </w:r>
          </w:p>
        </w:tc>
      </w:tr>
      <w:tr>
        <w:trPr>
          <w:trHeight w:val="160"/>
        </w:trPr>
        <w:tc>
          <w:tcPr>
            <w:tcW w:w="3540" w:type="dxa"/>
            <w:vAlign w:val="bottom"/>
            <w:gridSpan w:val="2"/>
          </w:tcPr>
          <w:p>
            <w:pPr>
              <w:spacing w:after="0"/>
              <w:rPr>
                <w:sz w:val="20"/>
                <w:szCs w:val="20"/>
                <w:color w:val="auto"/>
              </w:rPr>
            </w:pPr>
            <w:r>
              <w:rPr>
                <w:rFonts w:ascii="Arial" w:cs="Arial" w:eastAsia="Arial" w:hAnsi="Arial"/>
                <w:sz w:val="14"/>
                <w:szCs w:val="14"/>
                <w:color w:val="C3002F"/>
              </w:rPr>
              <w:t>Code of Business Conduct</w:t>
            </w:r>
          </w:p>
        </w:tc>
        <w:tc>
          <w:tcPr>
            <w:tcW w:w="7500" w:type="dxa"/>
            <w:vAlign w:val="bottom"/>
          </w:tcPr>
          <w:p>
            <w:pPr>
              <w:ind w:left="66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57"/>
        </w:trPr>
        <w:tc>
          <w:tcPr>
            <w:tcW w:w="2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7500" w:type="dxa"/>
            <w:vAlign w:val="bottom"/>
            <w:tcBorders>
              <w:bottom w:val="single" w:sz="8" w:color="auto"/>
            </w:tcBorders>
          </w:tcPr>
          <w:p>
            <w:pPr>
              <w:ind w:left="980"/>
              <w:spacing w:after="0" w:line="157" w:lineRule="exact"/>
              <w:rPr>
                <w:sz w:val="20"/>
                <w:szCs w:val="20"/>
                <w:color w:val="auto"/>
              </w:rPr>
            </w:pPr>
            <w:r>
              <w:rPr>
                <w:rFonts w:ascii="Arial" w:cs="Arial" w:eastAsia="Arial" w:hAnsi="Arial"/>
                <w:sz w:val="14"/>
                <w:szCs w:val="14"/>
                <w:color w:val="auto"/>
              </w:rPr>
              <w:t>each director.</w:t>
            </w:r>
          </w:p>
        </w:tc>
      </w:tr>
    </w:tbl>
    <w:p>
      <w:pPr>
        <w:spacing w:after="0" w:line="284"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ADDITIONAL BOARD INFORMATION</w:t>
      </w:r>
    </w:p>
    <w:p>
      <w:pPr>
        <w:spacing w:after="0" w:line="247" w:lineRule="exact"/>
        <w:rPr>
          <w:sz w:val="20"/>
          <w:szCs w:val="20"/>
          <w:color w:val="auto"/>
        </w:rPr>
      </w:pPr>
    </w:p>
    <w:p>
      <w:pPr>
        <w:jc w:val="both"/>
        <w:ind w:left="200" w:right="60"/>
        <w:spacing w:after="0" w:line="285"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2018, the Board met five times; all of the directors participated in at least 75% of all Board of Directors and respective committee meetings. It is our</w:t>
      </w:r>
      <w:r>
        <w:rPr>
          <w:rFonts w:ascii="Arial" w:cs="Arial" w:eastAsia="Arial" w:hAnsi="Arial"/>
          <w:sz w:val="14"/>
          <w:szCs w:val="14"/>
          <w:b w:val="1"/>
          <w:bCs w:val="1"/>
          <w:color w:val="auto"/>
        </w:rPr>
        <w:t xml:space="preserve"> </w:t>
      </w:r>
      <w:r>
        <w:rPr>
          <w:rFonts w:ascii="Arial" w:cs="Arial" w:eastAsia="Arial" w:hAnsi="Arial"/>
          <w:sz w:val="14"/>
          <w:szCs w:val="14"/>
          <w:color w:val="auto"/>
        </w:rPr>
        <w:t>policy that directors are expected to attend each annual general meeting of shareholders. All of our directors attended last year’s meeting.</w:t>
      </w:r>
    </w:p>
    <w:p>
      <w:pPr>
        <w:spacing w:after="0" w:line="117" w:lineRule="exact"/>
        <w:rPr>
          <w:sz w:val="20"/>
          <w:szCs w:val="20"/>
          <w:color w:val="auto"/>
        </w:rPr>
      </w:pPr>
    </w:p>
    <w:p>
      <w:pPr>
        <w:ind w:left="200" w:right="320"/>
        <w:spacing w:after="0" w:line="285"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then “Corporate Governance,” then “Corporate Documents,” then the name of the applicable committee charter.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is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150" w:lineRule="exact"/>
        <w:rPr>
          <w:sz w:val="20"/>
          <w:szCs w:val="20"/>
          <w:color w:val="auto"/>
        </w:rPr>
      </w:pPr>
    </w:p>
    <w:p>
      <w:pPr>
        <w:ind w:left="200" w:right="140"/>
        <w:spacing w:after="0" w:line="263"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w:t>
      </w:r>
      <w:r>
        <w:rPr>
          <w:rFonts w:ascii="Arial" w:cs="Arial" w:eastAsia="Arial" w:hAnsi="Arial"/>
          <w:sz w:val="14"/>
          <w:szCs w:val="14"/>
          <w:b w:val="1"/>
          <w:bCs w:val="1"/>
          <w:color w:val="auto"/>
        </w:rPr>
        <w:t xml:space="preserve"> </w:t>
      </w:r>
      <w:r>
        <w:rPr>
          <w:rFonts w:ascii="Arial" w:cs="Arial" w:eastAsia="Arial" w:hAnsi="Arial"/>
          <w:sz w:val="14"/>
          <w:szCs w:val="14"/>
          <w:color w:val="auto"/>
        </w:rPr>
        <w:t>Mr. Kalman and Dr. Ortiz are each an “audit committee financial expert,” as defined by applicable U.S. Securities and Exchange Commission (the “SEC”) rules, because of each of their individual extensive financial experience. All members of the Compensation Committee satisfy the qualification standards of Section 16 of the Exchange Act.</w:t>
      </w:r>
    </w:p>
    <w:p>
      <w:pPr>
        <w:spacing w:after="0" w:line="113" w:lineRule="exact"/>
        <w:rPr>
          <w:sz w:val="20"/>
          <w:szCs w:val="20"/>
          <w:color w:val="auto"/>
        </w:rPr>
      </w:pPr>
    </w:p>
    <w:p>
      <w:pPr>
        <w:ind w:left="200" w:right="420"/>
        <w:spacing w:after="0" w:line="261" w:lineRule="auto"/>
        <w:rPr>
          <w:sz w:val="20"/>
          <w:szCs w:val="20"/>
          <w:color w:val="auto"/>
        </w:rPr>
      </w:pPr>
      <w:r>
        <w:rPr>
          <w:rFonts w:ascii="Arial" w:cs="Arial" w:eastAsia="Arial" w:hAnsi="Arial"/>
          <w:sz w:val="22"/>
          <w:szCs w:val="22"/>
          <w:b w:val="1"/>
          <w:bCs w:val="1"/>
          <w:color w:val="C3002F"/>
        </w:rPr>
        <w:t xml:space="preserve">Additional information regarding Corporate Governance at Weatherford can be found on our website at </w:t>
      </w:r>
      <w:r>
        <w:rPr>
          <w:rFonts w:ascii="Arial" w:cs="Arial" w:eastAsia="Arial" w:hAnsi="Arial"/>
          <w:sz w:val="22"/>
          <w:szCs w:val="22"/>
          <w:b w:val="1"/>
          <w:bCs w:val="1"/>
          <w:i w:val="1"/>
          <w:iCs w:val="1"/>
          <w:color w:val="C3002F"/>
        </w:rPr>
        <w:t xml:space="preserve">www.weatherford.com </w:t>
      </w:r>
      <w:r>
        <w:rPr>
          <w:rFonts w:ascii="Arial" w:cs="Arial" w:eastAsia="Arial" w:hAnsi="Arial"/>
          <w:sz w:val="22"/>
          <w:szCs w:val="22"/>
          <w:b w:val="1"/>
          <w:bCs w:val="1"/>
          <w:color w:val="C3002F"/>
        </w:rPr>
        <w:t>in the “Investor Relations”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8318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RISK MANAGEMENT OVERSIGHT</w:t>
      </w:r>
    </w:p>
    <w:p>
      <w:pPr>
        <w:spacing w:after="0" w:line="280"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61" w:lineRule="exact"/>
        <w:rPr>
          <w:sz w:val="20"/>
          <w:szCs w:val="20"/>
          <w:color w:val="auto"/>
        </w:rPr>
      </w:pPr>
    </w:p>
    <w:p>
      <w:pPr>
        <w:ind w:left="200"/>
        <w:spacing w:after="0" w:line="243" w:lineRule="auto"/>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and other matters.</w:t>
      </w:r>
    </w:p>
    <w:p>
      <w:pPr>
        <w:spacing w:after="0" w:line="182"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 director peer evaluation, and compliance with the Minimum Share Ownership Guidelines. The results of those evaluations are also considered as part of the Corporate Governance and Nominating Committee’s recommendations for Committee service and rotation, as appropriate.</w:t>
      </w:r>
    </w:p>
    <w:p>
      <w:pPr>
        <w:spacing w:after="0" w:line="161"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154"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234950</wp:posOffset>
            </wp:positionV>
            <wp:extent cx="8318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SUCCESSION PLANNING AND LEADERSHIP DEVELOPMENT</w:t>
      </w:r>
    </w:p>
    <w:p>
      <w:pPr>
        <w:spacing w:after="0" w:line="265"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Corporate Governance and Nominating Committee conducts annual CEO succession planning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238125</wp:posOffset>
            </wp:positionV>
            <wp:extent cx="8318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COMMITTEE ROTATION</w:t>
      </w:r>
    </w:p>
    <w:p>
      <w:pPr>
        <w:spacing w:after="0" w:line="265"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We are committed to reviewing our Board composition, and to pursuing opportunities for refreshment. Consistent with this goal, we’ve added three new directors since July 2017. Following the addition of Ms. Decyk, Mr. King and Ms. Minas and the rotations made in 2017 and 2018, we believe our committees have an excellent mix of new perspectives balanced with experience, continuity and historical understanding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234950</wp:posOffset>
            </wp:positionV>
            <wp:extent cx="8318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MANDATORY RETIREMENT</w:t>
      </w:r>
    </w:p>
    <w:p>
      <w:pPr>
        <w:spacing w:after="0" w:line="265"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mandatory retirement policy in our Corporate Governance Principles requires that each non-employee director retire from the Board immediately prior to the annual general meeting of shareholders following the earlier of (i) his or her 72nd birthday and (ii) his or her 15th year of service as a director. In order to allow a smooth transition of our existing directors, the requirement was previously automatically waived for each director elected at the 2015 Annual General Meeting (i.e., such directors were grandfathered in). However, we have now enhanced our policy so the grandfather/waiver provision expires after such director’s 75th birthday. We believe this policy will help increase diversity and allow for more frequent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6" w:lineRule="exact"/>
        <w:rPr>
          <w:sz w:val="20"/>
          <w:szCs w:val="20"/>
          <w:color w:val="auto"/>
        </w:rPr>
      </w:pPr>
    </w:p>
    <w:p>
      <w:pPr>
        <w:ind w:left="560" w:hanging="356"/>
        <w:spacing w:after="0"/>
        <w:tabs>
          <w:tab w:leader="none" w:pos="560" w:val="left"/>
        </w:tabs>
        <w:numPr>
          <w:ilvl w:val="0"/>
          <w:numId w:val="3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DIRECTOR INDEPENDENCE</w:t>
      </w:r>
    </w:p>
    <w:p>
      <w:pPr>
        <w:spacing w:after="0" w:line="280" w:lineRule="exact"/>
        <w:rPr>
          <w:sz w:val="20"/>
          <w:szCs w:val="20"/>
          <w:color w:val="auto"/>
        </w:rPr>
      </w:pPr>
    </w:p>
    <w:p>
      <w:pPr>
        <w:ind w:left="200" w:right="280"/>
        <w:spacing w:after="0" w:line="245" w:lineRule="auto"/>
        <w:rPr>
          <w:sz w:val="20"/>
          <w:szCs w:val="20"/>
          <w:color w:val="auto"/>
        </w:rPr>
      </w:pPr>
      <w:r>
        <w:rPr>
          <w:rFonts w:ascii="Arial" w:cs="Arial" w:eastAsia="Arial" w:hAnsi="Arial"/>
          <w:sz w:val="14"/>
          <w:szCs w:val="14"/>
          <w:color w:val="auto"/>
        </w:rPr>
        <w:t>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RELATED PERSON TRANSACTIONS</w:t>
      </w:r>
    </w:p>
    <w:p>
      <w:pPr>
        <w:spacing w:after="0" w:line="280" w:lineRule="exact"/>
        <w:rPr>
          <w:sz w:val="20"/>
          <w:szCs w:val="20"/>
          <w:color w:val="auto"/>
        </w:rPr>
      </w:pPr>
    </w:p>
    <w:p>
      <w:pPr>
        <w:ind w:left="200" w:right="60"/>
        <w:spacing w:after="0" w:line="244" w:lineRule="auto"/>
        <w:rPr>
          <w:sz w:val="20"/>
          <w:szCs w:val="20"/>
          <w:color w:val="auto"/>
        </w:rPr>
      </w:pPr>
      <w:r>
        <w:rPr>
          <w:rFonts w:ascii="Arial" w:cs="Arial" w:eastAsia="Arial" w:hAnsi="Arial"/>
          <w:sz w:val="14"/>
          <w:szCs w:val="14"/>
          <w:color w:val="auto"/>
        </w:rPr>
        <w:t>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www.weatherford.com, by clicking on “Investor Relations,”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on our website at www.weatherford.com, by clicking on “Investor Relations,” then “Corporate Governance,” then “Corporate Documents,” then “Supplemental Code of Conduct.” The Board believes these documents promote the effective functioning of the Board, its Committees and management. Accordingly, they are periodically reviewed and revised, as appropriate.</w:t>
      </w:r>
    </w:p>
    <w:p>
      <w:pPr>
        <w:spacing w:after="0" w:line="164"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right="1820"/>
        <w:spacing w:after="0" w:line="281" w:lineRule="auto"/>
        <w:rPr>
          <w:sz w:val="20"/>
          <w:szCs w:val="20"/>
          <w:color w:val="auto"/>
        </w:rPr>
      </w:pPr>
      <w:r>
        <w:rPr>
          <w:rFonts w:ascii="Arial" w:cs="Arial" w:eastAsia="Arial" w:hAnsi="Arial"/>
          <w:sz w:val="43"/>
          <w:szCs w:val="43"/>
          <w:b w:val="1"/>
          <w:bCs w:val="1"/>
          <w:color w:val="C3002F"/>
        </w:rPr>
        <w:t>INDEPENDENT CHAIRMAN AND EXECUTIVE SESSIONS</w:t>
      </w:r>
    </w:p>
    <w:p>
      <w:pPr>
        <w:spacing w:after="0" w:line="11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While the Board had previously determined the most effective leadership structure for the Company was to combine the role of Chief Executive Officer and Chairman, in 2017, the Board determined it was the appropriate time to separate the roles. Mr. Macaulay, an independent director, continues to serve as Chairman of the Board and our President and CEO, Mr. McCollum, serves as a director.</w:t>
      </w:r>
    </w:p>
    <w:p>
      <w:pPr>
        <w:spacing w:after="0" w:line="161"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Mr. Macaulay, as Chairman,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2018, executive sessions of the independent directors were held at each of the four regularly scheduled Board meetings.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For information on how to communicate with our Chairman and other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DIRECTOR NOMINATIONS</w:t>
      </w:r>
    </w:p>
    <w:p>
      <w:pPr>
        <w:spacing w:after="0" w:line="280" w:lineRule="exact"/>
        <w:rPr>
          <w:sz w:val="20"/>
          <w:szCs w:val="20"/>
          <w:color w:val="auto"/>
        </w:rPr>
      </w:pPr>
    </w:p>
    <w:p>
      <w:pPr>
        <w:ind w:left="200" w:right="320"/>
        <w:spacing w:after="0" w:line="250" w:lineRule="auto"/>
        <w:rPr>
          <w:sz w:val="20"/>
          <w:szCs w:val="20"/>
          <w:color w:val="auto"/>
        </w:rPr>
      </w:pPr>
      <w:r>
        <w:rPr>
          <w:rFonts w:ascii="Arial" w:cs="Arial" w:eastAsia="Arial" w:hAnsi="Arial"/>
          <w:sz w:val="14"/>
          <w:szCs w:val="14"/>
          <w:color w:val="auto"/>
        </w:rPr>
        <w:t>In obtaining the names of possible director nominees, the Corporate Governance and Nominating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Corporate Governance and Nominating Committee will consider nominees recommended by shareholders who submit their recommendations in writing to Chairman, Corporate Governance and Nominating Committee, care of the Corporate Secretary, Weatherford International plc, Weststrasse 1, 6340 Baar, Switzerland. Recommendations received by the dates set forth in the “Proposals By Shareholders” section on page 62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164" w:lineRule="exact"/>
        <w:rPr>
          <w:sz w:val="20"/>
          <w:szCs w:val="20"/>
          <w:color w:val="auto"/>
        </w:rPr>
      </w:pPr>
    </w:p>
    <w:p>
      <w:pPr>
        <w:ind w:left="200" w:right="40"/>
        <w:spacing w:after="0" w:line="243" w:lineRule="auto"/>
        <w:rPr>
          <w:sz w:val="20"/>
          <w:szCs w:val="20"/>
          <w:color w:val="auto"/>
        </w:rPr>
      </w:pPr>
      <w:r>
        <w:rPr>
          <w:rFonts w:ascii="Arial" w:cs="Arial" w:eastAsia="Arial" w:hAnsi="Arial"/>
          <w:sz w:val="14"/>
          <w:szCs w:val="14"/>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are held in Switzerland),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evaluates their history of attendance at Board and Committee meetings as well as contributions and effectiveness at such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left="200" w:right="200"/>
        <w:spacing w:after="0" w:line="258" w:lineRule="auto"/>
        <w:rPr>
          <w:sz w:val="20"/>
          <w:szCs w:val="20"/>
          <w:color w:val="auto"/>
        </w:rPr>
      </w:pPr>
      <w:r>
        <w:rPr>
          <w:rFonts w:ascii="Arial" w:cs="Arial" w:eastAsia="Arial" w:hAnsi="Arial"/>
          <w:sz w:val="14"/>
          <w:szCs w:val="14"/>
          <w:color w:val="auto"/>
        </w:rPr>
        <w:t>Shareholders who wish to have a nominee considered by our shareholders at the Annual General Meeting, must comply with the deadlines and procedures set forth in our Articles. Please see “Proposals by Shareholders” in this Proxy Statement on page 62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COMMUNICATION WITH DIRECTORS</w:t>
      </w:r>
    </w:p>
    <w:p>
      <w:pPr>
        <w:spacing w:after="0" w:line="28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Corporate Secretary, Weatherford International plc, Weststrasse 1, 6340 Baar, Switzerland. All such communications will be forwarded, as appropriate, to the members of the Board.</w:t>
      </w:r>
    </w:p>
    <w:p>
      <w:pPr>
        <w:spacing w:after="0" w:line="121" w:lineRule="exact"/>
        <w:rPr>
          <w:sz w:val="20"/>
          <w:szCs w:val="20"/>
          <w:color w:val="auto"/>
        </w:rPr>
      </w:pPr>
    </w:p>
    <w:p>
      <w:pPr>
        <w:jc w:val="both"/>
        <w:ind w:left="200" w:right="180"/>
        <w:spacing w:after="0" w:line="246" w:lineRule="auto"/>
        <w:rPr>
          <w:sz w:val="20"/>
          <w:szCs w:val="20"/>
          <w:color w:val="auto"/>
        </w:rPr>
      </w:pPr>
      <w:r>
        <w:rPr>
          <w:rFonts w:ascii="Arial" w:cs="Arial" w:eastAsia="Arial" w:hAnsi="Arial"/>
          <w:sz w:val="22"/>
          <w:szCs w:val="22"/>
          <w:b w:val="1"/>
          <w:bCs w:val="1"/>
          <w:color w:val="C3002F"/>
        </w:rPr>
        <w:t>We welcome input from our institutional and individual shareholders, regardless of the number of shares owned. Shareholders may also direct their comments to our U.S. Investor Relations Department in writing at 2000 St. James Place, Houston, Texas 77056 or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DIRECTOR COMPENSATION</w:t>
      </w:r>
    </w:p>
    <w:p>
      <w:pPr>
        <w:spacing w:after="0" w:line="280" w:lineRule="exact"/>
        <w:rPr>
          <w:sz w:val="20"/>
          <w:szCs w:val="20"/>
          <w:color w:val="auto"/>
        </w:rPr>
      </w:pPr>
    </w:p>
    <w:p>
      <w:pPr>
        <w:jc w:val="both"/>
        <w:ind w:left="200" w:right="60"/>
        <w:spacing w:after="0" w:line="247" w:lineRule="auto"/>
        <w:rPr>
          <w:sz w:val="20"/>
          <w:szCs w:val="20"/>
          <w:color w:val="auto"/>
        </w:rPr>
      </w:pPr>
      <w:r>
        <w:rPr>
          <w:rFonts w:ascii="Arial" w:cs="Arial" w:eastAsia="Arial" w:hAnsi="Arial"/>
          <w:sz w:val="14"/>
          <w:szCs w:val="14"/>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(Switzerland)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161"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In April of 2018, the Corporate Governance and Nominating Committee undertook a comprehensive evaluation of director fees. They considered the most recent peer group information, market practice and information provided by Meridian Compensation Partners (“Meridian”), our compensation consultant, as well as the pros, cons and economics of meeting fees (previously used) versus flat fees. They also considered our transition in 2017 to an independent Chairman of the Board. Ultimately desiring to simplify compensation, the Corporate Governance and Nominating Committee approved a flat fee of $135,000 per year, paid quarterly, with additional retainers as set forth below. The Corporate Governance and Nominating Committee also eliminated additional fees for Audit Committee members.</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 Amount</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$22,500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$17,500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9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0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Additional Annual Retainer – Chairman (split between cash and restricted share units)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w:t>
            </w:r>
          </w:p>
        </w:tc>
      </w:tr>
    </w:tbl>
    <w:p>
      <w:pPr>
        <w:spacing w:after="0" w:line="19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Annual retainers are paid quarterly in advance. We do not compensate Mr. McCollum, our CEO, for his service on the Board.</w:t>
      </w:r>
    </w:p>
    <w:p>
      <w:pPr>
        <w:spacing w:after="0" w:line="177" w:lineRule="exact"/>
        <w:rPr>
          <w:sz w:val="20"/>
          <w:szCs w:val="20"/>
          <w:color w:val="auto"/>
        </w:rPr>
      </w:pPr>
    </w:p>
    <w:p>
      <w:pPr>
        <w:ind w:left="200" w:right="320"/>
        <w:spacing w:after="0" w:line="245" w:lineRule="auto"/>
        <w:rPr>
          <w:sz w:val="20"/>
          <w:szCs w:val="20"/>
          <w:color w:val="auto"/>
        </w:rPr>
      </w:pPr>
      <w:r>
        <w:rPr>
          <w:rFonts w:ascii="Arial" w:cs="Arial" w:eastAsia="Arial" w:hAnsi="Arial"/>
          <w:sz w:val="14"/>
          <w:szCs w:val="14"/>
          <w:color w:val="auto"/>
        </w:rPr>
        <w:t>In addition to the fees described above, on April 27, 2018 we granted to each of the non-employee directors a grant of 62,711 restricted share units pursuant to the 2010 Omnibus Incentive Plan. All of these awards vest on the first anniversary of the grant, subject to earlier vesting in the event of the death or disability of the director or a change of control of the Company. Our Chairman was also awarded an additional 33,899 restricted share units. The Corporate Governance and Nominating Committee believes that providing a significant portion of overall Board compensation in the form of restricted share units aligns the interests of our directors with those of our shareholders.</w:t>
      </w:r>
    </w:p>
    <w:p>
      <w:pPr>
        <w:spacing w:after="0" w:line="164"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Meridian has been retained by the Compensation Committee and the Corporate Governance and Nominating Committee as an independent compensation consultant to advise on compensation matters. Meridian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3" w:lineRule="exact"/>
        <w:rPr>
          <w:sz w:val="20"/>
          <w:szCs w:val="20"/>
          <w:color w:val="auto"/>
        </w:rPr>
      </w:pPr>
    </w:p>
    <w:p>
      <w:pPr>
        <w:ind w:left="560" w:hanging="356"/>
        <w:spacing w:after="0"/>
        <w:tabs>
          <w:tab w:leader="none" w:pos="560" w:val="left"/>
        </w:tabs>
        <w:numPr>
          <w:ilvl w:val="0"/>
          <w:numId w:val="3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2018 DIRECTOR COMPENSATION</w:t>
      </w:r>
    </w:p>
    <w:p>
      <w:pPr>
        <w:spacing w:after="0" w:line="239" w:lineRule="exact"/>
        <w:rPr>
          <w:sz w:val="20"/>
          <w:szCs w:val="20"/>
          <w:color w:val="auto"/>
        </w:rPr>
      </w:pPr>
    </w:p>
    <w:p>
      <w:pPr>
        <w:ind w:left="200" w:right="180"/>
        <w:spacing w:after="0" w:line="258"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2018. Information about Mr. Mark A. McCollum, our President and Chief Executive Officer, is listed in the 2018 Summary Compensation Table in this Proxy Statement.</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3740" w:type="dxa"/>
            <w:vAlign w:val="bottom"/>
          </w:tcPr>
          <w:p>
            <w:pPr>
              <w:jc w:val="right"/>
              <w:ind w:right="188"/>
              <w:spacing w:after="0"/>
              <w:rPr>
                <w:sz w:val="20"/>
                <w:szCs w:val="20"/>
                <w:color w:val="auto"/>
              </w:rPr>
            </w:pPr>
            <w:r>
              <w:rPr>
                <w:rFonts w:ascii="Arial" w:cs="Arial" w:eastAsia="Arial" w:hAnsi="Arial"/>
                <w:sz w:val="14"/>
                <w:szCs w:val="14"/>
                <w:color w:val="auto"/>
              </w:rPr>
              <w:t>Fees Earned or Paid in Cash</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Share Awards</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71"/>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16,305</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336,302</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 (Retired)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48,214</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48,214</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Roxanne J. Decyk</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152,500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337,497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150,000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334,997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157,500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342,497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S. King</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319,997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245,179</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285,000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530,179</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Angela A. Minas</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108,750</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293,747</w:t>
            </w:r>
          </w:p>
        </w:tc>
      </w:tr>
      <w:tr>
        <w:trPr>
          <w:trHeight w:val="156"/>
        </w:trPr>
        <w:tc>
          <w:tcPr>
            <w:tcW w:w="35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 (Retired)</w:t>
            </w:r>
          </w:p>
        </w:tc>
        <w:tc>
          <w:tcPr>
            <w:tcW w:w="37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43,393</w:t>
            </w:r>
          </w:p>
        </w:tc>
        <w:tc>
          <w:tcPr>
            <w:tcW w:w="144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43,393</w:t>
            </w:r>
          </w:p>
        </w:tc>
      </w:tr>
      <w:tr>
        <w:trPr>
          <w:trHeight w:val="156"/>
        </w:trPr>
        <w:tc>
          <w:tcPr>
            <w:tcW w:w="3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Guillermo Ortiz</w:t>
            </w:r>
          </w:p>
        </w:tc>
        <w:tc>
          <w:tcPr>
            <w:tcW w:w="3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135,000</w:t>
            </w:r>
          </w:p>
        </w:tc>
        <w:tc>
          <w:tcPr>
            <w:tcW w:w="14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184,997</w:t>
            </w:r>
          </w:p>
        </w:tc>
        <w:tc>
          <w:tcPr>
            <w:tcW w:w="14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16,167</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336,164</w:t>
            </w:r>
          </w:p>
        </w:tc>
      </w:tr>
    </w:tbl>
    <w:p>
      <w:pPr>
        <w:spacing w:after="0" w:line="45" w:lineRule="exact"/>
        <w:rPr>
          <w:sz w:val="20"/>
          <w:szCs w:val="20"/>
          <w:color w:val="auto"/>
        </w:rPr>
      </w:pPr>
    </w:p>
    <w:p>
      <w:pPr>
        <w:jc w:val="both"/>
        <w:ind w:left="420" w:right="300" w:hanging="216"/>
        <w:spacing w:after="0" w:line="250"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non-employee director other than Mr. Macaulay was awarded 62,711 restricted share units on April 27, 2018 at a grant date fair value of $184,997, computed in accordance with Financial Accounting Standards Board (“FASB”) Accounting Standards Codification (“ASC”) Topic 718. Mr. Macaulay was awarded 96,610 restricted share units on April 27, 2018 at a grant date fair value of $285,000.</w:t>
      </w:r>
    </w:p>
    <w:p>
      <w:pPr>
        <w:spacing w:after="0" w:line="50" w:lineRule="exact"/>
        <w:rPr>
          <w:rFonts w:ascii="Arial" w:cs="Arial" w:eastAsia="Arial" w:hAnsi="Arial"/>
          <w:sz w:val="14"/>
          <w:szCs w:val="14"/>
          <w:color w:val="auto"/>
        </w:rPr>
      </w:pPr>
    </w:p>
    <w:p>
      <w:pPr>
        <w:ind w:left="420" w:hanging="216"/>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2018, aggregate outstanding restricted share unit awards for each non-employee director is set forth below.</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5620" w:type="dxa"/>
            <w:vAlign w:val="bottom"/>
          </w:tcPr>
          <w:p>
            <w:pPr>
              <w:jc w:val="right"/>
              <w:ind w:right="28"/>
              <w:spacing w:after="0"/>
              <w:rPr>
                <w:sz w:val="20"/>
                <w:szCs w:val="20"/>
                <w:color w:val="auto"/>
              </w:rPr>
            </w:pPr>
            <w:r>
              <w:rPr>
                <w:rFonts w:ascii="Arial" w:cs="Arial" w:eastAsia="Arial" w:hAnsi="Arial"/>
                <w:sz w:val="14"/>
                <w:szCs w:val="14"/>
                <w:color w:val="auto"/>
              </w:rPr>
              <w:t>Aggregate Number of</w:t>
            </w:r>
          </w:p>
        </w:tc>
      </w:tr>
      <w:tr>
        <w:trPr>
          <w:trHeight w:val="171"/>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Restricted Share Units</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Roxanne J. Decyk</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S. King</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96,610</w:t>
            </w:r>
          </w:p>
        </w:tc>
      </w:tr>
      <w:tr>
        <w:trPr>
          <w:trHeight w:val="156"/>
        </w:trPr>
        <w:tc>
          <w:tcPr>
            <w:tcW w:w="5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Angela A. Minas</w:t>
            </w:r>
          </w:p>
        </w:tc>
        <w:tc>
          <w:tcPr>
            <w:tcW w:w="56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62,711</w:t>
            </w:r>
          </w:p>
        </w:tc>
      </w:tr>
      <w:tr>
        <w:trPr>
          <w:trHeight w:val="156"/>
        </w:trPr>
        <w:tc>
          <w:tcPr>
            <w:tcW w:w="5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Guillermo Ortiz</w:t>
            </w:r>
          </w:p>
        </w:tc>
        <w:tc>
          <w:tcPr>
            <w:tcW w:w="5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62,711</w:t>
            </w:r>
          </w:p>
        </w:tc>
      </w:tr>
    </w:tbl>
    <w:p>
      <w:pPr>
        <w:spacing w:after="0" w:line="45" w:lineRule="exact"/>
        <w:rPr>
          <w:sz w:val="20"/>
          <w:szCs w:val="20"/>
          <w:color w:val="auto"/>
        </w:rPr>
      </w:pPr>
    </w:p>
    <w:p>
      <w:pPr>
        <w:ind w:left="420" w:right="940" w:hanging="216"/>
        <w:spacing w:after="0" w:line="258"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for 2018 consist of social contribution and withholding taxes paid on behalf of certain directors due to their non-U.S. tax residence. We believe this compensation helps us attract and retain qualified international directors.</w:t>
      </w:r>
    </w:p>
    <w:p>
      <w:pPr>
        <w:spacing w:after="0" w:line="154"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On March 27, 2019, in response to the Company’s extremely depressed share price and the lack of available authorized equity, the Board approved a change to the 2019 non-employee directors’ compensation. In prior years approximately $185,000 of director compensation was paid in the form of restricted share units. Beginning in the second quarter of 2019, an equivalent amount will be paid to the directors in cash in advance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2"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17</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420"/>
        <w:spacing w:after="0" w:line="256"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-1971675</wp:posOffset>
            </wp:positionV>
            <wp:extent cx="8318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respectively, for Weatherford for the year ended December 31, 2018. The Board, upon the recommendation of the Audit Committee, is asking our shareholders to ratify the appointment of KPMG LLP as our independent registered public accounting firm and auditor for the year ending December 31, 2019 and KPMG Chartered Accountants, Dublin as our statutory auditor under Irish law to hold office until the close of the 2020 AGM and to authorize the Board of Directors, acting through the Audit Committee, to determine the auditors’ remuneration. The selection of KPMG LLP as the independent registered public accounting firm for 2019 was approved by the Audit Committee on January 30, 2019.</w:t>
      </w:r>
    </w:p>
    <w:p>
      <w:pPr>
        <w:spacing w:after="0" w:line="164"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154" w:lineRule="exact"/>
        <w:rPr>
          <w:sz w:val="20"/>
          <w:szCs w:val="20"/>
          <w:color w:val="auto"/>
        </w:rPr>
      </w:pPr>
    </w:p>
    <w:p>
      <w:pPr>
        <w:ind w:left="200" w:right="320"/>
        <w:spacing w:after="0" w:line="258"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2018 and December 31, 2017 and fees billed for other services rendered by KPMG during those periods. All fees were approved by the Audit Committee pursuant to its pre-approval policy.</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Audit fees(1)</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$13,787,000</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$16,330,000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Audit-related fees(2)</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18,000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Tax fees(3)</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194,000</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167,000</w:t>
            </w:r>
          </w:p>
        </w:tc>
      </w:tr>
      <w:tr>
        <w:trPr>
          <w:trHeight w:val="156"/>
        </w:trPr>
        <w:tc>
          <w:tcPr>
            <w:tcW w:w="520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All other fees(4)</w:t>
            </w:r>
          </w:p>
        </w:tc>
        <w:tc>
          <w:tcPr>
            <w:tcW w:w="48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139,000</w:t>
            </w:r>
          </w:p>
        </w:tc>
      </w:tr>
      <w:tr>
        <w:trPr>
          <w:trHeight w:val="156"/>
        </w:trPr>
        <w:tc>
          <w:tcPr>
            <w:tcW w:w="52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4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$13,981,000</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$16,654,000</w:t>
            </w:r>
          </w:p>
        </w:tc>
      </w:tr>
    </w:tbl>
    <w:p>
      <w:pPr>
        <w:spacing w:after="0" w:line="45" w:lineRule="exact"/>
        <w:rPr>
          <w:sz w:val="20"/>
          <w:szCs w:val="20"/>
          <w:color w:val="auto"/>
        </w:rPr>
      </w:pPr>
    </w:p>
    <w:p>
      <w:pPr>
        <w:ind w:left="420" w:right="20" w:hanging="216"/>
        <w:spacing w:after="0" w:line="245"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6" w:lineRule="exact"/>
        <w:rPr>
          <w:rFonts w:ascii="Arial" w:cs="Arial" w:eastAsia="Arial" w:hAnsi="Arial"/>
          <w:sz w:val="14"/>
          <w:szCs w:val="14"/>
          <w:color w:val="auto"/>
        </w:rPr>
      </w:pPr>
    </w:p>
    <w:p>
      <w:pPr>
        <w:ind w:left="420" w:hanging="216"/>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8" w:lineRule="exact"/>
        <w:rPr>
          <w:rFonts w:ascii="Arial" w:cs="Arial" w:eastAsia="Arial" w:hAnsi="Arial"/>
          <w:sz w:val="14"/>
          <w:szCs w:val="14"/>
          <w:color w:val="auto"/>
        </w:rPr>
      </w:pPr>
    </w:p>
    <w:p>
      <w:pPr>
        <w:ind w:left="420" w:hanging="216"/>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8" w:lineRule="exact"/>
        <w:rPr>
          <w:rFonts w:ascii="Arial" w:cs="Arial" w:eastAsia="Arial" w:hAnsi="Arial"/>
          <w:sz w:val="14"/>
          <w:szCs w:val="14"/>
          <w:color w:val="auto"/>
        </w:rPr>
      </w:pPr>
    </w:p>
    <w:p>
      <w:pPr>
        <w:ind w:left="420" w:hanging="216"/>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20"/>
        <w:spacing w:after="0" w:line="245"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which was updated on June 19, 2018.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2018, all audit and non-audit services performed by the independent auditor were subject to the pre-approval policy.</w:t>
      </w:r>
    </w:p>
    <w:p>
      <w:pPr>
        <w:spacing w:after="0" w:line="178" w:lineRule="exact"/>
        <w:rPr>
          <w:sz w:val="20"/>
          <w:szCs w:val="20"/>
          <w:color w:val="auto"/>
        </w:rPr>
      </w:pPr>
    </w:p>
    <w:p>
      <w:pPr>
        <w:jc w:val="both"/>
        <w:ind w:left="200" w:right="140"/>
        <w:spacing w:after="0" w:line="250" w:lineRule="auto"/>
        <w:rPr>
          <w:sz w:val="20"/>
          <w:szCs w:val="20"/>
          <w:color w:val="auto"/>
        </w:rPr>
      </w:pPr>
      <w:r>
        <w:rPr>
          <w:rFonts w:ascii="Arial" w:cs="Arial" w:eastAsia="Arial" w:hAnsi="Arial"/>
          <w:sz w:val="14"/>
          <w:szCs w:val="14"/>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560" w:hanging="356"/>
        <w:spacing w:after="0"/>
        <w:tabs>
          <w:tab w:leader="none" w:pos="560" w:val="left"/>
        </w:tabs>
        <w:numPr>
          <w:ilvl w:val="0"/>
          <w:numId w:val="4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AUDIT COMMITTEE REPORT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April 30, 2019</w:t>
      </w:r>
    </w:p>
    <w:p>
      <w:pPr>
        <w:spacing w:after="0" w:line="177" w:lineRule="exact"/>
        <w:rPr>
          <w:sz w:val="20"/>
          <w:szCs w:val="20"/>
          <w:color w:val="auto"/>
        </w:rPr>
      </w:pPr>
    </w:p>
    <w:p>
      <w:pPr>
        <w:ind w:left="200" w:right="260"/>
        <w:spacing w:after="0" w:line="245"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4"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7" w:lineRule="exact"/>
        <w:rPr>
          <w:sz w:val="20"/>
          <w:szCs w:val="20"/>
          <w:color w:val="auto"/>
        </w:rPr>
      </w:pPr>
    </w:p>
    <w:p>
      <w:pPr>
        <w:ind w:left="200" w:right="580"/>
        <w:spacing w:after="0" w:line="258"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7" w:lineRule="exact"/>
        <w:rPr>
          <w:sz w:val="20"/>
          <w:szCs w:val="20"/>
          <w:color w:val="auto"/>
        </w:rPr>
      </w:pPr>
    </w:p>
    <w:p>
      <w:pPr>
        <w:ind w:left="520" w:hanging="208"/>
        <w:spacing w:after="0"/>
        <w:tabs>
          <w:tab w:leader="none" w:pos="52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2018; and</w:t>
      </w:r>
    </w:p>
    <w:p>
      <w:pPr>
        <w:spacing w:after="0" w:line="203" w:lineRule="exact"/>
        <w:rPr>
          <w:rFonts w:ascii="Arial" w:cs="Arial" w:eastAsia="Arial" w:hAnsi="Arial"/>
          <w:sz w:val="14"/>
          <w:szCs w:val="14"/>
          <w:color w:val="C3002F"/>
        </w:rPr>
      </w:pPr>
    </w:p>
    <w:p>
      <w:pPr>
        <w:ind w:left="520" w:right="100" w:hanging="208"/>
        <w:spacing w:after="0" w:line="254" w:lineRule="auto"/>
        <w:tabs>
          <w:tab w:leader="none" w:pos="52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xml:space="preserve">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2019 Annual General Meeting.</w:t>
      </w:r>
    </w:p>
    <w:p>
      <w:pPr>
        <w:spacing w:after="0" w:line="175"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848995" cy="3771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48995" cy="3771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137160</wp:posOffset>
            </wp:positionV>
            <wp:extent cx="814705" cy="557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4705" cy="55753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377190</wp:posOffset>
            </wp:positionV>
            <wp:extent cx="797560" cy="3175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97560" cy="31750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394335</wp:posOffset>
            </wp:positionV>
            <wp:extent cx="702945"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160" w:type="dxa"/>
            <w:vAlign w:val="bottom"/>
            <w:gridSpan w:val="2"/>
          </w:tcPr>
          <w:p>
            <w:pPr>
              <w:spacing w:after="0"/>
              <w:rPr>
                <w:sz w:val="20"/>
                <w:szCs w:val="20"/>
                <w:color w:val="auto"/>
              </w:rPr>
            </w:pPr>
            <w:r>
              <w:rPr>
                <w:rFonts w:ascii="Arial" w:cs="Arial" w:eastAsia="Arial" w:hAnsi="Arial"/>
                <w:sz w:val="14"/>
                <w:szCs w:val="14"/>
                <w:color w:val="auto"/>
              </w:rPr>
              <w:t xml:space="preserve">Francis S. Kalman </w:t>
            </w:r>
            <w:r>
              <w:rPr>
                <w:rFonts w:ascii="Arial" w:cs="Arial" w:eastAsia="Arial" w:hAnsi="Arial"/>
                <w:sz w:val="14"/>
                <w:szCs w:val="14"/>
                <w:i w:val="1"/>
                <w:iCs w:val="1"/>
                <w:color w:val="auto"/>
              </w:rPr>
              <w:t>(Chair)</w:t>
            </w:r>
          </w:p>
        </w:tc>
        <w:tc>
          <w:tcPr>
            <w:tcW w:w="2380" w:type="dxa"/>
            <w:vAlign w:val="bottom"/>
          </w:tcPr>
          <w:p>
            <w:pPr>
              <w:ind w:left="500"/>
              <w:spacing w:after="0"/>
              <w:rPr>
                <w:sz w:val="20"/>
                <w:szCs w:val="20"/>
                <w:color w:val="auto"/>
              </w:rPr>
            </w:pPr>
            <w:r>
              <w:rPr>
                <w:rFonts w:ascii="Arial" w:cs="Arial" w:eastAsia="Arial" w:hAnsi="Arial"/>
                <w:sz w:val="14"/>
                <w:szCs w:val="14"/>
                <w:color w:val="auto"/>
              </w:rPr>
              <w:t>David S. King</w:t>
            </w:r>
          </w:p>
        </w:tc>
        <w:tc>
          <w:tcPr>
            <w:tcW w:w="2340" w:type="dxa"/>
            <w:vAlign w:val="bottom"/>
          </w:tcPr>
          <w:p>
            <w:pPr>
              <w:ind w:left="980"/>
              <w:spacing w:after="0"/>
              <w:rPr>
                <w:sz w:val="20"/>
                <w:szCs w:val="20"/>
                <w:color w:val="auto"/>
              </w:rPr>
            </w:pPr>
            <w:r>
              <w:rPr>
                <w:rFonts w:ascii="Arial" w:cs="Arial" w:eastAsia="Arial" w:hAnsi="Arial"/>
                <w:sz w:val="14"/>
                <w:szCs w:val="14"/>
                <w:color w:val="auto"/>
              </w:rPr>
              <w:t>Angela A. Minas</w:t>
            </w:r>
          </w:p>
        </w:tc>
        <w:tc>
          <w:tcPr>
            <w:tcW w:w="4160" w:type="dxa"/>
            <w:vAlign w:val="bottom"/>
          </w:tcPr>
          <w:p>
            <w:pPr>
              <w:ind w:left="1520"/>
              <w:spacing w:after="0"/>
              <w:rPr>
                <w:sz w:val="20"/>
                <w:szCs w:val="20"/>
                <w:color w:val="auto"/>
              </w:rPr>
            </w:pPr>
            <w:r>
              <w:rPr>
                <w:rFonts w:ascii="Arial" w:cs="Arial" w:eastAsia="Arial" w:hAnsi="Arial"/>
                <w:sz w:val="14"/>
                <w:szCs w:val="14"/>
                <w:color w:val="auto"/>
              </w:rPr>
              <w:t xml:space="preserve">Guillermo Ortiz </w:t>
            </w:r>
            <w:r>
              <w:rPr>
                <w:rFonts w:ascii="Arial" w:cs="Arial" w:eastAsia="Arial" w:hAnsi="Arial"/>
                <w:sz w:val="14"/>
                <w:szCs w:val="14"/>
                <w:i w:val="1"/>
                <w:iCs w:val="1"/>
                <w:color w:val="auto"/>
              </w:rPr>
              <w:t>(Vice Chair)</w:t>
            </w:r>
          </w:p>
        </w:tc>
      </w:tr>
      <w:tr>
        <w:trPr>
          <w:trHeight w:val="147"/>
        </w:trPr>
        <w:tc>
          <w:tcPr>
            <w:tcW w:w="20" w:type="dxa"/>
            <w:vAlign w:val="bottom"/>
          </w:tcPr>
          <w:p>
            <w:pPr>
              <w:spacing w:after="0"/>
              <w:rPr>
                <w:sz w:val="12"/>
                <w:szCs w:val="12"/>
                <w:color w:val="auto"/>
              </w:rPr>
            </w:pPr>
          </w:p>
        </w:tc>
        <w:tc>
          <w:tcPr>
            <w:tcW w:w="2140" w:type="dxa"/>
            <w:vAlign w:val="bottom"/>
            <w:tcBorders>
              <w:bottom w:val="single" w:sz="8" w:color="666666"/>
            </w:tcBorders>
          </w:tcPr>
          <w:p>
            <w:pPr>
              <w:spacing w:after="0"/>
              <w:rPr>
                <w:sz w:val="12"/>
                <w:szCs w:val="12"/>
                <w:color w:val="auto"/>
              </w:rPr>
            </w:pPr>
          </w:p>
        </w:tc>
        <w:tc>
          <w:tcPr>
            <w:tcW w:w="2380" w:type="dxa"/>
            <w:vAlign w:val="bottom"/>
            <w:tcBorders>
              <w:bottom w:val="single" w:sz="8" w:color="666666"/>
            </w:tcBorders>
          </w:tcPr>
          <w:p>
            <w:pPr>
              <w:spacing w:after="0"/>
              <w:rPr>
                <w:sz w:val="12"/>
                <w:szCs w:val="12"/>
                <w:color w:val="auto"/>
              </w:rPr>
            </w:pPr>
          </w:p>
        </w:tc>
        <w:tc>
          <w:tcPr>
            <w:tcW w:w="2340" w:type="dxa"/>
            <w:vAlign w:val="bottom"/>
            <w:tcBorders>
              <w:bottom w:val="single" w:sz="8" w:color="666666"/>
            </w:tcBorders>
          </w:tcPr>
          <w:p>
            <w:pPr>
              <w:spacing w:after="0"/>
              <w:rPr>
                <w:sz w:val="12"/>
                <w:szCs w:val="12"/>
                <w:color w:val="auto"/>
              </w:rPr>
            </w:pPr>
          </w:p>
        </w:tc>
        <w:tc>
          <w:tcPr>
            <w:tcW w:w="4160" w:type="dxa"/>
            <w:vAlign w:val="bottom"/>
            <w:tcBorders>
              <w:bottom w:val="single" w:sz="8" w:color="666666"/>
            </w:tcBorders>
          </w:tcPr>
          <w:p>
            <w:pPr>
              <w:spacing w:after="0"/>
              <w:rPr>
                <w:sz w:val="12"/>
                <w:szCs w:val="12"/>
                <w:color w:val="auto"/>
              </w:rPr>
            </w:pPr>
          </w:p>
        </w:tc>
      </w:tr>
      <w:tr>
        <w:trPr>
          <w:trHeight w:val="44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666666"/>
              </w:rPr>
              <w:t xml:space="preserve">Weatherford International plc — 2019 Proxy Statement   </w:t>
            </w:r>
            <w:r>
              <w:rPr>
                <w:rFonts w:ascii="Arial" w:cs="Arial" w:eastAsia="Arial" w:hAnsi="Arial"/>
                <w:sz w:val="14"/>
                <w:szCs w:val="14"/>
                <w:b w:val="1"/>
                <w:bCs w:val="1"/>
                <w:color w:val="666666"/>
              </w:rPr>
              <w:t>19</w:t>
            </w: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980"/>
        <w:spacing w:after="0" w:line="262" w:lineRule="auto"/>
        <w:rPr>
          <w:sz w:val="20"/>
          <w:szCs w:val="20"/>
          <w:color w:val="auto"/>
        </w:rPr>
      </w:pPr>
      <w:r>
        <w:rPr>
          <w:rFonts w:ascii="Arial" w:cs="Arial" w:eastAsia="Arial" w:hAnsi="Arial"/>
          <w:sz w:val="64"/>
          <w:szCs w:val="64"/>
          <w:b w:val="1"/>
          <w:bCs w:val="1"/>
          <w:color w:val="C3002F"/>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-1508125</wp:posOffset>
            </wp:positionV>
            <wp:extent cx="8318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 We conduct annual advisory votes on NEOs compensation. Following the vote at the Annual Meeting, we expect that the next advisory vote on our compensation of our NEOs will take place at our 2020 Annual Meeting.</w:t>
      </w:r>
    </w:p>
    <w:p>
      <w:pPr>
        <w:spacing w:after="0" w:line="161"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We urge you to carefully review the Compensation Discussion and Analysis, or “CD&amp;A,” section in this Proxy Statement, as well as the 2018 Summary Compensation Table, other compensation tables and related narrative discussion for more information regarding the compensation of our NEOs. As described in those sections, our compensation program is designed and administered to:</w:t>
      </w:r>
    </w:p>
    <w:p>
      <w:pPr>
        <w:spacing w:after="0" w:line="199" w:lineRule="exact"/>
        <w:rPr>
          <w:sz w:val="20"/>
          <w:szCs w:val="20"/>
          <w:color w:val="auto"/>
        </w:rPr>
      </w:pPr>
    </w:p>
    <w:p>
      <w:pPr>
        <w:ind w:left="640" w:hanging="220"/>
        <w:spacing w:after="0"/>
        <w:tabs>
          <w:tab w:leader="none" w:pos="640"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7" w:lineRule="exact"/>
        <w:rPr>
          <w:rFonts w:ascii="Arial" w:cs="Arial" w:eastAsia="Arial" w:hAnsi="Arial"/>
          <w:sz w:val="14"/>
          <w:szCs w:val="14"/>
          <w:color w:val="C3002F"/>
        </w:rPr>
      </w:pPr>
    </w:p>
    <w:p>
      <w:pPr>
        <w:ind w:left="640" w:hanging="220"/>
        <w:spacing w:after="0"/>
        <w:tabs>
          <w:tab w:leader="none" w:pos="640"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We believe the information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67" w:lineRule="exact"/>
        <w:rPr>
          <w:sz w:val="20"/>
          <w:szCs w:val="20"/>
          <w:color w:val="auto"/>
        </w:rPr>
      </w:pPr>
    </w:p>
    <w:p>
      <w:pPr>
        <w:ind w:left="200" w:right="20"/>
        <w:spacing w:after="0" w:line="248" w:lineRule="auto"/>
        <w:rPr>
          <w:sz w:val="20"/>
          <w:szCs w:val="20"/>
          <w:color w:val="auto"/>
        </w:rPr>
      </w:pPr>
      <w:r>
        <w:rPr>
          <w:rFonts w:ascii="Arial" w:cs="Arial" w:eastAsia="Arial" w:hAnsi="Arial"/>
          <w:sz w:val="14"/>
          <w:szCs w:val="14"/>
          <w:color w:val="auto"/>
        </w:rPr>
        <w:t>“RESOLVED, that the shareholders of the Company approve, on an advisory basis, the compensation of the Company’s named executive officers disclosed pursuant to Item 402 of Regulation S-K, including the Executive Compensation section of the Proxy Statement for the Company’s 2019 Annual General Meeting of Shareholders, which includes the Compensation Discussion and Analysis, the 2018 Summary Compensation Table and other executive compensation tables and accompanying narrative discussion.”</w:t>
      </w:r>
    </w:p>
    <w:p>
      <w:pPr>
        <w:spacing w:after="0" w:line="325"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2" w:lineRule="exact"/>
        <w:rPr>
          <w:sz w:val="20"/>
          <w:szCs w:val="20"/>
          <w:color w:val="auto"/>
        </w:rPr>
      </w:pPr>
    </w:p>
    <w:p>
      <w:pPr>
        <w:ind w:left="560" w:hanging="356"/>
        <w:spacing w:after="0"/>
        <w:tabs>
          <w:tab w:leader="none" w:pos="560" w:val="left"/>
        </w:tabs>
        <w:numPr>
          <w:ilvl w:val="0"/>
          <w:numId w:val="4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580"/>
        <w:spacing w:after="0" w:line="275" w:lineRule="auto"/>
        <w:rPr>
          <w:sz w:val="20"/>
          <w:szCs w:val="20"/>
          <w:color w:val="auto"/>
        </w:rPr>
      </w:pPr>
      <w:r>
        <w:rPr>
          <w:rFonts w:ascii="Arial" w:cs="Arial" w:eastAsia="Arial" w:hAnsi="Arial"/>
          <w:sz w:val="65"/>
          <w:szCs w:val="65"/>
          <w:b w:val="1"/>
          <w:bCs w:val="1"/>
          <w:color w:val="C300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48" w:lineRule="exact"/>
        <w:rPr>
          <w:sz w:val="20"/>
          <w:szCs w:val="20"/>
          <w:color w:val="auto"/>
        </w:rPr>
      </w:pPr>
    </w:p>
    <w:p>
      <w:pPr>
        <w:ind w:left="200" w:right="100"/>
        <w:spacing w:after="0" w:line="250" w:lineRule="auto"/>
        <w:rPr>
          <w:sz w:val="20"/>
          <w:szCs w:val="20"/>
          <w:color w:val="auto"/>
        </w:rPr>
      </w:pPr>
      <w:r>
        <w:rPr>
          <w:rFonts w:ascii="Arial" w:cs="Arial" w:eastAsia="Arial" w:hAnsi="Arial"/>
          <w:sz w:val="14"/>
          <w:szCs w:val="14"/>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2018 Summary Compensation Table. Details regarding the compensation we paid to the NEOs for 2018 are found in the tables and narrative that follows them.</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References to “current NEOs” in this section refer to our NEOs as of December 31, 2018. Mr. Mills is excluded as he departed the Company on April 15, 2018.</w:t>
      </w:r>
    </w:p>
    <w:p>
      <w:pPr>
        <w:spacing w:after="0" w:line="177"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share units (PSUs) and restricted share units (RSUs). We also provide our NEOs certain benefit plans, as well as limited perquisites, which are described in detail under “Elements of our Executive Compensation Program” beginning on page 23. The following tables summarize the primary elements of our NEOs’ compensation package.</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25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Design</w:t>
            </w: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Changes for 2018</w:t>
            </w:r>
          </w:p>
        </w:tc>
        <w:tc>
          <w:tcPr>
            <w:tcW w:w="2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Payout for 2018</w:t>
            </w:r>
          </w:p>
        </w:tc>
        <w:tc>
          <w:tcPr>
            <w:tcW w:w="0" w:type="dxa"/>
            <w:vAlign w:val="bottom"/>
          </w:tcPr>
          <w:p>
            <w:pPr>
              <w:spacing w:after="0"/>
              <w:rPr>
                <w:sz w:val="1"/>
                <w:szCs w:val="1"/>
                <w:color w:val="auto"/>
              </w:rPr>
            </w:pPr>
          </w:p>
        </w:tc>
      </w:tr>
      <w:tr>
        <w:trPr>
          <w:trHeight w:val="214"/>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Base Salary</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Reviewed annually and subject to</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Bausch received a modest</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increases for our NEOs,</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adjustment based on individual</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increase based on market</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except for Mr. Bausch</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performance, experience,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factors and a desire for</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3300" w:type="dxa"/>
            <w:vAlign w:val="bottom"/>
            <w:gridSpan w:val="5"/>
          </w:tcPr>
          <w:p>
            <w:pPr>
              <w:ind w:left="900"/>
              <w:spacing w:after="0" w:line="152" w:lineRule="exact"/>
              <w:rPr>
                <w:sz w:val="20"/>
                <w:szCs w:val="20"/>
                <w:color w:val="auto"/>
              </w:rPr>
            </w:pPr>
            <w:r>
              <w:rPr>
                <w:rFonts w:ascii="Arial" w:cs="Arial" w:eastAsia="Arial" w:hAnsi="Arial"/>
                <w:sz w:val="14"/>
                <w:szCs w:val="14"/>
                <w:color w:val="auto"/>
              </w:rPr>
              <w:t>leadership and market factors</w:t>
            </w:r>
          </w:p>
        </w:tc>
        <w:tc>
          <w:tcPr>
            <w:tcW w:w="24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retention</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Fraser’s salary was</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determined when he was</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promoted to our Chief</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Accounting Officer in April 2018</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Borders>
              <w:bottom w:val="single" w:sz="8" w:color="666666"/>
            </w:tcBorders>
          </w:tcPr>
          <w:p>
            <w:pPr>
              <w:spacing w:after="0"/>
              <w:rPr>
                <w:sz w:val="16"/>
                <w:szCs w:val="16"/>
                <w:color w:val="auto"/>
              </w:rPr>
            </w:pPr>
          </w:p>
        </w:tc>
        <w:tc>
          <w:tcPr>
            <w:tcW w:w="1100" w:type="dxa"/>
            <w:vAlign w:val="bottom"/>
            <w:tcBorders>
              <w:bottom w:val="single" w:sz="8" w:color="666666"/>
            </w:tcBorders>
          </w:tcPr>
          <w:p>
            <w:pPr>
              <w:spacing w:after="0"/>
              <w:rPr>
                <w:sz w:val="16"/>
                <w:szCs w:val="16"/>
                <w:color w:val="auto"/>
              </w:rPr>
            </w:pPr>
          </w:p>
        </w:tc>
        <w:tc>
          <w:tcPr>
            <w:tcW w:w="1220" w:type="dxa"/>
            <w:vAlign w:val="bottom"/>
            <w:tcBorders>
              <w:bottom w:val="single" w:sz="8" w:color="666666"/>
            </w:tcBorders>
          </w:tcPr>
          <w:p>
            <w:pPr>
              <w:spacing w:after="0"/>
              <w:rPr>
                <w:sz w:val="16"/>
                <w:szCs w:val="16"/>
                <w:color w:val="auto"/>
              </w:rPr>
            </w:pPr>
          </w:p>
        </w:tc>
        <w:tc>
          <w:tcPr>
            <w:tcW w:w="220" w:type="dxa"/>
            <w:vAlign w:val="bottom"/>
            <w:tcBorders>
              <w:bottom w:val="single" w:sz="8" w:color="666666"/>
            </w:tcBorders>
          </w:tcPr>
          <w:p>
            <w:pPr>
              <w:spacing w:after="0"/>
              <w:rPr>
                <w:sz w:val="16"/>
                <w:szCs w:val="16"/>
                <w:color w:val="auto"/>
              </w:rPr>
            </w:pPr>
          </w:p>
        </w:tc>
        <w:tc>
          <w:tcPr>
            <w:tcW w:w="320" w:type="dxa"/>
            <w:vAlign w:val="bottom"/>
            <w:tcBorders>
              <w:bottom w:val="single" w:sz="8" w:color="666666"/>
            </w:tcBorders>
          </w:tcPr>
          <w:p>
            <w:pPr>
              <w:spacing w:after="0"/>
              <w:rPr>
                <w:sz w:val="16"/>
                <w:szCs w:val="16"/>
                <w:color w:val="auto"/>
              </w:rPr>
            </w:pPr>
          </w:p>
        </w:tc>
        <w:tc>
          <w:tcPr>
            <w:tcW w:w="440" w:type="dxa"/>
            <w:vAlign w:val="bottom"/>
            <w:tcBorders>
              <w:bottom w:val="single" w:sz="8" w:color="666666"/>
            </w:tcBorders>
          </w:tcPr>
          <w:p>
            <w:pPr>
              <w:spacing w:after="0"/>
              <w:rPr>
                <w:sz w:val="16"/>
                <w:szCs w:val="16"/>
                <w:color w:val="auto"/>
              </w:rPr>
            </w:pPr>
          </w:p>
        </w:tc>
        <w:tc>
          <w:tcPr>
            <w:tcW w:w="2360" w:type="dxa"/>
            <w:vAlign w:val="bottom"/>
            <w:tcBorders>
              <w:bottom w:val="single" w:sz="8" w:color="666666"/>
            </w:tcBorders>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increases for other NEOs</w:t>
            </w:r>
          </w:p>
        </w:tc>
        <w:tc>
          <w:tcPr>
            <w:tcW w:w="180" w:type="dxa"/>
            <w:vAlign w:val="bottom"/>
            <w:tcBorders>
              <w:bottom w:val="single" w:sz="8" w:color="666666"/>
            </w:tcBorders>
          </w:tcPr>
          <w:p>
            <w:pPr>
              <w:spacing w:after="0"/>
              <w:rPr>
                <w:sz w:val="16"/>
                <w:szCs w:val="16"/>
                <w:color w:val="auto"/>
              </w:rPr>
            </w:pPr>
          </w:p>
        </w:tc>
        <w:tc>
          <w:tcPr>
            <w:tcW w:w="2120" w:type="dxa"/>
            <w:vAlign w:val="bottom"/>
            <w:tcBorders>
              <w:bottom w:val="single" w:sz="8" w:color="666666"/>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Annual Cash Incentive</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Performance metrics and weighting</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Focus on quality of earnings;</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Adjusted EBITDA -Threshold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at target performance: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deemphasized revenue in favor</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Free Cash Flow - No payout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Adjusted EBITDA</w:t>
            </w:r>
          </w:p>
        </w:tc>
        <w:tc>
          <w:tcPr>
            <w:tcW w:w="320" w:type="dxa"/>
            <w:vAlign w:val="bottom"/>
          </w:tcPr>
          <w:p>
            <w:pPr>
              <w:spacing w:after="0"/>
              <w:rPr>
                <w:sz w:val="20"/>
                <w:szCs w:val="20"/>
                <w:color w:val="auto"/>
              </w:rPr>
            </w:pPr>
            <w:r>
              <w:rPr>
                <w:rFonts w:ascii="Arial" w:cs="Arial" w:eastAsia="Arial" w:hAnsi="Arial"/>
                <w:sz w:val="14"/>
                <w:szCs w:val="14"/>
                <w:color w:val="auto"/>
              </w:rPr>
              <w:t>40%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of Adjusted EBITDA</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60"/>
              <w:spacing w:after="0"/>
              <w:rPr>
                <w:sz w:val="20"/>
                <w:szCs w:val="20"/>
                <w:color w:val="auto"/>
              </w:rPr>
            </w:pPr>
            <w:r>
              <w:rPr>
                <w:rFonts w:ascii="Arial" w:cs="Arial" w:eastAsia="Arial" w:hAnsi="Arial"/>
                <w:sz w:val="14"/>
                <w:szCs w:val="14"/>
                <w:color w:val="auto"/>
              </w:rPr>
              <w:t>Safety - Target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Free Cash Flow</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color w:val="auto"/>
              </w:rPr>
              <w:t>40%</w:t>
            </w:r>
          </w:p>
        </w:tc>
        <w:tc>
          <w:tcPr>
            <w:tcW w:w="240" w:type="dxa"/>
            <w:vAlign w:val="bottom"/>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Focus on Company</w:t>
            </w:r>
          </w:p>
        </w:tc>
        <w:tc>
          <w:tcPr>
            <w:tcW w:w="180" w:type="dxa"/>
            <w:vAlign w:val="bottom"/>
          </w:tcPr>
          <w:p>
            <w:pPr>
              <w:ind w:left="80"/>
              <w:spacing w:after="0"/>
              <w:rPr>
                <w:sz w:val="20"/>
                <w:szCs w:val="20"/>
                <w:color w:val="auto"/>
              </w:rPr>
            </w:pPr>
            <w:r>
              <w:rPr>
                <w:rFonts w:ascii="Arial" w:cs="Arial" w:eastAsia="Arial" w:hAnsi="Arial"/>
                <w:sz w:val="14"/>
                <w:szCs w:val="14"/>
                <w:color w:val="C3002F"/>
              </w:rPr>
              <w:t>•</w:t>
            </w:r>
          </w:p>
        </w:tc>
        <w:tc>
          <w:tcPr>
            <w:tcW w:w="2120" w:type="dxa"/>
            <w:vAlign w:val="bottom"/>
          </w:tcPr>
          <w:p>
            <w:pPr>
              <w:ind w:left="60"/>
              <w:spacing w:after="0"/>
              <w:rPr>
                <w:sz w:val="20"/>
                <w:szCs w:val="20"/>
                <w:color w:val="auto"/>
              </w:rPr>
            </w:pPr>
            <w:r>
              <w:rPr>
                <w:rFonts w:ascii="Arial" w:cs="Arial" w:eastAsia="Arial" w:hAnsi="Arial"/>
                <w:sz w:val="14"/>
                <w:szCs w:val="14"/>
                <w:color w:val="auto"/>
              </w:rPr>
              <w:t>Transformation -Threshold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ind w:left="1020"/>
              <w:spacing w:after="0"/>
              <w:rPr>
                <w:sz w:val="20"/>
                <w:szCs w:val="20"/>
                <w:color w:val="auto"/>
              </w:rPr>
            </w:pPr>
            <w:r>
              <w:rPr>
                <w:rFonts w:ascii="Arial" w:cs="Arial" w:eastAsia="Arial" w:hAnsi="Arial"/>
                <w:sz w:val="14"/>
                <w:szCs w:val="14"/>
                <w:color w:val="C3002F"/>
              </w:rPr>
              <w:t>•</w:t>
            </w: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Safety</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performance by removing</w:t>
            </w: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100" w:type="dxa"/>
            <w:vAlign w:val="bottom"/>
          </w:tcPr>
          <w:p>
            <w:pPr>
              <w:ind w:left="1020"/>
              <w:spacing w:after="0" w:line="154" w:lineRule="exact"/>
              <w:rPr>
                <w:sz w:val="20"/>
                <w:szCs w:val="20"/>
                <w:color w:val="auto"/>
              </w:rPr>
            </w:pPr>
            <w:r>
              <w:rPr>
                <w:rFonts w:ascii="Arial" w:cs="Arial" w:eastAsia="Arial" w:hAnsi="Arial"/>
                <w:sz w:val="14"/>
                <w:szCs w:val="14"/>
                <w:color w:val="C3002F"/>
              </w:rPr>
              <w:t>•</w:t>
            </w:r>
          </w:p>
        </w:tc>
        <w:tc>
          <w:tcPr>
            <w:tcW w:w="1220" w:type="dxa"/>
            <w:vAlign w:val="bottom"/>
          </w:tcPr>
          <w:p>
            <w:pPr>
              <w:ind w:left="60"/>
              <w:spacing w:after="0" w:line="154" w:lineRule="exact"/>
              <w:rPr>
                <w:sz w:val="20"/>
                <w:szCs w:val="20"/>
                <w:color w:val="auto"/>
              </w:rPr>
            </w:pPr>
            <w:r>
              <w:rPr>
                <w:rFonts w:ascii="Arial" w:cs="Arial" w:eastAsia="Arial" w:hAnsi="Arial"/>
                <w:sz w:val="14"/>
                <w:szCs w:val="14"/>
                <w:color w:val="auto"/>
              </w:rPr>
              <w:t>Transformation</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w:t>
            </w:r>
          </w:p>
        </w:tc>
        <w:tc>
          <w:tcPr>
            <w:tcW w:w="440" w:type="dxa"/>
            <w:vAlign w:val="bottom"/>
          </w:tcPr>
          <w:p>
            <w:pPr>
              <w:spacing w:after="0"/>
              <w:rPr>
                <w:sz w:val="13"/>
                <w:szCs w:val="13"/>
                <w:color w:val="auto"/>
              </w:rPr>
            </w:pPr>
          </w:p>
        </w:tc>
        <w:tc>
          <w:tcPr>
            <w:tcW w:w="240" w:type="dxa"/>
            <w:vAlign w:val="bottom"/>
            <w:vMerge w:val="restart"/>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line="154" w:lineRule="exact"/>
              <w:rPr>
                <w:sz w:val="20"/>
                <w:szCs w:val="20"/>
                <w:color w:val="auto"/>
              </w:rPr>
            </w:pPr>
            <w:r>
              <w:rPr>
                <w:rFonts w:ascii="Arial" w:cs="Arial" w:eastAsia="Arial" w:hAnsi="Arial"/>
                <w:sz w:val="14"/>
                <w:szCs w:val="14"/>
                <w:color w:val="auto"/>
              </w:rPr>
              <w:t>relative weighting (CPM)</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100%</w:t>
            </w:r>
          </w:p>
        </w:tc>
        <w:tc>
          <w:tcPr>
            <w:tcW w:w="240" w:type="dxa"/>
            <w:vAlign w:val="bottom"/>
            <w:vMerge w:val="continue"/>
          </w:tcPr>
          <w:p>
            <w:pPr>
              <w:spacing w:after="0"/>
              <w:rPr>
                <w:sz w:val="13"/>
                <w:szCs w:val="13"/>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Introduced a Transformation</w:t>
            </w: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60" w:type="dxa"/>
            <w:vAlign w:val="bottom"/>
            <w:tcBorders>
              <w:bottom w:val="single" w:sz="8" w:color="666666"/>
            </w:tcBorders>
          </w:tcPr>
          <w:p>
            <w:pPr>
              <w:spacing w:after="0"/>
              <w:rPr>
                <w:sz w:val="15"/>
                <w:szCs w:val="15"/>
                <w:color w:val="auto"/>
              </w:rPr>
            </w:pPr>
          </w:p>
        </w:tc>
        <w:tc>
          <w:tcPr>
            <w:tcW w:w="1100" w:type="dxa"/>
            <w:vAlign w:val="bottom"/>
            <w:tcBorders>
              <w:bottom w:val="single" w:sz="8" w:color="666666"/>
            </w:tcBorders>
          </w:tcPr>
          <w:p>
            <w:pPr>
              <w:spacing w:after="0"/>
              <w:rPr>
                <w:sz w:val="15"/>
                <w:szCs w:val="15"/>
                <w:color w:val="auto"/>
              </w:rPr>
            </w:pPr>
          </w:p>
        </w:tc>
        <w:tc>
          <w:tcPr>
            <w:tcW w:w="1220" w:type="dxa"/>
            <w:vAlign w:val="bottom"/>
            <w:tcBorders>
              <w:bottom w:val="single" w:sz="8" w:color="666666"/>
            </w:tcBorders>
          </w:tcPr>
          <w:p>
            <w:pPr>
              <w:spacing w:after="0"/>
              <w:rPr>
                <w:sz w:val="15"/>
                <w:szCs w:val="15"/>
                <w:color w:val="auto"/>
              </w:rPr>
            </w:pPr>
          </w:p>
        </w:tc>
        <w:tc>
          <w:tcPr>
            <w:tcW w:w="220" w:type="dxa"/>
            <w:vAlign w:val="bottom"/>
            <w:tcBorders>
              <w:bottom w:val="single" w:sz="8" w:color="666666"/>
            </w:tcBorders>
          </w:tcPr>
          <w:p>
            <w:pPr>
              <w:spacing w:after="0"/>
              <w:rPr>
                <w:sz w:val="15"/>
                <w:szCs w:val="15"/>
                <w:color w:val="auto"/>
              </w:rPr>
            </w:pPr>
          </w:p>
        </w:tc>
        <w:tc>
          <w:tcPr>
            <w:tcW w:w="320" w:type="dxa"/>
            <w:vAlign w:val="bottom"/>
            <w:tcBorders>
              <w:bottom w:val="single" w:sz="8" w:color="666666"/>
            </w:tcBorders>
          </w:tcPr>
          <w:p>
            <w:pPr>
              <w:spacing w:after="0"/>
              <w:rPr>
                <w:sz w:val="15"/>
                <w:szCs w:val="15"/>
                <w:color w:val="auto"/>
              </w:rPr>
            </w:pPr>
          </w:p>
        </w:tc>
        <w:tc>
          <w:tcPr>
            <w:tcW w:w="440" w:type="dxa"/>
            <w:vAlign w:val="bottom"/>
            <w:tcBorders>
              <w:bottom w:val="single" w:sz="8" w:color="666666"/>
            </w:tcBorders>
          </w:tcPr>
          <w:p>
            <w:pPr>
              <w:spacing w:after="0"/>
              <w:rPr>
                <w:sz w:val="15"/>
                <w:szCs w:val="15"/>
                <w:color w:val="auto"/>
              </w:rPr>
            </w:pPr>
          </w:p>
        </w:tc>
        <w:tc>
          <w:tcPr>
            <w:tcW w:w="240" w:type="dxa"/>
            <w:vAlign w:val="bottom"/>
            <w:tcBorders>
              <w:bottom w:val="single" w:sz="8" w:color="666666"/>
            </w:tcBorders>
          </w:tcPr>
          <w:p>
            <w:pPr>
              <w:spacing w:after="0"/>
              <w:rPr>
                <w:sz w:val="15"/>
                <w:szCs w:val="15"/>
                <w:color w:val="auto"/>
              </w:rPr>
            </w:pPr>
          </w:p>
        </w:tc>
        <w:tc>
          <w:tcPr>
            <w:tcW w:w="2120" w:type="dxa"/>
            <w:vAlign w:val="bottom"/>
            <w:tcBorders>
              <w:bottom w:val="single" w:sz="8" w:color="666666"/>
            </w:tcBorders>
          </w:tcPr>
          <w:p>
            <w:pPr>
              <w:ind w:left="40"/>
              <w:spacing w:after="0"/>
              <w:rPr>
                <w:sz w:val="20"/>
                <w:szCs w:val="20"/>
                <w:color w:val="auto"/>
              </w:rPr>
            </w:pPr>
            <w:r>
              <w:rPr>
                <w:rFonts w:ascii="Arial" w:cs="Arial" w:eastAsia="Arial" w:hAnsi="Arial"/>
                <w:sz w:val="14"/>
                <w:szCs w:val="14"/>
                <w:color w:val="auto"/>
              </w:rPr>
              <w:t>Goal</w:t>
            </w:r>
          </w:p>
        </w:tc>
        <w:tc>
          <w:tcPr>
            <w:tcW w:w="180" w:type="dxa"/>
            <w:vAlign w:val="bottom"/>
            <w:tcBorders>
              <w:bottom w:val="single" w:sz="8" w:color="666666"/>
            </w:tcBorders>
          </w:tcPr>
          <w:p>
            <w:pPr>
              <w:spacing w:after="0"/>
              <w:rPr>
                <w:sz w:val="15"/>
                <w:szCs w:val="15"/>
                <w:color w:val="auto"/>
              </w:rPr>
            </w:pPr>
          </w:p>
        </w:tc>
        <w:tc>
          <w:tcPr>
            <w:tcW w:w="2120" w:type="dxa"/>
            <w:vAlign w:val="bottom"/>
            <w:tcBorders>
              <w:bottom w:val="single" w:sz="8" w:color="666666"/>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Long-Term Equity Awards</w:t>
            </w: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Restricted Share Units (RSUs)</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50% of long term incentive awards;</w:t>
            </w:r>
          </w:p>
        </w:tc>
        <w:tc>
          <w:tcPr>
            <w:tcW w:w="240" w:type="dxa"/>
            <w:vAlign w:val="bottom"/>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No change</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Aggregate total of 1,023,074</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vest 1/3 ratably over three years</w:t>
            </w: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shares vested</w:t>
            </w:r>
          </w:p>
        </w:tc>
        <w:tc>
          <w:tcPr>
            <w:tcW w:w="0" w:type="dxa"/>
            <w:vAlign w:val="bottom"/>
          </w:tcPr>
          <w:p>
            <w:pPr>
              <w:spacing w:after="0"/>
              <w:rPr>
                <w:sz w:val="1"/>
                <w:szCs w:val="1"/>
                <w:color w:val="auto"/>
              </w:rPr>
            </w:pPr>
          </w:p>
        </w:tc>
      </w:tr>
      <w:tr>
        <w:trPr>
          <w:trHeight w:val="219"/>
        </w:trPr>
        <w:tc>
          <w:tcPr>
            <w:tcW w:w="3060" w:type="dxa"/>
            <w:vAlign w:val="bottom"/>
          </w:tcPr>
          <w:p>
            <w:pPr>
              <w:ind w:left="60"/>
              <w:spacing w:after="0"/>
              <w:rPr>
                <w:sz w:val="20"/>
                <w:szCs w:val="20"/>
                <w:color w:val="auto"/>
              </w:rPr>
            </w:pPr>
            <w:r>
              <w:rPr>
                <w:rFonts w:ascii="Arial" w:cs="Arial" w:eastAsia="Arial" w:hAnsi="Arial"/>
                <w:sz w:val="14"/>
                <w:szCs w:val="14"/>
                <w:b w:val="1"/>
                <w:bCs w:val="1"/>
                <w:color w:val="C3002F"/>
              </w:rPr>
              <w:t>Performance Share Units (PSUs)</w:t>
            </w: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25% of long term incentive awards</w:t>
            </w:r>
          </w:p>
        </w:tc>
        <w:tc>
          <w:tcPr>
            <w:tcW w:w="2360" w:type="dxa"/>
            <w:vAlign w:val="bottom"/>
            <w:gridSpan w:val="2"/>
          </w:tcPr>
          <w:p>
            <w:pPr>
              <w:ind w:left="1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Moved to a three-year cliff</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shares were issued in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based upon a three-year trailing</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vesting as opposed to vesting</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settlement of the 1/3 tranche of</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relative TSR; three-year cliff</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C3002F"/>
              </w:rPr>
              <w:t>•</w:t>
            </w:r>
          </w:p>
        </w:tc>
        <w:tc>
          <w:tcPr>
            <w:tcW w:w="2120" w:type="dxa"/>
            <w:vAlign w:val="bottom"/>
          </w:tcPr>
          <w:p>
            <w:pPr>
              <w:ind w:left="40"/>
              <w:spacing w:after="0"/>
              <w:rPr>
                <w:sz w:val="20"/>
                <w:szCs w:val="20"/>
                <w:color w:val="auto"/>
              </w:rPr>
            </w:pPr>
            <w:r>
              <w:rPr>
                <w:rFonts w:ascii="Arial" w:cs="Arial" w:eastAsia="Arial" w:hAnsi="Arial"/>
                <w:sz w:val="14"/>
                <w:szCs w:val="14"/>
                <w:color w:val="auto"/>
              </w:rPr>
              <w:t>1/3 ratably over three years</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PSUs awarded in 2016 and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540" w:type="dxa"/>
            <w:vAlign w:val="bottom"/>
            <w:gridSpan w:val="3"/>
          </w:tcPr>
          <w:p>
            <w:pPr>
              <w:ind w:left="900"/>
              <w:spacing w:after="0" w:line="152" w:lineRule="exact"/>
              <w:rPr>
                <w:sz w:val="20"/>
                <w:szCs w:val="20"/>
                <w:color w:val="auto"/>
              </w:rPr>
            </w:pPr>
            <w:r>
              <w:rPr>
                <w:rFonts w:ascii="Arial" w:cs="Arial" w:eastAsia="Arial" w:hAnsi="Arial"/>
                <w:sz w:val="14"/>
                <w:szCs w:val="14"/>
                <w:color w:val="auto"/>
              </w:rPr>
              <w:t>vesting</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Changed performance metrics</w:t>
            </w:r>
          </w:p>
        </w:tc>
        <w:tc>
          <w:tcPr>
            <w:tcW w:w="180" w:type="dxa"/>
            <w:vAlign w:val="bottom"/>
          </w:tcPr>
          <w:p>
            <w:pPr>
              <w:spacing w:after="0"/>
              <w:rPr>
                <w:sz w:val="13"/>
                <w:szCs w:val="13"/>
                <w:color w:val="auto"/>
              </w:rPr>
            </w:pPr>
          </w:p>
        </w:tc>
        <w:tc>
          <w:tcPr>
            <w:tcW w:w="2120" w:type="dxa"/>
            <w:vAlign w:val="bottom"/>
          </w:tcPr>
          <w:p>
            <w:pPr>
              <w:ind w:left="40"/>
              <w:spacing w:after="0" w:line="152" w:lineRule="exact"/>
              <w:rPr>
                <w:sz w:val="20"/>
                <w:szCs w:val="20"/>
                <w:color w:val="auto"/>
              </w:rPr>
            </w:pPr>
            <w:r>
              <w:rPr>
                <w:rFonts w:ascii="Arial" w:cs="Arial" w:eastAsia="Arial" w:hAnsi="Arial"/>
                <w:sz w:val="14"/>
                <w:szCs w:val="14"/>
                <w:color w:val="auto"/>
              </w:rPr>
              <w:t>2017 that were eligible to vest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7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25% of long term incentive awards</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to relative TSR and absolute</w:t>
            </w: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based on 2018 performance</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based upon an absolute three-year</w:t>
            </w:r>
          </w:p>
        </w:tc>
        <w:tc>
          <w:tcPr>
            <w:tcW w:w="24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three-year average ROCE</w:t>
            </w:r>
          </w:p>
        </w:tc>
        <w:tc>
          <w:tcPr>
            <w:tcW w:w="2300" w:type="dxa"/>
            <w:vAlign w:val="bottom"/>
            <w:gridSpan w:val="2"/>
          </w:tcPr>
          <w:p>
            <w:pPr>
              <w:ind w:left="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PSUs granted in 2018 will not</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color w:val="auto"/>
              </w:rPr>
              <w:t>average ROCE; three-year cliff</w:t>
            </w: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vest (or lapse) until the end of</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40" w:type="dxa"/>
            <w:vAlign w:val="bottom"/>
            <w:gridSpan w:val="3"/>
          </w:tcPr>
          <w:p>
            <w:pPr>
              <w:ind w:left="900"/>
              <w:spacing w:after="0"/>
              <w:rPr>
                <w:sz w:val="20"/>
                <w:szCs w:val="20"/>
                <w:color w:val="auto"/>
              </w:rPr>
            </w:pPr>
            <w:r>
              <w:rPr>
                <w:rFonts w:ascii="Arial" w:cs="Arial" w:eastAsia="Arial" w:hAnsi="Arial"/>
                <w:sz w:val="14"/>
                <w:szCs w:val="14"/>
                <w:color w:val="auto"/>
              </w:rPr>
              <w:t>vesting</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the performance period on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December 31, 2020 based on</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Arial" w:cs="Arial" w:eastAsia="Arial" w:hAnsi="Arial"/>
                <w:sz w:val="14"/>
                <w:szCs w:val="14"/>
                <w:color w:val="auto"/>
              </w:rPr>
              <w:t>newly adopted three-year cliff</w:t>
            </w:r>
          </w:p>
        </w:tc>
        <w:tc>
          <w:tcPr>
            <w:tcW w:w="0" w:type="dxa"/>
            <w:vAlign w:val="bottom"/>
          </w:tcPr>
          <w:p>
            <w:pPr>
              <w:spacing w:after="0"/>
              <w:rPr>
                <w:sz w:val="1"/>
                <w:szCs w:val="1"/>
                <w:color w:val="auto"/>
              </w:rPr>
            </w:pPr>
          </w:p>
        </w:tc>
      </w:tr>
      <w:tr>
        <w:trPr>
          <w:trHeight w:val="191"/>
        </w:trPr>
        <w:tc>
          <w:tcPr>
            <w:tcW w:w="3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8318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REPORTED AND REALIZED COMPENSATION</w:t>
      </w:r>
    </w:p>
    <w:p>
      <w:pPr>
        <w:spacing w:after="0" w:line="280" w:lineRule="exact"/>
        <w:rPr>
          <w:sz w:val="20"/>
          <w:szCs w:val="20"/>
          <w:color w:val="auto"/>
        </w:rPr>
      </w:pPr>
    </w:p>
    <w:p>
      <w:pPr>
        <w:jc w:val="both"/>
        <w:ind w:left="200" w:right="100"/>
        <w:spacing w:after="0" w:line="258" w:lineRule="auto"/>
        <w:rPr>
          <w:sz w:val="20"/>
          <w:szCs w:val="20"/>
          <w:color w:val="auto"/>
        </w:rPr>
      </w:pPr>
      <w:r>
        <w:rPr>
          <w:rFonts w:ascii="Arial" w:cs="Arial" w:eastAsia="Arial" w:hAnsi="Arial"/>
          <w:sz w:val="14"/>
          <w:szCs w:val="14"/>
          <w:color w:val="auto"/>
        </w:rPr>
        <w:t>The chart below further illustrates our pay for performance of our CEO and current NEOs. As shown, total reported compensation for the periods indicated as set forth in the 2018 Summary Compensation Table of this Proxy Statement is compared to the total amount of compensation realized by our CEO and current NEOs during such periods.</w:t>
      </w:r>
    </w:p>
    <w:p>
      <w:pPr>
        <w:spacing w:after="0" w:line="15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realized compensation set forth below includes long-term incentive awards (RSUs and PSUs), only to the extent they vested (or restrictions lapsed) during 2018. The realized value of vested shares is included based on the closing price on the date of vest, which, for our RSUs, differs from value at the date of grant. The realized value of our PSUs is zero due to failure to achieve the performance targets included in such PSUs. In addition, over the past three years, no NEO has realized the total compensation reported in the 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783705" cy="2701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8370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OUR 2018 PERFORMANCE</w:t>
      </w:r>
    </w:p>
    <w:p>
      <w:pPr>
        <w:spacing w:after="0" w:line="282"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2640" w:type="dxa"/>
            <w:vAlign w:val="bottom"/>
            <w:tcBorders>
              <w:top w:val="single" w:sz="8" w:color="auto"/>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color w:val="666666"/>
              </w:rPr>
              <w:t>$762 MILLION</w:t>
            </w:r>
          </w:p>
        </w:tc>
        <w:tc>
          <w:tcPr>
            <w:tcW w:w="120" w:type="dxa"/>
            <w:vAlign w:val="bottom"/>
            <w:tcBorders>
              <w:right w:val="single" w:sz="8" w:color="auto"/>
            </w:tcBorders>
          </w:tcPr>
          <w:p>
            <w:pPr>
              <w:spacing w:after="0"/>
              <w:rPr>
                <w:sz w:val="17"/>
                <w:szCs w:val="17"/>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NEGATIVE</w:t>
            </w:r>
          </w:p>
        </w:tc>
        <w:tc>
          <w:tcPr>
            <w:tcW w:w="120" w:type="dxa"/>
            <w:vAlign w:val="bottom"/>
            <w:tcBorders>
              <w:right w:val="single" w:sz="8" w:color="auto"/>
            </w:tcBorders>
          </w:tcPr>
          <w:p>
            <w:pPr>
              <w:spacing w:after="0"/>
              <w:rPr>
                <w:sz w:val="17"/>
                <w:szCs w:val="17"/>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SAFETY</w:t>
            </w:r>
          </w:p>
        </w:tc>
        <w:tc>
          <w:tcPr>
            <w:tcW w:w="120" w:type="dxa"/>
            <w:vAlign w:val="bottom"/>
            <w:tcBorders>
              <w:right w:val="single" w:sz="8" w:color="auto"/>
            </w:tcBorders>
          </w:tcPr>
          <w:p>
            <w:pPr>
              <w:spacing w:after="0"/>
              <w:rPr>
                <w:sz w:val="17"/>
                <w:szCs w:val="17"/>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$375 MILLION</w:t>
            </w: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C3002F"/>
              </w:rPr>
              <w:t>ADJUSTED</w:t>
            </w:r>
          </w:p>
        </w:tc>
        <w:tc>
          <w:tcPr>
            <w:tcW w:w="1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C3002F"/>
              </w:rPr>
              <w:t>FREE</w:t>
            </w:r>
          </w:p>
        </w:tc>
        <w:tc>
          <w:tcPr>
            <w:tcW w:w="12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TRIR</w:t>
            </w:r>
          </w:p>
        </w:tc>
        <w:tc>
          <w:tcPr>
            <w:tcW w:w="12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TRANSFORMATION</w:t>
            </w: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C3002F"/>
                <w:w w:val="99"/>
              </w:rPr>
              <w:t>EBITDA</w:t>
            </w:r>
          </w:p>
        </w:tc>
        <w:tc>
          <w:tcPr>
            <w:tcW w:w="1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CASH</w:t>
            </w:r>
          </w:p>
        </w:tc>
        <w:tc>
          <w:tcPr>
            <w:tcW w:w="12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C3002F"/>
              </w:rPr>
              <w:t>FLOW</w:t>
            </w:r>
          </w:p>
        </w:tc>
        <w:tc>
          <w:tcPr>
            <w:tcW w:w="1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640" w:type="dxa"/>
            <w:vAlign w:val="bottom"/>
            <w:tcBorders>
              <w:left w:val="single" w:sz="8" w:color="auto"/>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74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640" w:type="dxa"/>
            <w:vAlign w:val="bottom"/>
            <w:tcBorders>
              <w:left w:val="single" w:sz="8" w:color="auto"/>
              <w:right w:val="single" w:sz="8" w:color="auto"/>
            </w:tcBorders>
            <w:vMerge w:val="restart"/>
            <w:shd w:val="clear" w:color="auto" w:fill="D8D8D8"/>
          </w:tcPr>
          <w:p>
            <w:pPr>
              <w:jc w:val="center"/>
              <w:ind w:left="48"/>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BELOW</w:t>
            </w:r>
          </w:p>
        </w:tc>
        <w:tc>
          <w:tcPr>
            <w:tcW w:w="12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THRESHOLD</w:t>
            </w:r>
          </w:p>
        </w:tc>
        <w:tc>
          <w:tcPr>
            <w:tcW w:w="0" w:type="dxa"/>
            <w:vAlign w:val="bottom"/>
          </w:tcPr>
          <w:p>
            <w:pPr>
              <w:spacing w:after="0"/>
              <w:rPr>
                <w:sz w:val="1"/>
                <w:szCs w:val="1"/>
                <w:color w:val="auto"/>
              </w:rPr>
            </w:pPr>
          </w:p>
        </w:tc>
      </w:tr>
      <w:tr>
        <w:trPr>
          <w:trHeight w:val="144"/>
        </w:trPr>
        <w:tc>
          <w:tcPr>
            <w:tcW w:w="2640" w:type="dxa"/>
            <w:vAlign w:val="bottom"/>
            <w:tcBorders>
              <w:left w:val="single" w:sz="8" w:color="auto"/>
              <w:right w:val="single" w:sz="8" w:color="auto"/>
            </w:tcBorders>
            <w:vMerge w:val="continue"/>
            <w:shd w:val="clear" w:color="auto" w:fill="D8D8D8"/>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740" w:type="dxa"/>
            <w:vAlign w:val="bottom"/>
            <w:tcBorders>
              <w:right w:val="single" w:sz="8" w:color="auto"/>
            </w:tcBorders>
            <w:shd w:val="clear" w:color="auto" w:fill="D8D8D8"/>
          </w:tcPr>
          <w:p>
            <w:pPr>
              <w:jc w:val="center"/>
              <w:spacing w:after="0" w:line="144" w:lineRule="exact"/>
              <w:rPr>
                <w:sz w:val="20"/>
                <w:szCs w:val="20"/>
                <w:color w:val="auto"/>
              </w:rPr>
            </w:pPr>
            <w:r>
              <w:rPr>
                <w:rFonts w:ascii="Arial" w:cs="Arial" w:eastAsia="Arial" w:hAnsi="Arial"/>
                <w:sz w:val="14"/>
                <w:szCs w:val="14"/>
                <w:color w:val="auto"/>
              </w:rPr>
              <w:t>THRESHOLD</w:t>
            </w:r>
          </w:p>
        </w:tc>
        <w:tc>
          <w:tcPr>
            <w:tcW w:w="120" w:type="dxa"/>
            <w:vAlign w:val="bottom"/>
            <w:tcBorders>
              <w:right w:val="single" w:sz="8" w:color="auto"/>
            </w:tcBorders>
          </w:tcPr>
          <w:p>
            <w:pPr>
              <w:spacing w:after="0"/>
              <w:rPr>
                <w:sz w:val="12"/>
                <w:szCs w:val="12"/>
                <w:color w:val="auto"/>
              </w:rPr>
            </w:pPr>
          </w:p>
        </w:tc>
        <w:tc>
          <w:tcPr>
            <w:tcW w:w="2640" w:type="dxa"/>
            <w:vAlign w:val="bottom"/>
            <w:tcBorders>
              <w:right w:val="single" w:sz="8" w:color="auto"/>
            </w:tcBorders>
            <w:vMerge w:val="continue"/>
            <w:shd w:val="clear" w:color="auto" w:fill="D8D8D8"/>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40" w:type="dxa"/>
            <w:vAlign w:val="bottom"/>
            <w:tcBorders>
              <w:left w:val="single" w:sz="8" w:color="auto"/>
              <w:right w:val="single" w:sz="8" w:color="auto"/>
            </w:tcBorders>
            <w:shd w:val="clear" w:color="auto" w:fill="D8D8D8"/>
          </w:tcPr>
          <w:p>
            <w:pPr>
              <w:jc w:val="center"/>
              <w:ind w:left="48"/>
              <w:spacing w:after="0"/>
              <w:rPr>
                <w:sz w:val="20"/>
                <w:szCs w:val="20"/>
                <w:color w:val="auto"/>
              </w:rPr>
            </w:pPr>
            <w:r>
              <w:rPr>
                <w:rFonts w:ascii="Arial" w:cs="Arial" w:eastAsia="Arial" w:hAnsi="Arial"/>
                <w:sz w:val="14"/>
                <w:szCs w:val="14"/>
                <w:b w:val="1"/>
                <w:bCs w:val="1"/>
                <w:color w:val="auto"/>
              </w:rPr>
              <w:t>ACHIEVEMENT</w:t>
            </w:r>
          </w:p>
        </w:tc>
        <w:tc>
          <w:tcPr>
            <w:tcW w:w="12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ACHIEVEMENT</w:t>
            </w:r>
          </w:p>
        </w:tc>
        <w:tc>
          <w:tcPr>
            <w:tcW w:w="1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ACHIEVEMENT</w:t>
            </w:r>
          </w:p>
        </w:tc>
        <w:tc>
          <w:tcPr>
            <w:tcW w:w="12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20"/>
        </w:trPr>
        <w:tc>
          <w:tcPr>
            <w:tcW w:w="2640" w:type="dxa"/>
            <w:vAlign w:val="bottom"/>
            <w:tcBorders>
              <w:left w:val="single" w:sz="8" w:color="auto"/>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4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LONG-TERM EQUITY AWARDS</w:t>
      </w:r>
    </w:p>
    <w:p>
      <w:pPr>
        <w:spacing w:after="0" w:line="280" w:lineRule="exact"/>
        <w:rPr>
          <w:sz w:val="20"/>
          <w:szCs w:val="20"/>
          <w:color w:val="auto"/>
        </w:rPr>
      </w:pPr>
    </w:p>
    <w:p>
      <w:pPr>
        <w:ind w:left="200" w:right="40"/>
        <w:spacing w:after="0" w:line="244" w:lineRule="auto"/>
        <w:rPr>
          <w:sz w:val="20"/>
          <w:szCs w:val="20"/>
          <w:color w:val="auto"/>
        </w:rPr>
      </w:pPr>
      <w:r>
        <w:rPr>
          <w:rFonts w:ascii="Arial" w:cs="Arial" w:eastAsia="Arial" w:hAnsi="Arial"/>
          <w:sz w:val="14"/>
          <w:szCs w:val="14"/>
          <w:color w:val="auto"/>
        </w:rPr>
        <w:t>We structure our executive compensation program to align pay with performance. As the year-end share price did not exceed the performance goals under the terms of 2016 and 2017 performance awards for our executive officers, no shares were issued in settlement of the 1/3 tranche of PSUs awarded in each of 2016 and 2017 that were eligible to vest based on 2018 performance. In 2018, we granted PSUs based upon relative TSR and absolute ROCE, both with three-year cliff vesting. These PSUs will vest or lapse based on the level of achievement of the performance goals over the performance period ending December 31, 2020. As the Company has continued to be affected by the industry downturn and extremely depressed share price, our current NEOs have not realized any value from PSUs awarded during any of their tenure as an NEO. Please see additional information below, including, the value of our then current CEO’s PSU grant.</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020" w:type="dxa"/>
            <w:vAlign w:val="bottom"/>
            <w:tcBorders>
              <w:bottom w:val="single" w:sz="8" w:color="auto"/>
              <w:right w:val="single" w:sz="8" w:color="auto"/>
            </w:tcBorders>
          </w:tcPr>
          <w:p>
            <w:pPr>
              <w:spacing w:after="0"/>
              <w:rPr>
                <w:sz w:val="15"/>
                <w:szCs w:val="15"/>
                <w:color w:val="auto"/>
              </w:rPr>
            </w:pPr>
          </w:p>
        </w:tc>
        <w:tc>
          <w:tcPr>
            <w:tcW w:w="1340" w:type="dxa"/>
            <w:vAlign w:val="bottom"/>
            <w:tcBorders>
              <w:top w:val="single" w:sz="8" w:color="auto"/>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2015</w:t>
            </w:r>
          </w:p>
        </w:tc>
        <w:tc>
          <w:tcPr>
            <w:tcW w:w="13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2016</w:t>
            </w:r>
          </w:p>
        </w:tc>
        <w:tc>
          <w:tcPr>
            <w:tcW w:w="13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2017</w:t>
            </w:r>
          </w:p>
        </w:tc>
        <w:tc>
          <w:tcPr>
            <w:tcW w:w="204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2018</w:t>
            </w:r>
          </w:p>
        </w:tc>
      </w:tr>
      <w:tr>
        <w:trPr>
          <w:trHeight w:val="231"/>
        </w:trPr>
        <w:tc>
          <w:tcPr>
            <w:tcW w:w="5020" w:type="dxa"/>
            <w:vAlign w:val="bottom"/>
            <w:tcBorders>
              <w:bottom w:val="single" w:sz="8" w:color="666666"/>
              <w:right w:val="single" w:sz="8" w:color="auto"/>
            </w:tcBorders>
          </w:tcPr>
          <w:p>
            <w:pPr>
              <w:ind w:left="60"/>
              <w:spacing w:after="0"/>
              <w:rPr>
                <w:sz w:val="20"/>
                <w:szCs w:val="20"/>
                <w:color w:val="auto"/>
              </w:rPr>
            </w:pPr>
            <w:r>
              <w:rPr>
                <w:rFonts w:ascii="Arial" w:cs="Arial" w:eastAsia="Arial" w:hAnsi="Arial"/>
                <w:sz w:val="14"/>
                <w:szCs w:val="14"/>
                <w:color w:val="auto"/>
              </w:rPr>
              <w:t>Reported value of CEO PSU grant</w:t>
            </w:r>
          </w:p>
        </w:tc>
        <w:tc>
          <w:tcPr>
            <w:tcW w:w="1340" w:type="dxa"/>
            <w:vAlign w:val="bottom"/>
            <w:tcBorders>
              <w:bottom w:val="single" w:sz="8" w:color="666666"/>
              <w:right w:val="single" w:sz="8" w:color="auto"/>
            </w:tcBorders>
          </w:tcPr>
          <w:p>
            <w:pPr>
              <w:jc w:val="right"/>
              <w:ind w:right="88"/>
              <w:spacing w:after="0"/>
              <w:rPr>
                <w:sz w:val="20"/>
                <w:szCs w:val="20"/>
                <w:color w:val="auto"/>
              </w:rPr>
            </w:pPr>
            <w:r>
              <w:rPr>
                <w:rFonts w:ascii="Arial" w:cs="Arial" w:eastAsia="Arial" w:hAnsi="Arial"/>
                <w:sz w:val="14"/>
                <w:szCs w:val="14"/>
                <w:color w:val="auto"/>
              </w:rPr>
              <w:t>$5,313,564</w:t>
            </w:r>
          </w:p>
        </w:tc>
        <w:tc>
          <w:tcPr>
            <w:tcW w:w="132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$3,302,102</w:t>
            </w:r>
          </w:p>
        </w:tc>
        <w:tc>
          <w:tcPr>
            <w:tcW w:w="132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$3,449,725</w:t>
            </w:r>
          </w:p>
        </w:tc>
        <w:tc>
          <w:tcPr>
            <w:tcW w:w="2040" w:type="dxa"/>
            <w:vAlign w:val="bottom"/>
            <w:tcBorders>
              <w:bottom w:val="single" w:sz="8" w:color="666666"/>
              <w:right w:val="single" w:sz="8" w:color="auto"/>
            </w:tcBorders>
          </w:tcPr>
          <w:p>
            <w:pPr>
              <w:jc w:val="right"/>
              <w:ind w:right="68"/>
              <w:spacing w:after="0"/>
              <w:rPr>
                <w:sz w:val="20"/>
                <w:szCs w:val="20"/>
                <w:color w:val="auto"/>
              </w:rPr>
            </w:pPr>
            <w:r>
              <w:rPr>
                <w:rFonts w:ascii="Arial" w:cs="Arial" w:eastAsia="Arial" w:hAnsi="Arial"/>
                <w:sz w:val="14"/>
                <w:szCs w:val="14"/>
                <w:color w:val="auto"/>
              </w:rPr>
              <w:t>$3,953,984</w:t>
            </w:r>
          </w:p>
        </w:tc>
      </w:tr>
      <w:tr>
        <w:trPr>
          <w:trHeight w:val="220"/>
        </w:trPr>
        <w:tc>
          <w:tcPr>
            <w:tcW w:w="5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Summary of metrics</w:t>
            </w:r>
          </w:p>
        </w:tc>
        <w:tc>
          <w:tcPr>
            <w:tcW w:w="3980" w:type="dxa"/>
            <w:vAlign w:val="bottom"/>
            <w:tcBorders>
              <w:right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Stock price increase; measured each year for 3-years</w:t>
            </w:r>
          </w:p>
        </w:tc>
        <w:tc>
          <w:tcPr>
            <w:tcW w:w="20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50% based on relative TSR;</w:t>
            </w:r>
          </w:p>
        </w:tc>
      </w:tr>
      <w:tr>
        <w:trPr>
          <w:trHeight w:val="162"/>
        </w:trPr>
        <w:tc>
          <w:tcPr>
            <w:tcW w:w="502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50% based on ROCE;</w:t>
            </w:r>
          </w:p>
        </w:tc>
      </w:tr>
      <w:tr>
        <w:trPr>
          <w:trHeight w:val="157"/>
        </w:trPr>
        <w:tc>
          <w:tcPr>
            <w:tcW w:w="5020" w:type="dxa"/>
            <w:vAlign w:val="bottom"/>
            <w:tcBorders>
              <w:bottom w:val="single" w:sz="8" w:color="666666"/>
              <w:right w:val="single" w:sz="8" w:color="auto"/>
            </w:tcBorders>
          </w:tcPr>
          <w:p>
            <w:pPr>
              <w:spacing w:after="0"/>
              <w:rPr>
                <w:sz w:val="13"/>
                <w:szCs w:val="13"/>
                <w:color w:val="auto"/>
              </w:rPr>
            </w:pPr>
          </w:p>
        </w:tc>
        <w:tc>
          <w:tcPr>
            <w:tcW w:w="1340" w:type="dxa"/>
            <w:vAlign w:val="bottom"/>
            <w:tcBorders>
              <w:bottom w:val="single" w:sz="8" w:color="666666"/>
            </w:tcBorders>
          </w:tcPr>
          <w:p>
            <w:pPr>
              <w:spacing w:after="0"/>
              <w:rPr>
                <w:sz w:val="13"/>
                <w:szCs w:val="13"/>
                <w:color w:val="auto"/>
              </w:rPr>
            </w:pPr>
          </w:p>
        </w:tc>
        <w:tc>
          <w:tcPr>
            <w:tcW w:w="1320" w:type="dxa"/>
            <w:vAlign w:val="bottom"/>
            <w:tcBorders>
              <w:bottom w:val="single" w:sz="8" w:color="666666"/>
            </w:tcBorders>
          </w:tcPr>
          <w:p>
            <w:pPr>
              <w:spacing w:after="0"/>
              <w:rPr>
                <w:sz w:val="13"/>
                <w:szCs w:val="13"/>
                <w:color w:val="auto"/>
              </w:rPr>
            </w:pPr>
          </w:p>
        </w:tc>
        <w:tc>
          <w:tcPr>
            <w:tcW w:w="1320" w:type="dxa"/>
            <w:vAlign w:val="bottom"/>
            <w:tcBorders>
              <w:bottom w:val="single" w:sz="8" w:color="666666"/>
              <w:right w:val="single" w:sz="8" w:color="auto"/>
            </w:tcBorders>
          </w:tcPr>
          <w:p>
            <w:pPr>
              <w:spacing w:after="0"/>
              <w:rPr>
                <w:sz w:val="13"/>
                <w:szCs w:val="13"/>
                <w:color w:val="auto"/>
              </w:rPr>
            </w:pPr>
          </w:p>
        </w:tc>
        <w:tc>
          <w:tcPr>
            <w:tcW w:w="2040" w:type="dxa"/>
            <w:vAlign w:val="bottom"/>
            <w:tcBorders>
              <w:bottom w:val="single" w:sz="8" w:color="666666"/>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3-year cliff for all</w:t>
            </w:r>
          </w:p>
        </w:tc>
      </w:tr>
      <w:tr>
        <w:trPr>
          <w:trHeight w:val="231"/>
        </w:trPr>
        <w:tc>
          <w:tcPr>
            <w:tcW w:w="5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Realized Value of PSUs to date</w:t>
            </w:r>
          </w:p>
        </w:tc>
        <w:tc>
          <w:tcPr>
            <w:tcW w:w="13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$0</w:t>
            </w:r>
          </w:p>
        </w:tc>
        <w:tc>
          <w:tcPr>
            <w:tcW w:w="20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C3002F"/>
              </w:rPr>
              <w:t>*</w:t>
            </w:r>
          </w:p>
        </w:tc>
      </w:tr>
    </w:tbl>
    <w:p>
      <w:pPr>
        <w:spacing w:after="0" w:line="4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w:t>
        <w:tab/>
        <w:t>Not eligible to vest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SHAREHOLDER OUTREACH AND RESULTS</w:t>
      </w:r>
    </w:p>
    <w:p>
      <w:pPr>
        <w:spacing w:after="0" w:line="280"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Our engagement with investors included representatives from Weatherford’s management and several of these conversations also included members of the Board. Shareholder feedback on subjects including our transformation, executive compensation, M&amp;A activity and other matters have been shared with us and we take these comments under advisement. The results of our discussions are generally reported to the Board as well as to the applicable Committees.</w:t>
      </w:r>
    </w:p>
    <w:p>
      <w:pPr>
        <w:spacing w:after="0" w:line="161"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2018 meeting, 97% of votes cast were in support of our executive compensation program compared to 90% in 2017. We continue to engage with our shareholders regarding executive compensation and other matters and welcome further dialogue.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560" w:hanging="356"/>
        <w:spacing w:after="0"/>
        <w:tabs>
          <w:tab w:leader="none" w:pos="560" w:val="left"/>
        </w:tabs>
        <w:numPr>
          <w:ilvl w:val="0"/>
          <w:numId w:val="4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During 2018, we implemented the following changes to our compensation program:</w:t>
      </w:r>
    </w:p>
    <w:p>
      <w:pPr>
        <w:spacing w:after="0" w:line="217" w:lineRule="exact"/>
        <w:rPr>
          <w:sz w:val="20"/>
          <w:szCs w:val="20"/>
          <w:color w:val="auto"/>
        </w:rPr>
      </w:pPr>
    </w:p>
    <w:p>
      <w:pPr>
        <w:ind w:left="420" w:hanging="216"/>
        <w:spacing w:after="0"/>
        <w:tabs>
          <w:tab w:leader="none" w:pos="42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Eliminated all remaining employment agreements and eliminated future employment agreements;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Focused metrics on our absolute performance, removing the relative weighting to our peers;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Significantly aligned goals at the enterprise level for non-NEOs;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Introduced a Transformation goal;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Added a return metric for our PSUs and changed our PSUs awarded in 2018 to a three-year cliff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right="680"/>
        <w:spacing w:after="0" w:line="281" w:lineRule="auto"/>
        <w:rPr>
          <w:sz w:val="20"/>
          <w:szCs w:val="20"/>
          <w:color w:val="auto"/>
        </w:rPr>
      </w:pPr>
      <w:r>
        <w:rPr>
          <w:rFonts w:ascii="Arial" w:cs="Arial" w:eastAsia="Arial" w:hAnsi="Arial"/>
          <w:sz w:val="43"/>
          <w:szCs w:val="43"/>
          <w:b w:val="1"/>
          <w:bCs w:val="1"/>
          <w:color w:val="auto"/>
        </w:rPr>
        <w:t>ELEMENTS OF OUR EXECUTIVE COMPENSATION PROGRAM</w:t>
      </w:r>
    </w:p>
    <w:p>
      <w:pPr>
        <w:spacing w:after="0" w:line="11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as well as increased shareholder value, while avoiding excessive risk-taking. Below is a detailed discussion and analysis of each component of our executive compensation for our NEOs for 2018. All information should be read in conjunction with our 2018 Summary Compensation Table on page 33.</w:t>
      </w:r>
    </w:p>
    <w:p>
      <w:pPr>
        <w:spacing w:after="0" w:line="159"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For illustrative purposes, below is the compensation mix for our CEO and other NEOs, based on compensation information set forth in the 2018 Summary Compensation Table. Additionally, the non-equity (cash) incentive is shown pro forma, using a target bonus to more accurately illustrate the at risk component of compensation. PSUs and RSUs are measured using the grant date fair value as set forth in the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140335</wp:posOffset>
            </wp:positionV>
            <wp:extent cx="5145405" cy="13633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540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right="460" w:hanging="216"/>
        <w:spacing w:after="0" w:line="258"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Non-Equity (Cash) Incentives are shown at target; actual amounts paid are set forth in the Summary Compensation Table on page 33 and, as a percentage of total compensation, were 6% for the CEO and 9% for the other current NEOs.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Percentagesare rounded to nearest whole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BASE SALARY</w:t>
      </w:r>
    </w:p>
    <w:p>
      <w:pPr>
        <w:spacing w:after="0" w:line="280" w:lineRule="exact"/>
        <w:rPr>
          <w:sz w:val="20"/>
          <w:szCs w:val="20"/>
          <w:color w:val="auto"/>
        </w:rPr>
      </w:pPr>
    </w:p>
    <w:p>
      <w:pPr>
        <w:jc w:val="both"/>
        <w:ind w:left="200" w:right="120"/>
        <w:spacing w:after="0" w:line="245" w:lineRule="auto"/>
        <w:rPr>
          <w:sz w:val="20"/>
          <w:szCs w:val="20"/>
          <w:color w:val="auto"/>
        </w:rPr>
      </w:pPr>
      <w:r>
        <w:rPr>
          <w:rFonts w:ascii="Arial" w:cs="Arial" w:eastAsia="Arial" w:hAnsi="Arial"/>
          <w:sz w:val="14"/>
          <w:szCs w:val="14"/>
          <w:color w:val="auto"/>
        </w:rPr>
        <w:t>Base salary provides a fixed level of compensation to the executive that is representative of his or her skills, responsibilities and experience. Base salaries for our executive officers are reviewed annually. Proposed changes to base salaries are reviewed by the Compensation Committee following recommendations from the CEO (excluding his own base salary) and the Senior Vice President of Human Resources. The Committee does not rely on predetermined formulas or criteria when evaluating executive base salaries, but considers comparable market data provided by its independent compensation consultant. The Committee also considers individual contributions, retention and succession planning concerns in setting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table below shows the annual base salaries of the current NEOs effective after adjustments for the applicable year. Where adjustments were made during the year or where an executive officer joined mid-year, these amounts are different than the actual amount paid for the entire year. In light of the extreme client pricing pressures, lower activity and continuing energy industry decline, in March of 2016, all of our NEOs’ base salaries were reduced by 10% from April 1, 2016 until December 31, 2016. As the reductions were intended to be temporary during the downturn, they were restored to approved levels in 2017 and maintained for 2018, with the exception of Mr. Bausch who was granted a market-based increase due to his critical skills and a desire for retention. See the 2018 Summary Compensation Table for the actual amounts paid.</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480" w:type="dxa"/>
            <w:vAlign w:val="bottom"/>
            <w:tcBorders>
              <w:bottom w:val="single" w:sz="8" w:color="auto"/>
            </w:tcBorders>
            <w:gridSpan w:val="2"/>
          </w:tcPr>
          <w:p>
            <w:pPr>
              <w:ind w:left="3540"/>
              <w:spacing w:after="0"/>
              <w:rPr>
                <w:sz w:val="20"/>
                <w:szCs w:val="20"/>
                <w:color w:val="auto"/>
              </w:rPr>
            </w:pPr>
            <w:r>
              <w:rPr>
                <w:rFonts w:ascii="Arial" w:cs="Arial" w:eastAsia="Arial" w:hAnsi="Arial"/>
                <w:sz w:val="14"/>
                <w:szCs w:val="14"/>
                <w:color w:val="auto"/>
              </w:rPr>
              <w:t>2016 Salary</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2017 Salary</w:t>
            </w: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2018 Salary</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McCollum</w:t>
            </w:r>
          </w:p>
        </w:tc>
        <w:tc>
          <w:tcPr>
            <w:tcW w:w="37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1,000,000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w:t>
            </w:r>
          </w:p>
        </w:tc>
        <w:tc>
          <w:tcPr>
            <w:tcW w:w="3700" w:type="dxa"/>
            <w:vAlign w:val="bottom"/>
            <w:tcBorders>
              <w:bottom w:val="single" w:sz="8" w:color="666666"/>
            </w:tcBorders>
          </w:tcPr>
          <w:p>
            <w:pPr>
              <w:ind w:left="354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650,000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3700" w:type="dxa"/>
            <w:vAlign w:val="bottom"/>
            <w:tcBorders>
              <w:bottom w:val="single" w:sz="8" w:color="666666"/>
            </w:tcBorders>
          </w:tcPr>
          <w:p>
            <w:pPr>
              <w:ind w:left="354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562,500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4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Blanchard</w:t>
            </w:r>
          </w:p>
        </w:tc>
        <w:tc>
          <w:tcPr>
            <w:tcW w:w="370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700,000</w:t>
            </w:r>
          </w:p>
        </w:tc>
        <w:tc>
          <w:tcPr>
            <w:tcW w:w="28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700,000</w:t>
            </w:r>
          </w:p>
        </w:tc>
      </w:tr>
      <w:tr>
        <w:trPr>
          <w:trHeight w:val="156"/>
        </w:trPr>
        <w:tc>
          <w:tcPr>
            <w:tcW w:w="4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Fraser(a)</w:t>
            </w:r>
          </w:p>
        </w:tc>
        <w:tc>
          <w:tcPr>
            <w:tcW w:w="37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425,000</w:t>
            </w:r>
          </w:p>
        </w:tc>
      </w:tr>
    </w:tbl>
    <w:p>
      <w:pPr>
        <w:spacing w:after="0" w:line="45" w:lineRule="exact"/>
        <w:rPr>
          <w:sz w:val="20"/>
          <w:szCs w:val="20"/>
          <w:color w:val="auto"/>
        </w:rPr>
      </w:pPr>
    </w:p>
    <w:p>
      <w:pPr>
        <w:ind w:left="420" w:right="160" w:hanging="216"/>
        <w:spacing w:after="0" w:line="258" w:lineRule="auto"/>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Fraser became an executive officer in April of 2018. His salary was based on market factors, responsibilities and the total personal contributions he has made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ANNUAL CASH INCENTIVE COMPENSATION</w:t>
      </w:r>
    </w:p>
    <w:p>
      <w:pPr>
        <w:spacing w:after="0" w:line="280"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During the first quarter of each year the Committee establishes the terms of any awards under our Executive Non-Equity Incentive Compensation Plan (the “EICP”), including the financial metrics and goals for each award. The EICP awards for NEOs are determined based on predetermined formulaic financial metrics aligned with the Company’s strategic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3"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2018 TARGET GOALS</w:t>
      </w:r>
    </w:p>
    <w:p>
      <w:pPr>
        <w:spacing w:after="0" w:line="265"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For each metric under the EICP, the Committee establishes objective goals at three levels: threshold, target, and superior, as further described below. The goal is expressed as a percentage of base salary in effect at the end of the plan year, with a percentage determined for achievement of threshold, target, or superior level. If our results fall between levels, the award payment is determined by linear interpolation to derive the percentage of base salary that will be paid in respect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217805</wp:posOffset>
            </wp:positionV>
            <wp:extent cx="1878330" cy="16465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78330" cy="1646555"/>
                    </a:xfrm>
                    <a:prstGeom prst="rect">
                      <a:avLst/>
                    </a:prstGeom>
                    <a:noFill/>
                  </pic:spPr>
                </pic:pic>
              </a:graphicData>
            </a:graphic>
          </wp:anchor>
        </w:drawing>
      </w:r>
    </w:p>
    <w:p>
      <w:pPr>
        <w:spacing w:after="0" w:line="323" w:lineRule="exact"/>
        <w:rPr>
          <w:sz w:val="20"/>
          <w:szCs w:val="20"/>
          <w:color w:val="auto"/>
        </w:rPr>
      </w:pPr>
    </w:p>
    <w:tbl>
      <w:tblPr>
        <w:tblLayout w:type="fixed"/>
        <w:tblInd w:w="502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C3002F"/>
              </w:rPr>
              <w:t>THRESHOLD</w:t>
            </w:r>
          </w:p>
        </w:tc>
        <w:tc>
          <w:tcPr>
            <w:tcW w:w="140" w:type="dxa"/>
            <w:vAlign w:val="bottom"/>
          </w:tcPr>
          <w:p>
            <w:pPr>
              <w:spacing w:after="0"/>
              <w:rPr>
                <w:sz w:val="16"/>
                <w:szCs w:val="16"/>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C3002F"/>
              </w:rPr>
              <w:t>TARGET</w:t>
            </w:r>
          </w:p>
        </w:tc>
        <w:tc>
          <w:tcPr>
            <w:tcW w:w="220" w:type="dxa"/>
            <w:vAlign w:val="bottom"/>
          </w:tcPr>
          <w:p>
            <w:pPr>
              <w:spacing w:after="0"/>
              <w:rPr>
                <w:sz w:val="16"/>
                <w:szCs w:val="16"/>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SUPERIOR</w:t>
            </w:r>
          </w:p>
        </w:tc>
      </w:tr>
      <w:tr>
        <w:trPr>
          <w:trHeight w:val="218"/>
        </w:trPr>
        <w:tc>
          <w:tcPr>
            <w:tcW w:w="1740" w:type="dxa"/>
            <w:vAlign w:val="bottom"/>
          </w:tcPr>
          <w:p>
            <w:pPr>
              <w:spacing w:after="0"/>
              <w:rPr>
                <w:sz w:val="18"/>
                <w:szCs w:val="18"/>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Threshold is the</w:t>
            </w:r>
          </w:p>
        </w:tc>
        <w:tc>
          <w:tcPr>
            <w:tcW w:w="140" w:type="dxa"/>
            <w:vAlign w:val="bottom"/>
          </w:tcPr>
          <w:p>
            <w:pPr>
              <w:spacing w:after="0"/>
              <w:rPr>
                <w:sz w:val="18"/>
                <w:szCs w:val="18"/>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Target represents</w:t>
            </w:r>
          </w:p>
        </w:tc>
        <w:tc>
          <w:tcPr>
            <w:tcW w:w="220" w:type="dxa"/>
            <w:vAlign w:val="bottom"/>
          </w:tcPr>
          <w:p>
            <w:pPr>
              <w:spacing w:after="0"/>
              <w:rPr>
                <w:sz w:val="18"/>
                <w:szCs w:val="18"/>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Superior</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entry-level of</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a strong, but</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represents an</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performance under</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achievable, level</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extraordinary</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the EICP, established</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of performance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level of</w:t>
            </w:r>
          </w:p>
        </w:tc>
      </w:tr>
      <w:tr>
        <w:trPr>
          <w:trHeight w:val="162"/>
        </w:trPr>
        <w:tc>
          <w:tcPr>
            <w:tcW w:w="1740" w:type="dxa"/>
            <w:vAlign w:val="bottom"/>
          </w:tcPr>
          <w:p>
            <w:pPr>
              <w:spacing w:after="0"/>
              <w:rPr>
                <w:sz w:val="14"/>
                <w:szCs w:val="14"/>
                <w:color w:val="auto"/>
              </w:rPr>
            </w:pP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so</w:t>
            </w:r>
          </w:p>
        </w:tc>
        <w:tc>
          <w:tcPr>
            <w:tcW w:w="1220" w:type="dxa"/>
            <w:vAlign w:val="bottom"/>
            <w:shd w:val="clear" w:color="auto" w:fill="D8D8D8"/>
          </w:tcPr>
          <w:p>
            <w:pPr>
              <w:jc w:val="right"/>
              <w:ind w:right="368"/>
              <w:spacing w:after="0"/>
              <w:rPr>
                <w:sz w:val="20"/>
                <w:szCs w:val="20"/>
                <w:color w:val="auto"/>
              </w:rPr>
            </w:pPr>
            <w:r>
              <w:rPr>
                <w:rFonts w:ascii="Arial" w:cs="Arial" w:eastAsia="Arial" w:hAnsi="Arial"/>
                <w:sz w:val="14"/>
                <w:szCs w:val="14"/>
                <w:color w:val="auto"/>
              </w:rPr>
              <w:t>that smaller</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that will increase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awards will be earned</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shareholder</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will substantially</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for satisfactory</w:t>
            </w:r>
          </w:p>
        </w:tc>
        <w:tc>
          <w:tcPr>
            <w:tcW w:w="140" w:type="dxa"/>
            <w:vAlign w:val="bottom"/>
          </w:tcPr>
          <w:p>
            <w:pPr>
              <w:spacing w:after="0"/>
              <w:rPr>
                <w:sz w:val="14"/>
                <w:szCs w:val="14"/>
                <w:color w:val="auto"/>
              </w:rPr>
            </w:pPr>
          </w:p>
        </w:tc>
        <w:tc>
          <w:tcPr>
            <w:tcW w:w="1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w:t>
            </w:r>
          </w:p>
        </w:tc>
      </w:tr>
      <w:tr>
        <w:trPr>
          <w:trHeight w:val="16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performance short of</w:t>
            </w:r>
          </w:p>
        </w:tc>
        <w:tc>
          <w:tcPr>
            <w:tcW w:w="140" w:type="dxa"/>
            <w:vAlign w:val="bottom"/>
          </w:tcPr>
          <w:p>
            <w:pPr>
              <w:spacing w:after="0"/>
              <w:rPr>
                <w:sz w:val="14"/>
                <w:szCs w:val="14"/>
                <w:color w:val="auto"/>
              </w:rPr>
            </w:pPr>
          </w:p>
        </w:tc>
        <w:tc>
          <w:tcPr>
            <w:tcW w:w="1460" w:type="dxa"/>
            <w:vAlign w:val="bottom"/>
            <w:shd w:val="clear" w:color="auto" w:fill="D8D8D8"/>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shareholder</w:t>
            </w:r>
          </w:p>
        </w:tc>
      </w:tr>
      <w:tr>
        <w:trPr>
          <w:trHeight w:val="172"/>
        </w:trPr>
        <w:tc>
          <w:tcPr>
            <w:tcW w:w="1740" w:type="dxa"/>
            <w:vAlign w:val="bottom"/>
          </w:tcPr>
          <w:p>
            <w:pPr>
              <w:spacing w:after="0"/>
              <w:rPr>
                <w:sz w:val="14"/>
                <w:szCs w:val="14"/>
                <w:color w:val="auto"/>
              </w:rPr>
            </w:pPr>
          </w:p>
        </w:tc>
        <w:tc>
          <w:tcPr>
            <w:tcW w:w="1480" w:type="dxa"/>
            <w:vAlign w:val="bottom"/>
            <w:gridSpan w:val="2"/>
            <w:shd w:val="clear" w:color="auto" w:fill="D8D8D8"/>
          </w:tcPr>
          <w:p>
            <w:pPr>
              <w:ind w:left="60"/>
              <w:spacing w:after="0"/>
              <w:rPr>
                <w:sz w:val="20"/>
                <w:szCs w:val="20"/>
                <w:color w:val="auto"/>
              </w:rPr>
            </w:pPr>
            <w:r>
              <w:rPr>
                <w:rFonts w:ascii="Arial" w:cs="Arial" w:eastAsia="Arial" w:hAnsi="Arial"/>
                <w:sz w:val="14"/>
                <w:szCs w:val="14"/>
                <w:color w:val="auto"/>
              </w:rPr>
              <w:t>target.</w:t>
            </w:r>
          </w:p>
        </w:tc>
        <w:tc>
          <w:tcPr>
            <w:tcW w:w="140" w:type="dxa"/>
            <w:vAlign w:val="bottom"/>
          </w:tcPr>
          <w:p>
            <w:pPr>
              <w:spacing w:after="0"/>
              <w:rPr>
                <w:sz w:val="14"/>
                <w:szCs w:val="14"/>
                <w:color w:val="auto"/>
              </w:rPr>
            </w:pPr>
          </w:p>
        </w:tc>
        <w:tc>
          <w:tcPr>
            <w:tcW w:w="1460" w:type="dxa"/>
            <w:vAlign w:val="bottom"/>
            <w:shd w:val="clear" w:color="auto" w:fill="D8D8D8"/>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value.</w:t>
            </w:r>
          </w:p>
        </w:tc>
      </w:tr>
      <w:tr>
        <w:trPr>
          <w:trHeight w:val="255"/>
        </w:trPr>
        <w:tc>
          <w:tcPr>
            <w:tcW w:w="1740" w:type="dxa"/>
            <w:vAlign w:val="bottom"/>
            <w:tcBorders>
              <w:bottom w:val="single" w:sz="8" w:color="666666"/>
            </w:tcBorders>
          </w:tcPr>
          <w:p>
            <w:pPr>
              <w:spacing w:after="0"/>
              <w:rPr>
                <w:sz w:val="22"/>
                <w:szCs w:val="22"/>
                <w:color w:val="auto"/>
              </w:rPr>
            </w:pPr>
          </w:p>
        </w:tc>
        <w:tc>
          <w:tcPr>
            <w:tcW w:w="260" w:type="dxa"/>
            <w:vAlign w:val="bottom"/>
            <w:tcBorders>
              <w:bottom w:val="single" w:sz="8" w:color="666666"/>
            </w:tcBorders>
            <w:shd w:val="clear" w:color="auto" w:fill="D8D8D8"/>
          </w:tcPr>
          <w:p>
            <w:pPr>
              <w:spacing w:after="0"/>
              <w:rPr>
                <w:sz w:val="22"/>
                <w:szCs w:val="22"/>
                <w:color w:val="auto"/>
              </w:rPr>
            </w:pPr>
          </w:p>
        </w:tc>
        <w:tc>
          <w:tcPr>
            <w:tcW w:w="1220" w:type="dxa"/>
            <w:vAlign w:val="bottom"/>
            <w:tcBorders>
              <w:bottom w:val="single" w:sz="8" w:color="666666"/>
            </w:tcBorders>
            <w:shd w:val="clear" w:color="auto" w:fill="D8D8D8"/>
          </w:tcPr>
          <w:p>
            <w:pPr>
              <w:spacing w:after="0"/>
              <w:rPr>
                <w:sz w:val="22"/>
                <w:szCs w:val="22"/>
                <w:color w:val="auto"/>
              </w:rPr>
            </w:pPr>
          </w:p>
        </w:tc>
        <w:tc>
          <w:tcPr>
            <w:tcW w:w="140" w:type="dxa"/>
            <w:vAlign w:val="bottom"/>
            <w:tcBorders>
              <w:bottom w:val="single" w:sz="8" w:color="666666"/>
            </w:tcBorders>
          </w:tcPr>
          <w:p>
            <w:pPr>
              <w:spacing w:after="0"/>
              <w:rPr>
                <w:sz w:val="22"/>
                <w:szCs w:val="22"/>
                <w:color w:val="auto"/>
              </w:rPr>
            </w:pPr>
          </w:p>
        </w:tc>
        <w:tc>
          <w:tcPr>
            <w:tcW w:w="1460" w:type="dxa"/>
            <w:vAlign w:val="bottom"/>
            <w:tcBorders>
              <w:bottom w:val="single" w:sz="8" w:color="666666"/>
            </w:tcBorders>
            <w:shd w:val="clear" w:color="auto" w:fill="D8D8D8"/>
          </w:tcPr>
          <w:p>
            <w:pPr>
              <w:spacing w:after="0"/>
              <w:rPr>
                <w:sz w:val="22"/>
                <w:szCs w:val="22"/>
                <w:color w:val="auto"/>
              </w:rPr>
            </w:pPr>
          </w:p>
        </w:tc>
        <w:tc>
          <w:tcPr>
            <w:tcW w:w="220" w:type="dxa"/>
            <w:vAlign w:val="bottom"/>
            <w:tcBorders>
              <w:bottom w:val="single" w:sz="8" w:color="666666"/>
            </w:tcBorders>
          </w:tcPr>
          <w:p>
            <w:pPr>
              <w:spacing w:after="0"/>
              <w:rPr>
                <w:sz w:val="22"/>
                <w:szCs w:val="22"/>
                <w:color w:val="auto"/>
              </w:rPr>
            </w:pPr>
          </w:p>
        </w:tc>
        <w:tc>
          <w:tcPr>
            <w:tcW w:w="1180" w:type="dxa"/>
            <w:vAlign w:val="bottom"/>
            <w:tcBorders>
              <w:bottom w:val="single" w:sz="8" w:color="666666"/>
            </w:tcBorders>
            <w:shd w:val="clear" w:color="auto" w:fill="D8D8D8"/>
          </w:tcPr>
          <w:p>
            <w:pPr>
              <w:spacing w:after="0"/>
              <w:rPr>
                <w:sz w:val="22"/>
                <w:szCs w:val="22"/>
                <w:color w:val="auto"/>
              </w:rPr>
            </w:pPr>
          </w:p>
        </w:tc>
      </w:tr>
      <w:tr>
        <w:trPr>
          <w:trHeight w:val="183"/>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Chief Executive Officer</w:t>
            </w:r>
          </w:p>
        </w:tc>
        <w:tc>
          <w:tcPr>
            <w:tcW w:w="260" w:type="dxa"/>
            <w:vAlign w:val="bottom"/>
            <w:tcBorders>
              <w:bottom w:val="single" w:sz="8" w:color="666666"/>
            </w:tcBorders>
            <w:shd w:val="clear" w:color="auto" w:fill="D8D8D8"/>
          </w:tcPr>
          <w:p>
            <w:pPr>
              <w:spacing w:after="0"/>
              <w:rPr>
                <w:sz w:val="15"/>
                <w:szCs w:val="15"/>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666666"/>
            </w:tcBorders>
          </w:tcPr>
          <w:p>
            <w:pPr>
              <w:spacing w:after="0"/>
              <w:rPr>
                <w:sz w:val="15"/>
                <w:szCs w:val="15"/>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666666"/>
            </w:tcBorders>
          </w:tcPr>
          <w:p>
            <w:pPr>
              <w:spacing w:after="0"/>
              <w:rPr>
                <w:sz w:val="15"/>
                <w:szCs w:val="15"/>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240%</w:t>
            </w:r>
          </w:p>
        </w:tc>
      </w:tr>
      <w:tr>
        <w:trPr>
          <w:trHeight w:val="183"/>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Executive Vice Presidents</w:t>
            </w:r>
          </w:p>
        </w:tc>
        <w:tc>
          <w:tcPr>
            <w:tcW w:w="260" w:type="dxa"/>
            <w:vAlign w:val="bottom"/>
            <w:tcBorders>
              <w:bottom w:val="single" w:sz="8" w:color="666666"/>
            </w:tcBorders>
            <w:shd w:val="clear" w:color="auto" w:fill="D8D8D8"/>
          </w:tcPr>
          <w:p>
            <w:pPr>
              <w:spacing w:after="0"/>
              <w:rPr>
                <w:sz w:val="15"/>
                <w:szCs w:val="15"/>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666666"/>
            </w:tcBorders>
          </w:tcPr>
          <w:p>
            <w:pPr>
              <w:spacing w:after="0"/>
              <w:rPr>
                <w:sz w:val="15"/>
                <w:szCs w:val="15"/>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666666"/>
            </w:tcBorders>
          </w:tcPr>
          <w:p>
            <w:pPr>
              <w:spacing w:after="0"/>
              <w:rPr>
                <w:sz w:val="15"/>
                <w:szCs w:val="15"/>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200%</w:t>
            </w:r>
          </w:p>
        </w:tc>
      </w:tr>
      <w:tr>
        <w:trPr>
          <w:trHeight w:val="196"/>
        </w:trPr>
        <w:tc>
          <w:tcPr>
            <w:tcW w:w="174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All Others</w:t>
            </w:r>
          </w:p>
        </w:tc>
        <w:tc>
          <w:tcPr>
            <w:tcW w:w="260" w:type="dxa"/>
            <w:vAlign w:val="bottom"/>
            <w:tcBorders>
              <w:bottom w:val="single" w:sz="8" w:color="666666"/>
            </w:tcBorders>
            <w:shd w:val="clear" w:color="auto" w:fill="D8D8D8"/>
          </w:tcPr>
          <w:p>
            <w:pPr>
              <w:spacing w:after="0"/>
              <w:rPr>
                <w:sz w:val="17"/>
                <w:szCs w:val="17"/>
                <w:color w:val="auto"/>
              </w:rPr>
            </w:pPr>
          </w:p>
        </w:tc>
        <w:tc>
          <w:tcPr>
            <w:tcW w:w="1220" w:type="dxa"/>
            <w:vAlign w:val="bottom"/>
            <w:tcBorders>
              <w:bottom w:val="single" w:sz="8" w:color="666666"/>
            </w:tcBorders>
            <w:shd w:val="clear" w:color="auto" w:fill="D8D8D8"/>
          </w:tcPr>
          <w:p>
            <w:pPr>
              <w:jc w:val="right"/>
              <w:ind w:right="288"/>
              <w:spacing w:after="0"/>
              <w:rPr>
                <w:sz w:val="20"/>
                <w:szCs w:val="20"/>
                <w:color w:val="auto"/>
              </w:rPr>
            </w:pPr>
            <w:r>
              <w:rPr>
                <w:rFonts w:ascii="Arial" w:cs="Arial" w:eastAsia="Arial" w:hAnsi="Arial"/>
                <w:sz w:val="14"/>
                <w:szCs w:val="14"/>
                <w:color w:val="auto"/>
              </w:rPr>
              <w:t>37.5%</w:t>
            </w:r>
          </w:p>
        </w:tc>
        <w:tc>
          <w:tcPr>
            <w:tcW w:w="140" w:type="dxa"/>
            <w:vAlign w:val="bottom"/>
            <w:tcBorders>
              <w:bottom w:val="single" w:sz="8" w:color="666666"/>
            </w:tcBorders>
          </w:tcPr>
          <w:p>
            <w:pPr>
              <w:spacing w:after="0"/>
              <w:rPr>
                <w:sz w:val="17"/>
                <w:szCs w:val="17"/>
                <w:color w:val="auto"/>
              </w:rPr>
            </w:pPr>
          </w:p>
        </w:tc>
        <w:tc>
          <w:tcPr>
            <w:tcW w:w="1460" w:type="dxa"/>
            <w:vAlign w:val="bottom"/>
            <w:tcBorders>
              <w:bottom w:val="single" w:sz="8" w:color="666666"/>
            </w:tcBorders>
            <w:shd w:val="clear" w:color="auto" w:fill="D8D8D8"/>
          </w:tcPr>
          <w:p>
            <w:pPr>
              <w:jc w:val="right"/>
              <w:ind w:right="36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666666"/>
            </w:tcBorders>
          </w:tcPr>
          <w:p>
            <w:pPr>
              <w:spacing w:after="0"/>
              <w:rPr>
                <w:sz w:val="17"/>
                <w:szCs w:val="17"/>
                <w:color w:val="auto"/>
              </w:rPr>
            </w:pPr>
          </w:p>
        </w:tc>
        <w:tc>
          <w:tcPr>
            <w:tcW w:w="1180" w:type="dxa"/>
            <w:vAlign w:val="bottom"/>
            <w:tcBorders>
              <w:bottom w:val="single" w:sz="8" w:color="666666"/>
            </w:tcBorders>
            <w:shd w:val="clear" w:color="auto" w:fill="D8D8D8"/>
          </w:tcPr>
          <w:p>
            <w:pPr>
              <w:ind w:left="520"/>
              <w:spacing w:after="0"/>
              <w:rPr>
                <w:sz w:val="20"/>
                <w:szCs w:val="20"/>
                <w:color w:val="auto"/>
              </w:rPr>
            </w:pPr>
            <w:r>
              <w:rPr>
                <w:rFonts w:ascii="Arial" w:cs="Arial" w:eastAsia="Arial" w:hAnsi="Arial"/>
                <w:sz w:val="14"/>
                <w:szCs w:val="14"/>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2018 OBJECTIVES, METRICS AND FORMULA</w:t>
      </w:r>
    </w:p>
    <w:p>
      <w:pPr>
        <w:spacing w:after="0" w:line="265" w:lineRule="exact"/>
        <w:rPr>
          <w:sz w:val="20"/>
          <w:szCs w:val="20"/>
          <w:color w:val="auto"/>
        </w:rPr>
      </w:pPr>
    </w:p>
    <w:p>
      <w:pPr>
        <w:jc w:val="both"/>
        <w:ind w:left="200" w:right="120"/>
        <w:spacing w:after="0" w:line="250" w:lineRule="auto"/>
        <w:rPr>
          <w:sz w:val="20"/>
          <w:szCs w:val="20"/>
          <w:color w:val="auto"/>
        </w:rPr>
      </w:pPr>
      <w:r>
        <w:rPr>
          <w:rFonts w:ascii="Arial" w:cs="Arial" w:eastAsia="Arial" w:hAnsi="Arial"/>
          <w:sz w:val="14"/>
          <w:szCs w:val="14"/>
          <w:color w:val="auto"/>
        </w:rPr>
        <w:t>To set the objectives for 2018, the Committee evaluated the Company’s ongoing performance, market conditions, and officer performance and adopted metrics to ensure all of the Company’s key focus areas were included in the objectives for its executive officer group. The 2018 performance goals were designed to bring focus by the executive officers on the following strategies and plans:</w:t>
      </w:r>
    </w:p>
    <w:p>
      <w:pPr>
        <w:spacing w:after="0" w:line="105" w:lineRule="exact"/>
        <w:rPr>
          <w:sz w:val="20"/>
          <w:szCs w:val="20"/>
          <w:color w:val="auto"/>
        </w:rPr>
      </w:pPr>
    </w:p>
    <w:p>
      <w:pPr>
        <w:ind w:left="420" w:hanging="216"/>
        <w:spacing w:after="0"/>
        <w:tabs>
          <w:tab w:leader="none" w:pos="42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responding to the continued downturn in the oil and gas industry;</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responding to the massive contraction in activity and reduction in pricing, including cost cuts and market share gains and losses;</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focusing on our Transformation goals to realize $1 billion in business enhancements and profit improvements by 2020; and</w:t>
      </w:r>
    </w:p>
    <w:p>
      <w:pPr>
        <w:spacing w:after="0" w:line="122" w:lineRule="exact"/>
        <w:rPr>
          <w:rFonts w:ascii="Arial" w:cs="Arial" w:eastAsia="Arial" w:hAnsi="Arial"/>
          <w:sz w:val="14"/>
          <w:szCs w:val="14"/>
          <w:color w:val="C3002F"/>
        </w:rPr>
      </w:pPr>
    </w:p>
    <w:p>
      <w:pPr>
        <w:ind w:left="420" w:hanging="216"/>
        <w:spacing w:after="0"/>
        <w:tabs>
          <w:tab w:leader="none" w:pos="42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focusing on recapture and growth of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p>
      <w:pPr>
        <w:ind w:left="560" w:hanging="356"/>
        <w:spacing w:after="0"/>
        <w:tabs>
          <w:tab w:leader="none" w:pos="560" w:val="left"/>
        </w:tabs>
        <w:numPr>
          <w:ilvl w:val="0"/>
          <w:numId w:val="5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In 2018, the Committee simplified and refocused the metrics on the Company’s performance in areas that would have the greatest impact on the Company’s current strategic and financial goals. The targets for these objectives are also tied to internal budgets and expectations and require incremental improvement and continued savings. The Committee believes the targets set were rigorous, appropriate for our market and the shifting industry landscape, and are at or above market expectations.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objectives for all NEOs are summarized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14"/>
                <w:szCs w:val="14"/>
                <w:color w:val="auto"/>
              </w:rPr>
            </w:pPr>
          </w:p>
        </w:tc>
        <w:tc>
          <w:tcPr>
            <w:tcW w:w="1180" w:type="dxa"/>
            <w:vAlign w:val="bottom"/>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c>
          <w:tcPr>
            <w:tcW w:w="1120" w:type="dxa"/>
            <w:vAlign w:val="bottom"/>
            <w:shd w:val="clear" w:color="auto" w:fill="D8D8D8"/>
          </w:tcPr>
          <w:p>
            <w:pPr>
              <w:spacing w:after="0"/>
              <w:rPr>
                <w:sz w:val="14"/>
                <w:szCs w:val="14"/>
                <w:color w:val="auto"/>
              </w:rPr>
            </w:pPr>
          </w:p>
        </w:tc>
        <w:tc>
          <w:tcPr>
            <w:tcW w:w="1160" w:type="dxa"/>
            <w:vAlign w:val="bottom"/>
            <w:shd w:val="clear" w:color="auto" w:fill="D8D8D8"/>
          </w:tcPr>
          <w:p>
            <w:pPr>
              <w:jc w:val="right"/>
              <w:ind w:right="348"/>
              <w:spacing w:after="0"/>
              <w:rPr>
                <w:sz w:val="20"/>
                <w:szCs w:val="20"/>
                <w:color w:val="auto"/>
              </w:rPr>
            </w:pPr>
            <w:r>
              <w:rPr>
                <w:rFonts w:ascii="Arial" w:cs="Arial" w:eastAsia="Arial" w:hAnsi="Arial"/>
                <w:sz w:val="14"/>
                <w:szCs w:val="14"/>
                <w:color w:val="auto"/>
              </w:rPr>
              <w:t>2017</w:t>
            </w:r>
          </w:p>
        </w:tc>
        <w:tc>
          <w:tcPr>
            <w:tcW w:w="1160" w:type="dxa"/>
            <w:vAlign w:val="bottom"/>
            <w:shd w:val="clear" w:color="auto" w:fill="D8D8D8"/>
          </w:tcPr>
          <w:p>
            <w:pPr>
              <w:jc w:val="right"/>
              <w:ind w:right="348"/>
              <w:spacing w:after="0"/>
              <w:rPr>
                <w:sz w:val="20"/>
                <w:szCs w:val="20"/>
                <w:color w:val="auto"/>
              </w:rPr>
            </w:pPr>
            <w:r>
              <w:rPr>
                <w:rFonts w:ascii="Arial" w:cs="Arial" w:eastAsia="Arial" w:hAnsi="Arial"/>
                <w:sz w:val="14"/>
                <w:szCs w:val="14"/>
                <w:color w:val="auto"/>
              </w:rPr>
              <w:t>2018</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Metric</w:t>
            </w:r>
          </w:p>
        </w:tc>
        <w:tc>
          <w:tcPr>
            <w:tcW w:w="11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Threshold</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Target</w:t>
            </w:r>
          </w:p>
        </w:tc>
        <w:tc>
          <w:tcPr>
            <w:tcW w:w="11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Superior</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Comparative</w:t>
            </w:r>
          </w:p>
        </w:tc>
        <w:tc>
          <w:tcPr>
            <w:tcW w:w="11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Result</w:t>
            </w:r>
          </w:p>
        </w:tc>
        <w:tc>
          <w:tcPr>
            <w:tcW w:w="1040" w:type="dxa"/>
            <w:vAlign w:val="bottom"/>
            <w:tcBorders>
              <w:bottom w:val="single" w:sz="8" w:color="auto"/>
            </w:tcBorders>
            <w:shd w:val="clear" w:color="auto" w:fill="D8D8D8"/>
          </w:tcPr>
          <w:p>
            <w:pPr>
              <w:jc w:val="center"/>
              <w:ind w:left="48"/>
              <w:spacing w:after="0"/>
              <w:rPr>
                <w:sz w:val="20"/>
                <w:szCs w:val="20"/>
                <w:color w:val="auto"/>
              </w:rPr>
            </w:pPr>
            <w:r>
              <w:rPr>
                <w:rFonts w:ascii="Arial" w:cs="Arial" w:eastAsia="Arial" w:hAnsi="Arial"/>
                <w:sz w:val="14"/>
                <w:szCs w:val="14"/>
                <w:color w:val="auto"/>
              </w:rPr>
              <w:t>Achievement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20"/>
                <w:szCs w:val="20"/>
                <w:color w:val="auto"/>
              </w:rPr>
            </w:pPr>
            <w:r>
              <w:rPr>
                <w:rFonts w:ascii="Arial" w:cs="Arial" w:eastAsia="Arial" w:hAnsi="Arial"/>
                <w:sz w:val="14"/>
                <w:szCs w:val="14"/>
                <w:color w:val="auto"/>
              </w:rPr>
              <w:t>Adjusted EBITDA</w:t>
            </w:r>
          </w:p>
        </w:tc>
        <w:tc>
          <w:tcPr>
            <w:tcW w:w="11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$700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$800 million</w:t>
            </w:r>
          </w:p>
        </w:tc>
        <w:tc>
          <w:tcPr>
            <w:tcW w:w="112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$900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$413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$762 million</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shd w:val="clear" w:color="auto" w:fill="D8D8D8"/>
          </w:tcPr>
          <w:p>
            <w:pPr>
              <w:spacing w:after="0"/>
              <w:rPr>
                <w:sz w:val="13"/>
                <w:szCs w:val="13"/>
                <w:color w:val="auto"/>
              </w:rPr>
            </w:pPr>
          </w:p>
        </w:tc>
        <w:tc>
          <w:tcPr>
            <w:tcW w:w="118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2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040" w:type="dxa"/>
            <w:vAlign w:val="bottom"/>
            <w:tcBorders>
              <w:bottom w:val="single" w:sz="8" w:color="666666"/>
            </w:tcBorders>
            <w:shd w:val="clear" w:color="auto" w:fill="D8D8D8"/>
          </w:tcPr>
          <w:p>
            <w:pPr>
              <w:jc w:val="center"/>
              <w:ind w:left="48"/>
              <w:spacing w:after="0" w:line="157" w:lineRule="exact"/>
              <w:rPr>
                <w:sz w:val="20"/>
                <w:szCs w:val="20"/>
                <w:color w:val="auto"/>
              </w:rPr>
            </w:pPr>
            <w:r>
              <w:rPr>
                <w:rFonts w:ascii="Arial" w:cs="Arial" w:eastAsia="Arial" w:hAnsi="Arial"/>
                <w:sz w:val="14"/>
                <w:szCs w:val="14"/>
                <w:color w:val="auto"/>
              </w:rPr>
              <w:t>and Target</w:t>
            </w:r>
          </w:p>
        </w:tc>
        <w:tc>
          <w:tcPr>
            <w:tcW w:w="0" w:type="dxa"/>
            <w:vAlign w:val="bottom"/>
          </w:tcPr>
          <w:p>
            <w:pPr>
              <w:spacing w:after="0"/>
              <w:rPr>
                <w:sz w:val="1"/>
                <w:szCs w:val="1"/>
                <w:color w:val="auto"/>
              </w:rPr>
            </w:pPr>
          </w:p>
        </w:tc>
      </w:tr>
      <w:tr>
        <w:trPr>
          <w:trHeight w:val="160"/>
        </w:trPr>
        <w:tc>
          <w:tcPr>
            <w:tcW w:w="4220" w:type="dxa"/>
            <w:vAlign w:val="bottom"/>
            <w:gridSpan w:val="2"/>
            <w:vMerge w:val="restart"/>
          </w:tcPr>
          <w:p>
            <w:pPr>
              <w:spacing w:after="0"/>
              <w:rPr>
                <w:sz w:val="20"/>
                <w:szCs w:val="20"/>
                <w:color w:val="auto"/>
              </w:rPr>
            </w:pPr>
            <w:r>
              <w:rPr>
                <w:rFonts w:ascii="Arial" w:cs="Arial" w:eastAsia="Arial" w:hAnsi="Arial"/>
                <w:sz w:val="14"/>
                <w:szCs w:val="14"/>
                <w:color w:val="auto"/>
              </w:rPr>
              <w:t>Free Cash Flow</w:t>
            </w:r>
          </w:p>
        </w:tc>
        <w:tc>
          <w:tcPr>
            <w:tcW w:w="118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 million</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160" w:type="dxa"/>
            <w:vAlign w:val="bottom"/>
          </w:tcPr>
          <w:p>
            <w:pPr>
              <w:jc w:val="center"/>
              <w:spacing w:after="0"/>
              <w:rPr>
                <w:sz w:val="20"/>
                <w:szCs w:val="20"/>
                <w:color w:val="auto"/>
              </w:rPr>
            </w:pPr>
            <w:r>
              <w:rPr>
                <w:rFonts w:ascii="Arial" w:cs="Arial" w:eastAsia="Arial" w:hAnsi="Arial"/>
                <w:sz w:val="14"/>
                <w:szCs w:val="14"/>
                <w:color w:val="auto"/>
              </w:rPr>
              <w:t>(Negative</w:t>
            </w: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91"/>
        </w:trPr>
        <w:tc>
          <w:tcPr>
            <w:tcW w:w="4220" w:type="dxa"/>
            <w:vAlign w:val="bottom"/>
            <w:gridSpan w:val="2"/>
            <w:vMerge w:val="continue"/>
          </w:tcPr>
          <w:p>
            <w:pPr>
              <w:spacing w:after="0"/>
              <w:rPr>
                <w:sz w:val="7"/>
                <w:szCs w:val="7"/>
                <w:color w:val="auto"/>
              </w:rPr>
            </w:pPr>
          </w:p>
        </w:tc>
        <w:tc>
          <w:tcPr>
            <w:tcW w:w="118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$130 million)</w:t>
            </w: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$120 million)</w:t>
            </w:r>
          </w:p>
        </w:tc>
        <w:tc>
          <w:tcPr>
            <w:tcW w:w="1120" w:type="dxa"/>
            <w:vAlign w:val="bottom"/>
            <w:vMerge w:val="continue"/>
          </w:tcPr>
          <w:p>
            <w:pPr>
              <w:spacing w:after="0"/>
              <w:rPr>
                <w:sz w:val="7"/>
                <w:szCs w:val="7"/>
                <w:color w:val="auto"/>
              </w:rPr>
            </w:pP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$447 million)</w:t>
            </w:r>
          </w:p>
        </w:tc>
        <w:tc>
          <w:tcPr>
            <w:tcW w:w="116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$353 million)</w:t>
            </w:r>
          </w:p>
        </w:tc>
        <w:tc>
          <w:tcPr>
            <w:tcW w:w="1040" w:type="dxa"/>
            <w:vAlign w:val="bottom"/>
            <w:vMerge w:val="restart"/>
          </w:tcPr>
          <w:p>
            <w:pPr>
              <w:jc w:val="center"/>
              <w:ind w:left="48"/>
              <w:spacing w:after="0" w:line="157" w:lineRule="exact"/>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00" w:type="dxa"/>
            <w:vAlign w:val="bottom"/>
            <w:tcBorders>
              <w:bottom w:val="single" w:sz="8" w:color="666666"/>
            </w:tcBorders>
          </w:tcPr>
          <w:p>
            <w:pPr>
              <w:spacing w:after="0"/>
              <w:rPr>
                <w:sz w:val="5"/>
                <w:szCs w:val="5"/>
                <w:color w:val="auto"/>
              </w:rPr>
            </w:pPr>
          </w:p>
        </w:tc>
        <w:tc>
          <w:tcPr>
            <w:tcW w:w="1180" w:type="dxa"/>
            <w:vAlign w:val="bottom"/>
            <w:tcBorders>
              <w:bottom w:val="single" w:sz="8" w:color="666666"/>
            </w:tcBorders>
            <w:vMerge w:val="continue"/>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120" w:type="dxa"/>
            <w:vAlign w:val="bottom"/>
            <w:tcBorders>
              <w:bottom w:val="single" w:sz="8" w:color="666666"/>
            </w:tcBorders>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160" w:type="dxa"/>
            <w:vAlign w:val="bottom"/>
            <w:tcBorders>
              <w:bottom w:val="single" w:sz="8" w:color="666666"/>
            </w:tcBorders>
            <w:vMerge w:val="continue"/>
          </w:tcPr>
          <w:p>
            <w:pPr>
              <w:spacing w:after="0"/>
              <w:rPr>
                <w:sz w:val="5"/>
                <w:szCs w:val="5"/>
                <w:color w:val="auto"/>
              </w:rPr>
            </w:pPr>
          </w:p>
        </w:tc>
        <w:tc>
          <w:tcPr>
            <w:tcW w:w="1040" w:type="dxa"/>
            <w:vAlign w:val="bottom"/>
            <w:tcBorders>
              <w:bottom w:val="single" w:sz="8" w:color="66666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D8D8D8"/>
          </w:tcPr>
          <w:p>
            <w:pPr>
              <w:spacing w:after="0"/>
              <w:rPr>
                <w:sz w:val="20"/>
                <w:szCs w:val="20"/>
                <w:color w:val="auto"/>
              </w:rPr>
            </w:pPr>
            <w:r>
              <w:rPr>
                <w:rFonts w:ascii="Arial" w:cs="Arial" w:eastAsia="Arial" w:hAnsi="Arial"/>
                <w:sz w:val="14"/>
                <w:szCs w:val="14"/>
                <w:color w:val="auto"/>
              </w:rPr>
              <w:t>Transformation</w:t>
            </w:r>
          </w:p>
        </w:tc>
        <w:tc>
          <w:tcPr>
            <w:tcW w:w="11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$ 368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$ 428 million</w:t>
            </w:r>
          </w:p>
        </w:tc>
        <w:tc>
          <w:tcPr>
            <w:tcW w:w="112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$ 488 million</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N/A</w:t>
            </w:r>
          </w:p>
        </w:tc>
        <w:tc>
          <w:tcPr>
            <w:tcW w:w="116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$ 375 million</w:t>
            </w:r>
          </w:p>
        </w:tc>
        <w:tc>
          <w:tcPr>
            <w:tcW w:w="1040" w:type="dxa"/>
            <w:vAlign w:val="bottom"/>
            <w:shd w:val="clear" w:color="auto" w:fill="D8D8D8"/>
          </w:tcPr>
          <w:p>
            <w:pPr>
              <w:jc w:val="center"/>
              <w:ind w:left="48"/>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shd w:val="clear" w:color="auto" w:fill="D8D8D8"/>
          </w:tcPr>
          <w:p>
            <w:pPr>
              <w:spacing w:after="0"/>
              <w:rPr>
                <w:sz w:val="13"/>
                <w:szCs w:val="13"/>
                <w:color w:val="auto"/>
              </w:rPr>
            </w:pPr>
          </w:p>
        </w:tc>
        <w:tc>
          <w:tcPr>
            <w:tcW w:w="118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2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160" w:type="dxa"/>
            <w:vAlign w:val="bottom"/>
            <w:tcBorders>
              <w:bottom w:val="single" w:sz="8" w:color="666666"/>
            </w:tcBorders>
            <w:shd w:val="clear" w:color="auto" w:fill="D8D8D8"/>
          </w:tcPr>
          <w:p>
            <w:pPr>
              <w:spacing w:after="0"/>
              <w:rPr>
                <w:sz w:val="13"/>
                <w:szCs w:val="13"/>
                <w:color w:val="auto"/>
              </w:rPr>
            </w:pPr>
          </w:p>
        </w:tc>
        <w:tc>
          <w:tcPr>
            <w:tcW w:w="1040" w:type="dxa"/>
            <w:vAlign w:val="bottom"/>
            <w:tcBorders>
              <w:bottom w:val="single" w:sz="8" w:color="666666"/>
            </w:tcBorders>
            <w:shd w:val="clear" w:color="auto" w:fill="D8D8D8"/>
          </w:tcPr>
          <w:p>
            <w:pPr>
              <w:jc w:val="center"/>
              <w:ind w:left="48"/>
              <w:spacing w:after="0" w:line="157" w:lineRule="exact"/>
              <w:rPr>
                <w:sz w:val="20"/>
                <w:szCs w:val="20"/>
                <w:color w:val="auto"/>
              </w:rPr>
            </w:pPr>
            <w:r>
              <w:rPr>
                <w:rFonts w:ascii="Arial" w:cs="Arial" w:eastAsia="Arial" w:hAnsi="Arial"/>
                <w:sz w:val="14"/>
                <w:szCs w:val="14"/>
                <w:color w:val="auto"/>
              </w:rPr>
              <w:t>and Target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Between</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Safety-TRIR</w:t>
            </w:r>
          </w:p>
        </w:tc>
        <w:tc>
          <w:tcPr>
            <w:tcW w:w="1180" w:type="dxa"/>
            <w:vAlign w:val="bottom"/>
          </w:tcPr>
          <w:p>
            <w:pPr>
              <w:jc w:val="center"/>
              <w:spacing w:after="0"/>
              <w:rPr>
                <w:sz w:val="20"/>
                <w:szCs w:val="20"/>
                <w:color w:val="auto"/>
              </w:rPr>
            </w:pPr>
            <w:r>
              <w:rPr>
                <w:rFonts w:ascii="Arial" w:cs="Arial" w:eastAsia="Arial" w:hAnsi="Arial"/>
                <w:sz w:val="14"/>
                <w:szCs w:val="14"/>
                <w:color w:val="auto"/>
              </w:rPr>
              <w:t>0.36</w:t>
            </w:r>
          </w:p>
        </w:tc>
        <w:tc>
          <w:tcPr>
            <w:tcW w:w="1160" w:type="dxa"/>
            <w:vAlign w:val="bottom"/>
          </w:tcPr>
          <w:p>
            <w:pPr>
              <w:jc w:val="center"/>
              <w:spacing w:after="0"/>
              <w:rPr>
                <w:sz w:val="20"/>
                <w:szCs w:val="20"/>
                <w:color w:val="auto"/>
              </w:rPr>
            </w:pPr>
            <w:r>
              <w:rPr>
                <w:rFonts w:ascii="Arial" w:cs="Arial" w:eastAsia="Arial" w:hAnsi="Arial"/>
                <w:sz w:val="14"/>
                <w:szCs w:val="14"/>
                <w:color w:val="auto"/>
              </w:rPr>
              <w:t>0.34</w:t>
            </w:r>
          </w:p>
        </w:tc>
        <w:tc>
          <w:tcPr>
            <w:tcW w:w="1120" w:type="dxa"/>
            <w:vAlign w:val="bottom"/>
          </w:tcPr>
          <w:p>
            <w:pPr>
              <w:jc w:val="center"/>
              <w:spacing w:after="0"/>
              <w:rPr>
                <w:sz w:val="20"/>
                <w:szCs w:val="20"/>
                <w:color w:val="auto"/>
              </w:rPr>
            </w:pPr>
            <w:r>
              <w:rPr>
                <w:rFonts w:ascii="Arial" w:cs="Arial" w:eastAsia="Arial" w:hAnsi="Arial"/>
                <w:sz w:val="14"/>
                <w:szCs w:val="14"/>
                <w:color w:val="auto"/>
              </w:rPr>
              <w:t>0.32</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0.37</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0.33</w:t>
            </w:r>
          </w:p>
        </w:tc>
        <w:tc>
          <w:tcPr>
            <w:tcW w:w="1040" w:type="dxa"/>
            <w:vAlign w:val="bottom"/>
          </w:tcPr>
          <w:p>
            <w:pPr>
              <w:jc w:val="center"/>
              <w:ind w:left="48"/>
              <w:spacing w:after="0"/>
              <w:rPr>
                <w:sz w:val="20"/>
                <w:szCs w:val="20"/>
                <w:color w:val="auto"/>
              </w:rPr>
            </w:pPr>
            <w:r>
              <w:rPr>
                <w:rFonts w:ascii="Arial" w:cs="Arial" w:eastAsia="Arial" w:hAnsi="Arial"/>
                <w:sz w:val="14"/>
                <w:szCs w:val="14"/>
                <w:color w:val="auto"/>
              </w:rPr>
              <w:t>Target and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666666"/>
            </w:tcBorders>
          </w:tcPr>
          <w:p>
            <w:pPr>
              <w:spacing w:after="0"/>
              <w:rPr>
                <w:sz w:val="13"/>
                <w:szCs w:val="13"/>
                <w:color w:val="auto"/>
              </w:rPr>
            </w:pPr>
          </w:p>
        </w:tc>
        <w:tc>
          <w:tcPr>
            <w:tcW w:w="118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12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160" w:type="dxa"/>
            <w:vAlign w:val="bottom"/>
            <w:tcBorders>
              <w:bottom w:val="single" w:sz="8" w:color="666666"/>
            </w:tcBorders>
          </w:tcPr>
          <w:p>
            <w:pPr>
              <w:spacing w:after="0"/>
              <w:rPr>
                <w:sz w:val="13"/>
                <w:szCs w:val="13"/>
                <w:color w:val="auto"/>
              </w:rPr>
            </w:pPr>
          </w:p>
        </w:tc>
        <w:tc>
          <w:tcPr>
            <w:tcW w:w="1040" w:type="dxa"/>
            <w:vAlign w:val="bottom"/>
            <w:tcBorders>
              <w:bottom w:val="single" w:sz="8" w:color="666666"/>
            </w:tcBorders>
          </w:tcPr>
          <w:p>
            <w:pPr>
              <w:jc w:val="center"/>
              <w:ind w:left="68"/>
              <w:spacing w:after="0" w:line="157" w:lineRule="exact"/>
              <w:rPr>
                <w:sz w:val="20"/>
                <w:szCs w:val="20"/>
                <w:color w:val="auto"/>
              </w:rPr>
            </w:pPr>
            <w:r>
              <w:rPr>
                <w:rFonts w:ascii="Arial" w:cs="Arial" w:eastAsia="Arial" w:hAnsi="Arial"/>
                <w:sz w:val="14"/>
                <w:szCs w:val="14"/>
                <w:color w:val="auto"/>
              </w:rPr>
              <w:t>Superior</w:t>
            </w:r>
          </w:p>
        </w:tc>
        <w:tc>
          <w:tcPr>
            <w:tcW w:w="0" w:type="dxa"/>
            <w:vAlign w:val="bottom"/>
          </w:tcPr>
          <w:p>
            <w:pPr>
              <w:spacing w:after="0"/>
              <w:rPr>
                <w:sz w:val="1"/>
                <w:szCs w:val="1"/>
                <w:color w:val="auto"/>
              </w:rPr>
            </w:pPr>
          </w:p>
        </w:tc>
      </w:tr>
      <w:tr>
        <w:trPr>
          <w:trHeight w:val="346"/>
        </w:trPr>
        <w:tc>
          <w:tcPr>
            <w:tcW w:w="4220" w:type="dxa"/>
            <w:vAlign w:val="bottom"/>
            <w:gridSpan w:val="2"/>
          </w:tcPr>
          <w:p>
            <w:pPr>
              <w:spacing w:after="0"/>
              <w:rPr>
                <w:sz w:val="20"/>
                <w:szCs w:val="20"/>
                <w:color w:val="auto"/>
              </w:rPr>
            </w:pPr>
            <w:r>
              <w:rPr>
                <w:rFonts w:ascii="Arial" w:cs="Arial" w:eastAsia="Arial" w:hAnsi="Arial"/>
                <w:sz w:val="14"/>
                <w:szCs w:val="14"/>
                <w:color w:val="auto"/>
              </w:rPr>
              <w:t>Details for each objective are as follows:</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right="40"/>
        <w:spacing w:after="0" w:line="256" w:lineRule="auto"/>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4"/>
          <w:szCs w:val="14"/>
          <w:color w:val="auto"/>
        </w:rPr>
        <w:t>. Increasing the Company’s Adjusted EBITDA was a key objective for 2018. Adjusted EBITDA is a non-GAAP financial measure, and represents earnings</w:t>
      </w:r>
      <w:r>
        <w:rPr>
          <w:rFonts w:ascii="Arial" w:cs="Arial" w:eastAsia="Arial" w:hAnsi="Arial"/>
          <w:sz w:val="14"/>
          <w:szCs w:val="14"/>
          <w:b w:val="1"/>
          <w:bCs w:val="1"/>
          <w:color w:val="auto"/>
        </w:rPr>
        <w:t xml:space="preserve"> </w:t>
      </w:r>
      <w:r>
        <w:rPr>
          <w:rFonts w:ascii="Arial" w:cs="Arial" w:eastAsia="Arial" w:hAnsi="Arial"/>
          <w:sz w:val="14"/>
          <w:szCs w:val="14"/>
          <w:color w:val="auto"/>
        </w:rPr>
        <w:t>before interest, taxes, depreciation and amortization with adjustments for certain income and expense items. See Annex E for a reconciliation of Adjusted EBITDA to its most directly comparable U.S. GAAP measure. The Committee exercised its authority to modify Adjusted EBITDA and approved a $9 million increase to account for the early divestiture of the rigs business in Kuwait. See “Other Information–Adjustments” below.</w:t>
      </w:r>
    </w:p>
    <w:p>
      <w:pPr>
        <w:spacing w:after="0" w:line="137"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color w:val="auto"/>
        </w:rPr>
        <w:t xml:space="preserve">Free Cash Flow (FCF). </w:t>
      </w:r>
      <w:r>
        <w:rPr>
          <w:rFonts w:ascii="Arial" w:cs="Arial" w:eastAsia="Arial" w:hAnsi="Arial"/>
          <w:sz w:val="14"/>
          <w:szCs w:val="14"/>
          <w:color w:val="auto"/>
        </w:rPr>
        <w:t>The Committee believed the free cash flow metric was important to the Company’s investors and generally viewed as a measure of financial success</w:t>
      </w:r>
      <w:r>
        <w:rPr>
          <w:rFonts w:ascii="Arial" w:cs="Arial" w:eastAsia="Arial" w:hAnsi="Arial"/>
          <w:sz w:val="14"/>
          <w:szCs w:val="14"/>
          <w:b w:val="1"/>
          <w:bCs w:val="1"/>
          <w:color w:val="auto"/>
        </w:rPr>
        <w:t xml:space="preserve"> </w:t>
      </w:r>
      <w:r>
        <w:rPr>
          <w:rFonts w:ascii="Arial" w:cs="Arial" w:eastAsia="Arial" w:hAnsi="Arial"/>
          <w:sz w:val="14"/>
          <w:szCs w:val="14"/>
          <w:color w:val="auto"/>
        </w:rPr>
        <w:t>and ability to reduce debt, a key focus of the Company. In setting dollar thresholds, the Committee evaluated historical performance and information used by the Company’s investors for evaluating performance as well as internal projections and expectations. Specifically, “free cash flow” is a non-GAAP financial measure and represents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w:t>
      </w:r>
    </w:p>
    <w:p>
      <w:pPr>
        <w:spacing w:after="0" w:line="142" w:lineRule="exact"/>
        <w:rPr>
          <w:sz w:val="20"/>
          <w:szCs w:val="20"/>
          <w:color w:val="auto"/>
        </w:rPr>
      </w:pPr>
    </w:p>
    <w:p>
      <w:pPr>
        <w:jc w:val="both"/>
        <w:ind w:left="200" w:right="160"/>
        <w:spacing w:after="0" w:line="263" w:lineRule="auto"/>
        <w:rPr>
          <w:sz w:val="20"/>
          <w:szCs w:val="20"/>
          <w:color w:val="auto"/>
        </w:rPr>
      </w:pPr>
      <w:r>
        <w:rPr>
          <w:rFonts w:ascii="Arial" w:cs="Arial" w:eastAsia="Arial" w:hAnsi="Arial"/>
          <w:sz w:val="14"/>
          <w:szCs w:val="14"/>
          <w:b w:val="1"/>
          <w:bCs w:val="1"/>
          <w:color w:val="auto"/>
        </w:rPr>
        <w:t xml:space="preserve">Transformation. </w:t>
      </w:r>
      <w:r>
        <w:rPr>
          <w:rFonts w:ascii="Arial" w:cs="Arial" w:eastAsia="Arial" w:hAnsi="Arial"/>
          <w:sz w:val="14"/>
          <w:szCs w:val="14"/>
          <w:color w:val="auto"/>
        </w:rPr>
        <w:t>As announced in November 2017, the organizational transformation plan intends to create an estimated $1 billion in profit improvements over an 18 – 24-month period. The transformation initiatives are expected to generate cost savings through flattening our structure, driving process changes, improving the efficiency of our supply chain and sales organizations and continuing to rationalize our manufacturing footprint.</w:t>
      </w:r>
    </w:p>
    <w:p>
      <w:pPr>
        <w:spacing w:after="0" w:line="146" w:lineRule="exact"/>
        <w:rPr>
          <w:sz w:val="20"/>
          <w:szCs w:val="20"/>
          <w:color w:val="auto"/>
        </w:rPr>
      </w:pPr>
    </w:p>
    <w:p>
      <w:pPr>
        <w:ind w:left="200" w:right="40"/>
        <w:spacing w:after="0" w:line="252" w:lineRule="auto"/>
        <w:rPr>
          <w:sz w:val="20"/>
          <w:szCs w:val="20"/>
          <w:color w:val="auto"/>
        </w:rPr>
      </w:pPr>
      <w:r>
        <w:rPr>
          <w:rFonts w:ascii="Arial" w:cs="Arial" w:eastAsia="Arial" w:hAnsi="Arial"/>
          <w:sz w:val="14"/>
          <w:szCs w:val="14"/>
          <w:b w:val="1"/>
          <w:bCs w:val="1"/>
          <w:color w:val="auto"/>
        </w:rPr>
        <w:t>Safety</w:t>
      </w:r>
      <w:r>
        <w:rPr>
          <w:rFonts w:ascii="Arial" w:cs="Arial" w:eastAsia="Arial" w:hAnsi="Arial"/>
          <w:sz w:val="14"/>
          <w:szCs w:val="14"/>
          <w:color w:val="auto"/>
        </w:rPr>
        <w:t>. In our industry and our Company, safety performance will always be of paramount importance. For 2018, the metric was focused on total recordable incident rate</w:t>
      </w:r>
      <w:r>
        <w:rPr>
          <w:rFonts w:ascii="Arial" w:cs="Arial" w:eastAsia="Arial" w:hAnsi="Arial"/>
          <w:sz w:val="14"/>
          <w:szCs w:val="14"/>
          <w:b w:val="1"/>
          <w:bCs w:val="1"/>
          <w:color w:val="auto"/>
        </w:rPr>
        <w:t xml:space="preserve"> </w:t>
      </w:r>
      <w:r>
        <w:rPr>
          <w:rFonts w:ascii="Arial" w:cs="Arial" w:eastAsia="Arial" w:hAnsi="Arial"/>
          <w:sz w:val="14"/>
          <w:szCs w:val="14"/>
          <w:color w:val="auto"/>
        </w:rPr>
        <w:t>(TRIR). The TRIR metric is calculated by multiplying the total number of recordable incidents by 200,000 and dividing by the hours worked. It was included to replace prior metrics of lost time incident rate (LTIR) and preventable vehicle incident rate, as all injuries are unacceptable to the Company. The TRIR metric broadened the Company’s safety focus and was found to be appropriate given the Company’s safety maturity—having improved performance in prior years in LTIR to a point where it is difficult to make significant improvements that are meaningful to the Company’s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OTHER INFORMATION</w:t>
      </w:r>
    </w:p>
    <w:p>
      <w:pPr>
        <w:spacing w:after="0" w:line="207" w:lineRule="exact"/>
        <w:rPr>
          <w:sz w:val="20"/>
          <w:szCs w:val="20"/>
          <w:color w:val="auto"/>
        </w:rPr>
      </w:pPr>
    </w:p>
    <w:p>
      <w:pPr>
        <w:ind w:left="200" w:right="60"/>
        <w:spacing w:after="0" w:line="263" w:lineRule="auto"/>
        <w:rPr>
          <w:sz w:val="20"/>
          <w:szCs w:val="20"/>
          <w:color w:val="auto"/>
        </w:rPr>
      </w:pPr>
      <w:r>
        <w:rPr>
          <w:rFonts w:ascii="Arial" w:cs="Arial" w:eastAsia="Arial" w:hAnsi="Arial"/>
          <w:sz w:val="14"/>
          <w:szCs w:val="14"/>
          <w:b w:val="1"/>
          <w:bCs w:val="1"/>
          <w:color w:val="auto"/>
        </w:rPr>
        <w:t xml:space="preserve">Payment Timing. </w:t>
      </w:r>
      <w:r>
        <w:rPr>
          <w:rFonts w:ascii="Arial" w:cs="Arial" w:eastAsia="Arial" w:hAnsi="Arial"/>
          <w:sz w:val="14"/>
          <w:szCs w:val="14"/>
          <w:color w:val="auto"/>
        </w:rPr>
        <w:t>Cash award payments under the EICP were made in February 2019 after the public release of our year-end financial results and after determination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award payments by the Committee. No award payment is made until the calculation of the payment award is approved by the Committee. Plan awards earned for a given year generally are paid in February or March of the following year. Awards are paid in cash in the currency in which the NEO is ordinarily paid.</w:t>
      </w:r>
    </w:p>
    <w:p>
      <w:pPr>
        <w:spacing w:after="0" w:line="132"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In the event of unforeseen developments, the Committee may determine that modifying the EICP, the goals or the potential award payments would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more appropriate incentives for executives. The Committee does not intend to exercise this discretion except in extraordinary circumstances. However, discretion was exercised in February 2019 to modify Adjusted EBITDA and approve a $9 million increase to account for the early divestiture of the rigs business in Kuwait. The Committee has reserved this right, in its sole discretion, to adjust the performance goals under the EICP to reflect: (1) a change in the business, operations, corporate or capital structure; (2) a change in the manner in which business is conducted; or (3) any other material change or event which will impact one or more performance goals in a manner the Committee did not intend.</w:t>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LONG-TERM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The Company issues awards of long-term equity compensation from time to time consistent with the objectives and philosophy of our compensation programs under our 2010 Omnibus Incentive Plan, as amended, and approved by our shareholders. We generally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long-term equity awards annually in the first quarter to incentivize future performance. However, for 2019, due to the Company’s extremely depressed share price and the lack of available authorized shares under our 2010 Omnibus Incentive Plan, the Committee temporarily discontinued the use of long-term equity as an appropriate vehicle to motivate and retain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FORMS OF LONG-TERM INCENTIVES</w:t>
      </w:r>
    </w:p>
    <w:p>
      <w:pPr>
        <w:spacing w:after="0" w:line="265" w:lineRule="exact"/>
        <w:rPr>
          <w:sz w:val="20"/>
          <w:szCs w:val="20"/>
          <w:color w:val="auto"/>
        </w:rPr>
      </w:pPr>
    </w:p>
    <w:p>
      <w:pPr>
        <w:ind w:left="200" w:right="400"/>
        <w:spacing w:after="0" w:line="247" w:lineRule="auto"/>
        <w:rPr>
          <w:sz w:val="20"/>
          <w:szCs w:val="20"/>
          <w:color w:val="auto"/>
        </w:rPr>
      </w:pPr>
      <w:r>
        <w:rPr>
          <w:rFonts w:ascii="Arial" w:cs="Arial" w:eastAsia="Arial" w:hAnsi="Arial"/>
          <w:sz w:val="14"/>
          <w:szCs w:val="14"/>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share units (“PSUs”). In determining the form or forms of award grants, the Committee considers, among other factors, the role of the executive and the ability of the executive to impact our success, as well as the appropriateness of a particular security to the individual executive.</w:t>
      </w:r>
    </w:p>
    <w:p>
      <w:pPr>
        <w:spacing w:after="0" w:line="202" w:lineRule="exact"/>
        <w:rPr>
          <w:sz w:val="20"/>
          <w:szCs w:val="20"/>
          <w:color w:val="auto"/>
        </w:rPr>
      </w:pPr>
    </w:p>
    <w:p>
      <w:pPr>
        <w:ind w:left="420" w:right="60" w:hanging="216"/>
        <w:spacing w:after="0" w:line="247" w:lineRule="auto"/>
        <w:tabs>
          <w:tab w:leader="none" w:pos="420" w:val="left"/>
        </w:tabs>
        <w:numPr>
          <w:ilvl w:val="0"/>
          <w:numId w:val="51"/>
        </w:numPr>
        <w:rPr>
          <w:rFonts w:ascii="Arial" w:cs="Arial" w:eastAsia="Arial" w:hAnsi="Arial"/>
          <w:sz w:val="14"/>
          <w:szCs w:val="14"/>
          <w:color w:val="C3002F"/>
        </w:rPr>
      </w:pPr>
      <w:r>
        <w:rPr>
          <w:rFonts w:ascii="Arial" w:cs="Arial" w:eastAsia="Arial" w:hAnsi="Arial"/>
          <w:sz w:val="14"/>
          <w:szCs w:val="14"/>
          <w:color w:val="auto"/>
        </w:rPr>
        <w:t>RSUs motivate our NEOs to strive for share price appreciation, as they are granted in an amount based on the closing share price on the date of grant, and the executive realizes value 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delivery of the underlying shares.</w:t>
      </w:r>
    </w:p>
    <w:p>
      <w:pPr>
        <w:spacing w:after="0" w:line="201" w:lineRule="exact"/>
        <w:rPr>
          <w:rFonts w:ascii="Arial" w:cs="Arial" w:eastAsia="Arial" w:hAnsi="Arial"/>
          <w:sz w:val="14"/>
          <w:szCs w:val="14"/>
          <w:color w:val="C3002F"/>
        </w:rPr>
      </w:pPr>
    </w:p>
    <w:p>
      <w:pPr>
        <w:ind w:left="420" w:right="20" w:hanging="216"/>
        <w:spacing w:after="0" w:line="244" w:lineRule="auto"/>
        <w:tabs>
          <w:tab w:leader="none" w:pos="420" w:val="left"/>
        </w:tabs>
        <w:numPr>
          <w:ilvl w:val="0"/>
          <w:numId w:val="51"/>
        </w:numPr>
        <w:rPr>
          <w:rFonts w:ascii="Arial" w:cs="Arial" w:eastAsia="Arial" w:hAnsi="Arial"/>
          <w:sz w:val="14"/>
          <w:szCs w:val="14"/>
          <w:color w:val="C3002F"/>
        </w:rPr>
      </w:pPr>
      <w:r>
        <w:rPr>
          <w:rFonts w:ascii="Arial" w:cs="Arial" w:eastAsia="Arial" w:hAnsi="Arial"/>
          <w:sz w:val="14"/>
          <w:szCs w:val="14"/>
          <w:color w:val="auto"/>
        </w:rPr>
        <w:t>PSUs have higher possible returns and also higher risk when compared to the various forms of awards available to the Committee to grant. PSUs provide an even stronger correlation to shareholder value, as they vest, if at all, as to a number of shares depending on achievement of specified performance targets. The outstanding 2016 and 2017 PSUs have a performance target based on absolute total shareholder return (“TSR”). Beginning in 2018, PSUs granted are equally split between the performance targets relating to relative TSR and absolute return on capital employed (“ROCE”). Except as provided below, PSUs vest over a specified period of time, as determined for each award. PSUs awarded in each of 2016 and 2017 vest in three equal installments over a three-year period. The 2016 and 2017 PSU awards include a share price measurement period of each trading day in the month of December of the applicable calendar year which is used to set the share price performance target and to determine the actual performance result. In 2018, PSU vesting period was changed to cliff vesting after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GRANTS IN 2018</w:t>
      </w:r>
    </w:p>
    <w:p>
      <w:pPr>
        <w:spacing w:after="0" w:line="265"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In 2018, the Company continued to focus on navigating the continued downturn and lowering its cost structure. 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RSUs or PSUs to award, the Committee looks to the closing share price as of the date of grant. The Committee believes this mix of awards set forth below aligns the executive’s mix of long-term incentives with awards in our peer group and ties an additional portion of NEO performance to an increase in the Company’s share price, one of the metrics used to determine whether PSUs vest.</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160" w:type="dxa"/>
            <w:vAlign w:val="bottom"/>
            <w:tcBorders>
              <w:bottom w:val="single" w:sz="8" w:color="auto"/>
            </w:tcBorders>
            <w:gridSpan w:val="2"/>
          </w:tcPr>
          <w:p>
            <w:pPr>
              <w:ind w:left="2540"/>
              <w:spacing w:after="0"/>
              <w:rPr>
                <w:sz w:val="20"/>
                <w:szCs w:val="20"/>
                <w:color w:val="auto"/>
              </w:rPr>
            </w:pPr>
            <w:r>
              <w:rPr>
                <w:rFonts w:ascii="Arial" w:cs="Arial" w:eastAsia="Arial" w:hAnsi="Arial"/>
                <w:sz w:val="14"/>
                <w:szCs w:val="14"/>
                <w:color w:val="auto"/>
              </w:rPr>
              <w:t>2018 RSU Award(a)</w:t>
            </w:r>
          </w:p>
        </w:tc>
        <w:tc>
          <w:tcPr>
            <w:tcW w:w="18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2018 PSU Award(a)</w:t>
            </w: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2018 Total Award</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McCollum</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3,400,000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3,400,000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6,800,000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1,150,000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1,150,000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2,300,000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800,000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800,000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1,600,000</w:t>
            </w:r>
          </w:p>
        </w:tc>
      </w:tr>
      <w:tr>
        <w:trPr>
          <w:trHeight w:val="156"/>
        </w:trPr>
        <w:tc>
          <w:tcPr>
            <w:tcW w:w="3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Blanchard</w:t>
            </w:r>
          </w:p>
        </w:tc>
        <w:tc>
          <w:tcPr>
            <w:tcW w:w="2900" w:type="dxa"/>
            <w:vAlign w:val="bottom"/>
            <w:tcBorders>
              <w:bottom w:val="single" w:sz="8" w:color="666666"/>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1,400,000</w:t>
            </w:r>
          </w:p>
        </w:tc>
        <w:tc>
          <w:tcPr>
            <w:tcW w:w="680" w:type="dxa"/>
            <w:vAlign w:val="bottom"/>
            <w:tcBorders>
              <w:bottom w:val="single" w:sz="8" w:color="666666"/>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1,400,000</w:t>
            </w:r>
          </w:p>
        </w:tc>
        <w:tc>
          <w:tcPr>
            <w:tcW w:w="540" w:type="dxa"/>
            <w:vAlign w:val="bottom"/>
            <w:tcBorders>
              <w:bottom w:val="single" w:sz="8" w:color="666666"/>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128"/>
              <w:spacing w:after="0" w:line="155" w:lineRule="exact"/>
              <w:rPr>
                <w:sz w:val="20"/>
                <w:szCs w:val="20"/>
                <w:color w:val="auto"/>
              </w:rPr>
            </w:pPr>
            <w:r>
              <w:rPr>
                <w:rFonts w:ascii="Arial" w:cs="Arial" w:eastAsia="Arial" w:hAnsi="Arial"/>
                <w:sz w:val="14"/>
                <w:szCs w:val="14"/>
                <w:color w:val="auto"/>
              </w:rPr>
              <w:t>2,800,000</w:t>
            </w:r>
          </w:p>
        </w:tc>
      </w:tr>
      <w:tr>
        <w:trPr>
          <w:trHeight w:val="156"/>
        </w:trPr>
        <w:tc>
          <w:tcPr>
            <w:tcW w:w="3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Fraser</w:t>
            </w:r>
          </w:p>
        </w:tc>
        <w:tc>
          <w:tcPr>
            <w:tcW w:w="2900" w:type="dxa"/>
            <w:vAlign w:val="bottom"/>
            <w:tcBorders>
              <w:bottom w:val="single" w:sz="8" w:color="auto"/>
            </w:tcBorders>
          </w:tcPr>
          <w:p>
            <w:pPr>
              <w:ind w:left="254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265,000</w:t>
            </w:r>
          </w:p>
        </w:tc>
        <w:tc>
          <w:tcPr>
            <w:tcW w:w="68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235,000</w:t>
            </w:r>
          </w:p>
        </w:tc>
        <w:tc>
          <w:tcPr>
            <w:tcW w:w="5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500,000</w:t>
            </w:r>
          </w:p>
        </w:tc>
      </w:tr>
    </w:tbl>
    <w:p>
      <w:pPr>
        <w:spacing w:after="0" w:line="45" w:lineRule="exact"/>
        <w:rPr>
          <w:sz w:val="20"/>
          <w:szCs w:val="20"/>
          <w:color w:val="auto"/>
        </w:rPr>
      </w:pPr>
    </w:p>
    <w:p>
      <w:pPr>
        <w:ind w:left="420" w:right="60" w:hanging="216"/>
        <w:spacing w:after="0" w:line="248"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values were used to calculate a number of units awarded based on the closing share price on the date of grant and may not correlate to the value presented in our 2018 Summary Compensation Table. The values of PSUs reflected in the 2018 Summary Compensation Table are based on a statistical option-value pricing model known as “Monte Carlo Valuation,” which is used for accounting purposes. We encourage you to review the 2018 Summary Compensation Table and the subsequent tables.</w:t>
      </w:r>
    </w:p>
    <w:p>
      <w:pPr>
        <w:spacing w:after="0" w:line="307" w:lineRule="exact"/>
        <w:rPr>
          <w:sz w:val="20"/>
          <w:szCs w:val="20"/>
          <w:color w:val="auto"/>
        </w:rPr>
      </w:pPr>
    </w:p>
    <w:p>
      <w:pPr>
        <w:ind w:left="200" w:right="60"/>
        <w:spacing w:after="0" w:line="263" w:lineRule="auto"/>
        <w:rPr>
          <w:sz w:val="20"/>
          <w:szCs w:val="20"/>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The RSUs vest over three years, with 1/3 of the awarded RSUs vesting each year subject to continued employment. The PSUs vest after three years, with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awarded number of units vesting depending on the achievement of the performance goals (or if the baseline performance goal is not met, being forfeited) at the end of the three-year vesting period.</w:t>
      </w:r>
    </w:p>
    <w:p>
      <w:pPr>
        <w:spacing w:after="0" w:line="132"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color w:val="auto"/>
        </w:rPr>
        <w:t xml:space="preserve">Performance Metrics. </w:t>
      </w:r>
      <w:r>
        <w:rPr>
          <w:rFonts w:ascii="Arial" w:cs="Arial" w:eastAsia="Arial" w:hAnsi="Arial"/>
          <w:sz w:val="14"/>
          <w:szCs w:val="14"/>
          <w:color w:val="auto"/>
        </w:rPr>
        <w:t>The PSUs will be settled in ordinary shares issued under our 2010 Omnibus Incentive Plan, with the actual number of shares to be issued based on a</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of each executive’s targeted number of PSUs. For the portion of the PSUs based on relative TSR, at the vesting date (i.e. three years after the grant date), the number of shares to be issued will be based on a trailing three-year (2018-2020) relative TSR using the OSX index, with relative position determined at the end of the period excluding any companies without a three-year trailing history. A collar will be applied such that if the Company’s three-year TSR was greater than 33%, the minimum payout would be threshold. However, if the Company’s three-year TSR is less than or equal to zero percent, the payout will not exceed target. Otherwise, payout would be as follows:</w:t>
      </w:r>
    </w:p>
    <w:p>
      <w:pPr>
        <w:spacing w:after="0" w:line="35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Percentile TSR Range</w:t>
            </w:r>
          </w:p>
        </w:tc>
        <w:tc>
          <w:tcPr>
            <w:tcW w:w="23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Payout Level</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 as a Percentage of Target(a)</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&lt; 25</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68"/>
              <w:spacing w:after="0" w:line="155" w:lineRule="exact"/>
              <w:rPr>
                <w:sz w:val="20"/>
                <w:szCs w:val="20"/>
                <w:color w:val="auto"/>
              </w:rPr>
            </w:pPr>
            <w:r>
              <w:rPr>
                <w:rFonts w:ascii="Arial" w:cs="Arial" w:eastAsia="Arial" w:hAnsi="Arial"/>
                <w:sz w:val="14"/>
                <w:szCs w:val="14"/>
                <w:color w:val="auto"/>
              </w:rPr>
              <w:t>Below 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25</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88"/>
              <w:spacing w:after="0" w:line="155" w:lineRule="exact"/>
              <w:rPr>
                <w:sz w:val="20"/>
                <w:szCs w:val="20"/>
                <w:color w:val="auto"/>
              </w:rPr>
            </w:pPr>
            <w:r>
              <w:rPr>
                <w:rFonts w:ascii="Arial" w:cs="Arial" w:eastAsia="Arial" w:hAnsi="Arial"/>
                <w:sz w:val="14"/>
                <w:szCs w:val="14"/>
                <w:color w:val="auto"/>
              </w:rPr>
              <w:t>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56"/>
        </w:trPr>
        <w:tc>
          <w:tcPr>
            <w:tcW w:w="2980" w:type="dxa"/>
            <w:vAlign w:val="bottom"/>
            <w:tcBorders>
              <w:bottom w:val="single" w:sz="8" w:color="666666"/>
            </w:tcBorders>
          </w:tcPr>
          <w:p>
            <w:pPr>
              <w:jc w:val="center"/>
              <w:ind w:right="120"/>
              <w:spacing w:after="0" w:line="156" w:lineRule="exact"/>
              <w:rPr>
                <w:sz w:val="20"/>
                <w:szCs w:val="20"/>
                <w:color w:val="auto"/>
              </w:rPr>
            </w:pPr>
            <w:r>
              <w:rPr>
                <w:rFonts w:ascii="Arial" w:cs="Arial" w:eastAsia="Arial" w:hAnsi="Arial"/>
                <w:sz w:val="11"/>
                <w:szCs w:val="11"/>
                <w:color w:val="auto"/>
              </w:rPr>
              <w:t>50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666666"/>
            </w:tcBorders>
          </w:tcPr>
          <w:p>
            <w:pPr>
              <w:jc w:val="center"/>
              <w:ind w:left="288"/>
              <w:spacing w:after="0" w:line="155" w:lineRule="exact"/>
              <w:rPr>
                <w:sz w:val="20"/>
                <w:szCs w:val="20"/>
                <w:color w:val="auto"/>
              </w:rPr>
            </w:pPr>
            <w:r>
              <w:rPr>
                <w:rFonts w:ascii="Arial" w:cs="Arial" w:eastAsia="Arial" w:hAnsi="Arial"/>
                <w:sz w:val="14"/>
                <w:szCs w:val="14"/>
                <w:color w:val="auto"/>
                <w:w w:val="98"/>
              </w:rPr>
              <w:t>Target</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156"/>
        </w:trPr>
        <w:tc>
          <w:tcPr>
            <w:tcW w:w="2980" w:type="dxa"/>
            <w:vAlign w:val="bottom"/>
            <w:tcBorders>
              <w:bottom w:val="single" w:sz="8" w:color="auto"/>
            </w:tcBorders>
          </w:tcPr>
          <w:p>
            <w:pPr>
              <w:jc w:val="center"/>
              <w:ind w:right="140"/>
              <w:spacing w:after="0" w:line="156" w:lineRule="exact"/>
              <w:rPr>
                <w:sz w:val="20"/>
                <w:szCs w:val="20"/>
                <w:color w:val="auto"/>
              </w:rPr>
            </w:pPr>
            <w:r>
              <w:rPr>
                <w:rFonts w:ascii="Arial" w:cs="Arial" w:eastAsia="Arial" w:hAnsi="Arial"/>
                <w:sz w:val="11"/>
                <w:szCs w:val="11"/>
                <w:color w:val="auto"/>
              </w:rPr>
              <w:t>&gt;= 80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percentile</w:t>
            </w:r>
          </w:p>
        </w:tc>
        <w:tc>
          <w:tcPr>
            <w:tcW w:w="23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Superior</w:t>
            </w:r>
          </w:p>
        </w:tc>
        <w:tc>
          <w:tcPr>
            <w:tcW w:w="2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Will be interpolated linearly for intermediate results within the percentile range shown, up to a maximum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p>
      <w:pPr>
        <w:ind w:left="560" w:hanging="356"/>
        <w:spacing w:after="0"/>
        <w:tabs>
          <w:tab w:leader="none" w:pos="560" w:val="left"/>
        </w:tabs>
        <w:numPr>
          <w:ilvl w:val="0"/>
          <w:numId w:val="5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The other portion of the PSUs will be based upon our average ROCE, or return on capital employed. For purposes of this PSU, ROCE is defined as adjusted EBIT (earnings before interest and taxes) divided by the adjusted average capital employed and is a non-GAAP financial measure. For the portion of the PSUs based on absolute ROCE, at the vesting date (i.e. three years after the date of grant), the number of shares to be issued will be based on the three-year (2018 – 2020) average ROCE as follows:</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8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Average ROCE</w:t>
            </w:r>
          </w:p>
        </w:tc>
        <w:tc>
          <w:tcPr>
            <w:tcW w:w="24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Payout Level</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Payout as a Percentage of Target(a)</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&lt; 1%</w:t>
            </w:r>
          </w:p>
        </w:tc>
        <w:tc>
          <w:tcPr>
            <w:tcW w:w="2460" w:type="dxa"/>
            <w:vAlign w:val="bottom"/>
            <w:tcBorders>
              <w:bottom w:val="single" w:sz="8" w:color="666666"/>
            </w:tcBorders>
          </w:tcPr>
          <w:p>
            <w:pPr>
              <w:jc w:val="center"/>
              <w:ind w:left="448"/>
              <w:spacing w:after="0" w:line="155" w:lineRule="exact"/>
              <w:rPr>
                <w:sz w:val="20"/>
                <w:szCs w:val="20"/>
                <w:color w:val="auto"/>
              </w:rPr>
            </w:pPr>
            <w:r>
              <w:rPr>
                <w:rFonts w:ascii="Arial" w:cs="Arial" w:eastAsia="Arial" w:hAnsi="Arial"/>
                <w:sz w:val="14"/>
                <w:szCs w:val="14"/>
                <w:color w:val="auto"/>
              </w:rPr>
              <w:t>Below 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1%</w:t>
            </w:r>
          </w:p>
        </w:tc>
        <w:tc>
          <w:tcPr>
            <w:tcW w:w="2460" w:type="dxa"/>
            <w:vAlign w:val="bottom"/>
            <w:tcBorders>
              <w:bottom w:val="single" w:sz="8" w:color="666666"/>
            </w:tcBorders>
          </w:tcPr>
          <w:p>
            <w:pPr>
              <w:jc w:val="center"/>
              <w:ind w:left="468"/>
              <w:spacing w:after="0" w:line="155" w:lineRule="exact"/>
              <w:rPr>
                <w:sz w:val="20"/>
                <w:szCs w:val="20"/>
                <w:color w:val="auto"/>
              </w:rPr>
            </w:pPr>
            <w:r>
              <w:rPr>
                <w:rFonts w:ascii="Arial" w:cs="Arial" w:eastAsia="Arial" w:hAnsi="Arial"/>
                <w:sz w:val="14"/>
                <w:szCs w:val="14"/>
                <w:color w:val="auto"/>
              </w:rPr>
              <w:t>Threshold</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56"/>
        </w:trPr>
        <w:tc>
          <w:tcPr>
            <w:tcW w:w="288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6%</w:t>
            </w:r>
          </w:p>
        </w:tc>
        <w:tc>
          <w:tcPr>
            <w:tcW w:w="2460" w:type="dxa"/>
            <w:vAlign w:val="bottom"/>
            <w:tcBorders>
              <w:bottom w:val="single" w:sz="8" w:color="666666"/>
            </w:tcBorders>
          </w:tcPr>
          <w:p>
            <w:pPr>
              <w:jc w:val="center"/>
              <w:ind w:left="468"/>
              <w:spacing w:after="0" w:line="155" w:lineRule="exact"/>
              <w:rPr>
                <w:sz w:val="20"/>
                <w:szCs w:val="20"/>
                <w:color w:val="auto"/>
              </w:rPr>
            </w:pPr>
            <w:r>
              <w:rPr>
                <w:rFonts w:ascii="Arial" w:cs="Arial" w:eastAsia="Arial" w:hAnsi="Arial"/>
                <w:sz w:val="14"/>
                <w:szCs w:val="14"/>
                <w:color w:val="auto"/>
                <w:w w:val="98"/>
              </w:rPr>
              <w:t>Target</w:t>
            </w:r>
          </w:p>
        </w:tc>
        <w:tc>
          <w:tcPr>
            <w:tcW w:w="29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w:t>
            </w:r>
          </w:p>
        </w:tc>
      </w:tr>
      <w:tr>
        <w:trPr>
          <w:trHeight w:val="156"/>
        </w:trPr>
        <w:tc>
          <w:tcPr>
            <w:tcW w:w="2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&gt;= 11%</w:t>
            </w:r>
          </w:p>
        </w:tc>
        <w:tc>
          <w:tcPr>
            <w:tcW w:w="2460" w:type="dxa"/>
            <w:vAlign w:val="bottom"/>
            <w:tcBorders>
              <w:bottom w:val="single" w:sz="8" w:color="auto"/>
            </w:tcBorders>
          </w:tcPr>
          <w:p>
            <w:pPr>
              <w:jc w:val="center"/>
              <w:ind w:left="448"/>
              <w:spacing w:after="0" w:line="155" w:lineRule="exact"/>
              <w:rPr>
                <w:sz w:val="20"/>
                <w:szCs w:val="20"/>
                <w:color w:val="auto"/>
              </w:rPr>
            </w:pPr>
            <w:r>
              <w:rPr>
                <w:rFonts w:ascii="Arial" w:cs="Arial" w:eastAsia="Arial" w:hAnsi="Arial"/>
                <w:sz w:val="14"/>
                <w:szCs w:val="14"/>
                <w:color w:val="auto"/>
              </w:rPr>
              <w:t>Superior</w:t>
            </w:r>
          </w:p>
        </w:tc>
        <w:tc>
          <w:tcPr>
            <w:tcW w:w="2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Will be interpolated linearly for intermediate results within the percentile range shown, up to a maximum of 200%.</w:t>
      </w:r>
    </w:p>
    <w:p>
      <w:pPr>
        <w:spacing w:after="0" w:line="177" w:lineRule="exact"/>
        <w:rPr>
          <w:sz w:val="20"/>
          <w:szCs w:val="20"/>
          <w:color w:val="auto"/>
        </w:rPr>
      </w:pPr>
    </w:p>
    <w:p>
      <w:pPr>
        <w:ind w:left="200" w:right="20"/>
        <w:spacing w:after="0" w:line="246" w:lineRule="auto"/>
        <w:rPr>
          <w:sz w:val="20"/>
          <w:szCs w:val="20"/>
          <w:color w:val="auto"/>
        </w:rPr>
      </w:pPr>
      <w:r>
        <w:rPr>
          <w:rFonts w:ascii="Arial" w:cs="Arial" w:eastAsia="Arial" w:hAnsi="Arial"/>
          <w:sz w:val="14"/>
          <w:szCs w:val="14"/>
          <w:color w:val="auto"/>
        </w:rPr>
        <w:t>Recently, the Company and its compensation advisors reviewed our incentive plans to determine whether they continue to fulfill their purpose of retaining key employees and incentivizing key employees to perform at a high level. After reviewing the Company’s current incentive plans, the Company and the Compensation Committee determined that the current plans are not optimally effective in achieving their goals. Most significantly, because the ordinary shares of the Company have been trading at extremely low prices, the Company does not have a large enough share reserve to continue to rely on our 2010 Omnibus Incentive Plan as a material retention and incentive tool in the near future.</w:t>
      </w:r>
    </w:p>
    <w:p>
      <w:pPr>
        <w:spacing w:after="0" w:line="326" w:lineRule="exact"/>
        <w:rPr>
          <w:sz w:val="20"/>
          <w:szCs w:val="20"/>
          <w:color w:val="auto"/>
        </w:rPr>
      </w:pPr>
    </w:p>
    <w:p>
      <w:pPr>
        <w:jc w:val="both"/>
        <w:ind w:left="200" w:right="220"/>
        <w:spacing w:after="0" w:line="250" w:lineRule="auto"/>
        <w:rPr>
          <w:sz w:val="20"/>
          <w:szCs w:val="20"/>
          <w:color w:val="auto"/>
        </w:rPr>
      </w:pPr>
      <w:r>
        <w:rPr>
          <w:rFonts w:ascii="Arial" w:cs="Arial" w:eastAsia="Arial" w:hAnsi="Arial"/>
          <w:sz w:val="14"/>
          <w:szCs w:val="14"/>
          <w:color w:val="auto"/>
        </w:rPr>
        <w:t>As a result, the Board, on the recommendation of the Compensation Committee, determined to (i) suspend the Company’s Executive Non-Equity Incentive Compensation Plan with respect to 2019 and (ii) adopt (a) a new Executive Bonus Plan and (b) new retention award letters, in each case for certain key employees, including the named executive officers. See our Current Report on Form 8-K filed April 2, 2019 for detailed information regarding the Executive Bonus Plan and new retention award letters.</w:t>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40"/>
        <w:spacing w:after="0" w:line="247"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matching contributions to our 401(k) plan and other contribution plans. The amounts of these perquisites are shown in the 2018 Summary Compensation Table and the related footnotes. In April 2018, we discontinued the car allowance for all executive officers.</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jc w:val="both"/>
        <w:ind w:left="200" w:right="120"/>
        <w:spacing w:after="0" w:line="250"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provide reasonable and customary expatriate benefits, including relocation expenses, housing allowance and educational expenses for dependent children. The types and values of expatriate benefits for each NEO are shown in the 2018 Summary Compensation Table and notes to that table.</w:t>
      </w:r>
    </w:p>
    <w:p>
      <w:pPr>
        <w:spacing w:after="0" w:line="172" w:lineRule="exact"/>
        <w:rPr>
          <w:sz w:val="20"/>
          <w:szCs w:val="20"/>
          <w:color w:val="auto"/>
        </w:rPr>
      </w:pPr>
    </w:p>
    <w:p>
      <w:pPr>
        <w:ind w:left="200"/>
        <w:spacing w:after="0" w:line="248"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325"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tax policy provided to NEOs assigned to Switzerland receiving expatriate benefits, i.e., only Mr. Bausch, follows a hypothetical tax model in which 30% of his base salary and 35% for all other incentive compensation is deducted from his salary, bonus and equity income, with no deductions and no exemptions. The fixed hypothetical tax withholding is intended to be commensurate with a typical executive’s effective home country tax rate and applies irrespective of whether the executives incur actual home country tax. Weatherford, in turn, pays income and social taxes on behalf of the executive to the extent required on company related income. NEOs are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right="920"/>
        <w:spacing w:after="0" w:line="281" w:lineRule="auto"/>
        <w:rPr>
          <w:sz w:val="20"/>
          <w:szCs w:val="20"/>
          <w:color w:val="auto"/>
        </w:rPr>
      </w:pPr>
      <w:r>
        <w:rPr>
          <w:rFonts w:ascii="Arial" w:cs="Arial" w:eastAsia="Arial" w:hAnsi="Arial"/>
          <w:sz w:val="43"/>
          <w:szCs w:val="43"/>
          <w:b w:val="1"/>
          <w:bCs w:val="1"/>
          <w:color w:val="C3002F"/>
        </w:rPr>
        <w:t>OTHER GENERALLY AVAILABLE BENEFITS AND COMPENSATION</w:t>
      </w:r>
    </w:p>
    <w:p>
      <w:pPr>
        <w:spacing w:after="0" w:line="116" w:lineRule="exact"/>
        <w:rPr>
          <w:sz w:val="20"/>
          <w:szCs w:val="20"/>
          <w:color w:val="auto"/>
        </w:rPr>
      </w:pPr>
    </w:p>
    <w:p>
      <w:pPr>
        <w:ind w:left="200"/>
        <w:spacing w:after="0" w:line="246"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or other pension plan depending on their jurisdiction (e.g., Switzerland), as well as health, medical and welfare programs. We also pay life insurance premiums on their behalf. Additionally, our NEOs are entitled to severance benefits under: (i) with respect to all current NEOs, a Change in Control Agreement; (ii) with respect to Mr. McCollum, an individually tailored inducement arrangement; and (iii) with respect to all executive officers, excluding Mr. McCollum, our general severance guidelines. These agreements and guidelines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195580</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EXECUTIVE EMPLOYMENT AGREEMENTS</w:t>
      </w:r>
    </w:p>
    <w:p>
      <w:pPr>
        <w:spacing w:after="0" w:line="280"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No current NEO has an employment agreement. In January 2018, we gave notice of non-renewal of the last remaining executive employment agreement to Mr. Doug Mills, our former Chief Accounting Officer. Mr. Mills exercised his right to terminate the agreement effective April 15, 2018. Benefits paid to Mr. Mills under his employment agreement are further described below and in the “2018 Summary Compensation Table” on page 33.</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In connection with the separation of Mr. Mills and in accordance with the terms of his employment agreement, the Company paid Mr. Mills accrued vacation of $17,367, a pro-rated 2018 bonus calculated at $41,673, and an additional amount of $700,000 (representing one times the sum of base salary plus annual bonus calculated at a target level), plus interest on certain deferred amounts estimated at $3,800. Further, in settlement of long-term equity-based incentive awards, Mr. Mills received a gross distribution of 120,693 of the Company’s ordinary shares with respect to RSUs. At the election of Mr. Mills, shares were withheld to satisfy the minimum tax withholding requirements. All payments and benefits were paid pursuant to the terms of the historical employment agreement and equity award agreements of Mr. Mills. Additionally, he received a separate cash payment in the amount of $525,000 in exchange for a general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231140</wp:posOffset>
            </wp:positionV>
            <wp:extent cx="8318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CHANGE IN CONTROL AGREEMENT</w:t>
      </w:r>
    </w:p>
    <w:p>
      <w:pPr>
        <w:spacing w:after="0" w:line="265"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Each of our current NEOs, Mr. McCollum, Mr. Bausch, Mrs. Ibrahim, Mr. Blanchard and Mr. Fraser, as used in this section, the “executives,” are party to a Change in Control Agreement (the “CIC Agreement”) with the Company.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w:t>
      </w:r>
    </w:p>
    <w:p>
      <w:pPr>
        <w:spacing w:after="0" w:line="164"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employment is terminated by the Company or its successor within six months preceding or at any time following a change of control of the Company, other than for “cause,” or by the executive for “good reason,” as those terms are defined in the agreement, they are entitled to receive:</w:t>
      </w:r>
    </w:p>
    <w:p>
      <w:pPr>
        <w:spacing w:after="0" w:line="202" w:lineRule="exact"/>
        <w:rPr>
          <w:sz w:val="20"/>
          <w:szCs w:val="20"/>
          <w:color w:val="auto"/>
        </w:rPr>
      </w:pPr>
    </w:p>
    <w:p>
      <w:pPr>
        <w:ind w:left="420" w:right="800" w:hanging="216"/>
        <w:spacing w:after="0" w:line="258" w:lineRule="auto"/>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a lump sum cash payment equal to two or three times the sum of the highest base salary received in the preceding three years and the annual incentive cash compensation averaged over the preceding three years;</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any accrued salary, target annual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continuation for two or three years of all dental and health benefits, provided they remain responsible for the monthly employee contribution;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177"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Upon a change of control, the executive’s equity awards will vest, any applicable forfeiture restrictions will lapse and the multiplier for the PSUs will be 2x. We have agreed to pay legal fees and expenses reasonably incurred by the executives in any disputes regarding the change of control, provided that they agree to reimburse for those fees and expenses if they act in bad faith in connection with any dispute. Benefits potentially payable to the executives under CIC Agreements are further described under “Estimate of Potential Payments upon Termination or Change of Control”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3" w:lineRule="exact"/>
        <w:rPr>
          <w:sz w:val="20"/>
          <w:szCs w:val="20"/>
          <w:color w:val="auto"/>
        </w:rPr>
      </w:pPr>
    </w:p>
    <w:p>
      <w:pPr>
        <w:ind w:left="200" w:right="960"/>
        <w:spacing w:after="0" w:line="278" w:lineRule="auto"/>
        <w:rPr>
          <w:sz w:val="20"/>
          <w:szCs w:val="20"/>
          <w:color w:val="auto"/>
        </w:rPr>
      </w:pPr>
      <w:r>
        <w:rPr>
          <w:rFonts w:ascii="Arial" w:cs="Arial" w:eastAsia="Arial" w:hAnsi="Arial"/>
          <w:sz w:val="29"/>
          <w:szCs w:val="29"/>
          <w:b w:val="1"/>
          <w:bCs w:val="1"/>
          <w:color w:val="C3002F"/>
        </w:rPr>
        <w:t>EXECUTIVE SEVERANCE GUIDELINES, SEVERANCE AND TERMINATION BENEFITS</w:t>
      </w:r>
    </w:p>
    <w:p>
      <w:pPr>
        <w:spacing w:after="0" w:line="164" w:lineRule="exact"/>
        <w:rPr>
          <w:sz w:val="20"/>
          <w:szCs w:val="20"/>
          <w:color w:val="auto"/>
        </w:rPr>
      </w:pPr>
    </w:p>
    <w:p>
      <w:pPr>
        <w:ind w:left="200" w:right="100"/>
        <w:spacing w:after="0" w:line="258" w:lineRule="auto"/>
        <w:rPr>
          <w:sz w:val="20"/>
          <w:szCs w:val="20"/>
          <w:color w:val="auto"/>
        </w:rPr>
      </w:pPr>
      <w:r>
        <w:rPr>
          <w:rFonts w:ascii="Arial" w:cs="Arial" w:eastAsia="Arial" w:hAnsi="Arial"/>
          <w:sz w:val="14"/>
          <w:szCs w:val="14"/>
          <w:color w:val="auto"/>
        </w:rPr>
        <w:t>The Committee has adopted a framework for severance arrangements for corporate officers, which we refer to as our executive severance guidelines. These guidelines are designed to set consistent parameters for corporate officers who are terminated for reasons other than performance or cause, and include payments as follows:</w:t>
      </w:r>
    </w:p>
    <w:p>
      <w:pPr>
        <w:spacing w:after="0" w:line="194" w:lineRule="exact"/>
        <w:rPr>
          <w:sz w:val="20"/>
          <w:szCs w:val="20"/>
          <w:color w:val="auto"/>
        </w:rPr>
      </w:pPr>
    </w:p>
    <w:p>
      <w:pPr>
        <w:ind w:left="420" w:hanging="216"/>
        <w:spacing w:after="0"/>
        <w:tabs>
          <w:tab w:leader="none" w:pos="42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Cash Amount (Salary Based): 12 to 18 months of base salary.</w:t>
      </w:r>
    </w:p>
    <w:p>
      <w:pPr>
        <w:spacing w:after="0" w:line="217" w:lineRule="exact"/>
        <w:rPr>
          <w:rFonts w:ascii="Arial" w:cs="Arial" w:eastAsia="Arial" w:hAnsi="Arial"/>
          <w:sz w:val="14"/>
          <w:szCs w:val="14"/>
          <w:color w:val="C3002F"/>
        </w:rPr>
      </w:pPr>
    </w:p>
    <w:p>
      <w:pPr>
        <w:ind w:left="420" w:right="120" w:hanging="216"/>
        <w:spacing w:after="0" w:line="258" w:lineRule="auto"/>
        <w:tabs>
          <w:tab w:leader="none" w:pos="42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Cash Amount (EICP/Bonus Based): If terminated in the first half of any fiscal year, none; if terminated in second half of any fiscal year, a pro-rata bonus based on actual achievement may be part of the severance package at the discretion of the CEO.</w:t>
      </w:r>
    </w:p>
    <w:p>
      <w:pPr>
        <w:spacing w:after="0" w:line="194" w:lineRule="exact"/>
        <w:rPr>
          <w:rFonts w:ascii="Arial" w:cs="Arial" w:eastAsia="Arial" w:hAnsi="Arial"/>
          <w:sz w:val="14"/>
          <w:szCs w:val="14"/>
          <w:color w:val="C3002F"/>
        </w:rPr>
      </w:pPr>
    </w:p>
    <w:p>
      <w:pPr>
        <w:ind w:left="420" w:hanging="216"/>
        <w:spacing w:after="0" w:line="258" w:lineRule="auto"/>
        <w:tabs>
          <w:tab w:leader="none" w:pos="42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Equity Amount: RSUs vesting in the 12 months following termination may be accelerated or cash in lieu may be provided, each at the discretion of the CEO. No action will be taken with respect to PSUs, which will be forfeited.</w:t>
      </w:r>
    </w:p>
    <w:p>
      <w:pPr>
        <w:spacing w:after="0" w:line="154"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The only exception to our executive severance guidelines is Mr. McCollum. In the event he is terminated by the Company without “cause” or he leaves for “good reason,” each as defined in the CIC Agreements (see above), in lieu of payments under the above severance guidelines, he will receive cash in an amount equal to two times base salary and his remaining RSU inducement award (consisting of 411,334 RSUs) will vest.</w:t>
      </w:r>
    </w:p>
    <w:p>
      <w:pPr>
        <w:spacing w:after="0" w:line="172"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potential payments that each of our current NEOs would have received if a termination of employment had occurred on December 31, 2018, under their respective agreements, arrangements and the executive severance guidelines are set forth under the section entitled “Estimate of Potential Payments Upon Termination or Change of Control”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560" w:hanging="356"/>
        <w:spacing w:after="0"/>
        <w:tabs>
          <w:tab w:leader="none" w:pos="560" w:val="left"/>
        </w:tabs>
        <w:numPr>
          <w:ilvl w:val="0"/>
          <w:numId w:val="5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CLAWBACK POLICY</w:t>
      </w:r>
    </w:p>
    <w:p>
      <w:pPr>
        <w:spacing w:after="0" w:line="280"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right="192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173355</wp:posOffset>
            </wp:positionV>
            <wp:extent cx="8318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4" w:lineRule="exact"/>
        <w:rPr>
          <w:sz w:val="20"/>
          <w:szCs w:val="20"/>
          <w:color w:val="auto"/>
        </w:rPr>
      </w:pPr>
    </w:p>
    <w:p>
      <w:pPr>
        <w:ind w:left="200" w:right="480"/>
        <w:spacing w:after="0" w:line="281" w:lineRule="auto"/>
        <w:rPr>
          <w:sz w:val="20"/>
          <w:szCs w:val="20"/>
          <w:color w:val="auto"/>
        </w:rPr>
      </w:pPr>
      <w:r>
        <w:rPr>
          <w:rFonts w:ascii="Arial" w:cs="Arial" w:eastAsia="Arial" w:hAnsi="Arial"/>
          <w:sz w:val="43"/>
          <w:szCs w:val="43"/>
          <w:b w:val="1"/>
          <w:bCs w:val="1"/>
          <w:color w:val="C3002F"/>
        </w:rPr>
        <w:t>OVERSIGHT OF OUR EXECUTIVE COMPENSATION PRACTICES</w:t>
      </w:r>
    </w:p>
    <w:p>
      <w:pPr>
        <w:spacing w:after="0" w:line="116"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Our executive compensation program is administered by the Compensation Committee (the “Committee”) of the Board of Directors. The Committee currently consists of four directors: Mohamed A. Awad, Roxanne J. Decyk, John D. Gass (Chair) and Guillermo Ortiz. Currently, and at all times in 2018, all of the persons serving on the Committee were independent, as defined by the standards of the NYSE, and satisfied the qualification standards of Section 16 of the Exchange Act. The members of the Committee draw upon a combination of their respective business experience, other board service and advice from our independent compensation consultant in order to keep themselves abreast of current trends and best practices in the area of executive compensation.</w:t>
      </w:r>
    </w:p>
    <w:p>
      <w:pPr>
        <w:spacing w:after="0" w:line="164" w:lineRule="exact"/>
        <w:rPr>
          <w:sz w:val="20"/>
          <w:szCs w:val="20"/>
          <w:color w:val="auto"/>
        </w:rPr>
      </w:pPr>
    </w:p>
    <w:p>
      <w:pPr>
        <w:ind w:left="200" w:right="480"/>
        <w:spacing w:after="0" w:line="258" w:lineRule="auto"/>
        <w:rPr>
          <w:sz w:val="20"/>
          <w:szCs w:val="20"/>
          <w:color w:val="auto"/>
        </w:rPr>
      </w:pPr>
      <w:r>
        <w:rPr>
          <w:rFonts w:ascii="Arial" w:cs="Arial" w:eastAsia="Arial" w:hAnsi="Arial"/>
          <w:sz w:val="14"/>
          <w:szCs w:val="14"/>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3160"/>
        <w:spacing w:after="0" w:line="281" w:lineRule="auto"/>
        <w:rPr>
          <w:sz w:val="20"/>
          <w:szCs w:val="20"/>
          <w:color w:val="auto"/>
        </w:rPr>
      </w:pPr>
      <w:r>
        <w:rPr>
          <w:rFonts w:ascii="Arial" w:cs="Arial" w:eastAsia="Arial" w:hAnsi="Arial"/>
          <w:sz w:val="43"/>
          <w:szCs w:val="43"/>
          <w:b w:val="1"/>
          <w:bCs w:val="1"/>
          <w:color w:val="C3002F"/>
        </w:rPr>
        <w:t>COMPENSATION CONSULTANTS AND INDEPENDENCE</w:t>
      </w:r>
    </w:p>
    <w:p>
      <w:pPr>
        <w:spacing w:after="0" w:line="11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As set forth in its charter, which can be found on our website (www.weatherford.com), the Committee has the authority to retain and terminate compensation consultants to provide advice to the Committee. The Committee has retained Meridian to provide information, analyses, and advice regarding executive compensation, as well as independent support and guidance for the Company’s compensation practices. The NYSE has adopted guidelines for compensation committees to consider when identifying Committee advisor independence. The Committee reviewed these guidelines and determined that Meridian is an independent consultant, and Meridian does not perform services for the Company other than those related to executive and non-employee director compensation.</w:t>
      </w:r>
    </w:p>
    <w:p>
      <w:pPr>
        <w:spacing w:after="0" w:line="164" w:lineRule="exact"/>
        <w:rPr>
          <w:sz w:val="20"/>
          <w:szCs w:val="20"/>
          <w:color w:val="auto"/>
        </w:rPr>
      </w:pPr>
    </w:p>
    <w:p>
      <w:pPr>
        <w:ind w:left="200" w:right="360"/>
        <w:spacing w:after="0" w:line="258" w:lineRule="auto"/>
        <w:rPr>
          <w:sz w:val="20"/>
          <w:szCs w:val="20"/>
          <w:color w:val="auto"/>
        </w:rPr>
      </w:pPr>
      <w:r>
        <w:rPr>
          <w:rFonts w:ascii="Arial" w:cs="Arial" w:eastAsia="Arial" w:hAnsi="Arial"/>
          <w:sz w:val="14"/>
          <w:szCs w:val="14"/>
          <w:color w:val="auto"/>
        </w:rPr>
        <w:t>Our management communicates with Meridian and provides data to Meridian regarding our executive officers, but does not direct Meridian’s activities. Meridian has not performed or provided compensation services in the past to our management.</w:t>
      </w:r>
    </w:p>
    <w:p>
      <w:pPr>
        <w:spacing w:after="0" w:line="352" w:lineRule="exact"/>
        <w:rPr>
          <w:sz w:val="20"/>
          <w:szCs w:val="20"/>
          <w:color w:val="auto"/>
        </w:rPr>
      </w:pPr>
    </w:p>
    <w:p>
      <w:pPr>
        <w:ind w:left="200" w:right="2480"/>
        <w:spacing w:after="0" w:line="281" w:lineRule="auto"/>
        <w:rPr>
          <w:sz w:val="20"/>
          <w:szCs w:val="20"/>
          <w:color w:val="auto"/>
        </w:rPr>
      </w:pPr>
      <w:r>
        <w:rPr>
          <w:rFonts w:ascii="Arial" w:cs="Arial" w:eastAsia="Arial" w:hAnsi="Arial"/>
          <w:sz w:val="43"/>
          <w:szCs w:val="43"/>
          <w:b w:val="1"/>
          <w:bCs w:val="1"/>
          <w:color w:val="C3002F"/>
        </w:rPr>
        <w:t>COMPENSATION PRINCIPLES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C3002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3" w:lineRule="exact"/>
        <w:rPr>
          <w:sz w:val="20"/>
          <w:szCs w:val="20"/>
          <w:color w:val="auto"/>
        </w:rPr>
      </w:pPr>
    </w:p>
    <w:p>
      <w:pPr>
        <w:ind w:left="660" w:right="14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pay annual cash bonuses to NEOs only on the achievement of pre-determined and measurable objectives that benefit our Company and</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w:t>
      </w:r>
    </w:p>
    <w:p>
      <w:pPr>
        <w:spacing w:after="0" w:line="49" w:lineRule="exact"/>
        <w:rPr>
          <w:rFonts w:ascii="MS PGothic" w:cs="MS PGothic" w:eastAsia="MS PGothic" w:hAnsi="MS PGothic"/>
          <w:sz w:val="14"/>
          <w:szCs w:val="14"/>
          <w:color w:val="C3002F"/>
        </w:rPr>
      </w:pPr>
    </w:p>
    <w:p>
      <w:pPr>
        <w:ind w:left="660" w:right="20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Share Ownership Guidelines. </w:t>
      </w:r>
      <w:r>
        <w:rPr>
          <w:rFonts w:ascii="Arial" w:cs="Arial" w:eastAsia="Arial" w:hAnsi="Arial"/>
          <w:sz w:val="14"/>
          <w:szCs w:val="14"/>
          <w:color w:val="auto"/>
        </w:rPr>
        <w:t>Subject to a five year transition period, each of our NEOs must hold the equity equivalent in value of three times (or six times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case of the CEO) their base salary.</w:t>
      </w:r>
    </w:p>
    <w:p>
      <w:pPr>
        <w:spacing w:after="0" w:line="49" w:lineRule="exact"/>
        <w:rPr>
          <w:rFonts w:ascii="MS PGothic" w:cs="MS PGothic" w:eastAsia="MS PGothic" w:hAnsi="MS PGothic"/>
          <w:sz w:val="14"/>
          <w:szCs w:val="14"/>
          <w:color w:val="C3002F"/>
        </w:rPr>
      </w:pPr>
    </w:p>
    <w:p>
      <w:pPr>
        <w:ind w:left="660" w:right="220" w:hanging="376"/>
        <w:spacing w:after="0" w:line="263"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Clawbacks. </w:t>
      </w:r>
      <w:r>
        <w:rPr>
          <w:rFonts w:ascii="Arial" w:cs="Arial" w:eastAsia="Arial" w:hAnsi="Arial"/>
          <w:sz w:val="14"/>
          <w:szCs w:val="14"/>
          <w:color w:val="auto"/>
        </w:rPr>
        <w:t>We can recover performance-based compensation, both cash and equity, paid to executives but subsequently determined not to have been earned</w:t>
      </w:r>
      <w:r>
        <w:rPr>
          <w:rFonts w:ascii="Arial" w:cs="Arial" w:eastAsia="Arial" w:hAnsi="Arial"/>
          <w:sz w:val="14"/>
          <w:szCs w:val="14"/>
          <w:b w:val="1"/>
          <w:bCs w:val="1"/>
          <w:color w:val="auto"/>
        </w:rPr>
        <w:t xml:space="preserve"> </w:t>
      </w:r>
      <w:r>
        <w:rPr>
          <w:rFonts w:ascii="Arial" w:cs="Arial" w:eastAsia="Arial" w:hAnsi="Arial"/>
          <w:sz w:val="14"/>
          <w:szCs w:val="14"/>
          <w:color w:val="auto"/>
        </w:rPr>
        <w:t>because financial results are restated, including if an officer has engaged in fraud, willful misconduct, or gross negligence that has directly caused or contributed to the need for a material restatement of our financial statements.</w:t>
      </w:r>
    </w:p>
    <w:p>
      <w:pPr>
        <w:spacing w:after="0" w:line="64" w:lineRule="exact"/>
        <w:rPr>
          <w:rFonts w:ascii="MS PGothic" w:cs="MS PGothic" w:eastAsia="MS PGothic" w:hAnsi="MS PGothic"/>
          <w:sz w:val="14"/>
          <w:szCs w:val="14"/>
          <w:color w:val="C3002F"/>
        </w:rPr>
      </w:pPr>
    </w:p>
    <w:p>
      <w:pPr>
        <w:ind w:left="660" w:right="2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Double-Trigger Vesting. </w:t>
      </w:r>
      <w:r>
        <w:rPr>
          <w:rFonts w:ascii="Arial" w:cs="Arial" w:eastAsia="Arial" w:hAnsi="Arial"/>
          <w:sz w:val="14"/>
          <w:szCs w:val="14"/>
          <w:color w:val="auto"/>
        </w:rPr>
        <w:t>The change of control provisions in the change of control agreements are “double-trigger” arrangements with respect to compensation other</w:t>
      </w:r>
      <w:r>
        <w:rPr>
          <w:rFonts w:ascii="Arial" w:cs="Arial" w:eastAsia="Arial" w:hAnsi="Arial"/>
          <w:sz w:val="14"/>
          <w:szCs w:val="14"/>
          <w:b w:val="1"/>
          <w:bCs w:val="1"/>
          <w:color w:val="auto"/>
        </w:rPr>
        <w:t xml:space="preserve"> </w:t>
      </w:r>
      <w:r>
        <w:rPr>
          <w:rFonts w:ascii="Arial" w:cs="Arial" w:eastAsia="Arial" w:hAnsi="Arial"/>
          <w:sz w:val="14"/>
          <w:szCs w:val="14"/>
          <w:color w:val="auto"/>
        </w:rPr>
        <w:t>than equity awards.</w:t>
      </w:r>
    </w:p>
    <w:p>
      <w:pPr>
        <w:spacing w:after="0" w:line="49" w:lineRule="exact"/>
        <w:rPr>
          <w:rFonts w:ascii="MS PGothic" w:cs="MS PGothic" w:eastAsia="MS PGothic" w:hAnsi="MS PGothic"/>
          <w:sz w:val="14"/>
          <w:szCs w:val="14"/>
          <w:color w:val="C3002F"/>
        </w:rPr>
      </w:pPr>
    </w:p>
    <w:p>
      <w:pPr>
        <w:ind w:left="660" w:right="340" w:hanging="376"/>
        <w:spacing w:after="0" w:line="285"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Independent Compensation Committee and Compensation Consultant. </w:t>
      </w:r>
      <w:r>
        <w:rPr>
          <w:rFonts w:ascii="Arial" w:cs="Arial" w:eastAsia="Arial" w:hAnsi="Arial"/>
          <w:sz w:val="14"/>
          <w:szCs w:val="14"/>
          <w:color w:val="auto"/>
        </w:rPr>
        <w:t>Only independent directors serve on the Compensation Committee. Additionally,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engages an independent compensation consultant and meets with the consultant in executive sessions.</w:t>
      </w:r>
    </w:p>
    <w:p>
      <w:pPr>
        <w:spacing w:after="0" w:line="49" w:lineRule="exact"/>
        <w:rPr>
          <w:rFonts w:ascii="MS PGothic" w:cs="MS PGothic" w:eastAsia="MS PGothic" w:hAnsi="MS PGothic"/>
          <w:sz w:val="14"/>
          <w:szCs w:val="14"/>
          <w:color w:val="C3002F"/>
        </w:rPr>
      </w:pPr>
    </w:p>
    <w:p>
      <w:pPr>
        <w:ind w:left="660" w:right="40" w:hanging="376"/>
        <w:spacing w:after="0" w:line="263" w:lineRule="auto"/>
        <w:tabs>
          <w:tab w:leader="none" w:pos="660" w:val="left"/>
        </w:tabs>
        <w:numPr>
          <w:ilvl w:val="0"/>
          <w:numId w:val="57"/>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Annual Risk Assessment. </w:t>
      </w:r>
      <w:r>
        <w:rPr>
          <w:rFonts w:ascii="Arial" w:cs="Arial" w:eastAsia="Arial" w:hAnsi="Arial"/>
          <w:sz w:val="14"/>
          <w:szCs w:val="14"/>
          <w:color w:val="auto"/>
        </w:rPr>
        <w:t>We conduct an annual comprehensive risk analysis of our executive compensation program with our independent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consultant to ensure that our program does not encourage inappropriate risk-taking. We also annually review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6997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-635635</wp:posOffset>
            </wp:positionV>
            <wp:extent cx="6997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-909955</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-1287780</wp:posOffset>
            </wp:positionV>
            <wp:extent cx="6997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-1562100</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0" w:gutter="0" w:footer="0" w:header="0"/>
        </w:sectPr>
      </w:pPr>
    </w:p>
    <w:bookmarkStart w:id="43" w:name="page44"/>
    <w:bookmarkEnd w:id="43"/>
    <w:p>
      <w:pPr>
        <w:ind w:left="6180"/>
        <w:spacing w:after="0"/>
        <w:tabs>
          <w:tab w:leader="none" w:pos="98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29</w:t>
      </w:r>
    </w:p>
    <w:p>
      <w:pPr>
        <w:sectPr>
          <w:pgSz w:w="11900" w:h="16838" w:orient="portrait"/>
          <w:cols w:equalWidth="0" w:num="1">
            <w:col w:w="10020"/>
          </w:cols>
          <w:pgMar w:left="1440" w:top="12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4" w:lineRule="exact"/>
        <w:rPr>
          <w:sz w:val="20"/>
          <w:szCs w:val="20"/>
          <w:color w:val="auto"/>
        </w:rPr>
      </w:pPr>
    </w:p>
    <w:p>
      <w:pPr>
        <w:ind w:left="660" w:right="140" w:hanging="376"/>
        <w:spacing w:after="0" w:line="285" w:lineRule="auto"/>
        <w:tabs>
          <w:tab w:leader="none" w:pos="660" w:val="left"/>
        </w:tabs>
        <w:numPr>
          <w:ilvl w:val="0"/>
          <w:numId w:val="58"/>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Reward Future Performance. </w:t>
      </w:r>
      <w:r>
        <w:rPr>
          <w:rFonts w:ascii="Arial" w:cs="Arial" w:eastAsia="Arial" w:hAnsi="Arial"/>
          <w:sz w:val="14"/>
          <w:szCs w:val="14"/>
          <w:color w:val="auto"/>
        </w:rPr>
        <w:t>2018 RSU awards vest ratably over a three-year period and reward for sustained future performance rather than past behavior. PSU</w:t>
      </w:r>
      <w:r>
        <w:rPr>
          <w:rFonts w:ascii="Arial" w:cs="Arial" w:eastAsia="Arial" w:hAnsi="Arial"/>
          <w:sz w:val="14"/>
          <w:szCs w:val="14"/>
          <w:b w:val="1"/>
          <w:bCs w:val="1"/>
          <w:color w:val="auto"/>
        </w:rPr>
        <w:t xml:space="preserve"> </w:t>
      </w:r>
      <w:r>
        <w:rPr>
          <w:rFonts w:ascii="Arial" w:cs="Arial" w:eastAsia="Arial" w:hAnsi="Arial"/>
          <w:sz w:val="14"/>
          <w:szCs w:val="14"/>
          <w:color w:val="auto"/>
        </w:rPr>
        <w:t>awards do not vest if our share price does not increase. In 2018, we changed PSU awards to a three-year cliff in lieu of annual 1/3 vesting.</w:t>
      </w:r>
    </w:p>
    <w:p>
      <w:pPr>
        <w:spacing w:after="0" w:line="49" w:lineRule="exact"/>
        <w:rPr>
          <w:rFonts w:ascii="MS PGothic" w:cs="MS PGothic" w:eastAsia="MS PGothic" w:hAnsi="MS PGothic"/>
          <w:sz w:val="14"/>
          <w:szCs w:val="14"/>
          <w:color w:val="C3002F"/>
        </w:rPr>
      </w:pPr>
    </w:p>
    <w:p>
      <w:pPr>
        <w:ind w:left="660" w:right="360" w:hanging="376"/>
        <w:spacing w:after="0" w:line="285" w:lineRule="auto"/>
        <w:tabs>
          <w:tab w:leader="none" w:pos="660" w:val="left"/>
        </w:tabs>
        <w:numPr>
          <w:ilvl w:val="0"/>
          <w:numId w:val="58"/>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Peer Group Comparison. </w:t>
      </w:r>
      <w:r>
        <w:rPr>
          <w:rFonts w:ascii="Arial" w:cs="Arial" w:eastAsia="Arial" w:hAnsi="Arial"/>
          <w:sz w:val="14"/>
          <w:szCs w:val="14"/>
          <w:color w:val="auto"/>
        </w:rPr>
        <w:t>We compare our executives’ total compensation to a consistent peer group for market comparable data. We evaluate that peer group</w:t>
      </w:r>
      <w:r>
        <w:rPr>
          <w:rFonts w:ascii="Arial" w:cs="Arial" w:eastAsia="Arial" w:hAnsi="Arial"/>
          <w:sz w:val="14"/>
          <w:szCs w:val="14"/>
          <w:b w:val="1"/>
          <w:bCs w:val="1"/>
          <w:color w:val="auto"/>
        </w:rPr>
        <w:t xml:space="preserve"> </w:t>
      </w:r>
      <w:r>
        <w:rPr>
          <w:rFonts w:ascii="Arial" w:cs="Arial" w:eastAsia="Arial" w:hAnsi="Arial"/>
          <w:sz w:val="14"/>
          <w:szCs w:val="14"/>
          <w:color w:val="auto"/>
        </w:rPr>
        <w:t>annually to ensure that it remains appropriate, and we add or remove peers only when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wp:posOffset>
            </wp:positionV>
            <wp:extent cx="6997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-267970</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168910</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C3002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3" w:lineRule="exact"/>
        <w:rPr>
          <w:sz w:val="20"/>
          <w:szCs w:val="20"/>
          <w:color w:val="auto"/>
        </w:rPr>
      </w:pPr>
    </w:p>
    <w:p>
      <w:pPr>
        <w:ind w:left="700" w:hanging="416"/>
        <w:spacing w:after="0"/>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Discretionary Bonuses. </w:t>
      </w:r>
      <w:r>
        <w:rPr>
          <w:rFonts w:ascii="Arial" w:cs="Arial" w:eastAsia="Arial" w:hAnsi="Arial"/>
          <w:sz w:val="14"/>
          <w:szCs w:val="14"/>
          <w:color w:val="auto"/>
        </w:rPr>
        <w:t>We do not pay discretionary bonuses except in the case of extraordinary achievement or sign-on bonuses.</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Guaranteed Bonuses. </w:t>
      </w:r>
      <w:r>
        <w:rPr>
          <w:rFonts w:ascii="Arial" w:cs="Arial" w:eastAsia="Arial" w:hAnsi="Arial"/>
          <w:sz w:val="14"/>
          <w:szCs w:val="14"/>
          <w:color w:val="auto"/>
        </w:rPr>
        <w:t>We do not pay guaranteed bonuses and we do not pay multi-year bonuses.</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Automatic Base Salary Increases. </w:t>
      </w:r>
      <w:r>
        <w:rPr>
          <w:rFonts w:ascii="Arial" w:cs="Arial" w:eastAsia="Arial" w:hAnsi="Arial"/>
          <w:sz w:val="14"/>
          <w:szCs w:val="14"/>
          <w:color w:val="auto"/>
        </w:rPr>
        <w:t>Our NEOs base salaries are reviewed annually and are not automatically increased each year.</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Tax Gross-Ups. </w:t>
      </w:r>
      <w:r>
        <w:rPr>
          <w:rFonts w:ascii="Arial" w:cs="Arial" w:eastAsia="Arial" w:hAnsi="Arial"/>
          <w:sz w:val="14"/>
          <w:szCs w:val="14"/>
          <w:color w:val="auto"/>
        </w:rPr>
        <w:t>We do not provide tax gross-ups related to Section 280G or Section 409A of the Code.</w:t>
      </w:r>
    </w:p>
    <w:p>
      <w:pPr>
        <w:spacing w:after="0" w:line="109" w:lineRule="exact"/>
        <w:rPr>
          <w:rFonts w:ascii="Arial" w:cs="Arial" w:eastAsia="Arial" w:hAnsi="Arial"/>
          <w:sz w:val="14"/>
          <w:szCs w:val="14"/>
          <w:color w:val="C3002F"/>
        </w:rPr>
      </w:pPr>
    </w:p>
    <w:p>
      <w:pPr>
        <w:ind w:left="700" w:hanging="416"/>
        <w:spacing w:after="0"/>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Hedging Company Stock. </w:t>
      </w:r>
      <w:r>
        <w:rPr>
          <w:rFonts w:ascii="Arial" w:cs="Arial" w:eastAsia="Arial" w:hAnsi="Arial"/>
          <w:sz w:val="14"/>
          <w:szCs w:val="14"/>
          <w:color w:val="auto"/>
        </w:rPr>
        <w:t>We prohibit our executives and directors from engaging in hedging or derivative transactions involving our shares.</w:t>
      </w:r>
    </w:p>
    <w:p>
      <w:pPr>
        <w:spacing w:after="0" w:line="109" w:lineRule="exact"/>
        <w:rPr>
          <w:rFonts w:ascii="Arial" w:cs="Arial" w:eastAsia="Arial" w:hAnsi="Arial"/>
          <w:sz w:val="14"/>
          <w:szCs w:val="14"/>
          <w:color w:val="C3002F"/>
        </w:rPr>
      </w:pPr>
    </w:p>
    <w:p>
      <w:pPr>
        <w:ind w:left="700" w:right="420" w:hanging="416"/>
        <w:spacing w:after="0" w:line="285" w:lineRule="auto"/>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Pledging Company Stock. </w:t>
      </w:r>
      <w:r>
        <w:rPr>
          <w:rFonts w:ascii="Arial" w:cs="Arial" w:eastAsia="Arial" w:hAnsi="Arial"/>
          <w:sz w:val="14"/>
          <w:szCs w:val="14"/>
          <w:color w:val="auto"/>
        </w:rPr>
        <w:t>We prohibit our executives and directors from pledging our shares. No executives or director nominees currently pledge any of our</w:t>
      </w:r>
      <w:r>
        <w:rPr>
          <w:rFonts w:ascii="Arial" w:cs="Arial" w:eastAsia="Arial" w:hAnsi="Arial"/>
          <w:sz w:val="14"/>
          <w:szCs w:val="14"/>
          <w:b w:val="1"/>
          <w:bCs w:val="1"/>
          <w:color w:val="auto"/>
        </w:rPr>
        <w:t xml:space="preserve"> </w:t>
      </w:r>
      <w:r>
        <w:rPr>
          <w:rFonts w:ascii="Arial" w:cs="Arial" w:eastAsia="Arial" w:hAnsi="Arial"/>
          <w:sz w:val="14"/>
          <w:szCs w:val="14"/>
          <w:color w:val="auto"/>
        </w:rPr>
        <w:t>shares.</w:t>
      </w:r>
    </w:p>
    <w:p>
      <w:pPr>
        <w:spacing w:after="0" w:line="49" w:lineRule="exact"/>
        <w:rPr>
          <w:rFonts w:ascii="Arial" w:cs="Arial" w:eastAsia="Arial" w:hAnsi="Arial"/>
          <w:sz w:val="14"/>
          <w:szCs w:val="14"/>
          <w:color w:val="C3002F"/>
        </w:rPr>
      </w:pPr>
    </w:p>
    <w:p>
      <w:pPr>
        <w:ind w:left="700" w:right="280" w:hanging="416"/>
        <w:spacing w:after="0" w:line="263" w:lineRule="auto"/>
        <w:tabs>
          <w:tab w:leader="none" w:pos="700" w:val="left"/>
        </w:tabs>
        <w:numPr>
          <w:ilvl w:val="0"/>
          <w:numId w:val="59"/>
        </w:numPr>
        <w:rPr>
          <w:rFonts w:ascii="Arial" w:cs="Arial" w:eastAsia="Arial" w:hAnsi="Arial"/>
          <w:sz w:val="14"/>
          <w:szCs w:val="14"/>
          <w:color w:val="C3002F"/>
        </w:rPr>
      </w:pPr>
      <w:r>
        <w:rPr>
          <w:rFonts w:ascii="Arial" w:cs="Arial" w:eastAsia="Arial" w:hAnsi="Arial"/>
          <w:sz w:val="14"/>
          <w:szCs w:val="14"/>
          <w:b w:val="1"/>
          <w:bCs w:val="1"/>
          <w:color w:val="auto"/>
        </w:rPr>
        <w:t xml:space="preserve">Employment Agreements. </w:t>
      </w:r>
      <w:r>
        <w:rPr>
          <w:rFonts w:ascii="Arial" w:cs="Arial" w:eastAsia="Arial" w:hAnsi="Arial"/>
          <w:sz w:val="14"/>
          <w:szCs w:val="14"/>
          <w:color w:val="auto"/>
        </w:rPr>
        <w:t>In 2015, we stopped entering into new employment agreements with any existing or future executive officers. In January of 2018, we</w:t>
      </w:r>
      <w:r>
        <w:rPr>
          <w:rFonts w:ascii="Arial" w:cs="Arial" w:eastAsia="Arial" w:hAnsi="Arial"/>
          <w:sz w:val="14"/>
          <w:szCs w:val="14"/>
          <w:b w:val="1"/>
          <w:bCs w:val="1"/>
          <w:color w:val="auto"/>
        </w:rPr>
        <w:t xml:space="preserve"> </w:t>
      </w:r>
      <w:r>
        <w:rPr>
          <w:rFonts w:ascii="Arial" w:cs="Arial" w:eastAsia="Arial" w:hAnsi="Arial"/>
          <w:sz w:val="14"/>
          <w:szCs w:val="14"/>
          <w:color w:val="auto"/>
        </w:rPr>
        <w:t>gave notice of non-renewal under our remaining employment agreements to each applicable corporate or executive officer who had a legacy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-361315</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-635635</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-807085</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-978535</wp:posOffset>
            </wp:positionV>
            <wp:extent cx="6997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-1150620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-1322070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264160</wp:posOffset>
            </wp:positionV>
            <wp:extent cx="8318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COMPENSATION PHILOSOPHY AND OBJECTIVES</w:t>
      </w:r>
    </w:p>
    <w:p>
      <w:pPr>
        <w:spacing w:after="0" w:line="280"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programs are designed to:</w:t>
      </w:r>
    </w:p>
    <w:p>
      <w:pPr>
        <w:spacing w:after="0" w:line="199" w:lineRule="exact"/>
        <w:rPr>
          <w:sz w:val="20"/>
          <w:szCs w:val="20"/>
          <w:color w:val="auto"/>
        </w:rPr>
      </w:pPr>
    </w:p>
    <w:p>
      <w:pPr>
        <w:ind w:left="420" w:hanging="216"/>
        <w:spacing w:after="0"/>
        <w:tabs>
          <w:tab w:leader="none" w:pos="4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For 2018, the Committee approved base salary, annual performance compensation, and long-term incentive compensation for each NEO that was intended to be competitive with our peer group. Further, in setting the compensation of our NEOs, the Committee also took into consideration historical and individual circumstances, including our desire to attract new talent during a time of management transition. Factors also considered include tenure and experience, individual performance, anticipated future contributions, retention factors and the availability of comparable data for certain positions.</w:t>
      </w:r>
    </w:p>
    <w:p>
      <w:pPr>
        <w:spacing w:after="0" w:line="161" w:lineRule="exact"/>
        <w:rPr>
          <w:sz w:val="20"/>
          <w:szCs w:val="20"/>
          <w:color w:val="auto"/>
        </w:rPr>
      </w:pPr>
    </w:p>
    <w:p>
      <w:pPr>
        <w:ind w:left="200"/>
        <w:spacing w:after="0" w:line="248" w:lineRule="auto"/>
        <w:rPr>
          <w:sz w:val="20"/>
          <w:szCs w:val="20"/>
          <w:color w:val="auto"/>
        </w:rPr>
      </w:pPr>
      <w:r>
        <w:rPr>
          <w:rFonts w:ascii="Arial" w:cs="Arial" w:eastAsia="Arial" w:hAnsi="Arial"/>
          <w:sz w:val="14"/>
          <w:szCs w:val="14"/>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w:t>
      </w: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C3002F"/>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Our 2018 peer group was set in November 2017. Peers were selected from the following industries: (1) Equipment &amp; Services/Machinery; (2) Drilling; and (3) Exploration &amp; Production (“E&amp;P”). As in prior years, weight was given to peer companies’ (and proposed peer companies’) revenues, assets, net income, market capitalization, enterprise value, and total shareholder return for one-, three- and five- year periods.</w:t>
      </w:r>
    </w:p>
    <w:p>
      <w:pPr>
        <w:spacing w:after="0" w:line="178"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This peer group was used to develop the market data and benchmarking materials provided to the Compensation Committee to assist with the 2018 compensation decision making process and is set forth below. In connection with the Committee’s periodic review of the composition of our peer group to ensure that the companies in the group are relevant for comparative purposes, the peer group was re-evaluated in October of 2018. No changes were made to the Company’s 2018 peer group other than to reflect the business combination of Chicago Bridge &amp; Iron Company N.V. with McDermott International, Inc., as the Committee believes it remains the appropriate peer group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560" w:hanging="356"/>
        <w:spacing w:after="0"/>
        <w:tabs>
          <w:tab w:leader="none" w:pos="560" w:val="left"/>
        </w:tabs>
        <w:numPr>
          <w:ilvl w:val="0"/>
          <w:numId w:val="6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2018 PEER GROUP</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APA</w:t>
            </w:r>
          </w:p>
        </w:tc>
        <w:tc>
          <w:tcPr>
            <w:tcW w:w="2800" w:type="dxa"/>
            <w:vAlign w:val="bottom"/>
          </w:tcPr>
          <w:p>
            <w:pPr>
              <w:ind w:left="200"/>
              <w:spacing w:after="0"/>
              <w:rPr>
                <w:sz w:val="20"/>
                <w:szCs w:val="20"/>
                <w:color w:val="auto"/>
              </w:rPr>
            </w:pPr>
            <w:r>
              <w:rPr>
                <w:rFonts w:ascii="Arial" w:cs="Arial" w:eastAsia="Arial" w:hAnsi="Arial"/>
                <w:sz w:val="14"/>
                <w:szCs w:val="14"/>
                <w:color w:val="auto"/>
              </w:rPr>
              <w:t>Apache Corp.</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HES</w:t>
            </w:r>
          </w:p>
        </w:tc>
        <w:tc>
          <w:tcPr>
            <w:tcW w:w="2520" w:type="dxa"/>
            <w:vAlign w:val="bottom"/>
          </w:tcPr>
          <w:p>
            <w:pPr>
              <w:ind w:left="80"/>
              <w:spacing w:after="0"/>
              <w:rPr>
                <w:sz w:val="20"/>
                <w:szCs w:val="20"/>
                <w:color w:val="auto"/>
              </w:rPr>
            </w:pPr>
            <w:r>
              <w:rPr>
                <w:rFonts w:ascii="Arial" w:cs="Arial" w:eastAsia="Arial" w:hAnsi="Arial"/>
                <w:sz w:val="14"/>
                <w:szCs w:val="14"/>
                <w:color w:val="auto"/>
              </w:rPr>
              <w:t>Hess Corporation</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NE</w:t>
            </w:r>
          </w:p>
        </w:tc>
        <w:tc>
          <w:tcPr>
            <w:tcW w:w="2060" w:type="dxa"/>
            <w:vAlign w:val="bottom"/>
          </w:tcPr>
          <w:p>
            <w:pPr>
              <w:ind w:left="80"/>
              <w:spacing w:after="0"/>
              <w:rPr>
                <w:sz w:val="20"/>
                <w:szCs w:val="20"/>
                <w:color w:val="auto"/>
              </w:rPr>
            </w:pPr>
            <w:r>
              <w:rPr>
                <w:rFonts w:ascii="Arial" w:cs="Arial" w:eastAsia="Arial" w:hAnsi="Arial"/>
                <w:sz w:val="14"/>
                <w:szCs w:val="14"/>
                <w:color w:val="auto"/>
              </w:rPr>
              <w:t>Noble Corp plc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BHI</w:t>
            </w:r>
          </w:p>
        </w:tc>
        <w:tc>
          <w:tcPr>
            <w:tcW w:w="2800" w:type="dxa"/>
            <w:vAlign w:val="bottom"/>
          </w:tcPr>
          <w:p>
            <w:pPr>
              <w:ind w:left="200"/>
              <w:spacing w:after="0"/>
              <w:rPr>
                <w:sz w:val="20"/>
                <w:szCs w:val="20"/>
                <w:color w:val="auto"/>
              </w:rPr>
            </w:pPr>
            <w:r>
              <w:rPr>
                <w:rFonts w:ascii="Arial" w:cs="Arial" w:eastAsia="Arial" w:hAnsi="Arial"/>
                <w:sz w:val="14"/>
                <w:szCs w:val="14"/>
                <w:color w:val="auto"/>
              </w:rPr>
              <w:t>Baker Hughes, A GE Company</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MRO</w:t>
            </w:r>
          </w:p>
        </w:tc>
        <w:tc>
          <w:tcPr>
            <w:tcW w:w="2520" w:type="dxa"/>
            <w:vAlign w:val="bottom"/>
          </w:tcPr>
          <w:p>
            <w:pPr>
              <w:ind w:left="80"/>
              <w:spacing w:after="0"/>
              <w:rPr>
                <w:sz w:val="20"/>
                <w:szCs w:val="20"/>
                <w:color w:val="auto"/>
              </w:rPr>
            </w:pPr>
            <w:r>
              <w:rPr>
                <w:rFonts w:ascii="Arial" w:cs="Arial" w:eastAsia="Arial" w:hAnsi="Arial"/>
                <w:sz w:val="14"/>
                <w:szCs w:val="14"/>
                <w:color w:val="auto"/>
              </w:rPr>
              <w:t>Marathon Oil Corporation</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OII</w:t>
            </w:r>
          </w:p>
        </w:tc>
        <w:tc>
          <w:tcPr>
            <w:tcW w:w="2060" w:type="dxa"/>
            <w:vAlign w:val="bottom"/>
          </w:tcPr>
          <w:p>
            <w:pPr>
              <w:ind w:left="80"/>
              <w:spacing w:after="0"/>
              <w:rPr>
                <w:sz w:val="20"/>
                <w:szCs w:val="20"/>
                <w:color w:val="auto"/>
              </w:rPr>
            </w:pPr>
            <w:r>
              <w:rPr>
                <w:rFonts w:ascii="Arial" w:cs="Arial" w:eastAsia="Arial" w:hAnsi="Arial"/>
                <w:sz w:val="14"/>
                <w:szCs w:val="14"/>
                <w:color w:val="auto"/>
              </w:rPr>
              <w:t>Oceaneering International, Inc.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DOV</w:t>
            </w:r>
          </w:p>
        </w:tc>
        <w:tc>
          <w:tcPr>
            <w:tcW w:w="2800" w:type="dxa"/>
            <w:vAlign w:val="bottom"/>
          </w:tcPr>
          <w:p>
            <w:pPr>
              <w:ind w:left="200"/>
              <w:spacing w:after="0"/>
              <w:rPr>
                <w:sz w:val="20"/>
                <w:szCs w:val="20"/>
                <w:color w:val="auto"/>
              </w:rPr>
            </w:pPr>
            <w:r>
              <w:rPr>
                <w:rFonts w:ascii="Arial" w:cs="Arial" w:eastAsia="Arial" w:hAnsi="Arial"/>
                <w:sz w:val="14"/>
                <w:szCs w:val="14"/>
                <w:color w:val="auto"/>
              </w:rPr>
              <w:t>Dover Corporation</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MDR</w:t>
            </w:r>
          </w:p>
        </w:tc>
        <w:tc>
          <w:tcPr>
            <w:tcW w:w="2520" w:type="dxa"/>
            <w:vAlign w:val="bottom"/>
          </w:tcPr>
          <w:p>
            <w:pPr>
              <w:ind w:left="80"/>
              <w:spacing w:after="0"/>
              <w:rPr>
                <w:sz w:val="20"/>
                <w:szCs w:val="20"/>
                <w:color w:val="auto"/>
              </w:rPr>
            </w:pPr>
            <w:r>
              <w:rPr>
                <w:rFonts w:ascii="Arial" w:cs="Arial" w:eastAsia="Arial" w:hAnsi="Arial"/>
                <w:sz w:val="14"/>
                <w:szCs w:val="14"/>
                <w:color w:val="auto"/>
              </w:rPr>
              <w:t>McDermott International, Inc.</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PNR</w:t>
            </w:r>
          </w:p>
        </w:tc>
        <w:tc>
          <w:tcPr>
            <w:tcW w:w="2060" w:type="dxa"/>
            <w:vAlign w:val="bottom"/>
          </w:tcPr>
          <w:p>
            <w:pPr>
              <w:ind w:left="80"/>
              <w:spacing w:after="0"/>
              <w:rPr>
                <w:sz w:val="20"/>
                <w:szCs w:val="20"/>
                <w:color w:val="auto"/>
              </w:rPr>
            </w:pPr>
            <w:r>
              <w:rPr>
                <w:rFonts w:ascii="Arial" w:cs="Arial" w:eastAsia="Arial" w:hAnsi="Arial"/>
                <w:sz w:val="14"/>
                <w:szCs w:val="14"/>
                <w:color w:val="auto"/>
              </w:rPr>
              <w:t>Pentair plc</w:t>
            </w:r>
          </w:p>
        </w:tc>
      </w:tr>
      <w:tr>
        <w:trPr>
          <w:trHeight w:val="162"/>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ESV</w:t>
            </w:r>
          </w:p>
        </w:tc>
        <w:tc>
          <w:tcPr>
            <w:tcW w:w="2800" w:type="dxa"/>
            <w:vAlign w:val="bottom"/>
          </w:tcPr>
          <w:p>
            <w:pPr>
              <w:ind w:left="200"/>
              <w:spacing w:after="0"/>
              <w:rPr>
                <w:sz w:val="20"/>
                <w:szCs w:val="20"/>
                <w:color w:val="auto"/>
              </w:rPr>
            </w:pPr>
            <w:r>
              <w:rPr>
                <w:rFonts w:ascii="Arial" w:cs="Arial" w:eastAsia="Arial" w:hAnsi="Arial"/>
                <w:sz w:val="14"/>
                <w:szCs w:val="14"/>
                <w:color w:val="auto"/>
              </w:rPr>
              <w:t>Ensco plc</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NBR</w:t>
            </w:r>
          </w:p>
        </w:tc>
        <w:tc>
          <w:tcPr>
            <w:tcW w:w="2520" w:type="dxa"/>
            <w:vAlign w:val="bottom"/>
          </w:tcPr>
          <w:p>
            <w:pPr>
              <w:ind w:left="80"/>
              <w:spacing w:after="0"/>
              <w:rPr>
                <w:sz w:val="20"/>
                <w:szCs w:val="20"/>
                <w:color w:val="auto"/>
              </w:rPr>
            </w:pPr>
            <w:r>
              <w:rPr>
                <w:rFonts w:ascii="Arial" w:cs="Arial" w:eastAsia="Arial" w:hAnsi="Arial"/>
                <w:sz w:val="14"/>
                <w:szCs w:val="14"/>
                <w:color w:val="auto"/>
              </w:rPr>
              <w:t>Nabors Industries, Ltd.</w:t>
            </w:r>
          </w:p>
        </w:tc>
        <w:tc>
          <w:tcPr>
            <w:tcW w:w="108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auto"/>
              </w:rPr>
              <w:t>RIG</w:t>
            </w:r>
          </w:p>
        </w:tc>
        <w:tc>
          <w:tcPr>
            <w:tcW w:w="2060" w:type="dxa"/>
            <w:vAlign w:val="bottom"/>
          </w:tcPr>
          <w:p>
            <w:pPr>
              <w:ind w:left="80"/>
              <w:spacing w:after="0"/>
              <w:rPr>
                <w:sz w:val="20"/>
                <w:szCs w:val="20"/>
                <w:color w:val="auto"/>
              </w:rPr>
            </w:pPr>
            <w:r>
              <w:rPr>
                <w:rFonts w:ascii="Arial" w:cs="Arial" w:eastAsia="Arial" w:hAnsi="Arial"/>
                <w:sz w:val="14"/>
                <w:szCs w:val="14"/>
                <w:color w:val="auto"/>
              </w:rPr>
              <w:t>Transocean Ltd.</w:t>
            </w:r>
          </w:p>
        </w:tc>
      </w:tr>
      <w:tr>
        <w:trPr>
          <w:trHeight w:val="175"/>
        </w:trPr>
        <w:tc>
          <w:tcPr>
            <w:tcW w:w="4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HAL</w:t>
            </w:r>
          </w:p>
        </w:tc>
        <w:tc>
          <w:tcPr>
            <w:tcW w:w="2800" w:type="dxa"/>
            <w:vAlign w:val="bottom"/>
          </w:tcPr>
          <w:p>
            <w:pPr>
              <w:ind w:left="200"/>
              <w:spacing w:after="0"/>
              <w:rPr>
                <w:sz w:val="20"/>
                <w:szCs w:val="20"/>
                <w:color w:val="auto"/>
              </w:rPr>
            </w:pPr>
            <w:r>
              <w:rPr>
                <w:rFonts w:ascii="Arial" w:cs="Arial" w:eastAsia="Arial" w:hAnsi="Arial"/>
                <w:sz w:val="14"/>
                <w:szCs w:val="14"/>
                <w:color w:val="auto"/>
              </w:rPr>
              <w:t>Halliburton Company</w:t>
            </w: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NOV</w:t>
            </w:r>
          </w:p>
        </w:tc>
        <w:tc>
          <w:tcPr>
            <w:tcW w:w="2520" w:type="dxa"/>
            <w:vAlign w:val="bottom"/>
          </w:tcPr>
          <w:p>
            <w:pPr>
              <w:ind w:left="80"/>
              <w:spacing w:after="0"/>
              <w:rPr>
                <w:sz w:val="20"/>
                <w:szCs w:val="20"/>
                <w:color w:val="auto"/>
              </w:rPr>
            </w:pPr>
            <w:r>
              <w:rPr>
                <w:rFonts w:ascii="Arial" w:cs="Arial" w:eastAsia="Arial" w:hAnsi="Arial"/>
                <w:sz w:val="14"/>
                <w:szCs w:val="14"/>
                <w:color w:val="auto"/>
              </w:rPr>
              <w:t>National Oilwell Varco, Inc.</w:t>
            </w:r>
          </w:p>
        </w:tc>
        <w:tc>
          <w:tcPr>
            <w:tcW w:w="108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8318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9" w:lineRule="exact"/>
        <w:rPr>
          <w:sz w:val="20"/>
          <w:szCs w:val="20"/>
          <w:color w:val="auto"/>
        </w:rPr>
      </w:pPr>
    </w:p>
    <w:p>
      <w:pPr>
        <w:ind w:left="200" w:right="2320"/>
        <w:spacing w:after="0" w:line="281" w:lineRule="auto"/>
        <w:rPr>
          <w:sz w:val="20"/>
          <w:szCs w:val="20"/>
          <w:color w:val="auto"/>
        </w:rPr>
      </w:pPr>
      <w:r>
        <w:rPr>
          <w:rFonts w:ascii="Arial" w:cs="Arial" w:eastAsia="Arial" w:hAnsi="Arial"/>
          <w:sz w:val="43"/>
          <w:szCs w:val="43"/>
          <w:b w:val="1"/>
          <w:bCs w:val="1"/>
          <w:color w:val="C3002F"/>
        </w:rPr>
        <w:t>RISK ANALYSIS OF OUR COMPENSATION PROGRAMS</w:t>
      </w:r>
    </w:p>
    <w:p>
      <w:pPr>
        <w:spacing w:after="0" w:line="75"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The Committee reviews our compensation plans and policies to ensure that they do not encourage excessive risk-taking and instead encourage behaviors that support sustainable value creation. In 2018, the Committee, with the assistance of Meridian,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202" w:lineRule="exact"/>
        <w:rPr>
          <w:sz w:val="20"/>
          <w:szCs w:val="20"/>
          <w:color w:val="auto"/>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the program design provides a balanced mix of cash and equity, annual and long-term incentives, fixed and variable pay, and performance metrics;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maximum payout levels for annual cash incentives are capped;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the Committee has downward discretion over incentive program payouts;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executive officers are subject to share ownership guidelines;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compliance and ethical behaviors are integral factors considered in all performance assessments;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right="840"/>
        <w:spacing w:after="0" w:line="281" w:lineRule="auto"/>
        <w:rPr>
          <w:sz w:val="20"/>
          <w:szCs w:val="20"/>
          <w:color w:val="auto"/>
        </w:rPr>
      </w:pPr>
      <w:r>
        <w:rPr>
          <w:rFonts w:ascii="Arial" w:cs="Arial" w:eastAsia="Arial" w:hAnsi="Arial"/>
          <w:sz w:val="43"/>
          <w:szCs w:val="43"/>
          <w:b w:val="1"/>
          <w:bCs w:val="1"/>
          <w:color w:val="C3002F"/>
        </w:rPr>
        <w:t>COMPENSATION COMMITTEE INTERLOCKS AND INSIDER PARTICIPATION</w:t>
      </w:r>
    </w:p>
    <w:p>
      <w:pPr>
        <w:spacing w:after="0" w:line="116" w:lineRule="exact"/>
        <w:rPr>
          <w:sz w:val="20"/>
          <w:szCs w:val="20"/>
          <w:color w:val="auto"/>
        </w:rPr>
      </w:pPr>
    </w:p>
    <w:p>
      <w:pPr>
        <w:ind w:left="200" w:right="620"/>
        <w:spacing w:after="0" w:line="258" w:lineRule="auto"/>
        <w:rPr>
          <w:sz w:val="20"/>
          <w:szCs w:val="20"/>
          <w:color w:val="auto"/>
        </w:rPr>
      </w:pPr>
      <w:r>
        <w:rPr>
          <w:rFonts w:ascii="Arial" w:cs="Arial" w:eastAsia="Arial" w:hAnsi="Arial"/>
          <w:sz w:val="14"/>
          <w:szCs w:val="14"/>
          <w:color w:val="auto"/>
        </w:rPr>
        <w:t>As of the date hereof, the Compensation Committee’s current members are all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C3002F"/>
        </w:rPr>
        <w:t>2018 PAY FOR PERFORMANCE ALIGNMENT</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Base salaries</w:t>
            </w:r>
          </w:p>
        </w:tc>
        <w:tc>
          <w:tcPr>
            <w:tcW w:w="5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Base salaries were not changed for any officers other than Mr. Bausch who received a market-based increase due to his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960" w:type="dxa"/>
            <w:vAlign w:val="bottom"/>
          </w:tcPr>
          <w:p>
            <w:pPr>
              <w:ind w:left="60"/>
              <w:spacing w:after="0" w:line="152" w:lineRule="exact"/>
              <w:rPr>
                <w:sz w:val="20"/>
                <w:szCs w:val="20"/>
                <w:color w:val="auto"/>
              </w:rPr>
            </w:pPr>
            <w:r>
              <w:rPr>
                <w:rFonts w:ascii="Arial" w:cs="Arial" w:eastAsia="Arial" w:hAnsi="Arial"/>
                <w:sz w:val="14"/>
                <w:szCs w:val="14"/>
                <w:color w:val="auto"/>
              </w:rPr>
              <w:t>critical skills and a desire for retention.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500" w:type="dxa"/>
            <w:vAlign w:val="bottom"/>
            <w:gridSpan w:val="2"/>
          </w:tcPr>
          <w:p>
            <w:pPr>
              <w:ind w:left="4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Mr. Fraser became an executive officer in April of 2018. His salary was based on market factors, responsibilities and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796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total personal contributions he has made to the Company.</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Limited payout of annual</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The performance objectives under our Executive Non-Equity Incentive Compensation Plan (the “EICP”) were carefully</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cash incentive compensation</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selected to drive performance toward our strategic goals for the year. In 2018, our NEOs’ objectives were based 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vMerge w:val="restart"/>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Adjusted EBITDA, free cash flow, transformation and safety.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vMerge w:val="continue"/>
          </w:tcPr>
          <w:p>
            <w:pPr>
              <w:spacing w:after="0"/>
              <w:rPr>
                <w:sz w:val="14"/>
                <w:szCs w:val="14"/>
                <w:color w:val="auto"/>
              </w:rPr>
            </w:pPr>
          </w:p>
        </w:tc>
        <w:tc>
          <w:tcPr>
            <w:tcW w:w="796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As the Company achieved some objectives, executive officers were paid 48.3% of their target bonus.</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Cliff-vesting for 2018</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The performance share units (the “PSUs”) granted to our NEOs in 2018 have a three-year cliff vesting. PSUs granted in</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performance share units</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2018, shall vest or lapse based on the level of achievement of the performance goals over the performance period ending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tcBorders>
              <w:bottom w:val="single" w:sz="8" w:color="666666"/>
            </w:tcBorders>
          </w:tcPr>
          <w:p>
            <w:pPr>
              <w:spacing w:after="0"/>
              <w:rPr>
                <w:sz w:val="13"/>
                <w:szCs w:val="13"/>
                <w:color w:val="auto"/>
              </w:rPr>
            </w:pPr>
          </w:p>
        </w:tc>
        <w:tc>
          <w:tcPr>
            <w:tcW w:w="540" w:type="dxa"/>
            <w:vAlign w:val="bottom"/>
            <w:tcBorders>
              <w:bottom w:val="single" w:sz="8" w:color="666666"/>
            </w:tcBorders>
          </w:tcPr>
          <w:p>
            <w:pPr>
              <w:spacing w:after="0"/>
              <w:rPr>
                <w:sz w:val="13"/>
                <w:szCs w:val="13"/>
                <w:color w:val="auto"/>
              </w:rPr>
            </w:pPr>
          </w:p>
        </w:tc>
        <w:tc>
          <w:tcPr>
            <w:tcW w:w="7960" w:type="dxa"/>
            <w:vAlign w:val="bottom"/>
            <w:tcBorders>
              <w:bottom w:val="single" w:sz="8" w:color="666666"/>
            </w:tcBorders>
          </w:tcPr>
          <w:p>
            <w:pPr>
              <w:ind w:left="60"/>
              <w:spacing w:after="0" w:line="157" w:lineRule="exact"/>
              <w:rPr>
                <w:sz w:val="20"/>
                <w:szCs w:val="20"/>
                <w:color w:val="auto"/>
              </w:rPr>
            </w:pPr>
            <w:r>
              <w:rPr>
                <w:rFonts w:ascii="Arial" w:cs="Arial" w:eastAsia="Arial" w:hAnsi="Arial"/>
                <w:sz w:val="14"/>
                <w:szCs w:val="14"/>
                <w:color w:val="auto"/>
              </w:rPr>
              <w:t>December 31, 2020, subject to forfeiture restrictions.</w:t>
            </w: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4"/>
                <w:szCs w:val="14"/>
                <w:color w:val="auto"/>
              </w:rPr>
              <w:t>Realized compensation</w:t>
            </w:r>
          </w:p>
        </w:tc>
        <w:tc>
          <w:tcPr>
            <w:tcW w:w="540" w:type="dxa"/>
            <w:vAlign w:val="bottom"/>
          </w:tcPr>
          <w:p>
            <w:pPr>
              <w:ind w:left="440"/>
              <w:spacing w:after="0"/>
              <w:rPr>
                <w:sz w:val="20"/>
                <w:szCs w:val="20"/>
                <w:color w:val="auto"/>
              </w:rPr>
            </w:pPr>
            <w:r>
              <w:rPr>
                <w:rFonts w:ascii="Arial" w:cs="Arial" w:eastAsia="Arial" w:hAnsi="Arial"/>
                <w:sz w:val="14"/>
                <w:szCs w:val="14"/>
                <w:color w:val="C3002F"/>
              </w:rPr>
              <w:t>•</w:t>
            </w:r>
          </w:p>
        </w:tc>
        <w:tc>
          <w:tcPr>
            <w:tcW w:w="7960" w:type="dxa"/>
            <w:vAlign w:val="bottom"/>
          </w:tcPr>
          <w:p>
            <w:pPr>
              <w:ind w:left="60"/>
              <w:spacing w:after="0"/>
              <w:rPr>
                <w:sz w:val="20"/>
                <w:szCs w:val="20"/>
                <w:color w:val="auto"/>
              </w:rPr>
            </w:pPr>
            <w:r>
              <w:rPr>
                <w:rFonts w:ascii="Arial" w:cs="Arial" w:eastAsia="Arial" w:hAnsi="Arial"/>
                <w:sz w:val="14"/>
                <w:szCs w:val="14"/>
                <w:color w:val="auto"/>
              </w:rPr>
              <w:t>Although we believe we have made positive steps to position us for the future, our 2018 financial performance and share</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less than reported compensation</w:t>
            </w: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performance still fell below our objectives. As a result, our NEOs did not realize any value in 2018 from performance-based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share incentives granted in 2016 and 2017. Further, over the past three years, our NEOs have experienced a significant pay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differential between actual pay received and total compensation as reported in the 2018 Summary Compensation Table. We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60" w:type="dxa"/>
            <w:vAlign w:val="bottom"/>
          </w:tcPr>
          <w:p>
            <w:pPr>
              <w:ind w:left="60"/>
              <w:spacing w:after="0"/>
              <w:rPr>
                <w:sz w:val="20"/>
                <w:szCs w:val="20"/>
                <w:color w:val="auto"/>
              </w:rPr>
            </w:pPr>
            <w:r>
              <w:rPr>
                <w:rFonts w:ascii="Arial" w:cs="Arial" w:eastAsia="Arial" w:hAnsi="Arial"/>
                <w:sz w:val="14"/>
                <w:szCs w:val="14"/>
                <w:color w:val="auto"/>
              </w:rPr>
              <w:t>believe this result emphasizes the pay-for-performance nature of our compensation structure, which is designed to align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executive reward with shareholder value creation.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Borders>
              <w:bottom w:val="single" w:sz="8" w:color="666666"/>
            </w:tcBorders>
          </w:tcPr>
          <w:p>
            <w:pPr>
              <w:spacing w:after="0"/>
              <w:rPr>
                <w:sz w:val="13"/>
                <w:szCs w:val="13"/>
                <w:color w:val="auto"/>
              </w:rPr>
            </w:pPr>
          </w:p>
        </w:tc>
        <w:tc>
          <w:tcPr>
            <w:tcW w:w="540" w:type="dxa"/>
            <w:vAlign w:val="bottom"/>
            <w:tcBorders>
              <w:bottom w:val="single" w:sz="8" w:color="666666"/>
            </w:tcBorders>
          </w:tcPr>
          <w:p>
            <w:pPr>
              <w:spacing w:after="0"/>
              <w:rPr>
                <w:sz w:val="13"/>
                <w:szCs w:val="13"/>
                <w:color w:val="auto"/>
              </w:rPr>
            </w:pPr>
          </w:p>
        </w:tc>
        <w:tc>
          <w:tcPr>
            <w:tcW w:w="796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ectPr>
          <w:pgSz w:w="11900" w:h="16838" w:orient="portrait"/>
          <w:cols w:equalWidth="0" w:num="1">
            <w:col w:w="11240"/>
          </w:cols>
          <w:pgMar w:left="240" w:top="459" w:right="419" w:bottom="1440" w:gutter="0" w:footer="0" w:header="0"/>
        </w:sect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31</w:t>
      </w:r>
    </w:p>
    <w:p>
      <w:pPr>
        <w:sectPr>
          <w:pgSz w:w="11900" w:h="16838" w:orient="portrait"/>
          <w:cols w:equalWidth="0" w:num="1">
            <w:col w:w="11240"/>
          </w:cols>
          <w:pgMar w:left="240" w:top="459" w:right="4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COMPENSATION COMMITTEE REPORT</w:t>
      </w:r>
    </w:p>
    <w:p>
      <w:pPr>
        <w:spacing w:after="0" w:line="28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2018 and how those decisions support and implement our philosophy.</w:t>
      </w:r>
    </w:p>
    <w:p>
      <w:pPr>
        <w:spacing w:after="0" w:line="159" w:lineRule="exact"/>
        <w:rPr>
          <w:sz w:val="20"/>
          <w:szCs w:val="20"/>
          <w:color w:val="auto"/>
        </w:rPr>
      </w:pPr>
    </w:p>
    <w:p>
      <w:pPr>
        <w:ind w:left="200"/>
        <w:spacing w:after="0" w:line="258" w:lineRule="auto"/>
        <w:rPr>
          <w:sz w:val="20"/>
          <w:szCs w:val="20"/>
          <w:color w:val="auto"/>
        </w:rPr>
      </w:pPr>
      <w:r>
        <w:rPr>
          <w:rFonts w:ascii="Arial" w:cs="Arial" w:eastAsia="Arial" w:hAnsi="Arial"/>
          <w:sz w:val="14"/>
          <w:szCs w:val="14"/>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266065</wp:posOffset>
            </wp:positionV>
            <wp:extent cx="6028690" cy="411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286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tabs>
          <w:tab w:leader="none" w:pos="2840" w:val="left"/>
          <w:tab w:leader="none" w:pos="5700" w:val="left"/>
          <w:tab w:leader="none" w:pos="8580" w:val="left"/>
        </w:tabs>
        <w:rPr>
          <w:sz w:val="20"/>
          <w:szCs w:val="20"/>
          <w:color w:val="auto"/>
        </w:rPr>
      </w:pPr>
      <w:r>
        <w:rPr>
          <w:rFonts w:ascii="Arial" w:cs="Arial" w:eastAsia="Arial" w:hAnsi="Arial"/>
          <w:sz w:val="14"/>
          <w:szCs w:val="14"/>
          <w:color w:val="auto"/>
        </w:rPr>
        <w:t>Mohamed A. Awad</w:t>
      </w:r>
      <w:r>
        <w:rPr>
          <w:sz w:val="20"/>
          <w:szCs w:val="20"/>
          <w:color w:val="auto"/>
        </w:rPr>
        <w:tab/>
      </w:r>
      <w:r>
        <w:rPr>
          <w:rFonts w:ascii="Arial" w:cs="Arial" w:eastAsia="Arial" w:hAnsi="Arial"/>
          <w:sz w:val="14"/>
          <w:szCs w:val="14"/>
          <w:color w:val="auto"/>
        </w:rPr>
        <w:t>Roxanne J. Decyk</w:t>
      </w:r>
      <w:r>
        <w:rPr>
          <w:sz w:val="20"/>
          <w:szCs w:val="20"/>
          <w:color w:val="auto"/>
        </w:rPr>
        <w:tab/>
      </w:r>
      <w:r>
        <w:rPr>
          <w:rFonts w:ascii="Arial" w:cs="Arial" w:eastAsia="Arial" w:hAnsi="Arial"/>
          <w:sz w:val="14"/>
          <w:szCs w:val="14"/>
          <w:color w:val="auto"/>
        </w:rPr>
        <w:t>John D. Gass (Chair)</w:t>
      </w:r>
      <w:r>
        <w:rPr>
          <w:sz w:val="20"/>
          <w:szCs w:val="20"/>
          <w:color w:val="auto"/>
        </w:rPr>
        <w:tab/>
      </w:r>
      <w:r>
        <w:rPr>
          <w:rFonts w:ascii="Arial" w:cs="Arial" w:eastAsia="Arial" w:hAnsi="Arial"/>
          <w:sz w:val="14"/>
          <w:szCs w:val="14"/>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p>
      <w:pPr>
        <w:ind w:left="560" w:hanging="356"/>
        <w:spacing w:after="0"/>
        <w:tabs>
          <w:tab w:leader="none" w:pos="560" w:val="left"/>
        </w:tabs>
        <w:numPr>
          <w:ilvl w:val="0"/>
          <w:numId w:val="6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000"/>
          </w:cols>
          <w:pgMar w:left="24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940"/>
        <w:spacing w:after="0" w:line="275" w:lineRule="auto"/>
        <w:rPr>
          <w:sz w:val="20"/>
          <w:szCs w:val="20"/>
          <w:color w:val="auto"/>
        </w:rPr>
      </w:pPr>
      <w:r>
        <w:rPr>
          <w:rFonts w:ascii="Arial" w:cs="Arial" w:eastAsia="Arial" w:hAnsi="Arial"/>
          <w:sz w:val="65"/>
          <w:szCs w:val="65"/>
          <w:b w:val="1"/>
          <w:bCs w:val="1"/>
          <w:color w:val="C3002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-1065530</wp:posOffset>
            </wp:positionV>
            <wp:extent cx="8318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auto"/>
        </w:rPr>
        <w:t>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8318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This table shows the total compensation paid for the years ended December 31, 2018, 2017 and 2016 to our NEOs, including certain former executive officers.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Non-Equity</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Salary</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(Cash)</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All Other</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Awards</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Incentive($)</w:t>
            </w:r>
          </w:p>
        </w:tc>
        <w:tc>
          <w:tcPr>
            <w:tcW w:w="12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Year</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(f)</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660" w:type="dxa"/>
            <w:vAlign w:val="bottom"/>
          </w:tcPr>
          <w:p>
            <w:pPr>
              <w:spacing w:after="0" w:line="160" w:lineRule="exact"/>
              <w:rPr>
                <w:sz w:val="20"/>
                <w:szCs w:val="20"/>
                <w:color w:val="auto"/>
              </w:rPr>
            </w:pPr>
            <w:r>
              <w:rPr>
                <w:rFonts w:ascii="Arial" w:cs="Arial" w:eastAsia="Arial" w:hAnsi="Arial"/>
                <w:sz w:val="14"/>
                <w:szCs w:val="14"/>
                <w:color w:val="auto"/>
              </w:rPr>
              <w:t>Mark A. McCollum</w:t>
            </w: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President and Chief Executive Officer(a)</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7,286,322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579,600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130,510</w:t>
            </w:r>
          </w:p>
        </w:tc>
        <w:tc>
          <w:tcPr>
            <w:tcW w:w="920" w:type="dxa"/>
            <w:vAlign w:val="bottom"/>
          </w:tcPr>
          <w:p>
            <w:pPr>
              <w:jc w:val="right"/>
              <w:spacing w:after="0"/>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687,500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9,460,693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279,167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31,027</w:t>
            </w:r>
          </w:p>
        </w:tc>
        <w:tc>
          <w:tcPr>
            <w:tcW w:w="920" w:type="dxa"/>
            <w:vAlign w:val="bottom"/>
          </w:tcPr>
          <w:p>
            <w:pPr>
              <w:jc w:val="right"/>
              <w:spacing w:after="0"/>
              <w:rPr>
                <w:sz w:val="20"/>
                <w:szCs w:val="20"/>
                <w:color w:val="auto"/>
              </w:rPr>
            </w:pPr>
            <w:r>
              <w:rPr>
                <w:rFonts w:ascii="Arial" w:cs="Arial" w:eastAsia="Arial" w:hAnsi="Arial"/>
                <w:sz w:val="14"/>
                <w:szCs w:val="14"/>
                <w:color w:val="auto"/>
              </w:rPr>
              <w:t>10,458,387</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Christoph Bausch</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Chief Financial Officer(b)</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657,131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2,464,493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200,111</w:t>
            </w:r>
          </w:p>
        </w:tc>
        <w:tc>
          <w:tcPr>
            <w:tcW w:w="920" w:type="dxa"/>
            <w:vAlign w:val="bottom"/>
          </w:tcPr>
          <w:p>
            <w:pPr>
              <w:jc w:val="right"/>
              <w:spacing w:after="0"/>
              <w:rPr>
                <w:sz w:val="20"/>
                <w:szCs w:val="20"/>
                <w:color w:val="auto"/>
              </w:rPr>
            </w:pPr>
            <w:r>
              <w:rPr>
                <w:rFonts w:ascii="Arial" w:cs="Arial" w:eastAsia="Arial" w:hAnsi="Arial"/>
                <w:sz w:val="14"/>
                <w:szCs w:val="14"/>
                <w:color w:val="auto"/>
              </w:rPr>
              <w:t>3,635,685</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634,844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2,292,891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253,125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629,000</w:t>
            </w:r>
          </w:p>
        </w:tc>
        <w:tc>
          <w:tcPr>
            <w:tcW w:w="920" w:type="dxa"/>
            <w:vAlign w:val="bottom"/>
          </w:tcPr>
          <w:p>
            <w:pPr>
              <w:jc w:val="right"/>
              <w:spacing w:after="0"/>
              <w:rPr>
                <w:sz w:val="20"/>
                <w:szCs w:val="20"/>
                <w:color w:val="auto"/>
              </w:rPr>
            </w:pPr>
            <w:r>
              <w:rPr>
                <w:rFonts w:ascii="Arial" w:cs="Arial" w:eastAsia="Arial" w:hAnsi="Arial"/>
                <w:sz w:val="14"/>
                <w:szCs w:val="14"/>
                <w:color w:val="auto"/>
              </w:rPr>
              <w:t>3,809,860</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308,216</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859,700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381,725</w:t>
            </w:r>
          </w:p>
        </w:tc>
        <w:tc>
          <w:tcPr>
            <w:tcW w:w="920" w:type="dxa"/>
            <w:vAlign w:val="bottom"/>
          </w:tcPr>
          <w:p>
            <w:pPr>
              <w:jc w:val="right"/>
              <w:spacing w:after="0"/>
              <w:rPr>
                <w:sz w:val="20"/>
                <w:szCs w:val="20"/>
                <w:color w:val="auto"/>
              </w:rPr>
            </w:pPr>
            <w:r>
              <w:rPr>
                <w:rFonts w:ascii="Arial" w:cs="Arial" w:eastAsia="Arial" w:hAnsi="Arial"/>
                <w:sz w:val="14"/>
                <w:szCs w:val="14"/>
                <w:color w:val="auto"/>
              </w:rPr>
              <w:t>1,549,641</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Christina M. Ibrahim</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General Counsel,</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1,714,433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142,344</w:t>
            </w:r>
          </w:p>
        </w:tc>
        <w:tc>
          <w:tcPr>
            <w:tcW w:w="920" w:type="dxa"/>
            <w:vAlign w:val="bottom"/>
          </w:tcPr>
          <w:p>
            <w:pPr>
              <w:jc w:val="right"/>
              <w:spacing w:after="0"/>
              <w:rPr>
                <w:sz w:val="20"/>
                <w:szCs w:val="20"/>
                <w:color w:val="auto"/>
              </w:rPr>
            </w:pPr>
            <w:r>
              <w:rPr>
                <w:rFonts w:ascii="Arial" w:cs="Arial" w:eastAsia="Arial" w:hAnsi="Arial"/>
                <w:sz w:val="14"/>
                <w:szCs w:val="14"/>
                <w:color w:val="auto"/>
              </w:rPr>
              <w:t>2,783,652</w:t>
            </w:r>
          </w:p>
        </w:tc>
        <w:tc>
          <w:tcPr>
            <w:tcW w:w="0" w:type="dxa"/>
            <w:vAlign w:val="bottom"/>
          </w:tcPr>
          <w:p>
            <w:pPr>
              <w:spacing w:after="0"/>
              <w:rPr>
                <w:sz w:val="1"/>
                <w:szCs w:val="1"/>
                <w:color w:val="auto"/>
              </w:rPr>
            </w:pPr>
          </w:p>
        </w:tc>
      </w:tr>
      <w:tr>
        <w:trPr>
          <w:trHeight w:val="162"/>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Chief Compliance Officer and</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2,183,701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362,500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64,028</w:t>
            </w:r>
          </w:p>
        </w:tc>
        <w:tc>
          <w:tcPr>
            <w:tcW w:w="920" w:type="dxa"/>
            <w:vAlign w:val="bottom"/>
          </w:tcPr>
          <w:p>
            <w:pPr>
              <w:jc w:val="right"/>
              <w:spacing w:after="0"/>
              <w:rPr>
                <w:sz w:val="20"/>
                <w:szCs w:val="20"/>
                <w:color w:val="auto"/>
              </w:rPr>
            </w:pPr>
            <w:r>
              <w:rPr>
                <w:rFonts w:ascii="Arial" w:cs="Arial" w:eastAsia="Arial" w:hAnsi="Arial"/>
                <w:sz w:val="14"/>
                <w:szCs w:val="14"/>
                <w:color w:val="auto"/>
              </w:rPr>
              <w:t>3,235,229</w:t>
            </w:r>
          </w:p>
        </w:tc>
        <w:tc>
          <w:tcPr>
            <w:tcW w:w="0" w:type="dxa"/>
            <w:vAlign w:val="bottom"/>
          </w:tcPr>
          <w:p>
            <w:pPr>
              <w:spacing w:after="0"/>
              <w:rPr>
                <w:sz w:val="1"/>
                <w:szCs w:val="1"/>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Corporate Secretary</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578,125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23,801</w:t>
            </w:r>
          </w:p>
        </w:tc>
        <w:tc>
          <w:tcPr>
            <w:tcW w:w="920" w:type="dxa"/>
            <w:vAlign w:val="bottom"/>
          </w:tcPr>
          <w:p>
            <w:pPr>
              <w:jc w:val="right"/>
              <w:spacing w:after="0"/>
              <w:rPr>
                <w:sz w:val="20"/>
                <w:szCs w:val="20"/>
                <w:color w:val="auto"/>
              </w:rPr>
            </w:pPr>
            <w:r>
              <w:rPr>
                <w:rFonts w:ascii="Arial" w:cs="Arial" w:eastAsia="Arial" w:hAnsi="Arial"/>
                <w:sz w:val="14"/>
                <w:szCs w:val="14"/>
                <w:color w:val="auto"/>
              </w:rPr>
              <w:t>2,427,452</w:t>
            </w:r>
          </w:p>
        </w:tc>
        <w:tc>
          <w:tcPr>
            <w:tcW w:w="0" w:type="dxa"/>
            <w:vAlign w:val="bottom"/>
          </w:tcPr>
          <w:p>
            <w:pPr>
              <w:spacing w:after="0"/>
              <w:rPr>
                <w:sz w:val="1"/>
                <w:szCs w:val="1"/>
                <w:color w:val="auto"/>
              </w:rPr>
            </w:pPr>
          </w:p>
        </w:tc>
      </w:tr>
      <w:tr>
        <w:trPr>
          <w:trHeight w:val="408"/>
        </w:trPr>
        <w:tc>
          <w:tcPr>
            <w:tcW w:w="4660" w:type="dxa"/>
            <w:vAlign w:val="bottom"/>
          </w:tcPr>
          <w:p>
            <w:pPr>
              <w:spacing w:after="0"/>
              <w:rPr>
                <w:sz w:val="20"/>
                <w:szCs w:val="20"/>
                <w:color w:val="auto"/>
              </w:rPr>
            </w:pPr>
            <w:r>
              <w:rPr>
                <w:rFonts w:ascii="Arial" w:cs="Arial" w:eastAsia="Arial" w:hAnsi="Arial"/>
                <w:sz w:val="14"/>
                <w:szCs w:val="14"/>
                <w:color w:val="auto"/>
              </w:rPr>
              <w:t>Karl Blanchard</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Chief Operating Officer(a)</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3,000,256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15,735</w:t>
            </w:r>
          </w:p>
        </w:tc>
        <w:tc>
          <w:tcPr>
            <w:tcW w:w="920" w:type="dxa"/>
            <w:vAlign w:val="bottom"/>
          </w:tcPr>
          <w:p>
            <w:pPr>
              <w:jc w:val="right"/>
              <w:spacing w:after="0"/>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255,208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2,545,810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86,290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7,414</w:t>
            </w:r>
          </w:p>
        </w:tc>
        <w:tc>
          <w:tcPr>
            <w:tcW w:w="920" w:type="dxa"/>
            <w:vAlign w:val="bottom"/>
          </w:tcPr>
          <w:p>
            <w:pPr>
              <w:jc w:val="right"/>
              <w:spacing w:after="0"/>
              <w:rPr>
                <w:sz w:val="20"/>
                <w:szCs w:val="20"/>
                <w:color w:val="auto"/>
              </w:rPr>
            </w:pPr>
            <w:r>
              <w:rPr>
                <w:rFonts w:ascii="Arial" w:cs="Arial" w:eastAsia="Arial" w:hAnsi="Arial"/>
                <w:sz w:val="14"/>
                <w:szCs w:val="14"/>
                <w:color w:val="auto"/>
              </w:rPr>
              <w:t>2,894,722</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Stuart Fraser</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Vice President and Chief Accounting Officer(c)</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542,112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149,893</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100,363</w:t>
            </w:r>
          </w:p>
        </w:tc>
        <w:tc>
          <w:tcPr>
            <w:tcW w:w="920" w:type="dxa"/>
            <w:vAlign w:val="bottom"/>
          </w:tcPr>
          <w:p>
            <w:pPr>
              <w:jc w:val="right"/>
              <w:spacing w:after="0"/>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14"/>
                <w:szCs w:val="14"/>
                <w:color w:val="auto"/>
              </w:rPr>
              <w:t>Doug Mills</w:t>
            </w: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40"/>
              <w:spacing w:after="0"/>
              <w:rPr>
                <w:sz w:val="20"/>
                <w:szCs w:val="20"/>
                <w:color w:val="auto"/>
              </w:rPr>
            </w:pPr>
            <w:r>
              <w:rPr>
                <w:rFonts w:ascii="Arial" w:cs="Arial" w:eastAsia="Arial" w:hAnsi="Arial"/>
                <w:sz w:val="14"/>
                <w:szCs w:val="14"/>
                <w:i w:val="1"/>
                <w:iCs w:val="1"/>
                <w:color w:val="auto"/>
              </w:rPr>
              <w:t>Former Chief Accounting Officer(d)</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116,667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535,763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41,673</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1,280,154</w:t>
            </w:r>
          </w:p>
        </w:tc>
        <w:tc>
          <w:tcPr>
            <w:tcW w:w="920" w:type="dxa"/>
            <w:vAlign w:val="bottom"/>
          </w:tcPr>
          <w:p>
            <w:pPr>
              <w:jc w:val="right"/>
              <w:spacing w:after="0"/>
              <w:rPr>
                <w:sz w:val="20"/>
                <w:szCs w:val="20"/>
                <w:color w:val="auto"/>
              </w:rPr>
            </w:pPr>
            <w:r>
              <w:rPr>
                <w:rFonts w:ascii="Arial" w:cs="Arial" w:eastAsia="Arial" w:hAnsi="Arial"/>
                <w:sz w:val="14"/>
                <w:szCs w:val="14"/>
                <w:color w:val="auto"/>
              </w:rPr>
              <w:t>1,974,257</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1,541,849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149,640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38,659</w:t>
            </w:r>
          </w:p>
        </w:tc>
        <w:tc>
          <w:tcPr>
            <w:tcW w:w="920" w:type="dxa"/>
            <w:vAlign w:val="bottom"/>
          </w:tcPr>
          <w:p>
            <w:pPr>
              <w:jc w:val="right"/>
              <w:spacing w:after="0"/>
              <w:rPr>
                <w:sz w:val="20"/>
                <w:szCs w:val="20"/>
                <w:color w:val="auto"/>
              </w:rPr>
            </w:pPr>
            <w:r>
              <w:rPr>
                <w:rFonts w:ascii="Arial" w:cs="Arial" w:eastAsia="Arial" w:hAnsi="Arial"/>
                <w:sz w:val="14"/>
                <w:szCs w:val="14"/>
                <w:color w:val="auto"/>
              </w:rPr>
              <w:t>2,130,148</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323,750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1,179,048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28,026</w:t>
            </w:r>
          </w:p>
        </w:tc>
        <w:tc>
          <w:tcPr>
            <w:tcW w:w="920" w:type="dxa"/>
            <w:vAlign w:val="bottom"/>
          </w:tcPr>
          <w:p>
            <w:pPr>
              <w:jc w:val="right"/>
              <w:spacing w:after="0"/>
              <w:rPr>
                <w:sz w:val="20"/>
                <w:szCs w:val="20"/>
                <w:color w:val="auto"/>
              </w:rPr>
            </w:pPr>
            <w:r>
              <w:rPr>
                <w:rFonts w:ascii="Arial" w:cs="Arial" w:eastAsia="Arial" w:hAnsi="Arial"/>
                <w:sz w:val="14"/>
                <w:szCs w:val="14"/>
                <w:color w:val="auto"/>
              </w:rPr>
              <w:t>1,530,824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420" w:hanging="216"/>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McCollum joined the Company in April 2017; Mr. Blanchard joined the Company in August 2017.</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Bausch is paid in Swiss francs (CHF). Cash compensation shown above is translated to USD using monthly rates for each pay period.</w:t>
      </w:r>
    </w:p>
    <w:p>
      <w:pPr>
        <w:spacing w:after="0" w:line="41" w:lineRule="exact"/>
        <w:rPr>
          <w:rFonts w:ascii="Arial" w:cs="Arial" w:eastAsia="Arial" w:hAnsi="Arial"/>
          <w:sz w:val="14"/>
          <w:szCs w:val="14"/>
          <w:color w:val="auto"/>
        </w:rPr>
      </w:pPr>
    </w:p>
    <w:p>
      <w:pPr>
        <w:ind w:left="420" w:right="320" w:hanging="216"/>
        <w:spacing w:after="0" w:line="250"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Fraser became our Chief Accounting Officer in April 2018. He was not an NEO in 2016 or 2017 and therefore his compensation is not shown for those years. The Non-Equity Incentive amount reflected in the table includes Mr. Fraser’s achievement under the Company’s Management Bonus Plan prior to his promotion to Chief Accounting Officer in addition to his achievement under the EICP.</w:t>
      </w:r>
    </w:p>
    <w:p>
      <w:pPr>
        <w:spacing w:after="0" w:line="23" w:lineRule="exact"/>
        <w:rPr>
          <w:rFonts w:ascii="Arial" w:cs="Arial" w:eastAsia="Arial" w:hAnsi="Arial"/>
          <w:sz w:val="14"/>
          <w:szCs w:val="14"/>
          <w:color w:val="auto"/>
        </w:rPr>
      </w:pPr>
    </w:p>
    <w:p>
      <w:pPr>
        <w:ind w:left="420" w:hanging="216"/>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Mills was our Chief Accounting Officer until his departure from the Company effective April 15, 2018.</w:t>
      </w:r>
    </w:p>
    <w:p>
      <w:pPr>
        <w:spacing w:after="0" w:line="41" w:lineRule="exact"/>
        <w:rPr>
          <w:rFonts w:ascii="Arial" w:cs="Arial" w:eastAsia="Arial" w:hAnsi="Arial"/>
          <w:sz w:val="14"/>
          <w:szCs w:val="14"/>
          <w:color w:val="auto"/>
        </w:rPr>
      </w:pPr>
    </w:p>
    <w:p>
      <w:pPr>
        <w:ind w:left="420" w:right="40" w:hanging="216"/>
        <w:spacing w:after="0" w:line="250"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17 (Share-Based Compensation) to the audited financial statements included in our Annual Report on Form 10-K for the year ended December 31, 2018. For the PSUs granted during 2018, the value of the award at the grant date, assuming that the highest level of performance conditions will be achieved, are set forth below. For additional information regarding our 2018 grants, please see page 34 of this Proxy Statement.</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Maximum Payout ($)</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McCollum</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$6,800,000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$2,300,000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$1,600,000</w:t>
            </w:r>
          </w:p>
        </w:tc>
      </w:tr>
      <w:tr>
        <w:trPr>
          <w:trHeight w:val="156"/>
        </w:trPr>
        <w:tc>
          <w:tcPr>
            <w:tcW w:w="50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Blanchard</w:t>
            </w:r>
          </w:p>
        </w:tc>
        <w:tc>
          <w:tcPr>
            <w:tcW w:w="5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$2,800,000</w:t>
            </w:r>
          </w:p>
        </w:tc>
      </w:tr>
      <w:tr>
        <w:trPr>
          <w:trHeight w:val="156"/>
        </w:trPr>
        <w:tc>
          <w:tcPr>
            <w:tcW w:w="5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Fraser</w:t>
            </w:r>
          </w:p>
        </w:tc>
        <w:tc>
          <w:tcPr>
            <w:tcW w:w="5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470,000</w:t>
            </w:r>
          </w:p>
        </w:tc>
      </w:tr>
    </w:tbl>
    <w:p>
      <w:pPr>
        <w:spacing w:after="0" w:line="45" w:lineRule="exact"/>
        <w:rPr>
          <w:sz w:val="20"/>
          <w:szCs w:val="20"/>
          <w:color w:val="auto"/>
        </w:rPr>
      </w:pPr>
    </w:p>
    <w:p>
      <w:pPr>
        <w:jc w:val="both"/>
        <w:ind w:left="420" w:right="100" w:hanging="216"/>
        <w:spacing w:after="0" w:line="250" w:lineRule="auto"/>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of our NEOs is eligible to participate in our EICP. Details of the payments under the EICP are provided earlier under “Annual Cash Incentive Compensation,” of the CD&amp;A section of this Proxy Statement and for our current NEOs, actual payouts ranged from 36% to 58% of base salary in 2018. In 2016, because the Company did not meet its minimum free cash flow objective, no payout was made to any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33</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 All Other Compensation for 2018 consists of the following: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Matching</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Contributions</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and Other</w:t>
            </w: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Housing,</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Gross-ups</w:t>
            </w: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Car/Car</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Contribution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Relocation &amp; Geographic</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Schooling</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and Net</w:t>
            </w: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Allowance</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Plans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Premiums</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Differential</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and Other</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Taxes Paid</w:t>
            </w:r>
          </w:p>
        </w:tc>
        <w:tc>
          <w:tcPr>
            <w:tcW w:w="1220" w:type="dxa"/>
            <w:vAlign w:val="bottom"/>
          </w:tcPr>
          <w:p>
            <w:pPr>
              <w:jc w:val="right"/>
              <w:spacing w:after="0"/>
              <w:rPr>
                <w:sz w:val="20"/>
                <w:szCs w:val="20"/>
                <w:color w:val="auto"/>
              </w:rPr>
            </w:pPr>
            <w:r>
              <w:rPr>
                <w:rFonts w:ascii="Arial" w:cs="Arial" w:eastAsia="Arial" w:hAnsi="Arial"/>
                <w:sz w:val="14"/>
                <w:szCs w:val="14"/>
                <w:color w:val="auto"/>
              </w:rPr>
              <w:t>Termination Pay</w:t>
            </w:r>
          </w:p>
        </w:tc>
      </w:tr>
      <w:tr>
        <w:trPr>
          <w:trHeight w:val="171"/>
        </w:trPr>
        <w:tc>
          <w:tcPr>
            <w:tcW w:w="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McCollum</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47,633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6,870</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73,307</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Bausch</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4,736</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31,673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1,614</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161,286</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253,155</w:t>
            </w:r>
          </w:p>
        </w:tc>
        <w:tc>
          <w:tcPr>
            <w:tcW w:w="10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(252,353)</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Ibrahim</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28,390</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2,833</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108,421</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Blanchard</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11,000</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4,735</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Fraser</w:t>
            </w:r>
          </w:p>
        </w:tc>
        <w:tc>
          <w:tcPr>
            <w:tcW w:w="19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15,753</w:t>
            </w:r>
          </w:p>
        </w:tc>
        <w:tc>
          <w:tcPr>
            <w:tcW w:w="11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1,846</w:t>
            </w:r>
          </w:p>
        </w:tc>
        <w:tc>
          <w:tcPr>
            <w:tcW w:w="1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10,000</w:t>
            </w:r>
          </w:p>
        </w:tc>
        <w:tc>
          <w:tcPr>
            <w:tcW w:w="92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33,892</w:t>
            </w:r>
          </w:p>
        </w:tc>
        <w:tc>
          <w:tcPr>
            <w:tcW w:w="102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36,172</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18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Mills</w:t>
            </w:r>
          </w:p>
        </w:tc>
        <w:tc>
          <w:tcPr>
            <w:tcW w:w="1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2,700</w:t>
            </w:r>
          </w:p>
        </w:tc>
        <w:tc>
          <w:tcPr>
            <w:tcW w:w="10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4,667</w:t>
            </w:r>
          </w:p>
        </w:tc>
        <w:tc>
          <w:tcPr>
            <w:tcW w:w="11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6,628</w:t>
            </w:r>
          </w:p>
        </w:tc>
        <w:tc>
          <w:tcPr>
            <w:tcW w:w="1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19,992</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1,246,167</w:t>
            </w:r>
          </w:p>
        </w:tc>
      </w:tr>
    </w:tbl>
    <w:p>
      <w:pPr>
        <w:spacing w:after="0" w:line="45" w:lineRule="exact"/>
        <w:rPr>
          <w:sz w:val="20"/>
          <w:szCs w:val="20"/>
          <w:color w:val="auto"/>
        </w:rPr>
      </w:pPr>
    </w:p>
    <w:p>
      <w:pPr>
        <w:ind w:left="740" w:hanging="212"/>
        <w:spacing w:after="0"/>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April 2018, we discontinued the car allowance for all executive officers.</w:t>
      </w:r>
    </w:p>
    <w:p>
      <w:pPr>
        <w:spacing w:after="0" w:line="41" w:lineRule="exact"/>
        <w:rPr>
          <w:rFonts w:ascii="Arial" w:cs="Arial" w:eastAsia="Arial" w:hAnsi="Arial"/>
          <w:sz w:val="14"/>
          <w:szCs w:val="14"/>
          <w:color w:val="auto"/>
        </w:rPr>
      </w:pPr>
    </w:p>
    <w:p>
      <w:pPr>
        <w:ind w:left="740" w:right="40" w:hanging="212"/>
        <w:spacing w:after="0" w:line="250" w:lineRule="auto"/>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Bausch is a participant in the Weatherford International Swiss Pension Plan. In addition, contributions were made to the Swiss Pension Plan for Mr. McCollum, Mrs. Ibrahim and Mr. Fraser, in conjunction with their time spent working in Switzerland. All individuals other than Mr. Bausch are participants in the U.S. 401(k) plan. Amounts shown represent Company contributions to these plans.</w:t>
      </w:r>
    </w:p>
    <w:p>
      <w:pPr>
        <w:spacing w:after="0" w:line="23" w:lineRule="exact"/>
        <w:rPr>
          <w:rFonts w:ascii="Arial" w:cs="Arial" w:eastAsia="Arial" w:hAnsi="Arial"/>
          <w:sz w:val="14"/>
          <w:szCs w:val="14"/>
          <w:color w:val="auto"/>
        </w:rPr>
      </w:pPr>
    </w:p>
    <w:p>
      <w:pPr>
        <w:ind w:left="740" w:right="400" w:hanging="212"/>
        <w:spacing w:after="0" w:line="258" w:lineRule="auto"/>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w:t>
      </w:r>
    </w:p>
    <w:p>
      <w:pPr>
        <w:spacing w:after="0" w:line="18" w:lineRule="exact"/>
        <w:rPr>
          <w:rFonts w:ascii="Arial" w:cs="Arial" w:eastAsia="Arial" w:hAnsi="Arial"/>
          <w:sz w:val="14"/>
          <w:szCs w:val="14"/>
          <w:color w:val="auto"/>
        </w:rPr>
      </w:pPr>
    </w:p>
    <w:p>
      <w:pPr>
        <w:ind w:left="740" w:hanging="212"/>
        <w:spacing w:after="0"/>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details of termination pay, see “Executive Employment Agreements” on page 28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GRANTS OF PLAN-BASED AWARDS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regarding plan-based awards granted in 2018 to the NEOs.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4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Estimated Future Payouts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All Other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Under Non-Equity (Cash) Incentive Plan</w:t>
            </w:r>
          </w:p>
        </w:tc>
        <w:tc>
          <w:tcPr>
            <w:tcW w:w="23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Estimated Future Payouts Under</w:t>
            </w:r>
          </w:p>
        </w:tc>
        <w:tc>
          <w:tcPr>
            <w:tcW w:w="1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Stock Awards: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vMerge w:val="restart"/>
          </w:tcPr>
          <w:p>
            <w:pPr>
              <w:jc w:val="center"/>
              <w:ind w:right="148"/>
              <w:spacing w:after="0" w:line="157" w:lineRule="exact"/>
              <w:rPr>
                <w:sz w:val="20"/>
                <w:szCs w:val="20"/>
                <w:color w:val="auto"/>
              </w:rPr>
            </w:pPr>
            <w:r>
              <w:rPr>
                <w:rFonts w:ascii="Arial" w:cs="Arial" w:eastAsia="Arial" w:hAnsi="Arial"/>
                <w:sz w:val="14"/>
                <w:szCs w:val="14"/>
                <w:color w:val="auto"/>
              </w:rPr>
              <w:t>Awards (1)</w:t>
            </w: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20" w:type="dxa"/>
            <w:vAlign w:val="bottom"/>
            <w:gridSpan w:val="3"/>
            <w:vMerge w:val="restart"/>
          </w:tcPr>
          <w:p>
            <w:pPr>
              <w:jc w:val="right"/>
              <w:ind w:right="68"/>
              <w:spacing w:after="0" w:line="157" w:lineRule="exact"/>
              <w:rPr>
                <w:sz w:val="20"/>
                <w:szCs w:val="20"/>
                <w:color w:val="auto"/>
              </w:rPr>
            </w:pPr>
            <w:r>
              <w:rPr>
                <w:rFonts w:ascii="Arial" w:cs="Arial" w:eastAsia="Arial" w:hAnsi="Arial"/>
                <w:sz w:val="14"/>
                <w:szCs w:val="14"/>
                <w:color w:val="auto"/>
              </w:rPr>
              <w:t>Equity Incentive Plan Awards (2)</w:t>
            </w:r>
          </w:p>
        </w:tc>
        <w:tc>
          <w:tcPr>
            <w:tcW w:w="1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320" w:type="dxa"/>
            <w:vAlign w:val="bottom"/>
            <w:tcBorders>
              <w:bottom w:val="single" w:sz="8" w:color="auto"/>
            </w:tcBorders>
            <w:gridSpan w:val="3"/>
            <w:vMerge w:val="continue"/>
          </w:tcPr>
          <w:p>
            <w:pPr>
              <w:spacing w:after="0"/>
              <w:rPr>
                <w:sz w:val="6"/>
                <w:szCs w:val="6"/>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Number of</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Grant</w:t>
            </w:r>
          </w:p>
        </w:tc>
        <w:tc>
          <w:tcPr>
            <w:tcW w:w="980" w:type="dxa"/>
            <w:vAlign w:val="bottom"/>
          </w:tcPr>
          <w:p>
            <w:pPr>
              <w:jc w:val="right"/>
              <w:spacing w:after="0"/>
              <w:rPr>
                <w:sz w:val="20"/>
                <w:szCs w:val="20"/>
                <w:color w:val="auto"/>
              </w:rPr>
            </w:pPr>
            <w:r>
              <w:rPr>
                <w:rFonts w:ascii="Arial" w:cs="Arial" w:eastAsia="Arial" w:hAnsi="Arial"/>
                <w:sz w:val="14"/>
                <w:szCs w:val="14"/>
                <w:color w:val="auto"/>
              </w:rPr>
              <w:t>Threshold</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Maximum</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Threshold</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780" w:type="dxa"/>
            <w:vAlign w:val="bottom"/>
          </w:tcPr>
          <w:p>
            <w:pPr>
              <w:jc w:val="right"/>
              <w:spacing w:after="0"/>
              <w:rPr>
                <w:sz w:val="20"/>
                <w:szCs w:val="20"/>
                <w:color w:val="auto"/>
              </w:rPr>
            </w:pPr>
            <w:r>
              <w:rPr>
                <w:rFonts w:ascii="Arial" w:cs="Arial" w:eastAsia="Arial" w:hAnsi="Arial"/>
                <w:sz w:val="14"/>
                <w:szCs w:val="14"/>
                <w:color w:val="auto"/>
              </w:rPr>
              <w:t>Maximum</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Shares of Stock</w:t>
            </w:r>
          </w:p>
        </w:tc>
        <w:tc>
          <w:tcPr>
            <w:tcW w:w="820" w:type="dxa"/>
            <w:vAlign w:val="bottom"/>
          </w:tcPr>
          <w:p>
            <w:pPr>
              <w:jc w:val="right"/>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Name</w:t>
            </w:r>
          </w:p>
        </w:tc>
        <w:tc>
          <w:tcPr>
            <w:tcW w:w="160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Date (4)</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980" w:type="dxa"/>
            <w:vAlign w:val="bottom"/>
            <w:gridSpan w:val="2"/>
          </w:tcPr>
          <w:p>
            <w:pPr>
              <w:spacing w:after="0"/>
              <w:rPr>
                <w:sz w:val="20"/>
                <w:szCs w:val="20"/>
                <w:color w:val="auto"/>
              </w:rPr>
            </w:pPr>
            <w:r>
              <w:rPr>
                <w:rFonts w:ascii="Arial" w:cs="Arial" w:eastAsia="Arial" w:hAnsi="Arial"/>
                <w:sz w:val="14"/>
                <w:szCs w:val="14"/>
                <w:color w:val="auto"/>
              </w:rPr>
              <w:t>Mark A. McCollum</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600,000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1,200,000</w:t>
            </w:r>
          </w:p>
        </w:tc>
        <w:tc>
          <w:tcPr>
            <w:tcW w:w="780" w:type="dxa"/>
            <w:vAlign w:val="bottom"/>
          </w:tcPr>
          <w:p>
            <w:pPr>
              <w:jc w:val="right"/>
              <w:spacing w:after="0"/>
              <w:rPr>
                <w:sz w:val="20"/>
                <w:szCs w:val="20"/>
                <w:color w:val="auto"/>
              </w:rPr>
            </w:pPr>
            <w:r>
              <w:rPr>
                <w:rFonts w:ascii="Arial" w:cs="Arial" w:eastAsia="Arial" w:hAnsi="Arial"/>
                <w:sz w:val="14"/>
                <w:szCs w:val="14"/>
                <w:color w:val="auto"/>
              </w:rPr>
              <w:t>2,400,000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422,886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845,772</w:t>
            </w:r>
          </w:p>
        </w:tc>
        <w:tc>
          <w:tcPr>
            <w:tcW w:w="780" w:type="dxa"/>
            <w:vAlign w:val="bottom"/>
          </w:tcPr>
          <w:p>
            <w:pPr>
              <w:jc w:val="right"/>
              <w:spacing w:after="0"/>
              <w:rPr>
                <w:sz w:val="20"/>
                <w:szCs w:val="20"/>
                <w:color w:val="auto"/>
              </w:rPr>
            </w:pPr>
            <w:r>
              <w:rPr>
                <w:rFonts w:ascii="Arial" w:cs="Arial" w:eastAsia="Arial" w:hAnsi="Arial"/>
                <w:sz w:val="14"/>
                <w:szCs w:val="14"/>
                <w:color w:val="auto"/>
              </w:rPr>
              <w:t>1,691,544</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3,953,984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845,771</w:t>
            </w:r>
          </w:p>
        </w:tc>
        <w:tc>
          <w:tcPr>
            <w:tcW w:w="820" w:type="dxa"/>
            <w:vAlign w:val="bottom"/>
          </w:tcPr>
          <w:p>
            <w:pPr>
              <w:jc w:val="right"/>
              <w:spacing w:after="0"/>
              <w:rPr>
                <w:sz w:val="20"/>
                <w:szCs w:val="20"/>
                <w:color w:val="auto"/>
              </w:rPr>
            </w:pPr>
            <w:r>
              <w:rPr>
                <w:rFonts w:ascii="Arial" w:cs="Arial" w:eastAsia="Arial" w:hAnsi="Arial"/>
                <w:sz w:val="14"/>
                <w:szCs w:val="14"/>
                <w:color w:val="auto"/>
              </w:rPr>
              <w:t>3,332,338</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325,000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780" w:type="dxa"/>
            <w:vAlign w:val="bottom"/>
          </w:tcPr>
          <w:p>
            <w:pPr>
              <w:jc w:val="right"/>
              <w:spacing w:after="0"/>
              <w:rPr>
                <w:sz w:val="20"/>
                <w:szCs w:val="20"/>
                <w:color w:val="auto"/>
              </w:rPr>
            </w:pPr>
            <w:r>
              <w:rPr>
                <w:rFonts w:ascii="Arial" w:cs="Arial" w:eastAsia="Arial" w:hAnsi="Arial"/>
                <w:sz w:val="14"/>
                <w:szCs w:val="14"/>
                <w:color w:val="auto"/>
              </w:rPr>
              <w:t>1,300,000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143,035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286,070</w:t>
            </w:r>
          </w:p>
        </w:tc>
        <w:tc>
          <w:tcPr>
            <w:tcW w:w="780" w:type="dxa"/>
            <w:vAlign w:val="bottom"/>
          </w:tcPr>
          <w:p>
            <w:pPr>
              <w:jc w:val="right"/>
              <w:spacing w:after="0"/>
              <w:rPr>
                <w:sz w:val="20"/>
                <w:szCs w:val="20"/>
                <w:color w:val="auto"/>
              </w:rPr>
            </w:pPr>
            <w:r>
              <w:rPr>
                <w:rFonts w:ascii="Arial" w:cs="Arial" w:eastAsia="Arial" w:hAnsi="Arial"/>
                <w:sz w:val="14"/>
                <w:szCs w:val="14"/>
                <w:color w:val="auto"/>
              </w:rPr>
              <w:t>572,140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1,337,377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286,070</w:t>
            </w:r>
          </w:p>
        </w:tc>
        <w:tc>
          <w:tcPr>
            <w:tcW w:w="820" w:type="dxa"/>
            <w:vAlign w:val="bottom"/>
          </w:tcPr>
          <w:p>
            <w:pPr>
              <w:jc w:val="right"/>
              <w:spacing w:after="0"/>
              <w:rPr>
                <w:sz w:val="20"/>
                <w:szCs w:val="20"/>
                <w:color w:val="auto"/>
              </w:rPr>
            </w:pPr>
            <w:r>
              <w:rPr>
                <w:rFonts w:ascii="Arial" w:cs="Arial" w:eastAsia="Arial" w:hAnsi="Arial"/>
                <w:sz w:val="14"/>
                <w:szCs w:val="14"/>
                <w:color w:val="auto"/>
              </w:rPr>
              <w:t>1,127,116</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312,500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99,503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199,006</w:t>
            </w:r>
          </w:p>
        </w:tc>
        <w:tc>
          <w:tcPr>
            <w:tcW w:w="780" w:type="dxa"/>
            <w:vAlign w:val="bottom"/>
          </w:tcPr>
          <w:p>
            <w:pPr>
              <w:jc w:val="right"/>
              <w:spacing w:after="0"/>
              <w:rPr>
                <w:sz w:val="20"/>
                <w:szCs w:val="20"/>
                <w:color w:val="auto"/>
              </w:rPr>
            </w:pPr>
            <w:r>
              <w:rPr>
                <w:rFonts w:ascii="Arial" w:cs="Arial" w:eastAsia="Arial" w:hAnsi="Arial"/>
                <w:sz w:val="14"/>
                <w:szCs w:val="14"/>
                <w:color w:val="auto"/>
              </w:rPr>
              <w:t>398,012</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199,005</w:t>
            </w:r>
          </w:p>
        </w:tc>
        <w:tc>
          <w:tcPr>
            <w:tcW w:w="820" w:type="dxa"/>
            <w:vAlign w:val="bottom"/>
          </w:tcPr>
          <w:p>
            <w:pPr>
              <w:jc w:val="right"/>
              <w:spacing w:after="0"/>
              <w:rPr>
                <w:sz w:val="20"/>
                <w:szCs w:val="20"/>
                <w:color w:val="auto"/>
              </w:rPr>
            </w:pPr>
            <w:r>
              <w:rPr>
                <w:rFonts w:ascii="Arial" w:cs="Arial" w:eastAsia="Arial" w:hAnsi="Arial"/>
                <w:sz w:val="14"/>
                <w:szCs w:val="14"/>
                <w:color w:val="auto"/>
              </w:rPr>
              <w:t>784,080</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350,000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780" w:type="dxa"/>
            <w:vAlign w:val="bottom"/>
          </w:tcPr>
          <w:p>
            <w:pPr>
              <w:jc w:val="right"/>
              <w:spacing w:after="0"/>
              <w:rPr>
                <w:sz w:val="20"/>
                <w:szCs w:val="20"/>
                <w:color w:val="auto"/>
              </w:rPr>
            </w:pPr>
            <w:r>
              <w:rPr>
                <w:rFonts w:ascii="Arial" w:cs="Arial" w:eastAsia="Arial" w:hAnsi="Arial"/>
                <w:sz w:val="14"/>
                <w:szCs w:val="14"/>
                <w:color w:val="auto"/>
              </w:rPr>
              <w:t>1,400,000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174,130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348,260</w:t>
            </w:r>
          </w:p>
        </w:tc>
        <w:tc>
          <w:tcPr>
            <w:tcW w:w="780" w:type="dxa"/>
            <w:vAlign w:val="bottom"/>
          </w:tcPr>
          <w:p>
            <w:pPr>
              <w:jc w:val="right"/>
              <w:spacing w:after="0"/>
              <w:rPr>
                <w:sz w:val="20"/>
                <w:szCs w:val="20"/>
                <w:color w:val="auto"/>
              </w:rPr>
            </w:pPr>
            <w:r>
              <w:rPr>
                <w:rFonts w:ascii="Arial" w:cs="Arial" w:eastAsia="Arial" w:hAnsi="Arial"/>
                <w:sz w:val="14"/>
                <w:szCs w:val="14"/>
                <w:color w:val="auto"/>
              </w:rPr>
              <w:t>696,520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1,628,116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348,259</w:t>
            </w:r>
          </w:p>
        </w:tc>
        <w:tc>
          <w:tcPr>
            <w:tcW w:w="820" w:type="dxa"/>
            <w:vAlign w:val="bottom"/>
          </w:tcPr>
          <w:p>
            <w:pPr>
              <w:jc w:val="right"/>
              <w:spacing w:after="0"/>
              <w:rPr>
                <w:sz w:val="20"/>
                <w:szCs w:val="20"/>
                <w:color w:val="auto"/>
              </w:rPr>
            </w:pPr>
            <w:r>
              <w:rPr>
                <w:rFonts w:ascii="Arial" w:cs="Arial" w:eastAsia="Arial" w:hAnsi="Arial"/>
                <w:sz w:val="14"/>
                <w:szCs w:val="14"/>
                <w:color w:val="auto"/>
              </w:rPr>
              <w:t>1,372,140</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Stuart Fraser</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Feb. 7(5)</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90,000</w:t>
            </w:r>
          </w:p>
        </w:tc>
        <w:tc>
          <w:tcPr>
            <w:tcW w:w="820" w:type="dxa"/>
            <w:vAlign w:val="bottom"/>
          </w:tcPr>
          <w:p>
            <w:pPr>
              <w:jc w:val="right"/>
              <w:spacing w:after="0"/>
              <w:rPr>
                <w:sz w:val="20"/>
                <w:szCs w:val="20"/>
                <w:color w:val="auto"/>
              </w:rPr>
            </w:pPr>
            <w:r>
              <w:rPr>
                <w:rFonts w:ascii="Arial" w:cs="Arial" w:eastAsia="Arial" w:hAnsi="Arial"/>
                <w:sz w:val="14"/>
                <w:szCs w:val="14"/>
                <w:color w:val="auto"/>
              </w:rPr>
              <w:t>263,700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Apr. 27</w:t>
            </w:r>
          </w:p>
        </w:tc>
        <w:tc>
          <w:tcPr>
            <w:tcW w:w="980" w:type="dxa"/>
            <w:vAlign w:val="bottom"/>
          </w:tcPr>
          <w:p>
            <w:pPr>
              <w:jc w:val="right"/>
              <w:spacing w:after="0"/>
              <w:rPr>
                <w:sz w:val="20"/>
                <w:szCs w:val="20"/>
                <w:color w:val="auto"/>
              </w:rPr>
            </w:pPr>
            <w:r>
              <w:rPr>
                <w:rFonts w:ascii="Arial" w:cs="Arial" w:eastAsia="Arial" w:hAnsi="Arial"/>
                <w:sz w:val="14"/>
                <w:szCs w:val="14"/>
                <w:color w:val="auto"/>
              </w:rPr>
              <w:t>108,724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217,449</w:t>
            </w:r>
          </w:p>
        </w:tc>
        <w:tc>
          <w:tcPr>
            <w:tcW w:w="780" w:type="dxa"/>
            <w:vAlign w:val="bottom"/>
          </w:tcPr>
          <w:p>
            <w:pPr>
              <w:jc w:val="right"/>
              <w:spacing w:after="0"/>
              <w:rPr>
                <w:sz w:val="20"/>
                <w:szCs w:val="20"/>
                <w:color w:val="auto"/>
              </w:rPr>
            </w:pPr>
            <w:r>
              <w:rPr>
                <w:rFonts w:ascii="Arial" w:cs="Arial" w:eastAsia="Arial" w:hAnsi="Arial"/>
                <w:sz w:val="14"/>
                <w:szCs w:val="14"/>
                <w:color w:val="auto"/>
              </w:rPr>
              <w:t>434,897</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Apr. 27(6)</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39,830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79,660</w:t>
            </w:r>
          </w:p>
        </w:tc>
        <w:tc>
          <w:tcPr>
            <w:tcW w:w="780" w:type="dxa"/>
            <w:vAlign w:val="bottom"/>
          </w:tcPr>
          <w:p>
            <w:pPr>
              <w:jc w:val="right"/>
              <w:spacing w:after="0"/>
              <w:rPr>
                <w:sz w:val="20"/>
                <w:szCs w:val="20"/>
                <w:color w:val="auto"/>
              </w:rPr>
            </w:pPr>
            <w:r>
              <w:rPr>
                <w:rFonts w:ascii="Arial" w:cs="Arial" w:eastAsia="Arial" w:hAnsi="Arial"/>
                <w:sz w:val="14"/>
                <w:szCs w:val="14"/>
                <w:color w:val="auto"/>
              </w:rPr>
              <w:t>159,320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278,412</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Douglas M. Mills</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jc w:val="right"/>
              <w:spacing w:after="0"/>
              <w:rPr>
                <w:sz w:val="20"/>
                <w:szCs w:val="20"/>
                <w:color w:val="auto"/>
              </w:rPr>
            </w:pPr>
            <w:r>
              <w:rPr>
                <w:rFonts w:ascii="Arial" w:cs="Arial" w:eastAsia="Arial" w:hAnsi="Arial"/>
                <w:sz w:val="14"/>
                <w:szCs w:val="14"/>
                <w:color w:val="auto"/>
              </w:rPr>
              <w:t>150,000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780" w:type="dxa"/>
            <w:vAlign w:val="bottom"/>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Jan. 31</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31,095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62,190</w:t>
            </w:r>
          </w:p>
        </w:tc>
        <w:tc>
          <w:tcPr>
            <w:tcW w:w="780" w:type="dxa"/>
            <w:vAlign w:val="bottom"/>
          </w:tcPr>
          <w:p>
            <w:pPr>
              <w:jc w:val="right"/>
              <w:spacing w:after="0"/>
              <w:rPr>
                <w:sz w:val="20"/>
                <w:szCs w:val="20"/>
                <w:color w:val="auto"/>
              </w:rPr>
            </w:pPr>
            <w:r>
              <w:rPr>
                <w:rFonts w:ascii="Arial" w:cs="Arial" w:eastAsia="Arial" w:hAnsi="Arial"/>
                <w:sz w:val="14"/>
                <w:szCs w:val="14"/>
                <w:color w:val="auto"/>
              </w:rPr>
              <w:t>124,380</w:t>
            </w: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290,738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Jan. 31</w:t>
            </w: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62,189</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245,025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right="300" w:hanging="216"/>
        <w:spacing w:after="0" w:line="258"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2018 under the terms of the EICP. See “Elements of Our Executive Compensation Program–Annual Cash Incentive Compensation” in the CD&amp;A section of this Proxy Statement for more information including specific payments for 2018.</w:t>
      </w:r>
    </w:p>
    <w:p>
      <w:pPr>
        <w:spacing w:after="0" w:line="18" w:lineRule="exact"/>
        <w:rPr>
          <w:rFonts w:ascii="Arial" w:cs="Arial" w:eastAsia="Arial" w:hAnsi="Arial"/>
          <w:sz w:val="14"/>
          <w:szCs w:val="14"/>
          <w:color w:val="auto"/>
        </w:rPr>
      </w:pPr>
    </w:p>
    <w:p>
      <w:pPr>
        <w:ind w:left="420" w:right="140" w:hanging="216"/>
        <w:spacing w:after="0" w:line="245"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PSUs tied to relative TSR and average ROCE over the performance period. The number of shares shown in the “Threshold” column reflects a payout of 50% of the number of PSUs granted. The number of shares shown in the “Target” column reflects a payout of 100% of the number of PSUs granted. The number of shares shown in the “Maximum” column reflects the highest possible payout of 200% of the number of PSUs granted. The number of shares earned will be determined by linear interpolation if the performance results are between threshold and target, or target and maximum, up to the maximum number of shares shown in the “Maximum” column.</w:t>
      </w:r>
    </w:p>
    <w:p>
      <w:pPr>
        <w:spacing w:after="0" w:line="29" w:lineRule="exact"/>
        <w:rPr>
          <w:rFonts w:ascii="Arial" w:cs="Arial" w:eastAsia="Arial" w:hAnsi="Arial"/>
          <w:sz w:val="14"/>
          <w:szCs w:val="14"/>
          <w:color w:val="auto"/>
        </w:rPr>
      </w:pPr>
    </w:p>
    <w:p>
      <w:pPr>
        <w:jc w:val="both"/>
        <w:ind w:left="420" w:right="40" w:hanging="216"/>
        <w:spacing w:after="0" w:line="247"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RSUs and, for PSUs, a fair value calculated using a Monte Carlo valuation model, in accordance with FASB ASC Topic 718. See “Note 17 (Share-Based Compensation)” to the audited financial statements included in our Annual Report on Form 10-K for the year ended December 31, 2018, for details as to the assumptions used to determine the fair value of equity awards. RSUs and PSUs were granted under the terms of the 2010 Omnibus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560" w:hanging="356"/>
        <w:spacing w:after="0"/>
        <w:tabs>
          <w:tab w:leader="none" w:pos="560" w:val="left"/>
        </w:tabs>
        <w:numPr>
          <w:ilvl w:val="0"/>
          <w:numId w:val="6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666666"/>
        </w:rPr>
        <w:t>EXECUTIVE COMPENSATION TABLES</w:t>
      </w:r>
    </w:p>
    <w:p>
      <w:pPr>
        <w:spacing w:after="0" w:line="201" w:lineRule="exact"/>
        <w:rPr>
          <w:sz w:val="20"/>
          <w:szCs w:val="20"/>
          <w:color w:val="auto"/>
        </w:rPr>
      </w:pPr>
    </w:p>
    <w:p>
      <w:pPr>
        <w:ind w:left="420" w:right="180" w:hanging="216"/>
        <w:spacing w:after="0" w:line="187" w:lineRule="auto"/>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granted on January 31</w:t>
      </w:r>
      <w:r>
        <w:rPr>
          <w:rFonts w:ascii="Arial" w:cs="Arial" w:eastAsia="Arial" w:hAnsi="Arial"/>
          <w:sz w:val="24"/>
          <w:szCs w:val="24"/>
          <w:color w:val="auto"/>
          <w:vertAlign w:val="superscript"/>
        </w:rPr>
        <w:t>st</w:t>
      </w:r>
      <w:r>
        <w:rPr>
          <w:rFonts w:ascii="Arial" w:cs="Arial" w:eastAsia="Arial" w:hAnsi="Arial"/>
          <w:sz w:val="14"/>
          <w:szCs w:val="14"/>
          <w:color w:val="auto"/>
        </w:rPr>
        <w:t>, vest ratably in equal annual installments over a period of three years. The PSUs granted on January 31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cliff vest on January 31, 2021. Vesting for PSUs remains subject to the attainment of applicable target payment level performance objectives.</w:t>
      </w:r>
    </w:p>
    <w:p>
      <w:pPr>
        <w:spacing w:after="0" w:line="31" w:lineRule="exact"/>
        <w:rPr>
          <w:rFonts w:ascii="Arial" w:cs="Arial" w:eastAsia="Arial" w:hAnsi="Arial"/>
          <w:sz w:val="14"/>
          <w:szCs w:val="14"/>
          <w:color w:val="auto"/>
        </w:rPr>
      </w:pPr>
    </w:p>
    <w:p>
      <w:pPr>
        <w:ind w:left="420" w:hanging="216"/>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RSUs granted on February 7th, vest ratably in equal annual installments over a period of three years.</w:t>
      </w:r>
    </w:p>
    <w:p>
      <w:pPr>
        <w:spacing w:after="0" w:line="34" w:lineRule="exact"/>
        <w:rPr>
          <w:rFonts w:ascii="Arial" w:cs="Arial" w:eastAsia="Arial" w:hAnsi="Arial"/>
          <w:sz w:val="14"/>
          <w:szCs w:val="14"/>
          <w:color w:val="auto"/>
        </w:rPr>
      </w:pPr>
    </w:p>
    <w:p>
      <w:pPr>
        <w:ind w:left="420" w:hanging="216"/>
        <w:spacing w:after="0"/>
        <w:tabs>
          <w:tab w:leader="none" w:pos="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PSUs granted on April 27</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cliff vest on April 27, 2021. Vesting for PSUs remains subject to the attainment of applicable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8318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80" w:lineRule="exact"/>
        <w:rPr>
          <w:sz w:val="20"/>
          <w:szCs w:val="20"/>
          <w:color w:val="auto"/>
        </w:rPr>
      </w:pPr>
    </w:p>
    <w:p>
      <w:pPr>
        <w:ind w:left="200" w:right="200"/>
        <w:spacing w:after="0" w:line="281" w:lineRule="auto"/>
        <w:rPr>
          <w:sz w:val="20"/>
          <w:szCs w:val="20"/>
          <w:color w:val="auto"/>
        </w:rPr>
      </w:pPr>
      <w:r>
        <w:rPr>
          <w:rFonts w:ascii="Arial" w:cs="Arial" w:eastAsia="Arial" w:hAnsi="Arial"/>
          <w:sz w:val="43"/>
          <w:szCs w:val="43"/>
          <w:b w:val="1"/>
          <w:bCs w:val="1"/>
          <w:color w:val="auto"/>
        </w:rPr>
        <w:t>OUTSTANDING EQUITY AWARDS AT DECEMBER 31, 2018</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about the number of outstanding equity awards held by our NEOs at December 31,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Borders>
              <w:bottom w:val="single" w:sz="8" w:color="666666"/>
            </w:tcBorders>
          </w:tcPr>
          <w:p>
            <w:pPr>
              <w:spacing w:after="0"/>
              <w:rPr>
                <w:sz w:val="14"/>
                <w:szCs w:val="14"/>
                <w:color w:val="auto"/>
              </w:rPr>
            </w:pPr>
          </w:p>
        </w:tc>
        <w:tc>
          <w:tcPr>
            <w:tcW w:w="1020" w:type="dxa"/>
            <w:vAlign w:val="bottom"/>
            <w:tcBorders>
              <w:bottom w:val="single" w:sz="8" w:color="666666"/>
            </w:tcBorders>
          </w:tcPr>
          <w:p>
            <w:pPr>
              <w:spacing w:after="0"/>
              <w:rPr>
                <w:sz w:val="14"/>
                <w:szCs w:val="14"/>
                <w:color w:val="auto"/>
              </w:rPr>
            </w:pPr>
          </w:p>
        </w:tc>
        <w:tc>
          <w:tcPr>
            <w:tcW w:w="1960" w:type="dxa"/>
            <w:vAlign w:val="bottom"/>
            <w:tcBorders>
              <w:bottom w:val="single" w:sz="8" w:color="666666"/>
            </w:tcBorders>
          </w:tcPr>
          <w:p>
            <w:pPr>
              <w:jc w:val="right"/>
              <w:ind w:right="988"/>
              <w:spacing w:after="0"/>
              <w:rPr>
                <w:sz w:val="20"/>
                <w:szCs w:val="20"/>
                <w:color w:val="auto"/>
              </w:rPr>
            </w:pPr>
            <w:r>
              <w:rPr>
                <w:rFonts w:ascii="Arial" w:cs="Arial" w:eastAsia="Arial" w:hAnsi="Arial"/>
                <w:sz w:val="14"/>
                <w:szCs w:val="14"/>
                <w:color w:val="auto"/>
              </w:rPr>
              <w:t>Stock Awards</w:t>
            </w:r>
          </w:p>
        </w:tc>
        <w:tc>
          <w:tcPr>
            <w:tcW w:w="156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Equity Incentive</w:t>
            </w:r>
          </w:p>
        </w:tc>
        <w:tc>
          <w:tcPr>
            <w:tcW w:w="1560" w:type="dxa"/>
            <w:vAlign w:val="bottom"/>
          </w:tcPr>
          <w:p>
            <w:pPr>
              <w:jc w:val="right"/>
              <w:spacing w:after="0"/>
              <w:rPr>
                <w:sz w:val="20"/>
                <w:szCs w:val="20"/>
                <w:color w:val="auto"/>
              </w:rPr>
            </w:pPr>
            <w:r>
              <w:rPr>
                <w:rFonts w:ascii="Arial" w:cs="Arial" w:eastAsia="Arial" w:hAnsi="Arial"/>
                <w:sz w:val="14"/>
                <w:szCs w:val="14"/>
                <w:color w:val="auto"/>
              </w:rPr>
              <w:t>Equity Incentive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Market</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Plan Awards:</w:t>
            </w:r>
          </w:p>
        </w:tc>
        <w:tc>
          <w:tcPr>
            <w:tcW w:w="1560" w:type="dxa"/>
            <w:vAlign w:val="bottom"/>
          </w:tcPr>
          <w:p>
            <w:pPr>
              <w:jc w:val="right"/>
              <w:spacing w:after="0"/>
              <w:rPr>
                <w:sz w:val="20"/>
                <w:szCs w:val="20"/>
                <w:color w:val="auto"/>
              </w:rPr>
            </w:pPr>
            <w:r>
              <w:rPr>
                <w:rFonts w:ascii="Arial" w:cs="Arial" w:eastAsia="Arial" w:hAnsi="Arial"/>
                <w:sz w:val="14"/>
                <w:szCs w:val="14"/>
                <w:color w:val="auto"/>
              </w:rPr>
              <w:t>Plan Awards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Value</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Number of</w:t>
            </w:r>
          </w:p>
        </w:tc>
        <w:tc>
          <w:tcPr>
            <w:tcW w:w="1560" w:type="dxa"/>
            <w:vAlign w:val="bottom"/>
          </w:tcPr>
          <w:p>
            <w:pPr>
              <w:jc w:val="right"/>
              <w:spacing w:after="0"/>
              <w:rPr>
                <w:sz w:val="20"/>
                <w:szCs w:val="20"/>
                <w:color w:val="auto"/>
              </w:rPr>
            </w:pPr>
            <w:r>
              <w:rPr>
                <w:rFonts w:ascii="Arial" w:cs="Arial" w:eastAsia="Arial" w:hAnsi="Arial"/>
                <w:sz w:val="14"/>
                <w:szCs w:val="14"/>
                <w:color w:val="auto"/>
              </w:rPr>
              <w:t>Market or Payout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Number</w:t>
            </w:r>
          </w:p>
        </w:tc>
        <w:tc>
          <w:tcPr>
            <w:tcW w:w="1020" w:type="dxa"/>
            <w:vAlign w:val="bottom"/>
          </w:tcPr>
          <w:p>
            <w:pPr>
              <w:jc w:val="right"/>
              <w:spacing w:after="0"/>
              <w:rPr>
                <w:sz w:val="20"/>
                <w:szCs w:val="20"/>
                <w:color w:val="auto"/>
              </w:rPr>
            </w:pPr>
            <w:r>
              <w:rPr>
                <w:rFonts w:ascii="Arial" w:cs="Arial" w:eastAsia="Arial" w:hAnsi="Arial"/>
                <w:sz w:val="14"/>
                <w:szCs w:val="14"/>
                <w:color w:val="auto"/>
              </w:rPr>
              <w:t>of Shares</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Unearned</w:t>
            </w:r>
          </w:p>
        </w:tc>
        <w:tc>
          <w:tcPr>
            <w:tcW w:w="1560" w:type="dxa"/>
            <w:vAlign w:val="bottom"/>
          </w:tcPr>
          <w:p>
            <w:pPr>
              <w:jc w:val="right"/>
              <w:spacing w:after="0"/>
              <w:rPr>
                <w:sz w:val="20"/>
                <w:szCs w:val="20"/>
                <w:color w:val="auto"/>
              </w:rPr>
            </w:pPr>
            <w:r>
              <w:rPr>
                <w:rFonts w:ascii="Arial" w:cs="Arial" w:eastAsia="Arial" w:hAnsi="Arial"/>
                <w:sz w:val="14"/>
                <w:szCs w:val="14"/>
                <w:color w:val="auto"/>
              </w:rPr>
              <w:t>Value of Unearned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of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or Units</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Shares, Units</w:t>
            </w:r>
          </w:p>
        </w:tc>
        <w:tc>
          <w:tcPr>
            <w:tcW w:w="1560" w:type="dxa"/>
            <w:vAlign w:val="bottom"/>
          </w:tcPr>
          <w:p>
            <w:pPr>
              <w:jc w:val="right"/>
              <w:spacing w:after="0"/>
              <w:rPr>
                <w:sz w:val="20"/>
                <w:szCs w:val="20"/>
                <w:color w:val="auto"/>
              </w:rPr>
            </w:pPr>
            <w:r>
              <w:rPr>
                <w:rFonts w:ascii="Arial" w:cs="Arial" w:eastAsia="Arial" w:hAnsi="Arial"/>
                <w:sz w:val="14"/>
                <w:szCs w:val="14"/>
                <w:color w:val="auto"/>
              </w:rPr>
              <w:t>Shares, Units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or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That Have</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or Other Rights</w:t>
            </w:r>
          </w:p>
        </w:tc>
        <w:tc>
          <w:tcPr>
            <w:tcW w:w="1560" w:type="dxa"/>
            <w:vAlign w:val="bottom"/>
          </w:tcPr>
          <w:p>
            <w:pPr>
              <w:jc w:val="right"/>
              <w:spacing w:after="0"/>
              <w:rPr>
                <w:sz w:val="20"/>
                <w:szCs w:val="20"/>
                <w:color w:val="auto"/>
              </w:rPr>
            </w:pPr>
            <w:r>
              <w:rPr>
                <w:rFonts w:ascii="Arial" w:cs="Arial" w:eastAsia="Arial" w:hAnsi="Arial"/>
                <w:sz w:val="14"/>
                <w:szCs w:val="14"/>
                <w:color w:val="auto"/>
              </w:rPr>
              <w:t>or Other Rights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color w:val="auto"/>
              </w:rPr>
              <w:t>That Have</w:t>
            </w:r>
          </w:p>
        </w:tc>
        <w:tc>
          <w:tcPr>
            <w:tcW w:w="1020" w:type="dxa"/>
            <w:vAlign w:val="bottom"/>
          </w:tcPr>
          <w:p>
            <w:pPr>
              <w:jc w:val="right"/>
              <w:spacing w:after="0"/>
              <w:rPr>
                <w:sz w:val="20"/>
                <w:szCs w:val="20"/>
                <w:color w:val="auto"/>
              </w:rPr>
            </w:pPr>
            <w:r>
              <w:rPr>
                <w:rFonts w:ascii="Arial" w:cs="Arial" w:eastAsia="Arial" w:hAnsi="Arial"/>
                <w:sz w:val="14"/>
                <w:szCs w:val="14"/>
                <w:color w:val="auto"/>
              </w:rPr>
              <w:t>Not</w:t>
            </w:r>
          </w:p>
        </w:tc>
        <w:tc>
          <w:tcPr>
            <w:tcW w:w="1960" w:type="dxa"/>
            <w:vAlign w:val="bottom"/>
          </w:tcPr>
          <w:p>
            <w:pPr>
              <w:jc w:val="right"/>
              <w:ind w:right="508"/>
              <w:spacing w:after="0"/>
              <w:rPr>
                <w:sz w:val="20"/>
                <w:szCs w:val="20"/>
                <w:color w:val="auto"/>
              </w:rPr>
            </w:pPr>
            <w:r>
              <w:rPr>
                <w:rFonts w:ascii="Arial" w:cs="Arial" w:eastAsia="Arial" w:hAnsi="Arial"/>
                <w:sz w:val="14"/>
                <w:szCs w:val="14"/>
                <w:color w:val="auto"/>
              </w:rPr>
              <w:t>That Have not</w:t>
            </w:r>
          </w:p>
        </w:tc>
        <w:tc>
          <w:tcPr>
            <w:tcW w:w="156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Not Vested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w:t>
            </w:r>
          </w:p>
        </w:tc>
        <w:tc>
          <w:tcPr>
            <w:tcW w:w="1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Vested (#)(1)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Vested($)(1)</w:t>
            </w:r>
          </w:p>
        </w:tc>
        <w:tc>
          <w:tcPr>
            <w:tcW w:w="0" w:type="dxa"/>
            <w:vAlign w:val="bottom"/>
          </w:tcPr>
          <w:p>
            <w:pPr>
              <w:spacing w:after="0"/>
              <w:rPr>
                <w:sz w:val="1"/>
                <w:szCs w:val="1"/>
                <w:color w:val="auto"/>
              </w:rPr>
            </w:pPr>
          </w:p>
        </w:tc>
      </w:tr>
      <w:tr>
        <w:trPr>
          <w:trHeight w:val="160"/>
        </w:trPr>
        <w:tc>
          <w:tcPr>
            <w:tcW w:w="4640" w:type="dxa"/>
            <w:vAlign w:val="bottom"/>
            <w:gridSpan w:val="2"/>
          </w:tcPr>
          <w:p>
            <w:pPr>
              <w:spacing w:after="0"/>
              <w:rPr>
                <w:sz w:val="20"/>
                <w:szCs w:val="20"/>
                <w:color w:val="auto"/>
              </w:rPr>
            </w:pPr>
            <w:r>
              <w:rPr>
                <w:rFonts w:ascii="Arial" w:cs="Arial" w:eastAsia="Arial" w:hAnsi="Arial"/>
                <w:sz w:val="14"/>
                <w:szCs w:val="14"/>
                <w:color w:val="auto"/>
              </w:rPr>
              <w:t>Mark A. McCollum</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365,630(2)</w:t>
            </w:r>
          </w:p>
        </w:tc>
        <w:tc>
          <w:tcPr>
            <w:tcW w:w="1020" w:type="dxa"/>
            <w:vAlign w:val="bottom"/>
          </w:tcPr>
          <w:p>
            <w:pPr>
              <w:jc w:val="right"/>
              <w:spacing w:after="0"/>
              <w:rPr>
                <w:sz w:val="20"/>
                <w:szCs w:val="20"/>
                <w:color w:val="auto"/>
              </w:rPr>
            </w:pPr>
            <w:r>
              <w:rPr>
                <w:rFonts w:ascii="Arial" w:cs="Arial" w:eastAsia="Arial" w:hAnsi="Arial"/>
                <w:sz w:val="14"/>
                <w:szCs w:val="14"/>
                <w:color w:val="auto"/>
              </w:rPr>
              <w:t>204,753</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182,815(5)</w:t>
            </w:r>
          </w:p>
        </w:tc>
        <w:tc>
          <w:tcPr>
            <w:tcW w:w="1560" w:type="dxa"/>
            <w:vAlign w:val="bottom"/>
          </w:tcPr>
          <w:p>
            <w:pPr>
              <w:jc w:val="right"/>
              <w:spacing w:after="0"/>
              <w:rPr>
                <w:sz w:val="20"/>
                <w:szCs w:val="20"/>
                <w:color w:val="auto"/>
              </w:rPr>
            </w:pPr>
            <w:r>
              <w:rPr>
                <w:rFonts w:ascii="Arial" w:cs="Arial" w:eastAsia="Arial" w:hAnsi="Arial"/>
                <w:sz w:val="14"/>
                <w:szCs w:val="14"/>
                <w:color w:val="auto"/>
              </w:rPr>
              <w:t>102,376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411,334(3)</w:t>
            </w:r>
          </w:p>
        </w:tc>
        <w:tc>
          <w:tcPr>
            <w:tcW w:w="1020" w:type="dxa"/>
            <w:vAlign w:val="bottom"/>
          </w:tcPr>
          <w:p>
            <w:pPr>
              <w:jc w:val="right"/>
              <w:spacing w:after="0"/>
              <w:rPr>
                <w:sz w:val="20"/>
                <w:szCs w:val="20"/>
                <w:color w:val="auto"/>
              </w:rPr>
            </w:pPr>
            <w:r>
              <w:rPr>
                <w:rFonts w:ascii="Arial" w:cs="Arial" w:eastAsia="Arial" w:hAnsi="Arial"/>
                <w:sz w:val="14"/>
                <w:szCs w:val="14"/>
                <w:color w:val="auto"/>
              </w:rPr>
              <w:t>230,347</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845,771(4)</w:t>
            </w:r>
          </w:p>
        </w:tc>
        <w:tc>
          <w:tcPr>
            <w:tcW w:w="1020" w:type="dxa"/>
            <w:vAlign w:val="bottom"/>
          </w:tcPr>
          <w:p>
            <w:pPr>
              <w:jc w:val="right"/>
              <w:spacing w:after="0"/>
              <w:rPr>
                <w:sz w:val="20"/>
                <w:szCs w:val="20"/>
                <w:color w:val="auto"/>
              </w:rPr>
            </w:pPr>
            <w:r>
              <w:rPr>
                <w:rFonts w:ascii="Arial" w:cs="Arial" w:eastAsia="Arial" w:hAnsi="Arial"/>
                <w:sz w:val="14"/>
                <w:szCs w:val="14"/>
                <w:color w:val="auto"/>
              </w:rPr>
              <w:t>473,632</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422,886(6)</w:t>
            </w:r>
          </w:p>
        </w:tc>
        <w:tc>
          <w:tcPr>
            <w:tcW w:w="1560" w:type="dxa"/>
            <w:vAlign w:val="bottom"/>
          </w:tcPr>
          <w:p>
            <w:pPr>
              <w:jc w:val="right"/>
              <w:spacing w:after="0"/>
              <w:rPr>
                <w:sz w:val="20"/>
                <w:szCs w:val="20"/>
                <w:color w:val="auto"/>
              </w:rPr>
            </w:pPr>
            <w:r>
              <w:rPr>
                <w:rFonts w:ascii="Arial" w:cs="Arial" w:eastAsia="Arial" w:hAnsi="Arial"/>
                <w:sz w:val="14"/>
                <w:szCs w:val="14"/>
                <w:color w:val="auto"/>
              </w:rPr>
              <w:t>236,816</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33,333(7)</w:t>
            </w:r>
          </w:p>
        </w:tc>
        <w:tc>
          <w:tcPr>
            <w:tcW w:w="1020" w:type="dxa"/>
            <w:vAlign w:val="bottom"/>
          </w:tcPr>
          <w:p>
            <w:pPr>
              <w:jc w:val="right"/>
              <w:spacing w:after="0"/>
              <w:rPr>
                <w:sz w:val="20"/>
                <w:szCs w:val="20"/>
                <w:color w:val="auto"/>
              </w:rPr>
            </w:pPr>
            <w:r>
              <w:rPr>
                <w:rFonts w:ascii="Arial" w:cs="Arial" w:eastAsia="Arial" w:hAnsi="Arial"/>
                <w:sz w:val="14"/>
                <w:szCs w:val="14"/>
                <w:color w:val="auto"/>
              </w:rPr>
              <w:t>18,666</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10,000(8)</w:t>
            </w:r>
          </w:p>
        </w:tc>
        <w:tc>
          <w:tcPr>
            <w:tcW w:w="1020" w:type="dxa"/>
            <w:vAlign w:val="bottom"/>
          </w:tcPr>
          <w:p>
            <w:pPr>
              <w:jc w:val="right"/>
              <w:spacing w:after="0"/>
              <w:rPr>
                <w:sz w:val="20"/>
                <w:szCs w:val="20"/>
                <w:color w:val="auto"/>
              </w:rPr>
            </w:pPr>
            <w:r>
              <w:rPr>
                <w:rFonts w:ascii="Arial" w:cs="Arial" w:eastAsia="Arial" w:hAnsi="Arial"/>
                <w:sz w:val="14"/>
                <w:szCs w:val="14"/>
                <w:color w:val="auto"/>
              </w:rPr>
              <w:t>5,600</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132,575(9)</w:t>
            </w:r>
          </w:p>
        </w:tc>
        <w:tc>
          <w:tcPr>
            <w:tcW w:w="1020" w:type="dxa"/>
            <w:vAlign w:val="bottom"/>
          </w:tcPr>
          <w:p>
            <w:pPr>
              <w:jc w:val="right"/>
              <w:spacing w:after="0"/>
              <w:rPr>
                <w:sz w:val="20"/>
                <w:szCs w:val="20"/>
                <w:color w:val="auto"/>
              </w:rPr>
            </w:pPr>
            <w:r>
              <w:rPr>
                <w:rFonts w:ascii="Arial" w:cs="Arial" w:eastAsia="Arial" w:hAnsi="Arial"/>
                <w:sz w:val="14"/>
                <w:szCs w:val="14"/>
                <w:color w:val="auto"/>
              </w:rPr>
              <w:t>74,242</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66,288(10)</w:t>
            </w:r>
          </w:p>
        </w:tc>
        <w:tc>
          <w:tcPr>
            <w:tcW w:w="1560" w:type="dxa"/>
            <w:vAlign w:val="bottom"/>
          </w:tcPr>
          <w:p>
            <w:pPr>
              <w:jc w:val="right"/>
              <w:spacing w:after="0"/>
              <w:rPr>
                <w:sz w:val="20"/>
                <w:szCs w:val="20"/>
                <w:color w:val="auto"/>
              </w:rPr>
            </w:pPr>
            <w:r>
              <w:rPr>
                <w:rFonts w:ascii="Arial" w:cs="Arial" w:eastAsia="Arial" w:hAnsi="Arial"/>
                <w:sz w:val="14"/>
                <w:szCs w:val="14"/>
                <w:color w:val="auto"/>
              </w:rPr>
              <w:t>37,121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286,070(4)</w:t>
            </w:r>
          </w:p>
        </w:tc>
        <w:tc>
          <w:tcPr>
            <w:tcW w:w="1020" w:type="dxa"/>
            <w:vAlign w:val="bottom"/>
          </w:tcPr>
          <w:p>
            <w:pPr>
              <w:jc w:val="right"/>
              <w:spacing w:after="0"/>
              <w:rPr>
                <w:sz w:val="20"/>
                <w:szCs w:val="20"/>
                <w:color w:val="auto"/>
              </w:rPr>
            </w:pPr>
            <w:r>
              <w:rPr>
                <w:rFonts w:ascii="Arial" w:cs="Arial" w:eastAsia="Arial" w:hAnsi="Arial"/>
                <w:sz w:val="14"/>
                <w:szCs w:val="14"/>
                <w:color w:val="auto"/>
              </w:rPr>
              <w:t>160,199</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143,035(6)</w:t>
            </w:r>
          </w:p>
        </w:tc>
        <w:tc>
          <w:tcPr>
            <w:tcW w:w="1560" w:type="dxa"/>
            <w:vAlign w:val="bottom"/>
          </w:tcPr>
          <w:p>
            <w:pPr>
              <w:jc w:val="right"/>
              <w:spacing w:after="0"/>
              <w:rPr>
                <w:sz w:val="20"/>
                <w:szCs w:val="20"/>
                <w:color w:val="auto"/>
              </w:rPr>
            </w:pPr>
            <w:r>
              <w:rPr>
                <w:rFonts w:ascii="Arial" w:cs="Arial" w:eastAsia="Arial" w:hAnsi="Arial"/>
                <w:sz w:val="14"/>
                <w:szCs w:val="14"/>
                <w:color w:val="auto"/>
              </w:rPr>
              <w:t>80,100</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53,850(11)</w:t>
            </w:r>
          </w:p>
        </w:tc>
        <w:tc>
          <w:tcPr>
            <w:tcW w:w="1020" w:type="dxa"/>
            <w:vAlign w:val="bottom"/>
          </w:tcPr>
          <w:p>
            <w:pPr>
              <w:jc w:val="right"/>
              <w:spacing w:after="0"/>
              <w:rPr>
                <w:sz w:val="20"/>
                <w:szCs w:val="20"/>
                <w:color w:val="auto"/>
              </w:rPr>
            </w:pPr>
            <w:r>
              <w:rPr>
                <w:rFonts w:ascii="Arial" w:cs="Arial" w:eastAsia="Arial" w:hAnsi="Arial"/>
                <w:sz w:val="14"/>
                <w:szCs w:val="14"/>
                <w:color w:val="auto"/>
              </w:rPr>
              <w:t>30,156</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26,925(12)</w:t>
            </w:r>
          </w:p>
        </w:tc>
        <w:tc>
          <w:tcPr>
            <w:tcW w:w="1560" w:type="dxa"/>
            <w:vAlign w:val="bottom"/>
          </w:tcPr>
          <w:p>
            <w:pPr>
              <w:jc w:val="right"/>
              <w:spacing w:after="0"/>
              <w:rPr>
                <w:sz w:val="20"/>
                <w:szCs w:val="20"/>
                <w:color w:val="auto"/>
              </w:rPr>
            </w:pPr>
            <w:r>
              <w:rPr>
                <w:rFonts w:ascii="Arial" w:cs="Arial" w:eastAsia="Arial" w:hAnsi="Arial"/>
                <w:sz w:val="14"/>
                <w:szCs w:val="14"/>
                <w:color w:val="auto"/>
              </w:rPr>
              <w:t>15,078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126,262(9)</w:t>
            </w:r>
          </w:p>
        </w:tc>
        <w:tc>
          <w:tcPr>
            <w:tcW w:w="1020" w:type="dxa"/>
            <w:vAlign w:val="bottom"/>
          </w:tcPr>
          <w:p>
            <w:pPr>
              <w:jc w:val="right"/>
              <w:spacing w:after="0"/>
              <w:rPr>
                <w:sz w:val="20"/>
                <w:szCs w:val="20"/>
                <w:color w:val="auto"/>
              </w:rPr>
            </w:pPr>
            <w:r>
              <w:rPr>
                <w:rFonts w:ascii="Arial" w:cs="Arial" w:eastAsia="Arial" w:hAnsi="Arial"/>
                <w:sz w:val="14"/>
                <w:szCs w:val="14"/>
                <w:color w:val="auto"/>
              </w:rPr>
              <w:t>70,707</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63,131(10)</w:t>
            </w:r>
          </w:p>
        </w:tc>
        <w:tc>
          <w:tcPr>
            <w:tcW w:w="1560" w:type="dxa"/>
            <w:vAlign w:val="bottom"/>
          </w:tcPr>
          <w:p>
            <w:pPr>
              <w:jc w:val="right"/>
              <w:spacing w:after="0"/>
              <w:rPr>
                <w:sz w:val="20"/>
                <w:szCs w:val="20"/>
                <w:color w:val="auto"/>
              </w:rPr>
            </w:pPr>
            <w:r>
              <w:rPr>
                <w:rFonts w:ascii="Arial" w:cs="Arial" w:eastAsia="Arial" w:hAnsi="Arial"/>
                <w:sz w:val="14"/>
                <w:szCs w:val="14"/>
                <w:color w:val="auto"/>
              </w:rPr>
              <w:t>35,353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199,005(4)</w:t>
            </w:r>
          </w:p>
        </w:tc>
        <w:tc>
          <w:tcPr>
            <w:tcW w:w="1020" w:type="dxa"/>
            <w:vAlign w:val="bottom"/>
          </w:tcPr>
          <w:p>
            <w:pPr>
              <w:jc w:val="right"/>
              <w:spacing w:after="0"/>
              <w:rPr>
                <w:sz w:val="20"/>
                <w:szCs w:val="20"/>
                <w:color w:val="auto"/>
              </w:rPr>
            </w:pPr>
            <w:r>
              <w:rPr>
                <w:rFonts w:ascii="Arial" w:cs="Arial" w:eastAsia="Arial" w:hAnsi="Arial"/>
                <w:sz w:val="14"/>
                <w:szCs w:val="14"/>
                <w:color w:val="auto"/>
              </w:rPr>
              <w:t>111,443</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99,503(6)</w:t>
            </w:r>
          </w:p>
        </w:tc>
        <w:tc>
          <w:tcPr>
            <w:tcW w:w="1560" w:type="dxa"/>
            <w:vAlign w:val="bottom"/>
          </w:tcPr>
          <w:p>
            <w:pPr>
              <w:jc w:val="right"/>
              <w:spacing w:after="0"/>
              <w:rPr>
                <w:sz w:val="20"/>
                <w:szCs w:val="20"/>
                <w:color w:val="auto"/>
              </w:rPr>
            </w:pPr>
            <w:r>
              <w:rPr>
                <w:rFonts w:ascii="Arial" w:cs="Arial" w:eastAsia="Arial" w:hAnsi="Arial"/>
                <w:sz w:val="14"/>
                <w:szCs w:val="14"/>
                <w:color w:val="auto"/>
              </w:rPr>
              <w:t>55,722</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338,164(13)</w:t>
            </w:r>
          </w:p>
        </w:tc>
        <w:tc>
          <w:tcPr>
            <w:tcW w:w="1020" w:type="dxa"/>
            <w:vAlign w:val="bottom"/>
          </w:tcPr>
          <w:p>
            <w:pPr>
              <w:jc w:val="right"/>
              <w:spacing w:after="0"/>
              <w:rPr>
                <w:sz w:val="20"/>
                <w:szCs w:val="20"/>
                <w:color w:val="auto"/>
              </w:rPr>
            </w:pPr>
            <w:r>
              <w:rPr>
                <w:rFonts w:ascii="Arial" w:cs="Arial" w:eastAsia="Arial" w:hAnsi="Arial"/>
                <w:sz w:val="14"/>
                <w:szCs w:val="14"/>
                <w:color w:val="auto"/>
              </w:rPr>
              <w:t>189,372</w:t>
            </w:r>
          </w:p>
        </w:tc>
        <w:tc>
          <w:tcPr>
            <w:tcW w:w="1960" w:type="dxa"/>
            <w:vAlign w:val="bottom"/>
          </w:tcPr>
          <w:p>
            <w:pPr>
              <w:jc w:val="right"/>
              <w:ind w:right="268"/>
              <w:spacing w:after="0"/>
              <w:rPr>
                <w:sz w:val="20"/>
                <w:szCs w:val="20"/>
                <w:color w:val="auto"/>
              </w:rPr>
            </w:pPr>
            <w:r>
              <w:rPr>
                <w:rFonts w:ascii="Arial" w:cs="Arial" w:eastAsia="Arial" w:hAnsi="Arial"/>
                <w:sz w:val="14"/>
                <w:szCs w:val="14"/>
                <w:color w:val="auto"/>
              </w:rPr>
              <w:t>56,361(14)</w:t>
            </w:r>
          </w:p>
        </w:tc>
        <w:tc>
          <w:tcPr>
            <w:tcW w:w="1560" w:type="dxa"/>
            <w:vAlign w:val="bottom"/>
          </w:tcPr>
          <w:p>
            <w:pPr>
              <w:jc w:val="right"/>
              <w:spacing w:after="0"/>
              <w:rPr>
                <w:sz w:val="20"/>
                <w:szCs w:val="20"/>
                <w:color w:val="auto"/>
              </w:rPr>
            </w:pPr>
            <w:r>
              <w:rPr>
                <w:rFonts w:ascii="Arial" w:cs="Arial" w:eastAsia="Arial" w:hAnsi="Arial"/>
                <w:sz w:val="14"/>
                <w:szCs w:val="14"/>
                <w:color w:val="auto"/>
              </w:rPr>
              <w:t>31,562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348,259(4)</w:t>
            </w:r>
          </w:p>
        </w:tc>
        <w:tc>
          <w:tcPr>
            <w:tcW w:w="1020" w:type="dxa"/>
            <w:vAlign w:val="bottom"/>
          </w:tcPr>
          <w:p>
            <w:pPr>
              <w:jc w:val="right"/>
              <w:spacing w:after="0"/>
              <w:rPr>
                <w:sz w:val="20"/>
                <w:szCs w:val="20"/>
                <w:color w:val="auto"/>
              </w:rPr>
            </w:pPr>
            <w:r>
              <w:rPr>
                <w:rFonts w:ascii="Arial" w:cs="Arial" w:eastAsia="Arial" w:hAnsi="Arial"/>
                <w:sz w:val="14"/>
                <w:szCs w:val="14"/>
                <w:color w:val="auto"/>
              </w:rPr>
              <w:t>195,025</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174,130(6)</w:t>
            </w:r>
          </w:p>
        </w:tc>
        <w:tc>
          <w:tcPr>
            <w:tcW w:w="1560" w:type="dxa"/>
            <w:vAlign w:val="bottom"/>
          </w:tcPr>
          <w:p>
            <w:pPr>
              <w:jc w:val="right"/>
              <w:spacing w:after="0"/>
              <w:rPr>
                <w:sz w:val="20"/>
                <w:szCs w:val="20"/>
                <w:color w:val="auto"/>
              </w:rPr>
            </w:pPr>
            <w:r>
              <w:rPr>
                <w:rFonts w:ascii="Arial" w:cs="Arial" w:eastAsia="Arial" w:hAnsi="Arial"/>
                <w:sz w:val="14"/>
                <w:szCs w:val="14"/>
                <w:color w:val="auto"/>
              </w:rPr>
              <w:t>97,513</w:t>
            </w:r>
          </w:p>
        </w:tc>
        <w:tc>
          <w:tcPr>
            <w:tcW w:w="0" w:type="dxa"/>
            <w:vAlign w:val="bottom"/>
          </w:tcPr>
          <w:p>
            <w:pPr>
              <w:spacing w:after="0"/>
              <w:rPr>
                <w:sz w:val="1"/>
                <w:szCs w:val="1"/>
                <w:color w:val="auto"/>
              </w:rPr>
            </w:pPr>
          </w:p>
        </w:tc>
      </w:tr>
      <w:tr>
        <w:trPr>
          <w:trHeight w:val="162"/>
        </w:trPr>
        <w:tc>
          <w:tcPr>
            <w:tcW w:w="4640" w:type="dxa"/>
            <w:vAlign w:val="bottom"/>
            <w:gridSpan w:val="2"/>
          </w:tcPr>
          <w:p>
            <w:pPr>
              <w:spacing w:after="0"/>
              <w:rPr>
                <w:sz w:val="20"/>
                <w:szCs w:val="20"/>
                <w:color w:val="auto"/>
              </w:rPr>
            </w:pPr>
            <w:r>
              <w:rPr>
                <w:rFonts w:ascii="Arial" w:cs="Arial" w:eastAsia="Arial" w:hAnsi="Arial"/>
                <w:sz w:val="14"/>
                <w:szCs w:val="14"/>
                <w:color w:val="auto"/>
              </w:rPr>
              <w:t>Stuart Fraser</w:t>
            </w:r>
          </w:p>
        </w:tc>
        <w:tc>
          <w:tcPr>
            <w:tcW w:w="1860" w:type="dxa"/>
            <w:vAlign w:val="bottom"/>
          </w:tcPr>
          <w:p>
            <w:pPr>
              <w:jc w:val="right"/>
              <w:ind w:right="348"/>
              <w:spacing w:after="0"/>
              <w:rPr>
                <w:sz w:val="20"/>
                <w:szCs w:val="20"/>
                <w:color w:val="auto"/>
              </w:rPr>
            </w:pPr>
            <w:r>
              <w:rPr>
                <w:rFonts w:ascii="Arial" w:cs="Arial" w:eastAsia="Arial" w:hAnsi="Arial"/>
                <w:sz w:val="14"/>
                <w:szCs w:val="14"/>
                <w:color w:val="auto"/>
              </w:rPr>
              <w:t>11,667(8)</w:t>
            </w:r>
          </w:p>
        </w:tc>
        <w:tc>
          <w:tcPr>
            <w:tcW w:w="1020" w:type="dxa"/>
            <w:vAlign w:val="bottom"/>
          </w:tcPr>
          <w:p>
            <w:pPr>
              <w:jc w:val="right"/>
              <w:spacing w:after="0"/>
              <w:rPr>
                <w:sz w:val="20"/>
                <w:szCs w:val="20"/>
                <w:color w:val="auto"/>
              </w:rPr>
            </w:pPr>
            <w:r>
              <w:rPr>
                <w:rFonts w:ascii="Arial" w:cs="Arial" w:eastAsia="Arial" w:hAnsi="Arial"/>
                <w:sz w:val="14"/>
                <w:szCs w:val="14"/>
                <w:color w:val="auto"/>
              </w:rPr>
              <w:t>6,534</w:t>
            </w: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Arial" w:cs="Arial" w:eastAsia="Arial" w:hAnsi="Arial"/>
                <w:sz w:val="14"/>
                <w:szCs w:val="14"/>
                <w:color w:val="auto"/>
              </w:rPr>
              <w:t>90,000(15)</w:t>
            </w:r>
          </w:p>
        </w:tc>
        <w:tc>
          <w:tcPr>
            <w:tcW w:w="1020" w:type="dxa"/>
            <w:vAlign w:val="bottom"/>
          </w:tcPr>
          <w:p>
            <w:pPr>
              <w:jc w:val="right"/>
              <w:spacing w:after="0"/>
              <w:rPr>
                <w:sz w:val="20"/>
                <w:szCs w:val="20"/>
                <w:color w:val="auto"/>
              </w:rPr>
            </w:pPr>
            <w:r>
              <w:rPr>
                <w:rFonts w:ascii="Arial" w:cs="Arial" w:eastAsia="Arial" w:hAnsi="Arial"/>
                <w:sz w:val="14"/>
                <w:szCs w:val="14"/>
                <w:color w:val="auto"/>
              </w:rPr>
              <w:t>50,400</w:t>
            </w:r>
          </w:p>
        </w:tc>
        <w:tc>
          <w:tcPr>
            <w:tcW w:w="1960" w:type="dxa"/>
            <w:vAlign w:val="bottom"/>
            <w:vMerge w:val="restart"/>
          </w:tcPr>
          <w:p>
            <w:pPr>
              <w:jc w:val="right"/>
              <w:ind w:right="268"/>
              <w:spacing w:after="0"/>
              <w:rPr>
                <w:sz w:val="20"/>
                <w:szCs w:val="20"/>
                <w:color w:val="auto"/>
              </w:rPr>
            </w:pPr>
            <w:r>
              <w:rPr>
                <w:rFonts w:ascii="Arial" w:cs="Arial" w:eastAsia="Arial" w:hAnsi="Arial"/>
                <w:sz w:val="14"/>
                <w:szCs w:val="14"/>
                <w:color w:val="auto"/>
              </w:rPr>
              <w:t>39,830(16)</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22,305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20" w:right="300" w:hanging="316"/>
        <w:spacing w:after="0" w:line="258"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PSUs, the number of shares or units reported and the payout value reported are based on achieving the threshold performance level, which is 50% of the PSUs granted.</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in equal increments on each of April 24, 2019 and 2020.</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as follows: 137,112 units on April 24, 2019 and 274,222 units on April 24, 2020.</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in equal increments on each of January 31, 2019, 2020 and 2021.</w:t>
      </w:r>
    </w:p>
    <w:p>
      <w:pPr>
        <w:spacing w:after="0" w:line="41" w:lineRule="exact"/>
        <w:rPr>
          <w:rFonts w:ascii="Arial" w:cs="Arial" w:eastAsia="Arial" w:hAnsi="Arial"/>
          <w:sz w:val="14"/>
          <w:szCs w:val="14"/>
          <w:color w:val="auto"/>
        </w:rPr>
      </w:pPr>
    </w:p>
    <w:p>
      <w:pPr>
        <w:ind w:left="520" w:right="440" w:hanging="316"/>
        <w:spacing w:after="0" w:line="258"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April 24, 2019 and 2020, subject to the attainment of applicable performance objectives. Units vesting on April 24, 2019 did not meet performance objectives and will not vest.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are eligible to cliff vest on January 31, 2021 subject to the attainment of applicable performance objectives.</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on June 7, 2019.</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on September 8, 2019.</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in equal increments on each of January 24, 2019 and 2020.</w:t>
      </w:r>
    </w:p>
    <w:p>
      <w:pPr>
        <w:spacing w:after="0" w:line="41" w:lineRule="exact"/>
        <w:rPr>
          <w:rFonts w:ascii="Arial" w:cs="Arial" w:eastAsia="Arial" w:hAnsi="Arial"/>
          <w:sz w:val="14"/>
          <w:szCs w:val="14"/>
          <w:color w:val="auto"/>
        </w:rPr>
      </w:pPr>
    </w:p>
    <w:p>
      <w:pPr>
        <w:ind w:left="520" w:right="40" w:hanging="316"/>
        <w:spacing w:after="0" w:line="258"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were/are eligible to vest in equal increments on each of January 24, 2019 and 2020. No PSUs vested on January 24, 2019 because performance objectives were not met.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on January 18, 2019.</w:t>
      </w:r>
    </w:p>
    <w:p>
      <w:pPr>
        <w:spacing w:after="0" w:line="41" w:lineRule="exact"/>
        <w:rPr>
          <w:rFonts w:ascii="Arial" w:cs="Arial" w:eastAsia="Arial" w:hAnsi="Arial"/>
          <w:sz w:val="14"/>
          <w:szCs w:val="14"/>
          <w:color w:val="auto"/>
        </w:rPr>
      </w:pPr>
    </w:p>
    <w:p>
      <w:pPr>
        <w:ind w:left="520" w:right="600" w:hanging="316"/>
        <w:spacing w:after="0" w:line="258"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were eligible to vest on January 18, 2019, subject to the attainment of applicable performance objectives. No PSUs vested on January 18, 2019 because performance objectives were not met.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in equal increments on each of September 21, 2019 and 2020.</w:t>
      </w:r>
    </w:p>
    <w:p>
      <w:pPr>
        <w:spacing w:after="0" w:line="41" w:lineRule="exact"/>
        <w:rPr>
          <w:rFonts w:ascii="Arial" w:cs="Arial" w:eastAsia="Arial" w:hAnsi="Arial"/>
          <w:sz w:val="14"/>
          <w:szCs w:val="14"/>
          <w:color w:val="auto"/>
        </w:rPr>
      </w:pPr>
    </w:p>
    <w:p>
      <w:pPr>
        <w:ind w:left="520" w:right="40" w:hanging="316"/>
        <w:spacing w:after="0" w:line="258"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September 21, 2019 and 2020, subject to the attainment of applicable performance objectives. Units vesting on September 21, 2019 did not meet performance objectives and will not vest.</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vest in equal increments on each of February 7, 2019, 2020 and 2021.</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PSUs are eligible to cliff vest on April 27, 2021, subject to the attainment of applicable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8318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OPTION EXERCISES AND SHARES VESTED IN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information about option awards and stock awards that vested, and the value realized on exercise and vesting by our NEOs during 2018.</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540" w:type="dxa"/>
            <w:vAlign w:val="bottom"/>
            <w:tcBorders>
              <w:bottom w:val="single" w:sz="8" w:color="666666"/>
            </w:tcBorders>
            <w:gridSpan w:val="2"/>
          </w:tcPr>
          <w:p>
            <w:pPr>
              <w:jc w:val="right"/>
              <w:ind w:right="1228"/>
              <w:spacing w:after="0"/>
              <w:rPr>
                <w:sz w:val="20"/>
                <w:szCs w:val="20"/>
                <w:color w:val="auto"/>
              </w:rPr>
            </w:pPr>
            <w:r>
              <w:rPr>
                <w:rFonts w:ascii="Arial" w:cs="Arial" w:eastAsia="Arial" w:hAnsi="Arial"/>
                <w:sz w:val="14"/>
                <w:szCs w:val="14"/>
                <w:color w:val="auto"/>
              </w:rPr>
              <w:t>Share Awards</w:t>
            </w:r>
          </w:p>
        </w:tc>
      </w:tr>
      <w:tr>
        <w:trPr>
          <w:trHeight w:val="160"/>
        </w:trPr>
        <w:tc>
          <w:tcPr>
            <w:tcW w:w="75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Number of Shares/Units</w:t>
            </w:r>
          </w:p>
        </w:tc>
        <w:tc>
          <w:tcPr>
            <w:tcW w:w="1840" w:type="dxa"/>
            <w:vAlign w:val="bottom"/>
          </w:tcPr>
          <w:p>
            <w:pPr>
              <w:spacing w:after="0"/>
              <w:rPr>
                <w:sz w:val="13"/>
                <w:szCs w:val="13"/>
                <w:color w:val="auto"/>
              </w:rPr>
            </w:pPr>
          </w:p>
        </w:tc>
      </w:tr>
      <w:tr>
        <w:trPr>
          <w:trHeight w:val="162"/>
        </w:trPr>
        <w:tc>
          <w:tcPr>
            <w:tcW w:w="75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Acquired on Vesting</w:t>
            </w:r>
          </w:p>
        </w:tc>
        <w:tc>
          <w:tcPr>
            <w:tcW w:w="1840" w:type="dxa"/>
            <w:vAlign w:val="bottom"/>
          </w:tcPr>
          <w:p>
            <w:pPr>
              <w:jc w:val="right"/>
              <w:spacing w:after="0"/>
              <w:rPr>
                <w:sz w:val="20"/>
                <w:szCs w:val="20"/>
                <w:color w:val="auto"/>
              </w:rPr>
            </w:pPr>
            <w:r>
              <w:rPr>
                <w:rFonts w:ascii="Arial" w:cs="Arial" w:eastAsia="Arial" w:hAnsi="Arial"/>
                <w:sz w:val="14"/>
                <w:szCs w:val="14"/>
                <w:color w:val="auto"/>
              </w:rPr>
              <w:t>Value Realized On Vesting</w:t>
            </w:r>
          </w:p>
        </w:tc>
      </w:tr>
      <w:tr>
        <w:trPr>
          <w:trHeight w:val="171"/>
        </w:trPr>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 A. McCollum</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319,928</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883,001</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109,621</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428,382</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150,314</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581,814</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Karl Blanchard</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169,082</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444,686</w:t>
            </w:r>
          </w:p>
        </w:tc>
      </w:tr>
      <w:tr>
        <w:trPr>
          <w:trHeight w:val="156"/>
        </w:trPr>
        <w:tc>
          <w:tcPr>
            <w:tcW w:w="7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Stuart Fraser</w:t>
            </w:r>
          </w:p>
        </w:tc>
        <w:tc>
          <w:tcPr>
            <w:tcW w:w="1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62,066</w:t>
            </w:r>
          </w:p>
        </w:tc>
        <w:tc>
          <w:tcPr>
            <w:tcW w:w="18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149,022</w:t>
            </w:r>
          </w:p>
        </w:tc>
      </w:tr>
      <w:tr>
        <w:trPr>
          <w:trHeight w:val="156"/>
        </w:trPr>
        <w:tc>
          <w:tcPr>
            <w:tcW w:w="7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 Mills (b)</w:t>
            </w:r>
          </w:p>
        </w:tc>
        <w:tc>
          <w:tcPr>
            <w:tcW w:w="1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212,063</w:t>
            </w:r>
          </w:p>
        </w:tc>
        <w:tc>
          <w:tcPr>
            <w:tcW w:w="1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696,944</w:t>
            </w:r>
          </w:p>
        </w:tc>
      </w:tr>
    </w:tbl>
    <w:p>
      <w:pPr>
        <w:spacing w:after="0" w:line="45" w:lineRule="exact"/>
        <w:rPr>
          <w:sz w:val="20"/>
          <w:szCs w:val="20"/>
          <w:color w:val="auto"/>
        </w:rPr>
      </w:pPr>
    </w:p>
    <w:p>
      <w:pPr>
        <w:ind w:left="420" w:hanging="216"/>
        <w:spacing w:after="0"/>
        <w:tabs>
          <w:tab w:leader="none" w:pos="4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41" w:lineRule="exact"/>
        <w:rPr>
          <w:rFonts w:ascii="Arial" w:cs="Arial" w:eastAsia="Arial" w:hAnsi="Arial"/>
          <w:sz w:val="14"/>
          <w:szCs w:val="14"/>
          <w:color w:val="auto"/>
        </w:rPr>
      </w:pPr>
    </w:p>
    <w:p>
      <w:pPr>
        <w:ind w:left="420" w:right="160" w:hanging="216"/>
        <w:spacing w:after="0" w:line="258" w:lineRule="auto"/>
        <w:tabs>
          <w:tab w:leader="none" w:pos="4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Mills left the Company effective April 15, 2018. In connection with the separation of his employment from the Company and pursuant to the terms of his employment agreement, he received a gross distribution of 120,693 ordinary shares with respect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92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116" w:lineRule="exact"/>
        <w:rPr>
          <w:sz w:val="20"/>
          <w:szCs w:val="20"/>
          <w:color w:val="auto"/>
        </w:rPr>
      </w:pPr>
    </w:p>
    <w:p>
      <w:pPr>
        <w:ind w:left="200" w:right="260"/>
        <w:spacing w:after="0" w:line="250"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Compensation and benefits generally available to salaried employees are not included in the below. As described previously in this Proxy Statement:</w:t>
      </w:r>
    </w:p>
    <w:p>
      <w:pPr>
        <w:spacing w:after="0" w:line="199" w:lineRule="exact"/>
        <w:rPr>
          <w:sz w:val="20"/>
          <w:szCs w:val="20"/>
          <w:color w:val="auto"/>
        </w:rPr>
      </w:pPr>
    </w:p>
    <w:p>
      <w:pPr>
        <w:ind w:left="420" w:hanging="216"/>
        <w:spacing w:after="0"/>
        <w:tabs>
          <w:tab w:leader="none" w:pos="420" w:val="left"/>
        </w:tabs>
        <w:numPr>
          <w:ilvl w:val="0"/>
          <w:numId w:val="72"/>
        </w:numPr>
        <w:rPr>
          <w:rFonts w:ascii="Arial" w:cs="Arial" w:eastAsia="Arial" w:hAnsi="Arial"/>
          <w:sz w:val="14"/>
          <w:szCs w:val="14"/>
          <w:color w:val="C3002F"/>
        </w:rPr>
      </w:pPr>
      <w:r>
        <w:rPr>
          <w:rFonts w:ascii="Arial" w:cs="Arial" w:eastAsia="Arial" w:hAnsi="Arial"/>
          <w:sz w:val="14"/>
          <w:szCs w:val="14"/>
          <w:color w:val="auto"/>
        </w:rPr>
        <w:t>Mr. McCollum has a certain severance arrangement and a CIC Agreement; and</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72"/>
        </w:numPr>
        <w:rPr>
          <w:rFonts w:ascii="Arial" w:cs="Arial" w:eastAsia="Arial" w:hAnsi="Arial"/>
          <w:sz w:val="14"/>
          <w:szCs w:val="14"/>
          <w:color w:val="C3002F"/>
        </w:rPr>
      </w:pPr>
      <w:r>
        <w:rPr>
          <w:rFonts w:ascii="Arial" w:cs="Arial" w:eastAsia="Arial" w:hAnsi="Arial"/>
          <w:sz w:val="14"/>
          <w:szCs w:val="14"/>
          <w:color w:val="auto"/>
        </w:rPr>
        <w:t>Mr. Bausch, Mrs. Ibrahim, Mr. Blanchard and Mr. Fraser have CIC Agreements and would generally be subject to our executive severance guidelines.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240" w:type="dxa"/>
            <w:vAlign w:val="bottom"/>
            <w:tcBorders>
              <w:bottom w:val="single" w:sz="8" w:color="666666"/>
            </w:tcBorders>
            <w:shd w:val="clear" w:color="auto" w:fill="F2F2F2"/>
          </w:tcPr>
          <w:p>
            <w:pPr>
              <w:spacing w:after="0"/>
              <w:rPr>
                <w:sz w:val="12"/>
                <w:szCs w:val="12"/>
                <w:color w:val="auto"/>
              </w:rPr>
            </w:pPr>
          </w:p>
        </w:tc>
        <w:tc>
          <w:tcPr>
            <w:tcW w:w="1300" w:type="dxa"/>
            <w:vAlign w:val="bottom"/>
            <w:tcBorders>
              <w:bottom w:val="single" w:sz="8" w:color="666666"/>
            </w:tcBorders>
            <w:shd w:val="clear" w:color="auto" w:fill="F2F2F2"/>
          </w:tcPr>
          <w:p>
            <w:pPr>
              <w:spacing w:after="0"/>
              <w:rPr>
                <w:sz w:val="12"/>
                <w:szCs w:val="12"/>
                <w:color w:val="auto"/>
              </w:rPr>
            </w:pPr>
          </w:p>
        </w:tc>
        <w:tc>
          <w:tcPr>
            <w:tcW w:w="3660" w:type="dxa"/>
            <w:vAlign w:val="bottom"/>
            <w:tcBorders>
              <w:bottom w:val="single" w:sz="8" w:color="666666"/>
            </w:tcBorders>
            <w:gridSpan w:val="3"/>
            <w:shd w:val="clear" w:color="auto" w:fill="F2F2F2"/>
          </w:tcPr>
          <w:p>
            <w:pPr>
              <w:jc w:val="center"/>
              <w:ind w:right="978"/>
              <w:spacing w:after="0"/>
              <w:rPr>
                <w:sz w:val="20"/>
                <w:szCs w:val="20"/>
                <w:color w:val="auto"/>
              </w:rPr>
            </w:pPr>
            <w:r>
              <w:rPr>
                <w:rFonts w:ascii="Arial" w:cs="Arial" w:eastAsia="Arial" w:hAnsi="Arial"/>
                <w:sz w:val="13"/>
                <w:szCs w:val="13"/>
                <w:b w:val="1"/>
                <w:bCs w:val="1"/>
                <w:color w:val="auto"/>
                <w:w w:val="96"/>
              </w:rPr>
              <w:t>Termination / Change of Control Scenarios</w:t>
            </w:r>
          </w:p>
        </w:tc>
        <w:tc>
          <w:tcPr>
            <w:tcW w:w="1420" w:type="dxa"/>
            <w:vAlign w:val="bottom"/>
            <w:tcBorders>
              <w:bottom w:val="single" w:sz="8" w:color="666666"/>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0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420" w:type="dxa"/>
            <w:vAlign w:val="bottom"/>
            <w:shd w:val="clear" w:color="auto" w:fill="F2F2F2"/>
          </w:tcPr>
          <w:p>
            <w:pPr>
              <w:jc w:val="center"/>
              <w:ind w:left="18"/>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Retirement,</w:t>
            </w:r>
          </w:p>
        </w:tc>
        <w:tc>
          <w:tcPr>
            <w:tcW w:w="1300" w:type="dxa"/>
            <w:vAlign w:val="bottom"/>
            <w:shd w:val="clear" w:color="auto" w:fill="F2F2F2"/>
          </w:tcPr>
          <w:p>
            <w:pPr>
              <w:spacing w:after="0"/>
              <w:rPr>
                <w:sz w:val="11"/>
                <w:szCs w:val="11"/>
                <w:color w:val="auto"/>
              </w:rPr>
            </w:pPr>
          </w:p>
        </w:tc>
        <w:tc>
          <w:tcPr>
            <w:tcW w:w="2420" w:type="dxa"/>
            <w:vAlign w:val="bottom"/>
            <w:gridSpan w:val="2"/>
            <w:vMerge w:val="restart"/>
            <w:shd w:val="clear" w:color="auto" w:fill="F2F2F2"/>
          </w:tcPr>
          <w:p>
            <w:pPr>
              <w:jc w:val="center"/>
              <w:ind w:left="158"/>
              <w:spacing w:after="0"/>
              <w:rPr>
                <w:sz w:val="20"/>
                <w:szCs w:val="20"/>
                <w:color w:val="auto"/>
              </w:rPr>
            </w:pPr>
            <w:r>
              <w:rPr>
                <w:rFonts w:ascii="Arial" w:cs="Arial" w:eastAsia="Arial" w:hAnsi="Arial"/>
                <w:sz w:val="13"/>
                <w:szCs w:val="13"/>
                <w:b w:val="1"/>
                <w:bCs w:val="1"/>
                <w:color w:val="auto"/>
                <w:w w:val="96"/>
              </w:rPr>
              <w:t>Termination</w:t>
            </w: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7"/>
              </w:rPr>
              <w:t>Change of</w:t>
            </w:r>
          </w:p>
        </w:tc>
        <w:tc>
          <w:tcPr>
            <w:tcW w:w="142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5"/>
              </w:rPr>
              <w:t>with Termination of</w:t>
            </w:r>
          </w:p>
        </w:tc>
        <w:tc>
          <w:tcPr>
            <w:tcW w:w="0" w:type="dxa"/>
            <w:vAlign w:val="bottom"/>
          </w:tcPr>
          <w:p>
            <w:pPr>
              <w:spacing w:after="0"/>
              <w:rPr>
                <w:sz w:val="1"/>
                <w:szCs w:val="1"/>
                <w:color w:val="auto"/>
              </w:rPr>
            </w:pPr>
          </w:p>
        </w:tc>
      </w:tr>
      <w:tr>
        <w:trPr>
          <w:trHeight w:val="130"/>
        </w:trPr>
        <w:tc>
          <w:tcPr>
            <w:tcW w:w="3400" w:type="dxa"/>
            <w:vAlign w:val="bottom"/>
          </w:tcPr>
          <w:p>
            <w:pPr>
              <w:spacing w:after="0"/>
              <w:rPr>
                <w:sz w:val="11"/>
                <w:szCs w:val="11"/>
                <w:color w:val="auto"/>
              </w:rPr>
            </w:pPr>
          </w:p>
        </w:tc>
        <w:tc>
          <w:tcPr>
            <w:tcW w:w="1240" w:type="dxa"/>
            <w:vAlign w:val="bottom"/>
            <w:shd w:val="clear" w:color="auto" w:fill="F2F2F2"/>
          </w:tcPr>
          <w:p>
            <w:pPr>
              <w:jc w:val="center"/>
              <w:ind w:left="18"/>
              <w:spacing w:after="0" w:line="130" w:lineRule="exact"/>
              <w:rPr>
                <w:sz w:val="20"/>
                <w:szCs w:val="20"/>
                <w:color w:val="auto"/>
              </w:rPr>
            </w:pPr>
            <w:r>
              <w:rPr>
                <w:rFonts w:ascii="Arial" w:cs="Arial" w:eastAsia="Arial" w:hAnsi="Arial"/>
                <w:sz w:val="13"/>
                <w:szCs w:val="13"/>
                <w:b w:val="1"/>
                <w:bCs w:val="1"/>
                <w:color w:val="auto"/>
                <w:w w:val="97"/>
              </w:rPr>
              <w:t>Resignation,</w:t>
            </w:r>
          </w:p>
        </w:tc>
        <w:tc>
          <w:tcPr>
            <w:tcW w:w="1300" w:type="dxa"/>
            <w:vAlign w:val="bottom"/>
            <w:shd w:val="clear" w:color="auto" w:fill="F2F2F2"/>
          </w:tcPr>
          <w:p>
            <w:pPr>
              <w:spacing w:after="0"/>
              <w:rPr>
                <w:sz w:val="11"/>
                <w:szCs w:val="11"/>
                <w:color w:val="auto"/>
              </w:rPr>
            </w:pPr>
          </w:p>
        </w:tc>
        <w:tc>
          <w:tcPr>
            <w:tcW w:w="2420" w:type="dxa"/>
            <w:vAlign w:val="bottom"/>
            <w:gridSpan w:val="2"/>
            <w:vMerge w:val="continue"/>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0" w:lineRule="exact"/>
              <w:rPr>
                <w:sz w:val="20"/>
                <w:szCs w:val="20"/>
                <w:color w:val="auto"/>
              </w:rPr>
            </w:pPr>
            <w:r>
              <w:rPr>
                <w:rFonts w:ascii="Arial" w:cs="Arial" w:eastAsia="Arial" w:hAnsi="Arial"/>
                <w:sz w:val="13"/>
                <w:szCs w:val="13"/>
                <w:b w:val="1"/>
                <w:bCs w:val="1"/>
                <w:color w:val="auto"/>
                <w:w w:val="97"/>
              </w:rPr>
              <w:t>Control without</w:t>
            </w:r>
          </w:p>
        </w:tc>
        <w:tc>
          <w:tcPr>
            <w:tcW w:w="1420" w:type="dxa"/>
            <w:vAlign w:val="bottom"/>
            <w:shd w:val="clear" w:color="auto" w:fill="F2F2F2"/>
          </w:tcPr>
          <w:p>
            <w:pPr>
              <w:jc w:val="center"/>
              <w:spacing w:after="0" w:line="130" w:lineRule="exact"/>
              <w:rPr>
                <w:sz w:val="20"/>
                <w:szCs w:val="20"/>
                <w:color w:val="auto"/>
              </w:rPr>
            </w:pPr>
            <w:r>
              <w:rPr>
                <w:rFonts w:ascii="Arial" w:cs="Arial" w:eastAsia="Arial" w:hAnsi="Arial"/>
                <w:sz w:val="13"/>
                <w:szCs w:val="13"/>
                <w:b w:val="1"/>
                <w:bCs w:val="1"/>
                <w:color w:val="auto"/>
                <w:w w:val="96"/>
              </w:rPr>
              <w:t>Employment without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or Termination</w:t>
            </w:r>
          </w:p>
        </w:tc>
        <w:tc>
          <w:tcPr>
            <w:tcW w:w="1300" w:type="dxa"/>
            <w:vAlign w:val="bottom"/>
            <w:shd w:val="clear" w:color="auto" w:fill="F2F2F2"/>
          </w:tcPr>
          <w:p>
            <w:pPr>
              <w:spacing w:after="0"/>
              <w:rPr>
                <w:sz w:val="11"/>
                <w:szCs w:val="11"/>
                <w:color w:val="auto"/>
              </w:rPr>
            </w:pPr>
          </w:p>
        </w:tc>
        <w:tc>
          <w:tcPr>
            <w:tcW w:w="2420" w:type="dxa"/>
            <w:vAlign w:val="bottom"/>
            <w:gridSpan w:val="2"/>
            <w:shd w:val="clear" w:color="auto" w:fill="F2F2F2"/>
          </w:tcPr>
          <w:p>
            <w:pPr>
              <w:jc w:val="center"/>
              <w:ind w:left="158"/>
              <w:spacing w:after="0" w:line="135" w:lineRule="exact"/>
              <w:rPr>
                <w:sz w:val="20"/>
                <w:szCs w:val="20"/>
                <w:color w:val="auto"/>
              </w:rPr>
            </w:pPr>
            <w:r>
              <w:rPr>
                <w:rFonts w:ascii="Arial" w:cs="Arial" w:eastAsia="Arial" w:hAnsi="Arial"/>
                <w:sz w:val="13"/>
                <w:szCs w:val="13"/>
                <w:b w:val="1"/>
                <w:bCs w:val="1"/>
                <w:color w:val="auto"/>
                <w:w w:val="97"/>
              </w:rPr>
              <w:t>without Cause or with</w:t>
            </w: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5"/>
              </w:rPr>
              <w:t>Termination of</w:t>
            </w:r>
          </w:p>
        </w:tc>
        <w:tc>
          <w:tcPr>
            <w:tcW w:w="1420" w:type="dxa"/>
            <w:vAlign w:val="bottom"/>
            <w:shd w:val="clear" w:color="auto" w:fill="F2F2F2"/>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Cause or for Good</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4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with Cause(1)(5)</w:t>
            </w:r>
          </w:p>
        </w:tc>
        <w:tc>
          <w:tcPr>
            <w:tcW w:w="1300" w:type="dxa"/>
            <w:vAlign w:val="bottom"/>
            <w:tcBorders>
              <w:bottom w:val="single" w:sz="8" w:color="666666"/>
            </w:tcBorders>
            <w:shd w:val="clear" w:color="auto" w:fill="F2F2F2"/>
          </w:tcPr>
          <w:p>
            <w:pPr>
              <w:ind w:left="180"/>
              <w:spacing w:after="0"/>
              <w:rPr>
                <w:sz w:val="20"/>
                <w:szCs w:val="20"/>
                <w:color w:val="auto"/>
              </w:rPr>
            </w:pPr>
            <w:r>
              <w:rPr>
                <w:rFonts w:ascii="Arial" w:cs="Arial" w:eastAsia="Arial" w:hAnsi="Arial"/>
                <w:sz w:val="13"/>
                <w:szCs w:val="13"/>
                <w:b w:val="1"/>
                <w:bCs w:val="1"/>
                <w:color w:val="auto"/>
                <w:w w:val="96"/>
              </w:rPr>
              <w:t>Death or Disability</w:t>
            </w:r>
          </w:p>
        </w:tc>
        <w:tc>
          <w:tcPr>
            <w:tcW w:w="2420" w:type="dxa"/>
            <w:vAlign w:val="bottom"/>
            <w:tcBorders>
              <w:bottom w:val="single" w:sz="8" w:color="666666"/>
            </w:tcBorders>
            <w:gridSpan w:val="2"/>
            <w:shd w:val="clear" w:color="auto" w:fill="F2F2F2"/>
          </w:tcPr>
          <w:p>
            <w:pPr>
              <w:jc w:val="center"/>
              <w:ind w:left="178"/>
              <w:spacing w:after="0"/>
              <w:rPr>
                <w:sz w:val="20"/>
                <w:szCs w:val="20"/>
                <w:color w:val="auto"/>
              </w:rPr>
            </w:pPr>
            <w:r>
              <w:rPr>
                <w:rFonts w:ascii="Arial" w:cs="Arial" w:eastAsia="Arial" w:hAnsi="Arial"/>
                <w:sz w:val="13"/>
                <w:szCs w:val="13"/>
                <w:b w:val="1"/>
                <w:bCs w:val="1"/>
                <w:color w:val="auto"/>
                <w:w w:val="96"/>
              </w:rPr>
              <w:t>Good Reason</w:t>
            </w:r>
          </w:p>
        </w:tc>
        <w:tc>
          <w:tcPr>
            <w:tcW w:w="1240" w:type="dxa"/>
            <w:vAlign w:val="bottom"/>
            <w:tcBorders>
              <w:bottom w:val="single" w:sz="8" w:color="666666"/>
            </w:tcBorders>
            <w:shd w:val="clear" w:color="auto" w:fill="F2F2F2"/>
          </w:tcPr>
          <w:p>
            <w:pPr>
              <w:jc w:val="center"/>
              <w:ind w:left="78"/>
              <w:spacing w:after="0"/>
              <w:rPr>
                <w:sz w:val="20"/>
                <w:szCs w:val="20"/>
                <w:color w:val="auto"/>
              </w:rPr>
            </w:pPr>
            <w:r>
              <w:rPr>
                <w:rFonts w:ascii="Arial" w:cs="Arial" w:eastAsia="Arial" w:hAnsi="Arial"/>
                <w:sz w:val="13"/>
                <w:szCs w:val="13"/>
                <w:b w:val="1"/>
                <w:bCs w:val="1"/>
                <w:color w:val="auto"/>
                <w:w w:val="95"/>
              </w:rPr>
              <w:t>Employment(2)</w:t>
            </w:r>
          </w:p>
        </w:tc>
        <w:tc>
          <w:tcPr>
            <w:tcW w:w="1420" w:type="dxa"/>
            <w:vAlign w:val="bottom"/>
            <w:tcBorders>
              <w:bottom w:val="single" w:sz="8" w:color="666666"/>
            </w:tcBorders>
            <w:shd w:val="clear" w:color="auto" w:fill="F2F2F2"/>
          </w:tcPr>
          <w:p>
            <w:pPr>
              <w:jc w:val="center"/>
              <w:ind w:left="18"/>
              <w:spacing w:after="0"/>
              <w:rPr>
                <w:sz w:val="20"/>
                <w:szCs w:val="20"/>
                <w:color w:val="auto"/>
              </w:rPr>
            </w:pPr>
            <w:r>
              <w:rPr>
                <w:rFonts w:ascii="Arial" w:cs="Arial" w:eastAsia="Arial" w:hAnsi="Arial"/>
                <w:sz w:val="13"/>
                <w:szCs w:val="13"/>
                <w:b w:val="1"/>
                <w:bCs w:val="1"/>
                <w:color w:val="auto"/>
                <w:w w:val="98"/>
              </w:rPr>
              <w:t>Reason(2)</w:t>
            </w:r>
          </w:p>
        </w:tc>
        <w:tc>
          <w:tcPr>
            <w:tcW w:w="0" w:type="dxa"/>
            <w:vAlign w:val="bottom"/>
          </w:tcPr>
          <w:p>
            <w:pPr>
              <w:spacing w:after="0"/>
              <w:rPr>
                <w:sz w:val="1"/>
                <w:szCs w:val="1"/>
                <w:color w:val="auto"/>
              </w:rPr>
            </w:pPr>
          </w:p>
        </w:tc>
      </w:tr>
      <w:tr>
        <w:trPr>
          <w:trHeight w:val="123"/>
        </w:trPr>
        <w:tc>
          <w:tcPr>
            <w:tcW w:w="340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shd w:val="clear" w:color="auto" w:fill="D8D8D8"/>
          </w:tcPr>
          <w:p>
            <w:pPr>
              <w:spacing w:after="0"/>
              <w:rPr>
                <w:sz w:val="10"/>
                <w:szCs w:val="10"/>
                <w:color w:val="auto"/>
              </w:rPr>
            </w:pPr>
          </w:p>
        </w:tc>
        <w:tc>
          <w:tcPr>
            <w:tcW w:w="1300" w:type="dxa"/>
            <w:vAlign w:val="bottom"/>
            <w:shd w:val="clear" w:color="auto" w:fill="D8D8D8"/>
          </w:tcPr>
          <w:p>
            <w:pPr>
              <w:spacing w:after="0"/>
              <w:rPr>
                <w:sz w:val="10"/>
                <w:szCs w:val="10"/>
                <w:color w:val="auto"/>
              </w:rPr>
            </w:pPr>
          </w:p>
        </w:tc>
        <w:tc>
          <w:tcPr>
            <w:tcW w:w="1100" w:type="dxa"/>
            <w:vAlign w:val="bottom"/>
            <w:shd w:val="clear" w:color="auto" w:fill="D8D8D8"/>
          </w:tcPr>
          <w:p>
            <w:pPr>
              <w:spacing w:after="0"/>
              <w:rPr>
                <w:sz w:val="10"/>
                <w:szCs w:val="10"/>
                <w:color w:val="auto"/>
              </w:rPr>
            </w:pPr>
          </w:p>
        </w:tc>
        <w:tc>
          <w:tcPr>
            <w:tcW w:w="1320" w:type="dxa"/>
            <w:vAlign w:val="bottom"/>
            <w:shd w:val="clear" w:color="auto" w:fill="D8D8D8"/>
          </w:tcPr>
          <w:p>
            <w:pPr>
              <w:jc w:val="center"/>
              <w:ind w:left="58"/>
              <w:spacing w:after="0" w:line="123" w:lineRule="exact"/>
              <w:rPr>
                <w:sz w:val="20"/>
                <w:szCs w:val="20"/>
                <w:color w:val="auto"/>
              </w:rPr>
            </w:pPr>
            <w:r>
              <w:rPr>
                <w:rFonts w:ascii="Arial" w:cs="Arial" w:eastAsia="Arial" w:hAnsi="Arial"/>
                <w:sz w:val="13"/>
                <w:szCs w:val="13"/>
                <w:color w:val="auto"/>
                <w:w w:val="98"/>
              </w:rPr>
              <w:t>All NEOs</w:t>
            </w:r>
          </w:p>
        </w:tc>
        <w:tc>
          <w:tcPr>
            <w:tcW w:w="1240" w:type="dxa"/>
            <w:vAlign w:val="bottom"/>
            <w:shd w:val="clear" w:color="auto" w:fill="D8D8D8"/>
          </w:tcPr>
          <w:p>
            <w:pPr>
              <w:spacing w:after="0"/>
              <w:rPr>
                <w:sz w:val="10"/>
                <w:szCs w:val="10"/>
                <w:color w:val="auto"/>
              </w:rPr>
            </w:pPr>
          </w:p>
        </w:tc>
        <w:tc>
          <w:tcPr>
            <w:tcW w:w="142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400" w:type="dxa"/>
            <w:vAlign w:val="bottom"/>
            <w:vMerge w:val="continue"/>
          </w:tcPr>
          <w:p>
            <w:pPr>
              <w:spacing w:after="0"/>
              <w:rPr>
                <w:sz w:val="9"/>
                <w:szCs w:val="9"/>
                <w:color w:val="auto"/>
              </w:rPr>
            </w:pPr>
          </w:p>
        </w:tc>
        <w:tc>
          <w:tcPr>
            <w:tcW w:w="1240" w:type="dxa"/>
            <w:vAlign w:val="bottom"/>
            <w:shd w:val="clear" w:color="auto" w:fill="D8D8D8"/>
          </w:tcPr>
          <w:p>
            <w:pPr>
              <w:spacing w:after="0"/>
              <w:rPr>
                <w:sz w:val="9"/>
                <w:szCs w:val="9"/>
                <w:color w:val="auto"/>
              </w:rPr>
            </w:pPr>
          </w:p>
        </w:tc>
        <w:tc>
          <w:tcPr>
            <w:tcW w:w="1300" w:type="dxa"/>
            <w:vAlign w:val="bottom"/>
            <w:shd w:val="clear" w:color="auto" w:fill="D8D8D8"/>
          </w:tcPr>
          <w:p>
            <w:pPr>
              <w:spacing w:after="0"/>
              <w:rPr>
                <w:sz w:val="9"/>
                <w:szCs w:val="9"/>
                <w:color w:val="auto"/>
              </w:rPr>
            </w:pPr>
          </w:p>
        </w:tc>
        <w:tc>
          <w:tcPr>
            <w:tcW w:w="1100" w:type="dxa"/>
            <w:vAlign w:val="bottom"/>
            <w:shd w:val="clear" w:color="auto" w:fill="D8D8D8"/>
          </w:tcPr>
          <w:p>
            <w:pPr>
              <w:spacing w:after="0"/>
              <w:rPr>
                <w:sz w:val="9"/>
                <w:szCs w:val="9"/>
                <w:color w:val="auto"/>
              </w:rPr>
            </w:pPr>
          </w:p>
        </w:tc>
        <w:tc>
          <w:tcPr>
            <w:tcW w:w="1320" w:type="dxa"/>
            <w:vAlign w:val="bottom"/>
            <w:shd w:val="clear" w:color="auto" w:fill="D8D8D8"/>
          </w:tcPr>
          <w:p>
            <w:pPr>
              <w:jc w:val="center"/>
              <w:ind w:left="58"/>
              <w:spacing w:after="0" w:line="114" w:lineRule="exact"/>
              <w:rPr>
                <w:sz w:val="20"/>
                <w:szCs w:val="20"/>
                <w:color w:val="auto"/>
              </w:rPr>
            </w:pPr>
            <w:r>
              <w:rPr>
                <w:rFonts w:ascii="Arial" w:cs="Arial" w:eastAsia="Arial" w:hAnsi="Arial"/>
                <w:sz w:val="13"/>
                <w:szCs w:val="13"/>
                <w:color w:val="auto"/>
                <w:w w:val="94"/>
              </w:rPr>
              <w:t>excluding</w:t>
            </w:r>
          </w:p>
        </w:tc>
        <w:tc>
          <w:tcPr>
            <w:tcW w:w="1240" w:type="dxa"/>
            <w:vAlign w:val="bottom"/>
            <w:shd w:val="clear" w:color="auto" w:fill="D8D8D8"/>
          </w:tcPr>
          <w:p>
            <w:pPr>
              <w:spacing w:after="0"/>
              <w:rPr>
                <w:sz w:val="9"/>
                <w:szCs w:val="9"/>
                <w:color w:val="auto"/>
              </w:rPr>
            </w:pPr>
          </w:p>
        </w:tc>
        <w:tc>
          <w:tcPr>
            <w:tcW w:w="142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Elements</w:t>
            </w:r>
          </w:p>
        </w:tc>
        <w:tc>
          <w:tcPr>
            <w:tcW w:w="1240" w:type="dxa"/>
            <w:vAlign w:val="bottom"/>
            <w:tcBorders>
              <w:bottom w:val="single" w:sz="8" w:color="auto"/>
            </w:tcBorders>
            <w:shd w:val="clear" w:color="auto" w:fill="D8D8D8"/>
          </w:tcPr>
          <w:p>
            <w:pPr>
              <w:jc w:val="center"/>
              <w:ind w:left="18"/>
              <w:spacing w:after="0"/>
              <w:rPr>
                <w:sz w:val="20"/>
                <w:szCs w:val="20"/>
                <w:color w:val="auto"/>
              </w:rPr>
            </w:pPr>
            <w:r>
              <w:rPr>
                <w:rFonts w:ascii="Arial" w:cs="Arial" w:eastAsia="Arial" w:hAnsi="Arial"/>
                <w:sz w:val="13"/>
                <w:szCs w:val="13"/>
                <w:color w:val="auto"/>
                <w:w w:val="98"/>
              </w:rPr>
              <w:t>All NEOs</w:t>
            </w:r>
          </w:p>
        </w:tc>
        <w:tc>
          <w:tcPr>
            <w:tcW w:w="130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3"/>
                <w:szCs w:val="13"/>
                <w:color w:val="auto"/>
              </w:rPr>
              <w:t>All NEOs</w:t>
            </w:r>
          </w:p>
        </w:tc>
        <w:tc>
          <w:tcPr>
            <w:tcW w:w="1100" w:type="dxa"/>
            <w:vAlign w:val="bottom"/>
            <w:tcBorders>
              <w:bottom w:val="single" w:sz="8" w:color="auto"/>
            </w:tcBorders>
            <w:shd w:val="clear" w:color="auto" w:fill="D8D8D8"/>
          </w:tcPr>
          <w:p>
            <w:pPr>
              <w:ind w:left="240"/>
              <w:spacing w:after="0"/>
              <w:rPr>
                <w:sz w:val="20"/>
                <w:szCs w:val="20"/>
                <w:color w:val="auto"/>
              </w:rPr>
            </w:pPr>
            <w:r>
              <w:rPr>
                <w:rFonts w:ascii="Arial" w:cs="Arial" w:eastAsia="Arial" w:hAnsi="Arial"/>
                <w:sz w:val="13"/>
                <w:szCs w:val="13"/>
                <w:color w:val="auto"/>
              </w:rPr>
              <w:t>Mr. McCollum</w:t>
            </w:r>
          </w:p>
        </w:tc>
        <w:tc>
          <w:tcPr>
            <w:tcW w:w="1320" w:type="dxa"/>
            <w:vAlign w:val="bottom"/>
            <w:tcBorders>
              <w:bottom w:val="single" w:sz="8" w:color="auto"/>
            </w:tcBorders>
            <w:shd w:val="clear" w:color="auto" w:fill="D8D8D8"/>
          </w:tcPr>
          <w:p>
            <w:pPr>
              <w:jc w:val="center"/>
              <w:ind w:left="58"/>
              <w:spacing w:after="0"/>
              <w:rPr>
                <w:sz w:val="20"/>
                <w:szCs w:val="20"/>
                <w:color w:val="auto"/>
              </w:rPr>
            </w:pPr>
            <w:r>
              <w:rPr>
                <w:rFonts w:ascii="Arial" w:cs="Arial" w:eastAsia="Arial" w:hAnsi="Arial"/>
                <w:sz w:val="13"/>
                <w:szCs w:val="13"/>
                <w:color w:val="auto"/>
                <w:w w:val="97"/>
              </w:rPr>
              <w:t>McCollum(3)</w:t>
            </w:r>
          </w:p>
        </w:tc>
        <w:tc>
          <w:tcPr>
            <w:tcW w:w="1240" w:type="dxa"/>
            <w:vAlign w:val="bottom"/>
            <w:tcBorders>
              <w:bottom w:val="single" w:sz="8" w:color="auto"/>
            </w:tcBorders>
            <w:shd w:val="clear" w:color="auto" w:fill="D8D8D8"/>
          </w:tcPr>
          <w:p>
            <w:pPr>
              <w:jc w:val="center"/>
              <w:ind w:left="78"/>
              <w:spacing w:after="0"/>
              <w:rPr>
                <w:sz w:val="20"/>
                <w:szCs w:val="20"/>
                <w:color w:val="auto"/>
              </w:rPr>
            </w:pPr>
            <w:r>
              <w:rPr>
                <w:rFonts w:ascii="Arial" w:cs="Arial" w:eastAsia="Arial" w:hAnsi="Arial"/>
                <w:sz w:val="13"/>
                <w:szCs w:val="13"/>
                <w:color w:val="auto"/>
                <w:w w:val="94"/>
              </w:rPr>
              <w:t>All NEOs</w:t>
            </w:r>
          </w:p>
        </w:tc>
        <w:tc>
          <w:tcPr>
            <w:tcW w:w="1420" w:type="dxa"/>
            <w:vAlign w:val="bottom"/>
            <w:tcBorders>
              <w:bottom w:val="single" w:sz="8" w:color="auto"/>
            </w:tcBorders>
            <w:shd w:val="clear" w:color="auto" w:fill="D8D8D8"/>
          </w:tcPr>
          <w:p>
            <w:pPr>
              <w:jc w:val="center"/>
              <w:ind w:left="18"/>
              <w:spacing w:after="0"/>
              <w:rPr>
                <w:sz w:val="20"/>
                <w:szCs w:val="20"/>
                <w:color w:val="auto"/>
              </w:rPr>
            </w:pPr>
            <w:r>
              <w:rPr>
                <w:rFonts w:ascii="Arial" w:cs="Arial" w:eastAsia="Arial" w:hAnsi="Arial"/>
                <w:sz w:val="13"/>
                <w:szCs w:val="13"/>
                <w:color w:val="auto"/>
                <w:w w:val="94"/>
              </w:rPr>
              <w:t>All NEOs</w:t>
            </w: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Base Salary</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Ceases</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Ceases</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Ceases</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Ceases</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Continues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00"/>
              <w:spacing w:after="0" w:line="141" w:lineRule="exact"/>
              <w:rPr>
                <w:sz w:val="20"/>
                <w:szCs w:val="20"/>
                <w:color w:val="auto"/>
              </w:rPr>
            </w:pPr>
            <w:r>
              <w:rPr>
                <w:rFonts w:ascii="Arial" w:cs="Arial" w:eastAsia="Arial" w:hAnsi="Arial"/>
                <w:sz w:val="13"/>
                <w:szCs w:val="13"/>
                <w:color w:val="auto"/>
              </w:rPr>
              <w:t>immediately</w:t>
            </w:r>
          </w:p>
        </w:tc>
        <w:tc>
          <w:tcPr>
            <w:tcW w:w="13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immediately(4)</w:t>
            </w:r>
          </w:p>
        </w:tc>
        <w:tc>
          <w:tcPr>
            <w:tcW w:w="1100" w:type="dxa"/>
            <w:vAlign w:val="bottom"/>
            <w:tcBorders>
              <w:bottom w:val="single" w:sz="8" w:color="666666"/>
            </w:tcBorders>
          </w:tcPr>
          <w:p>
            <w:pPr>
              <w:ind w:left="180"/>
              <w:spacing w:after="0" w:line="141" w:lineRule="exact"/>
              <w:rPr>
                <w:sz w:val="20"/>
                <w:szCs w:val="20"/>
                <w:color w:val="auto"/>
              </w:rPr>
            </w:pPr>
            <w:r>
              <w:rPr>
                <w:rFonts w:ascii="Arial" w:cs="Arial" w:eastAsia="Arial" w:hAnsi="Arial"/>
                <w:sz w:val="13"/>
                <w:szCs w:val="13"/>
                <w:color w:val="auto"/>
              </w:rPr>
              <w:t>immediately</w:t>
            </w:r>
          </w:p>
        </w:tc>
        <w:tc>
          <w:tcPr>
            <w:tcW w:w="132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immediately</w:t>
            </w: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Cash Severance</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None</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2x salary</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1x to 1.5x salary</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None</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3x (salary plus target/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average annual cash</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ind w:left="100"/>
              <w:spacing w:after="0" w:line="141" w:lineRule="exact"/>
              <w:rPr>
                <w:sz w:val="20"/>
                <w:szCs w:val="20"/>
                <w:color w:val="auto"/>
              </w:rPr>
            </w:pPr>
            <w:r>
              <w:rPr>
                <w:rFonts w:ascii="Arial" w:cs="Arial" w:eastAsia="Arial" w:hAnsi="Arial"/>
                <w:sz w:val="13"/>
                <w:szCs w:val="13"/>
                <w:color w:val="auto"/>
              </w:rPr>
              <w:t>incentive)(5)</w:t>
            </w:r>
          </w:p>
        </w:tc>
        <w:tc>
          <w:tcPr>
            <w:tcW w:w="0" w:type="dxa"/>
            <w:vAlign w:val="bottom"/>
          </w:tcPr>
          <w:p>
            <w:pPr>
              <w:spacing w:after="0"/>
              <w:rPr>
                <w:sz w:val="1"/>
                <w:szCs w:val="1"/>
                <w:color w:val="auto"/>
              </w:rPr>
            </w:pPr>
          </w:p>
        </w:tc>
      </w:tr>
      <w:tr>
        <w:trPr>
          <w:trHeight w:val="107"/>
        </w:trPr>
        <w:tc>
          <w:tcPr>
            <w:tcW w:w="3400" w:type="dxa"/>
            <w:vAlign w:val="bottom"/>
          </w:tcPr>
          <w:p>
            <w:pPr>
              <w:ind w:left="40"/>
              <w:spacing w:after="0" w:line="107" w:lineRule="exact"/>
              <w:rPr>
                <w:sz w:val="20"/>
                <w:szCs w:val="20"/>
                <w:color w:val="auto"/>
              </w:rPr>
            </w:pPr>
            <w:r>
              <w:rPr>
                <w:rFonts w:ascii="Arial" w:cs="Arial" w:eastAsia="Arial" w:hAnsi="Arial"/>
                <w:sz w:val="12"/>
                <w:szCs w:val="12"/>
                <w:b w:val="1"/>
                <w:bCs w:val="1"/>
                <w:color w:val="auto"/>
              </w:rPr>
              <w:t>Annual Cash Incentive</w:t>
            </w:r>
          </w:p>
        </w:tc>
        <w:tc>
          <w:tcPr>
            <w:tcW w:w="1240" w:type="dxa"/>
            <w:vAlign w:val="bottom"/>
          </w:tcPr>
          <w:p>
            <w:pPr>
              <w:ind w:left="100"/>
              <w:spacing w:after="0" w:line="107" w:lineRule="exact"/>
              <w:rPr>
                <w:sz w:val="20"/>
                <w:szCs w:val="20"/>
                <w:color w:val="auto"/>
              </w:rPr>
            </w:pPr>
            <w:r>
              <w:rPr>
                <w:rFonts w:ascii="Arial" w:cs="Arial" w:eastAsia="Arial" w:hAnsi="Arial"/>
                <w:sz w:val="12"/>
                <w:szCs w:val="12"/>
                <w:color w:val="auto"/>
              </w:rPr>
              <w:t>Forfeited</w:t>
            </w:r>
          </w:p>
        </w:tc>
        <w:tc>
          <w:tcPr>
            <w:tcW w:w="1300" w:type="dxa"/>
            <w:vAlign w:val="bottom"/>
          </w:tcPr>
          <w:p>
            <w:pPr>
              <w:ind w:left="80"/>
              <w:spacing w:after="0" w:line="107" w:lineRule="exact"/>
              <w:rPr>
                <w:sz w:val="20"/>
                <w:szCs w:val="20"/>
                <w:color w:val="auto"/>
              </w:rPr>
            </w:pPr>
            <w:r>
              <w:rPr>
                <w:rFonts w:ascii="Arial" w:cs="Arial" w:eastAsia="Arial" w:hAnsi="Arial"/>
                <w:sz w:val="12"/>
                <w:szCs w:val="12"/>
                <w:color w:val="auto"/>
              </w:rPr>
              <w:t>Prorated for the</w:t>
            </w:r>
          </w:p>
        </w:tc>
        <w:tc>
          <w:tcPr>
            <w:tcW w:w="1100" w:type="dxa"/>
            <w:vAlign w:val="bottom"/>
          </w:tcPr>
          <w:p>
            <w:pPr>
              <w:ind w:left="180"/>
              <w:spacing w:after="0" w:line="107" w:lineRule="exact"/>
              <w:rPr>
                <w:sz w:val="20"/>
                <w:szCs w:val="20"/>
                <w:color w:val="auto"/>
              </w:rPr>
            </w:pPr>
            <w:r>
              <w:rPr>
                <w:rFonts w:ascii="Arial" w:cs="Arial" w:eastAsia="Arial" w:hAnsi="Arial"/>
                <w:sz w:val="12"/>
                <w:szCs w:val="12"/>
                <w:color w:val="auto"/>
              </w:rPr>
              <w:t>Forfeited</w:t>
            </w:r>
          </w:p>
        </w:tc>
        <w:tc>
          <w:tcPr>
            <w:tcW w:w="1320" w:type="dxa"/>
            <w:vAlign w:val="bottom"/>
          </w:tcPr>
          <w:p>
            <w:pPr>
              <w:ind w:left="80"/>
              <w:spacing w:after="0" w:line="107" w:lineRule="exact"/>
              <w:rPr>
                <w:sz w:val="20"/>
                <w:szCs w:val="20"/>
                <w:color w:val="auto"/>
              </w:rPr>
            </w:pPr>
            <w:r>
              <w:rPr>
                <w:rFonts w:ascii="Arial" w:cs="Arial" w:eastAsia="Arial" w:hAnsi="Arial"/>
                <w:sz w:val="12"/>
                <w:szCs w:val="12"/>
                <w:color w:val="auto"/>
              </w:rPr>
              <w:t>Either forfeited (first</w:t>
            </w:r>
          </w:p>
        </w:tc>
        <w:tc>
          <w:tcPr>
            <w:tcW w:w="1240" w:type="dxa"/>
            <w:vAlign w:val="bottom"/>
          </w:tcPr>
          <w:p>
            <w:pPr>
              <w:ind w:left="140"/>
              <w:spacing w:after="0" w:line="107" w:lineRule="exact"/>
              <w:rPr>
                <w:sz w:val="20"/>
                <w:szCs w:val="20"/>
                <w:color w:val="auto"/>
              </w:rPr>
            </w:pPr>
            <w:r>
              <w:rPr>
                <w:rFonts w:ascii="Arial" w:cs="Arial" w:eastAsia="Arial" w:hAnsi="Arial"/>
                <w:sz w:val="12"/>
                <w:szCs w:val="12"/>
                <w:color w:val="auto"/>
              </w:rPr>
              <w:t>Immediate</w:t>
            </w:r>
          </w:p>
        </w:tc>
        <w:tc>
          <w:tcPr>
            <w:tcW w:w="1420" w:type="dxa"/>
            <w:vAlign w:val="bottom"/>
          </w:tcPr>
          <w:p>
            <w:pPr>
              <w:ind w:left="100"/>
              <w:spacing w:after="0" w:line="107" w:lineRule="exact"/>
              <w:rPr>
                <w:sz w:val="20"/>
                <w:szCs w:val="20"/>
                <w:color w:val="auto"/>
              </w:rPr>
            </w:pPr>
            <w:r>
              <w:rPr>
                <w:rFonts w:ascii="Arial" w:cs="Arial" w:eastAsia="Arial" w:hAnsi="Arial"/>
                <w:sz w:val="12"/>
                <w:szCs w:val="12"/>
                <w:color w:val="auto"/>
              </w:rPr>
              <w:t>Immediate cash</w:t>
            </w:r>
          </w:p>
        </w:tc>
        <w:tc>
          <w:tcPr>
            <w:tcW w:w="0" w:type="dxa"/>
            <w:vAlign w:val="bottom"/>
          </w:tcPr>
          <w:p>
            <w:pPr>
              <w:spacing w:after="0"/>
              <w:rPr>
                <w:sz w:val="1"/>
                <w:szCs w:val="1"/>
                <w:color w:val="auto"/>
              </w:rPr>
            </w:pPr>
          </w:p>
        </w:tc>
      </w:tr>
      <w:tr>
        <w:trPr>
          <w:trHeight w:val="151"/>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tcPr>
          <w:p>
            <w:pPr>
              <w:spacing w:after="0"/>
              <w:rPr>
                <w:sz w:val="13"/>
                <w:szCs w:val="13"/>
                <w:color w:val="auto"/>
              </w:rPr>
            </w:pPr>
          </w:p>
        </w:tc>
        <w:tc>
          <w:tcPr>
            <w:tcW w:w="1300" w:type="dxa"/>
            <w:vAlign w:val="bottom"/>
          </w:tcPr>
          <w:p>
            <w:pPr>
              <w:ind w:left="80"/>
              <w:spacing w:after="0"/>
              <w:rPr>
                <w:sz w:val="20"/>
                <w:szCs w:val="20"/>
                <w:color w:val="auto"/>
              </w:rPr>
            </w:pPr>
            <w:r>
              <w:rPr>
                <w:rFonts w:ascii="Arial" w:cs="Arial" w:eastAsia="Arial" w:hAnsi="Arial"/>
                <w:sz w:val="13"/>
                <w:szCs w:val="13"/>
                <w:color w:val="auto"/>
              </w:rPr>
              <w:t>year and based on</w:t>
            </w:r>
          </w:p>
        </w:tc>
        <w:tc>
          <w:tcPr>
            <w:tcW w:w="110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color w:val="auto"/>
              </w:rPr>
              <w:t>half of year) or</w:t>
            </w:r>
          </w:p>
        </w:tc>
        <w:tc>
          <w:tcPr>
            <w:tcW w:w="1240" w:type="dxa"/>
            <w:vAlign w:val="bottom"/>
          </w:tcPr>
          <w:p>
            <w:pPr>
              <w:ind w:left="140"/>
              <w:spacing w:after="0"/>
              <w:rPr>
                <w:sz w:val="20"/>
                <w:szCs w:val="20"/>
                <w:color w:val="auto"/>
              </w:rPr>
            </w:pPr>
            <w:r>
              <w:rPr>
                <w:rFonts w:ascii="Arial" w:cs="Arial" w:eastAsia="Arial" w:hAnsi="Arial"/>
                <w:sz w:val="13"/>
                <w:szCs w:val="13"/>
                <w:color w:val="auto"/>
              </w:rPr>
              <w:t>cash</w:t>
            </w:r>
          </w:p>
        </w:tc>
        <w:tc>
          <w:tcPr>
            <w:tcW w:w="1420" w:type="dxa"/>
            <w:vAlign w:val="bottom"/>
          </w:tcPr>
          <w:p>
            <w:pPr>
              <w:ind w:left="100"/>
              <w:spacing w:after="0"/>
              <w:rPr>
                <w:sz w:val="20"/>
                <w:szCs w:val="20"/>
                <w:color w:val="auto"/>
              </w:rPr>
            </w:pPr>
            <w:r>
              <w:rPr>
                <w:rFonts w:ascii="Arial" w:cs="Arial" w:eastAsia="Arial" w:hAnsi="Arial"/>
                <w:sz w:val="13"/>
                <w:szCs w:val="13"/>
                <w:color w:val="auto"/>
                <w:w w:val="99"/>
              </w:rPr>
              <w:t>payment at superior(6)</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actual performance</w:t>
            </w: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prorated based on</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payment at</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actual performance</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superior(6)</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(second half of</w:t>
            </w: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year)</w:t>
            </w:r>
          </w:p>
        </w:tc>
        <w:tc>
          <w:tcPr>
            <w:tcW w:w="1240" w:type="dxa"/>
            <w:vAlign w:val="bottom"/>
            <w:tcBorders>
              <w:bottom w:val="single" w:sz="8" w:color="666666"/>
            </w:tcBorders>
          </w:tcPr>
          <w:p>
            <w:pPr>
              <w:spacing w:after="0"/>
              <w:rPr>
                <w:sz w:val="12"/>
                <w:szCs w:val="12"/>
                <w:color w:val="auto"/>
              </w:rPr>
            </w:pP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Restricted Share Units</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Forfeited</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Awards immediately</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RSU</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RSUs for next 12</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vest</w:t>
            </w:r>
          </w:p>
        </w:tc>
        <w:tc>
          <w:tcPr>
            <w:tcW w:w="1100" w:type="dxa"/>
            <w:vAlign w:val="bottom"/>
          </w:tcPr>
          <w:p>
            <w:pPr>
              <w:ind w:left="180"/>
              <w:spacing w:after="0" w:line="135" w:lineRule="exact"/>
              <w:rPr>
                <w:sz w:val="20"/>
                <w:szCs w:val="20"/>
                <w:color w:val="auto"/>
              </w:rPr>
            </w:pPr>
            <w:r>
              <w:rPr>
                <w:rFonts w:ascii="Arial" w:cs="Arial" w:eastAsia="Arial" w:hAnsi="Arial"/>
                <w:sz w:val="13"/>
                <w:szCs w:val="13"/>
                <w:color w:val="auto"/>
              </w:rPr>
              <w:t>inducement</w:t>
            </w:r>
          </w:p>
        </w:tc>
        <w:tc>
          <w:tcPr>
            <w:tcW w:w="1320" w:type="dxa"/>
            <w:vAlign w:val="bottom"/>
          </w:tcPr>
          <w:p>
            <w:pPr>
              <w:ind w:left="80"/>
              <w:spacing w:after="0" w:line="135" w:lineRule="exact"/>
              <w:rPr>
                <w:sz w:val="20"/>
                <w:szCs w:val="20"/>
                <w:color w:val="auto"/>
              </w:rPr>
            </w:pPr>
            <w:r>
              <w:rPr>
                <w:rFonts w:ascii="Arial" w:cs="Arial" w:eastAsia="Arial" w:hAnsi="Arial"/>
                <w:sz w:val="13"/>
                <w:szCs w:val="13"/>
                <w:color w:val="auto"/>
              </w:rPr>
              <w:t>months may vest</w:t>
            </w: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vest</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ind w:left="180"/>
              <w:spacing w:after="0" w:line="141" w:lineRule="exact"/>
              <w:rPr>
                <w:sz w:val="20"/>
                <w:szCs w:val="20"/>
                <w:color w:val="auto"/>
              </w:rPr>
            </w:pPr>
            <w:r>
              <w:rPr>
                <w:rFonts w:ascii="Arial" w:cs="Arial" w:eastAsia="Arial" w:hAnsi="Arial"/>
                <w:sz w:val="13"/>
                <w:szCs w:val="13"/>
                <w:color w:val="auto"/>
              </w:rPr>
              <w:t>grant vests</w:t>
            </w: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00" w:type="dxa"/>
            <w:vAlign w:val="bottom"/>
          </w:tcPr>
          <w:p>
            <w:pPr>
              <w:ind w:left="60"/>
              <w:spacing w:after="0" w:line="123" w:lineRule="exact"/>
              <w:rPr>
                <w:sz w:val="20"/>
                <w:szCs w:val="20"/>
                <w:color w:val="auto"/>
              </w:rPr>
            </w:pPr>
            <w:r>
              <w:rPr>
                <w:rFonts w:ascii="Arial" w:cs="Arial" w:eastAsia="Arial" w:hAnsi="Arial"/>
                <w:sz w:val="13"/>
                <w:szCs w:val="13"/>
                <w:b w:val="1"/>
                <w:bCs w:val="1"/>
                <w:color w:val="auto"/>
              </w:rPr>
              <w:t>Performance Share Units</w:t>
            </w:r>
          </w:p>
        </w:tc>
        <w:tc>
          <w:tcPr>
            <w:tcW w:w="1240" w:type="dxa"/>
            <w:vAlign w:val="bottom"/>
          </w:tcPr>
          <w:p>
            <w:pPr>
              <w:ind w:left="100"/>
              <w:spacing w:after="0" w:line="123" w:lineRule="exact"/>
              <w:rPr>
                <w:sz w:val="20"/>
                <w:szCs w:val="20"/>
                <w:color w:val="auto"/>
              </w:rPr>
            </w:pPr>
            <w:r>
              <w:rPr>
                <w:rFonts w:ascii="Arial" w:cs="Arial" w:eastAsia="Arial" w:hAnsi="Arial"/>
                <w:sz w:val="13"/>
                <w:szCs w:val="13"/>
                <w:color w:val="auto"/>
              </w:rPr>
              <w:t>Forfeited</w:t>
            </w:r>
          </w:p>
        </w:tc>
        <w:tc>
          <w:tcPr>
            <w:tcW w:w="1300" w:type="dxa"/>
            <w:vAlign w:val="bottom"/>
          </w:tcPr>
          <w:p>
            <w:pPr>
              <w:ind w:left="80"/>
              <w:spacing w:after="0" w:line="123" w:lineRule="exact"/>
              <w:rPr>
                <w:sz w:val="20"/>
                <w:szCs w:val="20"/>
                <w:color w:val="auto"/>
              </w:rPr>
            </w:pPr>
            <w:r>
              <w:rPr>
                <w:rFonts w:ascii="Arial" w:cs="Arial" w:eastAsia="Arial" w:hAnsi="Arial"/>
                <w:sz w:val="13"/>
                <w:szCs w:val="13"/>
                <w:color w:val="auto"/>
              </w:rPr>
              <w:t>Awards immediately</w:t>
            </w:r>
          </w:p>
        </w:tc>
        <w:tc>
          <w:tcPr>
            <w:tcW w:w="1100" w:type="dxa"/>
            <w:vAlign w:val="bottom"/>
          </w:tcPr>
          <w:p>
            <w:pPr>
              <w:ind w:left="180"/>
              <w:spacing w:after="0" w:line="123" w:lineRule="exact"/>
              <w:rPr>
                <w:sz w:val="20"/>
                <w:szCs w:val="20"/>
                <w:color w:val="auto"/>
              </w:rPr>
            </w:pPr>
            <w:r>
              <w:rPr>
                <w:rFonts w:ascii="Arial" w:cs="Arial" w:eastAsia="Arial" w:hAnsi="Arial"/>
                <w:sz w:val="13"/>
                <w:szCs w:val="13"/>
                <w:color w:val="auto"/>
              </w:rPr>
              <w:t>Forfeited</w:t>
            </w:r>
          </w:p>
        </w:tc>
        <w:tc>
          <w:tcPr>
            <w:tcW w:w="1320" w:type="dxa"/>
            <w:vAlign w:val="bottom"/>
          </w:tcPr>
          <w:p>
            <w:pPr>
              <w:ind w:left="80"/>
              <w:spacing w:after="0" w:line="123" w:lineRule="exact"/>
              <w:rPr>
                <w:sz w:val="20"/>
                <w:szCs w:val="20"/>
                <w:color w:val="auto"/>
              </w:rPr>
            </w:pPr>
            <w:r>
              <w:rPr>
                <w:rFonts w:ascii="Arial" w:cs="Arial" w:eastAsia="Arial" w:hAnsi="Arial"/>
                <w:sz w:val="13"/>
                <w:szCs w:val="13"/>
                <w:color w:val="auto"/>
              </w:rPr>
              <w:t>Forfeited</w:t>
            </w:r>
          </w:p>
        </w:tc>
        <w:tc>
          <w:tcPr>
            <w:tcW w:w="124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420" w:type="dxa"/>
            <w:vAlign w:val="bottom"/>
          </w:tcPr>
          <w:p>
            <w:pPr>
              <w:ind w:left="10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ind w:left="80"/>
              <w:spacing w:after="0" w:line="135" w:lineRule="exact"/>
              <w:rPr>
                <w:sz w:val="20"/>
                <w:szCs w:val="20"/>
                <w:color w:val="auto"/>
              </w:rPr>
            </w:pPr>
            <w:r>
              <w:rPr>
                <w:rFonts w:ascii="Arial" w:cs="Arial" w:eastAsia="Arial" w:hAnsi="Arial"/>
                <w:sz w:val="13"/>
                <w:szCs w:val="13"/>
                <w:color w:val="auto"/>
              </w:rPr>
              <w:t>vest</w:t>
            </w: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vest(7)</w:t>
            </w:r>
          </w:p>
        </w:tc>
        <w:tc>
          <w:tcPr>
            <w:tcW w:w="0" w:type="dxa"/>
            <w:vAlign w:val="bottom"/>
          </w:tcPr>
          <w:p>
            <w:pPr>
              <w:spacing w:after="0"/>
              <w:rPr>
                <w:sz w:val="1"/>
                <w:szCs w:val="1"/>
                <w:color w:val="auto"/>
              </w:rPr>
            </w:pPr>
          </w:p>
        </w:tc>
      </w:tr>
      <w:tr>
        <w:trPr>
          <w:trHeight w:val="141"/>
        </w:trPr>
        <w:tc>
          <w:tcPr>
            <w:tcW w:w="340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1300" w:type="dxa"/>
            <w:vAlign w:val="bottom"/>
            <w:tcBorders>
              <w:bottom w:val="single" w:sz="8" w:color="666666"/>
            </w:tcBorders>
          </w:tcPr>
          <w:p>
            <w:pPr>
              <w:spacing w:after="0"/>
              <w:rPr>
                <w:sz w:val="12"/>
                <w:szCs w:val="12"/>
                <w:color w:val="auto"/>
              </w:rPr>
            </w:pPr>
          </w:p>
        </w:tc>
        <w:tc>
          <w:tcPr>
            <w:tcW w:w="1100" w:type="dxa"/>
            <w:vAlign w:val="bottom"/>
            <w:tcBorders>
              <w:bottom w:val="single" w:sz="8" w:color="666666"/>
            </w:tcBorders>
          </w:tcPr>
          <w:p>
            <w:pPr>
              <w:spacing w:after="0"/>
              <w:rPr>
                <w:sz w:val="12"/>
                <w:szCs w:val="12"/>
                <w:color w:val="auto"/>
              </w:rPr>
            </w:pPr>
          </w:p>
        </w:tc>
        <w:tc>
          <w:tcPr>
            <w:tcW w:w="1320" w:type="dxa"/>
            <w:vAlign w:val="bottom"/>
            <w:tcBorders>
              <w:bottom w:val="single" w:sz="8" w:color="666666"/>
            </w:tcBorders>
          </w:tcPr>
          <w:p>
            <w:pPr>
              <w:spacing w:after="0"/>
              <w:rPr>
                <w:sz w:val="12"/>
                <w:szCs w:val="12"/>
                <w:color w:val="auto"/>
              </w:rPr>
            </w:pPr>
          </w:p>
        </w:tc>
        <w:tc>
          <w:tcPr>
            <w:tcW w:w="124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vest(7)</w:t>
            </w:r>
          </w:p>
        </w:tc>
        <w:tc>
          <w:tcPr>
            <w:tcW w:w="142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4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Health, Welfare and Other</w:t>
            </w:r>
          </w:p>
        </w:tc>
        <w:tc>
          <w:tcPr>
            <w:tcW w:w="1240" w:type="dxa"/>
            <w:vAlign w:val="bottom"/>
          </w:tcPr>
          <w:p>
            <w:pPr>
              <w:ind w:left="100"/>
              <w:spacing w:after="0" w:line="107" w:lineRule="exact"/>
              <w:rPr>
                <w:sz w:val="20"/>
                <w:szCs w:val="20"/>
                <w:color w:val="auto"/>
              </w:rPr>
            </w:pPr>
            <w:r>
              <w:rPr>
                <w:rFonts w:ascii="Arial" w:cs="Arial" w:eastAsia="Arial" w:hAnsi="Arial"/>
                <w:sz w:val="12"/>
                <w:szCs w:val="12"/>
                <w:color w:val="auto"/>
              </w:rPr>
              <w:t>None</w:t>
            </w:r>
          </w:p>
        </w:tc>
        <w:tc>
          <w:tcPr>
            <w:tcW w:w="1300" w:type="dxa"/>
            <w:vAlign w:val="bottom"/>
          </w:tcPr>
          <w:p>
            <w:pPr>
              <w:ind w:left="80"/>
              <w:spacing w:after="0" w:line="107" w:lineRule="exact"/>
              <w:rPr>
                <w:sz w:val="20"/>
                <w:szCs w:val="20"/>
                <w:color w:val="auto"/>
              </w:rPr>
            </w:pPr>
            <w:r>
              <w:rPr>
                <w:rFonts w:ascii="Arial" w:cs="Arial" w:eastAsia="Arial" w:hAnsi="Arial"/>
                <w:sz w:val="12"/>
                <w:szCs w:val="12"/>
                <w:color w:val="auto"/>
              </w:rPr>
              <w:t>None (4)</w:t>
            </w:r>
          </w:p>
        </w:tc>
        <w:tc>
          <w:tcPr>
            <w:tcW w:w="1100" w:type="dxa"/>
            <w:vAlign w:val="bottom"/>
          </w:tcPr>
          <w:p>
            <w:pPr>
              <w:ind w:left="180"/>
              <w:spacing w:after="0" w:line="107" w:lineRule="exact"/>
              <w:rPr>
                <w:sz w:val="20"/>
                <w:szCs w:val="20"/>
                <w:color w:val="auto"/>
              </w:rPr>
            </w:pPr>
            <w:r>
              <w:rPr>
                <w:rFonts w:ascii="Arial" w:cs="Arial" w:eastAsia="Arial" w:hAnsi="Arial"/>
                <w:sz w:val="12"/>
                <w:szCs w:val="12"/>
                <w:color w:val="auto"/>
              </w:rPr>
              <w:t>None</w:t>
            </w:r>
          </w:p>
        </w:tc>
        <w:tc>
          <w:tcPr>
            <w:tcW w:w="1320" w:type="dxa"/>
            <w:vAlign w:val="bottom"/>
          </w:tcPr>
          <w:p>
            <w:pPr>
              <w:ind w:left="80"/>
              <w:spacing w:after="0" w:line="107" w:lineRule="exact"/>
              <w:rPr>
                <w:sz w:val="20"/>
                <w:szCs w:val="20"/>
                <w:color w:val="auto"/>
              </w:rPr>
            </w:pPr>
            <w:r>
              <w:rPr>
                <w:rFonts w:ascii="Arial" w:cs="Arial" w:eastAsia="Arial" w:hAnsi="Arial"/>
                <w:sz w:val="12"/>
                <w:szCs w:val="12"/>
                <w:color w:val="auto"/>
              </w:rPr>
              <w:t>None</w:t>
            </w:r>
          </w:p>
        </w:tc>
        <w:tc>
          <w:tcPr>
            <w:tcW w:w="1240" w:type="dxa"/>
            <w:vAlign w:val="bottom"/>
          </w:tcPr>
          <w:p>
            <w:pPr>
              <w:ind w:left="140"/>
              <w:spacing w:after="0" w:line="107" w:lineRule="exact"/>
              <w:rPr>
                <w:sz w:val="20"/>
                <w:szCs w:val="20"/>
                <w:color w:val="auto"/>
              </w:rPr>
            </w:pPr>
            <w:r>
              <w:rPr>
                <w:rFonts w:ascii="Arial" w:cs="Arial" w:eastAsia="Arial" w:hAnsi="Arial"/>
                <w:sz w:val="12"/>
                <w:szCs w:val="12"/>
                <w:color w:val="auto"/>
              </w:rPr>
              <w:t>Continue</w:t>
            </w:r>
          </w:p>
        </w:tc>
        <w:tc>
          <w:tcPr>
            <w:tcW w:w="1420" w:type="dxa"/>
            <w:vAlign w:val="bottom"/>
          </w:tcPr>
          <w:p>
            <w:pPr>
              <w:ind w:left="10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51"/>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Benefits (8)(9)</w:t>
            </w: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provided; 2 or 3 years</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w w:val="96"/>
              </w:rPr>
              <w:t>continued dental/health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-2551430</wp:posOffset>
            </wp:positionV>
            <wp:extent cx="2160905" cy="27273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60905" cy="2727325"/>
                    </a:xfrm>
                    <a:prstGeom prst="rect">
                      <a:avLst/>
                    </a:prstGeom>
                    <a:noFill/>
                  </pic:spPr>
                </pic:pic>
              </a:graphicData>
            </a:graphic>
          </wp:anchor>
        </w:drawing>
      </w:r>
    </w:p>
    <w:p>
      <w:pPr>
        <w:ind w:left="9920"/>
        <w:spacing w:after="0" w:line="216" w:lineRule="auto"/>
        <w:rPr>
          <w:sz w:val="20"/>
          <w:szCs w:val="20"/>
          <w:color w:val="auto"/>
        </w:rPr>
      </w:pPr>
      <w:r>
        <w:rPr>
          <w:rFonts w:ascii="Arial" w:cs="Arial" w:eastAsia="Arial" w:hAnsi="Arial"/>
          <w:sz w:val="13"/>
          <w:szCs w:val="13"/>
          <w:color w:val="auto"/>
        </w:rPr>
        <w:t>coverage; legal fees,</w:t>
      </w:r>
    </w:p>
    <w:p>
      <w:pPr>
        <w:spacing w:after="0" w:line="1" w:lineRule="exact"/>
        <w:rPr>
          <w:sz w:val="20"/>
          <w:szCs w:val="20"/>
          <w:color w:val="auto"/>
        </w:rPr>
      </w:pPr>
    </w:p>
    <w:p>
      <w:pPr>
        <w:ind w:left="9920"/>
        <w:spacing w:after="0"/>
        <w:rPr>
          <w:sz w:val="20"/>
          <w:szCs w:val="20"/>
          <w:color w:val="auto"/>
        </w:rPr>
      </w:pPr>
      <w:r>
        <w:rPr>
          <w:rFonts w:ascii="Arial" w:cs="Arial" w:eastAsia="Arial" w:hAnsi="Arial"/>
          <w:sz w:val="13"/>
          <w:szCs w:val="13"/>
          <w:color w:val="auto"/>
        </w:rPr>
        <w:t>upon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ind w:left="560" w:hanging="356"/>
        <w:spacing w:after="0"/>
        <w:tabs>
          <w:tab w:leader="none" w:pos="560" w:val="left"/>
        </w:tabs>
        <w:numPr>
          <w:ilvl w:val="0"/>
          <w:numId w:val="7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520" w:right="40" w:hanging="316"/>
        <w:spacing w:after="0" w:line="258"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 CIC Agreement or otherwise in the event of termination of employment by way of retirement, resignation or termination for “cause.”</w:t>
      </w:r>
    </w:p>
    <w:p>
      <w:pPr>
        <w:spacing w:after="0" w:line="18" w:lineRule="exact"/>
        <w:rPr>
          <w:rFonts w:ascii="Arial" w:cs="Arial" w:eastAsia="Arial" w:hAnsi="Arial"/>
          <w:sz w:val="14"/>
          <w:szCs w:val="14"/>
          <w:color w:val="auto"/>
        </w:rPr>
      </w:pPr>
    </w:p>
    <w:p>
      <w:pPr>
        <w:ind w:left="520" w:right="60" w:hanging="316"/>
        <w:spacing w:after="0" w:line="244"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CIC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9" w:lineRule="exact"/>
        <w:rPr>
          <w:rFonts w:ascii="Arial" w:cs="Arial" w:eastAsia="Arial" w:hAnsi="Arial"/>
          <w:sz w:val="14"/>
          <w:szCs w:val="14"/>
          <w:color w:val="auto"/>
        </w:rPr>
      </w:pPr>
    </w:p>
    <w:p>
      <w:pPr>
        <w:ind w:left="520" w:hanging="316"/>
        <w:spacing w:after="0" w:line="245"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executive severance guidelines, a cash severance of 12 to 18 months of annual base salary may be paid at the discretion of the CEO. If an NEO is terminated in the first half of any fiscal year, no annual cash incentive compensation will be paid. If an NEO is terminated in the second half of any fiscal year, the annual cash incentive compensation will be pro-rated based on actual achievement and may be part of the severance package at the discretion of the CEO. Acceleration and vesting of RSUs originally scheduled to vest within 12 months of the termination date, may vest at the discretion of the CEO and with the prior approval of the Compensation Committee of the Board of Directors. No action will be taken with respect to PSUs which will be forfeited.</w:t>
      </w:r>
    </w:p>
    <w:p>
      <w:pPr>
        <w:spacing w:after="0" w:line="29" w:lineRule="exact"/>
        <w:rPr>
          <w:rFonts w:ascii="Arial" w:cs="Arial" w:eastAsia="Arial" w:hAnsi="Arial"/>
          <w:sz w:val="14"/>
          <w:szCs w:val="14"/>
          <w:color w:val="auto"/>
        </w:rPr>
      </w:pPr>
    </w:p>
    <w:p>
      <w:pPr>
        <w:ind w:left="520" w:hanging="316"/>
        <w:spacing w:after="0" w:line="247"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 (b) in the event of death, the NEO’s estate would receive his or her full salary and all compensation and benefits payable under the terms of the then-current plans through the date of the NEO’s death.</w:t>
      </w:r>
    </w:p>
    <w:p>
      <w:pPr>
        <w:spacing w:after="0" w:line="26" w:lineRule="exact"/>
        <w:rPr>
          <w:rFonts w:ascii="Arial" w:cs="Arial" w:eastAsia="Arial" w:hAnsi="Arial"/>
          <w:sz w:val="14"/>
          <w:szCs w:val="14"/>
          <w:color w:val="auto"/>
        </w:rPr>
      </w:pPr>
    </w:p>
    <w:p>
      <w:pPr>
        <w:ind w:left="520" w:right="140" w:hanging="316"/>
        <w:spacing w:after="0" w:line="244"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an NEO’s employment is terminated (i) by the Company “without cause” or (ii)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 Under each CIC Agreement, the NEO’s average annual bonus for the prior three years is used for calculation purposes. The multiple for all NEOs is three, except Mr. Fraser. His multiple is two.</w:t>
      </w:r>
    </w:p>
    <w:p>
      <w:pPr>
        <w:spacing w:after="0" w:line="30" w:lineRule="exact"/>
        <w:rPr>
          <w:rFonts w:ascii="Arial" w:cs="Arial" w:eastAsia="Arial" w:hAnsi="Arial"/>
          <w:sz w:val="14"/>
          <w:szCs w:val="14"/>
          <w:color w:val="auto"/>
        </w:rPr>
      </w:pPr>
    </w:p>
    <w:p>
      <w:pPr>
        <w:ind w:left="520" w:right="520" w:hanging="316"/>
        <w:spacing w:after="0" w:line="258"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the Executive Non-Equity Incentive Compensation Plan (“EICP”), upon a change in control an NEO is entitled to an immediate cash payment equal to the maximum award payment, or superior amount. See the description under “Annual Cash Incentive Compensation” on page 24.</w:t>
      </w:r>
    </w:p>
    <w:p>
      <w:pPr>
        <w:spacing w:after="0" w:line="18" w:lineRule="exact"/>
        <w:rPr>
          <w:rFonts w:ascii="Arial" w:cs="Arial" w:eastAsia="Arial" w:hAnsi="Arial"/>
          <w:sz w:val="14"/>
          <w:szCs w:val="14"/>
          <w:color w:val="auto"/>
        </w:rPr>
      </w:pPr>
    </w:p>
    <w:p>
      <w:pPr>
        <w:ind w:left="520" w:hanging="316"/>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PSUs granted beginning in January 2016 that have not lapsed will accelerate and vest at a multiple of two upon a change of control.</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Bausch is eligible for tax benefits under the Company’s tax policy. See “Expatriate Benefits” on page 27.</w:t>
      </w:r>
    </w:p>
    <w:p>
      <w:pPr>
        <w:spacing w:after="0" w:line="41" w:lineRule="exact"/>
        <w:rPr>
          <w:rFonts w:ascii="Arial" w:cs="Arial" w:eastAsia="Arial" w:hAnsi="Arial"/>
          <w:sz w:val="14"/>
          <w:szCs w:val="14"/>
          <w:color w:val="auto"/>
        </w:rPr>
      </w:pPr>
    </w:p>
    <w:p>
      <w:pPr>
        <w:ind w:left="520" w:right="60" w:hanging="316"/>
        <w:spacing w:after="0" w:line="244"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Under each CIC Agreement, (i) all dental and health benefits under any plans that are provided to a NEO and his or her family prior to termination would be maintained after termination for a period of two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8318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70" w:lineRule="exact"/>
        <w:rPr>
          <w:sz w:val="20"/>
          <w:szCs w:val="20"/>
          <w:color w:val="auto"/>
        </w:rPr>
      </w:pPr>
    </w:p>
    <w:p>
      <w:pPr>
        <w:ind w:left="200" w:right="500"/>
        <w:spacing w:after="0" w:line="278" w:lineRule="auto"/>
        <w:rPr>
          <w:sz w:val="20"/>
          <w:szCs w:val="20"/>
          <w:color w:val="auto"/>
        </w:rPr>
      </w:pPr>
      <w:r>
        <w:rPr>
          <w:rFonts w:ascii="Arial" w:cs="Arial" w:eastAsia="Arial" w:hAnsi="Arial"/>
          <w:sz w:val="29"/>
          <w:szCs w:val="29"/>
          <w:b w:val="1"/>
          <w:bCs w:val="1"/>
          <w:color w:val="C3002F"/>
        </w:rPr>
        <w:t>ESTIMATE OF POTENTIAL PAYMENTS UPON TERMINATION OR CHANGE OF CONTROL</w:t>
      </w:r>
    </w:p>
    <w:p>
      <w:pPr>
        <w:spacing w:after="0" w:line="164"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2018.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2018; these actual payments are described in “Executive Employment Agreements” on page 28.</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Annual</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Restricted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Performance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Welfare</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 Units -</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 Units -</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and</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Unvested and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 and</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b w:val="1"/>
                <w:bCs w:val="1"/>
                <w:color w:val="auto"/>
              </w:rPr>
              <w:t>Severance</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Accelerated</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Accelerated</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Benefits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9"/>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6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Mark A. McCollum</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579,600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908,732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163,403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1,651,735</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230,347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2,230,347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908,732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1,356,770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4,665,502</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4,217,880</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2,400,000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908,732</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1,356,770</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28,080</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8,911,462</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Christoph Bausch</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258,708</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55,269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627,927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313,950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114,787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1,078,737</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234,441</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468,882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2,003,323</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2,329,688</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1,300,000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234,441</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468,882</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59,832</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4,392,843</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Christina M. Ibrahim</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212,306</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38,448</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552,629</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301,875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102,657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1,029,532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1,250,000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212,306</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424,612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1,886,918</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3,034,375</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1,250,000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212,306</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424,612</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43,344</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4,964,637</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Karl Blanchard</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384,397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67,283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789,780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338,100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159,695</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1,197,795</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384,397</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516,299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2,300,696</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666666"/>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2,810,430</w:t>
            </w:r>
          </w:p>
        </w:tc>
        <w:tc>
          <w:tcPr>
            <w:tcW w:w="12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1,400,000</w:t>
            </w:r>
          </w:p>
        </w:tc>
        <w:tc>
          <w:tcPr>
            <w:tcW w:w="11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384,397</w:t>
            </w:r>
          </w:p>
        </w:tc>
        <w:tc>
          <w:tcPr>
            <w:tcW w:w="120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516,299</w:t>
            </w:r>
          </w:p>
        </w:tc>
        <w:tc>
          <w:tcPr>
            <w:tcW w:w="84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28,080</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5,139,206</w:t>
            </w: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Stuart Fraser</w:t>
            </w: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105,028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56,934</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15,390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177,352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425,000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105,028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23,334</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553,362</w:t>
            </w:r>
          </w:p>
        </w:tc>
      </w:tr>
      <w:tr>
        <w:trPr>
          <w:trHeight w:val="162"/>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637,500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89,219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726,719</w:t>
            </w:r>
          </w:p>
        </w:tc>
      </w:tr>
      <w:tr>
        <w:trPr>
          <w:trHeight w:val="157"/>
        </w:trPr>
        <w:tc>
          <w:tcPr>
            <w:tcW w:w="20" w:type="dxa"/>
            <w:vAlign w:val="bottom"/>
          </w:tcPr>
          <w:p>
            <w:pPr>
              <w:spacing w:after="0"/>
              <w:rPr>
                <w:sz w:val="13"/>
                <w:szCs w:val="13"/>
                <w:color w:val="auto"/>
              </w:rPr>
            </w:pPr>
          </w:p>
        </w:tc>
        <w:tc>
          <w:tcPr>
            <w:tcW w:w="418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1,114,604</w:t>
            </w:r>
          </w:p>
        </w:tc>
        <w:tc>
          <w:tcPr>
            <w:tcW w:w="12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637,500</w:t>
            </w:r>
          </w:p>
        </w:tc>
        <w:tc>
          <w:tcPr>
            <w:tcW w:w="11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2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89,219</w:t>
            </w:r>
          </w:p>
        </w:tc>
        <w:tc>
          <w:tcPr>
            <w:tcW w:w="8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28,896</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1,870,219</w:t>
            </w:r>
          </w:p>
        </w:tc>
      </w:tr>
    </w:tbl>
    <w:p>
      <w:pPr>
        <w:spacing w:after="0" w:line="45" w:lineRule="exact"/>
        <w:rPr>
          <w:sz w:val="20"/>
          <w:szCs w:val="20"/>
          <w:color w:val="auto"/>
        </w:rPr>
      </w:pPr>
    </w:p>
    <w:p>
      <w:pPr>
        <w:ind w:left="420" w:hanging="216"/>
        <w:spacing w:after="0"/>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 zero (0) indicates either that there is no amount payable to the NEO, or the amount payable is generally available for both the NEOs and all salaried employees.</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Under the EICP, (i) upon death or disability annual cash incentive compensation is prorated to the date of the triggering event and based on actual performance and</w:t>
      </w:r>
    </w:p>
    <w:p>
      <w:pPr>
        <w:spacing w:after="0" w:line="1" w:lineRule="exact"/>
        <w:rPr>
          <w:rFonts w:ascii="Arial" w:cs="Arial" w:eastAsia="Arial" w:hAnsi="Arial"/>
          <w:sz w:val="14"/>
          <w:szCs w:val="14"/>
          <w:color w:val="auto"/>
        </w:rPr>
      </w:pPr>
    </w:p>
    <w:p>
      <w:pPr>
        <w:ind w:left="420" w:right="60"/>
        <w:spacing w:after="0" w:line="247" w:lineRule="auto"/>
        <w:rPr>
          <w:rFonts w:ascii="Arial" w:cs="Arial" w:eastAsia="Arial" w:hAnsi="Arial"/>
          <w:sz w:val="14"/>
          <w:szCs w:val="14"/>
          <w:color w:val="auto"/>
        </w:rPr>
      </w:pPr>
      <w:r>
        <w:rPr>
          <w:rFonts w:ascii="Arial" w:cs="Arial" w:eastAsia="Arial" w:hAnsi="Arial"/>
          <w:sz w:val="14"/>
          <w:szCs w:val="14"/>
          <w:color w:val="auto"/>
        </w:rPr>
        <w:t>(ii) upon a change in control annual cash incentive compensation is paid at superior. Under our executive severance guidelines, (i) cash severance can be between 12 to 18 months of base salary; for this table, 12 months has been used; (ii) the annual cash incentive compensation is none if terminated in the first half of any fiscal year, and pro-rated based on actual achievement if terminated during the second half of this year; and RSUs vesting in the 12 months following termination may be accelerated or cash in lieu may be provided, each at the discretion of the CEO.</w:t>
      </w:r>
    </w:p>
    <w:p>
      <w:pPr>
        <w:spacing w:after="0" w:line="26" w:lineRule="exact"/>
        <w:rPr>
          <w:rFonts w:ascii="Arial" w:cs="Arial" w:eastAsia="Arial" w:hAnsi="Arial"/>
          <w:sz w:val="14"/>
          <w:szCs w:val="14"/>
          <w:color w:val="auto"/>
        </w:rPr>
      </w:pPr>
    </w:p>
    <w:p>
      <w:pPr>
        <w:ind w:left="420" w:right="100" w:hanging="216"/>
        <w:spacing w:after="0" w:line="247" w:lineRule="auto"/>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event of death, disability, termination without cause or termination with good reason, the RSUs that have not lapsed will accelerate and vest. In the event of death, disability, termination without cause or termination with good reason, the PSUs that have not lapsed will accelerate and vest based on performance during the measurement period. As of December 31, 2018, none of the performance goals were achieved. As a result, no ordinary shares were earned upon vesting of these PSUs based on 2018 performance. In the event of a change in control, the PSUs that have not lapsed will accelerate and vest at a multiple of two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ind w:left="560" w:hanging="356"/>
        <w:spacing w:after="0"/>
        <w:tabs>
          <w:tab w:leader="none" w:pos="560" w:val="left"/>
        </w:tabs>
        <w:numPr>
          <w:ilvl w:val="0"/>
          <w:numId w:val="7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8318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2018 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Beginning in fiscal year 2017 and 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Pay Ratio Calculation Method:</w:t>
      </w:r>
    </w:p>
    <w:p>
      <w:pPr>
        <w:spacing w:after="0" w:line="208"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For 2018, for purposes of the Pay Ratio Rule the total compensation of Mr. McCollum, our President and CEO, was $9,006,485 and the median employee’s total annual compensation was $53,543. The resulting ratio of our CEO’s pay to our median employee’s pay for fiscal year 2018 is 168:1. For purposes of the Pay Ratio Rule, we calculated the total annual compensation of our CEO and the median employee for 2018 in accordance with the Summary Compensation Table rules, except that we included certain nondiscriminatory employee benefits and welfare contributions in the compensation of both our CEO and the median employee. Because the annual total compensation information of our CEO reflected in the Summary Compensation Table on page 33 does not include such employee benefits or welfare contributions, there is a difference between the total annual compensation of our CEO used for the Pay Ratio Rule and in the Summary Compensation Table.</w:t>
      </w:r>
    </w:p>
    <w:p>
      <w:pPr>
        <w:spacing w:after="0" w:line="166" w:lineRule="exact"/>
        <w:rPr>
          <w:sz w:val="20"/>
          <w:szCs w:val="20"/>
          <w:color w:val="auto"/>
        </w:rPr>
      </w:pPr>
    </w:p>
    <w:p>
      <w:pPr>
        <w:ind w:left="200" w:right="220"/>
        <w:spacing w:after="0" w:line="250" w:lineRule="auto"/>
        <w:rPr>
          <w:sz w:val="20"/>
          <w:szCs w:val="20"/>
          <w:color w:val="auto"/>
        </w:rPr>
      </w:pPr>
      <w:r>
        <w:rPr>
          <w:rFonts w:ascii="Arial" w:cs="Arial" w:eastAsia="Arial" w:hAnsi="Arial"/>
          <w:sz w:val="14"/>
          <w:szCs w:val="14"/>
          <w:color w:val="auto"/>
        </w:rPr>
        <w:t>We used the same median employee for the pay ratio in 2018 as in 2017. There was no material change in our employee population or in our employee compensation arrangements or other material change that we reasonably believe would significantly affect our pay ratio calculation. We identified our median employee for the 2017 pay ratio analysis using the methodology and exemptions as described below.</w:t>
      </w:r>
    </w:p>
    <w:p>
      <w:pPr>
        <w:spacing w:after="0" w:line="159"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To identify employees subject to the Pay Ratio Rule, we started with a total employee population of 30,217, including full-time, part-time and seasonal workers of the Company and its consolidated subsidiaries. Employees on unpaid leave of absence were excluded and wages and salaries were annualized for those full time employees that were not employed for the full year 2017. As permitted by the Pay Ratio Rule, we excluded 1,192 or 3.9%, of our total employees who are non-U.S. employees from the total employee population under the “de minimis exemption” exclusion, such that we used an employee population of 6,632 U.S. employees and 22,393 non-U.S. employees for purposes of determining the median employee. The excluded countries, along with the number of employees in each country, is as follows: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Albania – 24</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Gabon – 4</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Poland – 15</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Austria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Ghana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Qatar – 20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Bahrain – 22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Hungary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Senegal – 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Bangladesh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Jordan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Singapore – 71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Bolivia – 61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Kenya – 11</w:t>
            </w:r>
          </w:p>
        </w:tc>
        <w:tc>
          <w:tcPr>
            <w:tcW w:w="276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South Africa – 6</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Brunei – 40</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Libya – 6</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Spain – 4</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Bulgaria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Luxembourg – 2</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Switzerland – 40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Cameroon – 82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Morocco – 2</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Tanzania 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Chad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Mozambique – 20</w:t>
            </w:r>
          </w:p>
        </w:tc>
        <w:tc>
          <w:tcPr>
            <w:tcW w:w="276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Trinidad &amp; Tobago – 60</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Chile – 87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Myanmar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Tunisia – 65</w:t>
            </w: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Cote D’Ivoire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Netherlands – 67</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Turkey – 13</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Cyprus – 6</w:t>
            </w:r>
          </w:p>
        </w:tc>
        <w:tc>
          <w:tcPr>
            <w:tcW w:w="384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New Zealand – 15</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Turkmenistan – 61</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Denmark – 29</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Nigeria – 74</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Ukraine – 67</w:t>
            </w:r>
          </w:p>
        </w:tc>
      </w:tr>
      <w:tr>
        <w:trPr>
          <w:trHeight w:val="162"/>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Ecuador – 24</w:t>
            </w:r>
          </w:p>
        </w:tc>
        <w:tc>
          <w:tcPr>
            <w:tcW w:w="384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Papua New Guinea – 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Uzbekistan – 1</w:t>
            </w: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Equatorial Guinea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Peru – 61</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Vietnam – 38</w:t>
            </w:r>
          </w:p>
        </w:tc>
      </w:tr>
      <w:tr>
        <w:trPr>
          <w:trHeight w:val="196"/>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France – 57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Philippines – 8</w:t>
            </w:r>
          </w:p>
        </w:tc>
        <w:tc>
          <w:tcPr>
            <w:tcW w:w="1220" w:type="dxa"/>
            <w:vAlign w:val="bottom"/>
          </w:tcPr>
          <w:p>
            <w:pPr>
              <w:ind w:left="1100"/>
              <w:spacing w:after="0"/>
              <w:rPr>
                <w:sz w:val="20"/>
                <w:szCs w:val="20"/>
                <w:color w:val="auto"/>
              </w:rPr>
            </w:pPr>
            <w:r>
              <w:rPr>
                <w:rFonts w:ascii="Arial" w:cs="Arial" w:eastAsia="Arial" w:hAnsi="Arial"/>
                <w:sz w:val="14"/>
                <w:szCs w:val="14"/>
                <w:color w:val="C3002F"/>
              </w:rPr>
              <w:t>•</w:t>
            </w:r>
          </w:p>
        </w:tc>
        <w:tc>
          <w:tcPr>
            <w:tcW w:w="1540" w:type="dxa"/>
            <w:vAlign w:val="bottom"/>
          </w:tcPr>
          <w:p>
            <w:pPr>
              <w:ind w:left="40"/>
              <w:spacing w:after="0"/>
              <w:rPr>
                <w:sz w:val="20"/>
                <w:szCs w:val="20"/>
                <w:color w:val="auto"/>
              </w:rPr>
            </w:pPr>
            <w:r>
              <w:rPr>
                <w:rFonts w:ascii="Arial" w:cs="Arial" w:eastAsia="Arial" w:hAnsi="Arial"/>
                <w:sz w:val="14"/>
                <w:szCs w:val="14"/>
                <w:color w:val="auto"/>
              </w:rPr>
              <w:t>Yemen – 4</w:t>
            </w:r>
          </w:p>
        </w:tc>
      </w:tr>
    </w:tbl>
    <w:p>
      <w:pPr>
        <w:spacing w:after="0" w:line="354"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We used total annual cash compensation as reported in our payroll systems on October 1, 2017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(the United States) as our CEO (in order to approximate the cost of living), was chosen from this group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39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50" w:lineRule="exact"/>
        <w:rPr>
          <w:sz w:val="20"/>
          <w:szCs w:val="20"/>
          <w:color w:val="auto"/>
        </w:rPr>
      </w:pPr>
    </w:p>
    <w:p>
      <w:pPr>
        <w:ind w:left="200" w:right="2260"/>
        <w:spacing w:after="0" w:line="275" w:lineRule="auto"/>
        <w:rPr>
          <w:sz w:val="20"/>
          <w:szCs w:val="20"/>
          <w:color w:val="auto"/>
        </w:rPr>
      </w:pPr>
      <w:r>
        <w:rPr>
          <w:rFonts w:ascii="Arial" w:cs="Arial" w:eastAsia="Arial" w:hAnsi="Arial"/>
          <w:sz w:val="65"/>
          <w:szCs w:val="65"/>
          <w:b w:val="1"/>
          <w:bCs w:val="1"/>
          <w:color w:val="C3002F"/>
        </w:rPr>
        <w:t>AGENDA ITEM 4 - REVERSE STOCK SPLIT</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We are asking our shareholders to approve a reverse stock split (i.e., a consolidation of share capital under Irish law) at a ratio of 1-for-20. Accordingly, if our shareholders vote in favor of Agenda Item 4, then every 20 ordinary shares of $0.001 each in the authorized but un-issued and in the authorized and issued share capital of the Company will be consolidated into 1 ordinary share of $0.001 each. Following the reverse stock split, an amended Memorandum and Articles of Association is required to be filed with the Irish Companies Registration Office to reflect the reverse stock split. The amended Memorandum and Articles of Association, to reflect the consolidation of share capital, is attached to this Proxy Statement as Annex A.</w:t>
      </w:r>
    </w:p>
    <w:p>
      <w:pPr>
        <w:spacing w:after="0" w:line="16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At the close of business on April 15, 2019, we had 1,003,334,214 ordinary shares issued. Based on the number of ordinary shares currently issued, immediately following the completion of the reverse stock split, and, for illustrative purposes only, we would have approximately 50,166,710 ordinary shares issued, without giving effect to the treatment of fractional shares. We do not expect the reverse stock split itself to have any economic effect on our shareholders, debt holders or holders of options or restricted stock, except to the extent the reverse stock split will result in fractional shares as discussed below.</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Reasons for the Reverse Stock Split</w:t>
      </w:r>
    </w:p>
    <w:p>
      <w:pPr>
        <w:spacing w:after="0" w:line="195" w:lineRule="exact"/>
        <w:rPr>
          <w:sz w:val="20"/>
          <w:szCs w:val="20"/>
          <w:color w:val="auto"/>
        </w:rPr>
      </w:pPr>
    </w:p>
    <w:p>
      <w:pPr>
        <w:ind w:left="200" w:right="140"/>
        <w:spacing w:after="0" w:line="258" w:lineRule="auto"/>
        <w:rPr>
          <w:sz w:val="20"/>
          <w:szCs w:val="20"/>
          <w:color w:val="auto"/>
        </w:rPr>
      </w:pPr>
      <w:r>
        <w:rPr>
          <w:rFonts w:ascii="Arial" w:cs="Arial" w:eastAsia="Arial" w:hAnsi="Arial"/>
          <w:sz w:val="14"/>
          <w:szCs w:val="14"/>
          <w:color w:val="auto"/>
        </w:rPr>
        <w:t>We are asking our shareholders to approve a reverse stock split with a view to increasing the per share trading price of our ordinary shares. We believe an increased share trading price could have the following benefits:</w:t>
      </w:r>
    </w:p>
    <w:p>
      <w:pPr>
        <w:spacing w:after="0" w:line="180" w:lineRule="exact"/>
        <w:rPr>
          <w:sz w:val="20"/>
          <w:szCs w:val="20"/>
          <w:color w:val="auto"/>
        </w:rPr>
      </w:pPr>
    </w:p>
    <w:p>
      <w:pPr>
        <w:ind w:left="420" w:right="80" w:hanging="216"/>
        <w:spacing w:after="0" w:line="249"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i w:val="1"/>
          <w:iCs w:val="1"/>
          <w:color w:val="auto"/>
        </w:rPr>
        <w:t>Reduced Risk of NYSE Delisting</w:t>
      </w:r>
      <w:r>
        <w:rPr>
          <w:rFonts w:ascii="Arial" w:cs="Arial" w:eastAsia="Arial" w:hAnsi="Arial"/>
          <w:sz w:val="14"/>
          <w:szCs w:val="14"/>
          <w:color w:val="auto"/>
        </w:rPr>
        <w:t>. Our Board believes that a reverse stock split may allow us to avoid having our ordinary shares delisted from the NYSE. In order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 shares to continue to be listed on the NYSE, we must satisfy certain listing maintenance standards established by the NYSE. On December 12, 2018, we received a letter from the NYSE informing us that because the average closing price of our ordinary shares was below $1.00 for a consecutive 30-trading-day period, we did not comply with the minimum closing price requirement for continued listing on the NYSE under Section 802.01C of the NYSE Listed Company Manual. The Board expects that a reverse stock split of our ordinary shares will increase the market price of our ordinary shares so that we are able to maintain compliance with the NYSE minimum bid price listing standard.</w:t>
      </w:r>
    </w:p>
    <w:p>
      <w:pPr>
        <w:spacing w:after="0" w:line="186" w:lineRule="exact"/>
        <w:rPr>
          <w:rFonts w:ascii="Arial" w:cs="Arial" w:eastAsia="Arial" w:hAnsi="Arial"/>
          <w:sz w:val="14"/>
          <w:szCs w:val="14"/>
          <w:color w:val="C3002F"/>
        </w:rPr>
      </w:pPr>
    </w:p>
    <w:p>
      <w:pPr>
        <w:ind w:left="420" w:right="240" w:hanging="216"/>
        <w:spacing w:after="0" w:line="279"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i w:val="1"/>
          <w:iCs w:val="1"/>
          <w:color w:val="auto"/>
        </w:rPr>
        <w:t>Increase in Eligible Investors</w:t>
      </w:r>
      <w:r>
        <w:rPr>
          <w:rFonts w:ascii="Arial" w:cs="Arial" w:eastAsia="Arial" w:hAnsi="Arial"/>
          <w:sz w:val="14"/>
          <w:szCs w:val="14"/>
          <w:color w:val="auto"/>
        </w:rPr>
        <w:t>. The reverse stock split could allow a broader range of institutions to invest in our ordinary shares (namely, funds that are prohibited from</w:t>
      </w:r>
      <w:r>
        <w:rPr>
          <w:rFonts w:ascii="Arial" w:cs="Arial" w:eastAsia="Arial" w:hAnsi="Arial"/>
          <w:sz w:val="14"/>
          <w:szCs w:val="14"/>
          <w:i w:val="1"/>
          <w:iCs w:val="1"/>
          <w:color w:val="auto"/>
        </w:rPr>
        <w:t xml:space="preserve"> </w:t>
      </w:r>
      <w:r>
        <w:rPr>
          <w:rFonts w:ascii="Arial" w:cs="Arial" w:eastAsia="Arial" w:hAnsi="Arial"/>
          <w:sz w:val="14"/>
          <w:szCs w:val="14"/>
          <w:color w:val="auto"/>
        </w:rPr>
        <w:t>buying stocks with a price below a certain threshold), potentially increasing trading volume and liquidity of our ordinary shares.</w:t>
      </w:r>
    </w:p>
    <w:p>
      <w:pPr>
        <w:spacing w:after="0" w:line="165" w:lineRule="exact"/>
        <w:rPr>
          <w:rFonts w:ascii="Arial" w:cs="Arial" w:eastAsia="Arial" w:hAnsi="Arial"/>
          <w:sz w:val="14"/>
          <w:szCs w:val="14"/>
          <w:color w:val="C3002F"/>
        </w:rPr>
      </w:pPr>
    </w:p>
    <w:p>
      <w:pPr>
        <w:ind w:left="420" w:hanging="216"/>
        <w:spacing w:after="0" w:line="254"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i w:val="1"/>
          <w:iCs w:val="1"/>
          <w:color w:val="auto"/>
        </w:rPr>
        <w:t>Increased Analyst and Broker Interest</w:t>
      </w:r>
      <w:r>
        <w:rPr>
          <w:rFonts w:ascii="Arial" w:cs="Arial" w:eastAsia="Arial" w:hAnsi="Arial"/>
          <w:sz w:val="14"/>
          <w:szCs w:val="14"/>
          <w:color w:val="auto"/>
        </w:rPr>
        <w:t>. The reverse stock split could increase analyst and broker interest in our ordinary shares as their policies can discourage them from</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or recommending companies with low stock prices. Because of the trading volatility often associated with low-priced stocks, many brokerage houses and institutional investors have adopted internal policies and practices that either prohibit or discourage them from investing in such stocks or recommending them to their customers. Some of those policies and practices may also function to make the processing of trades in low-priced stocks economically unattractive to brokers.</w:t>
      </w:r>
    </w:p>
    <w:p>
      <w:pPr>
        <w:spacing w:after="0" w:line="182" w:lineRule="exact"/>
        <w:rPr>
          <w:rFonts w:ascii="Arial" w:cs="Arial" w:eastAsia="Arial" w:hAnsi="Arial"/>
          <w:sz w:val="14"/>
          <w:szCs w:val="14"/>
          <w:color w:val="C3002F"/>
        </w:rPr>
      </w:pPr>
    </w:p>
    <w:p>
      <w:pPr>
        <w:ind w:left="420" w:right="240" w:hanging="216"/>
        <w:spacing w:after="0" w:line="260" w:lineRule="auto"/>
        <w:tabs>
          <w:tab w:leader="none" w:pos="420" w:val="left"/>
        </w:tabs>
        <w:numPr>
          <w:ilvl w:val="0"/>
          <w:numId w:val="77"/>
        </w:numPr>
        <w:rPr>
          <w:rFonts w:ascii="Arial" w:cs="Arial" w:eastAsia="Arial" w:hAnsi="Arial"/>
          <w:sz w:val="14"/>
          <w:szCs w:val="14"/>
          <w:color w:val="C3002F"/>
        </w:rPr>
      </w:pPr>
      <w:r>
        <w:rPr>
          <w:rFonts w:ascii="Arial" w:cs="Arial" w:eastAsia="Arial" w:hAnsi="Arial"/>
          <w:sz w:val="14"/>
          <w:szCs w:val="14"/>
          <w:i w:val="1"/>
          <w:iCs w:val="1"/>
          <w:color w:val="auto"/>
        </w:rPr>
        <w:t>Decreased Transaction Costs for Shareholders</w:t>
      </w:r>
      <w:r>
        <w:rPr>
          <w:rFonts w:ascii="Arial" w:cs="Arial" w:eastAsia="Arial" w:hAnsi="Arial"/>
          <w:sz w:val="14"/>
          <w:szCs w:val="14"/>
          <w:color w:val="auto"/>
        </w:rPr>
        <w:t>. Brokers’ commissions on transactions in low-priced stocks generally represent a higher percentage of the stock price</w:t>
      </w:r>
      <w:r>
        <w:rPr>
          <w:rFonts w:ascii="Arial" w:cs="Arial" w:eastAsia="Arial" w:hAnsi="Arial"/>
          <w:sz w:val="14"/>
          <w:szCs w:val="14"/>
          <w:i w:val="1"/>
          <w:iCs w:val="1"/>
          <w:color w:val="auto"/>
        </w:rPr>
        <w:t xml:space="preserve"> </w:t>
      </w:r>
      <w:r>
        <w:rPr>
          <w:rFonts w:ascii="Arial" w:cs="Arial" w:eastAsia="Arial" w:hAnsi="Arial"/>
          <w:sz w:val="14"/>
          <w:szCs w:val="14"/>
          <w:color w:val="auto"/>
        </w:rPr>
        <w:t>than commissions on higher-priced stocks, and because of this, the current average price per share of our ordinary shares can result in individual shareholders paying transaction costs representing a higher percentage of their total share value than would be the case if the share price were substantially higher.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Risk Factors Associated with the Reverse Stock Split</w:t>
      </w:r>
    </w:p>
    <w:p>
      <w:pPr>
        <w:spacing w:after="0" w:line="195"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auto"/>
        </w:rPr>
        <w:t>We cannot assure you that the reverse stock split, if implemented, will have the desired effect of raising the price of our ordinary shares over the long term. The history of similar reverse stock split consolidations for companies in like circumstances is varied. There is no assurance that:</w:t>
      </w:r>
    </w:p>
    <w:p>
      <w:pPr>
        <w:spacing w:after="0" w:line="194" w:lineRule="exact"/>
        <w:rPr>
          <w:sz w:val="20"/>
          <w:szCs w:val="20"/>
          <w:color w:val="auto"/>
        </w:rPr>
      </w:pPr>
    </w:p>
    <w:p>
      <w:pPr>
        <w:ind w:left="420" w:right="120" w:hanging="216"/>
        <w:spacing w:after="0" w:line="258" w:lineRule="auto"/>
        <w:tabs>
          <w:tab w:leader="none" w:pos="4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per share market price of our ordinary shares after the reverse stock split would either exceed or remain in excess of the $1.00 minimum price for a sustained period of time, as required by the NYSE;</w:t>
      </w:r>
    </w:p>
    <w:p>
      <w:pPr>
        <w:spacing w:after="0" w:line="194" w:lineRule="exact"/>
        <w:rPr>
          <w:rFonts w:ascii="Arial" w:cs="Arial" w:eastAsia="Arial" w:hAnsi="Arial"/>
          <w:sz w:val="14"/>
          <w:szCs w:val="14"/>
          <w:color w:val="C3002F"/>
        </w:rPr>
      </w:pPr>
    </w:p>
    <w:p>
      <w:pPr>
        <w:ind w:left="420" w:right="220" w:hanging="216"/>
        <w:spacing w:after="0" w:line="258" w:lineRule="auto"/>
        <w:tabs>
          <w:tab w:leader="none" w:pos="4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trading price per share of our ordinary shares after the reverse stock split would rise in proportion to the reduction in the number of our ordinary shares outstanding before the reverse stock split;</w:t>
      </w:r>
    </w:p>
    <w:p>
      <w:pPr>
        <w:spacing w:after="0" w:line="194" w:lineRule="exact"/>
        <w:rPr>
          <w:rFonts w:ascii="Arial" w:cs="Arial" w:eastAsia="Arial" w:hAnsi="Arial"/>
          <w:sz w:val="14"/>
          <w:szCs w:val="14"/>
          <w:color w:val="C3002F"/>
        </w:rPr>
      </w:pPr>
    </w:p>
    <w:p>
      <w:pPr>
        <w:ind w:left="420" w:right="120" w:hanging="216"/>
        <w:spacing w:after="0" w:line="258" w:lineRule="auto"/>
        <w:tabs>
          <w:tab w:leader="none" w:pos="4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reverse stock split would result in a per share price that would increase the level of investment by institutional investors or increase analyst and broker interest in our company; or</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reverse stock price will result in decreased transaction costs for our shareholders.</w:t>
      </w:r>
    </w:p>
    <w:p>
      <w:pPr>
        <w:spacing w:after="0" w:line="177" w:lineRule="exact"/>
        <w:rPr>
          <w:sz w:val="20"/>
          <w:szCs w:val="20"/>
          <w:color w:val="auto"/>
        </w:rPr>
      </w:pPr>
    </w:p>
    <w:p>
      <w:pPr>
        <w:ind w:left="200" w:right="120"/>
        <w:spacing w:after="0" w:line="258" w:lineRule="auto"/>
        <w:rPr>
          <w:sz w:val="20"/>
          <w:szCs w:val="20"/>
          <w:color w:val="auto"/>
        </w:rPr>
      </w:pPr>
      <w:r>
        <w:rPr>
          <w:rFonts w:ascii="Arial" w:cs="Arial" w:eastAsia="Arial" w:hAnsi="Arial"/>
          <w:sz w:val="14"/>
          <w:szCs w:val="14"/>
          <w:color w:val="auto"/>
        </w:rPr>
        <w:t>In addition, there can be no assurance that our ordinary shares will not be delisted due to a failure to meet other continued listing requirements even if the per share market price of our ordinary shares after the reverse stock split remains in excess of $1.00.</w:t>
      </w:r>
    </w:p>
    <w:p>
      <w:pPr>
        <w:spacing w:after="0" w:line="167"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The market price of our ordinary shares will also be based on our performance and other factors, some of which are unrelated to the number of shares outstanding. If the reverse stock split is consummated and the trading price of our ordinary shares declines, the percentage decline as an absolute number and as a percentage of our overall market capitalization may be greater than would occur in the absence of the reverse stock split. Furthermore, the liquidity of our ordinary shares could be adversely affected by the reduced number of shares that would be outstanding after the reverse stock split.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Principal Effects of the Reverse Stock Split</w:t>
      </w:r>
    </w:p>
    <w:p>
      <w:pPr>
        <w:spacing w:after="0" w:line="195" w:lineRule="exact"/>
        <w:rPr>
          <w:sz w:val="20"/>
          <w:szCs w:val="20"/>
          <w:color w:val="auto"/>
        </w:rPr>
      </w:pPr>
    </w:p>
    <w:p>
      <w:pPr>
        <w:ind w:left="200" w:right="640"/>
        <w:spacing w:after="0" w:line="258" w:lineRule="auto"/>
        <w:rPr>
          <w:sz w:val="20"/>
          <w:szCs w:val="20"/>
          <w:color w:val="auto"/>
        </w:rPr>
      </w:pPr>
      <w:r>
        <w:rPr>
          <w:rFonts w:ascii="Arial" w:cs="Arial" w:eastAsia="Arial" w:hAnsi="Arial"/>
          <w:sz w:val="14"/>
          <w:szCs w:val="14"/>
          <w:color w:val="auto"/>
        </w:rPr>
        <w:t>Immediately following the reverse stock split, each shareholder would own a reduced number of ordinary shares. However, the reverse stock split would affect all shareholders uniformly and would not affect any shareholder’s percentage ownership interest in Weatherford (except to the extent that the reverse stock split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60" w:hanging="356"/>
        <w:spacing w:after="0"/>
        <w:tabs>
          <w:tab w:leader="none" w:pos="560" w:val="left"/>
        </w:tabs>
        <w:numPr>
          <w:ilvl w:val="0"/>
          <w:numId w:val="7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4</w:t>
      </w:r>
    </w:p>
    <w:p>
      <w:pPr>
        <w:spacing w:after="0" w:line="168"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result in some of our shareholders owning a fractional share as described below). Proportionate voting rights and other rights and preferences of the holders of ordinary shares would not be affected by the reverse stock split (except to the extent that the reverse stock split would result in some of our shareholders owning a fractional share as described below). For example, a holder of 2% of the voting power of the outstanding ordinary shares immediately prior to the reverse stock split would continue to hold approximately 2% of the voting power of the outstanding ordinary shares immediately after the reverse stock split. The number of shareholders of record also would not be affected by the reverse stock split (except to the extent that the reverse stock split would result in some of our shareholders owning only a fractional share as described below).</w:t>
      </w:r>
    </w:p>
    <w:p>
      <w:pPr>
        <w:spacing w:after="0" w:line="326"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following table contains approximate information relating to our ordinary shares under the 1-for-20 ratio (whereby every 20 ordinary shares of $0.001 each be consolidated into 1 ordinary share of $0.001 each in the capital of the Company and without giving effect to the treatment of fractional shares), based on share information as of close of business on April 15, 2019 and does not reflect the additional shares being requested for addition to the 2010 Omnibus Incentive Plan, as amended and restated (see Agenda Item 8) or the Employee Stock Purchase Plan (see Agenda Item 9):</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Ordinary Shares</w:t>
            </w:r>
          </w:p>
        </w:tc>
        <w:tc>
          <w:tcPr>
            <w:tcW w:w="3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 to Consolidation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Consolidation</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Authorized</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1,356,000,000</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67,800,000</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Outstanding</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1,003,334,214</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50,166,710</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our Equity Incentive Award Plans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14,201,876</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710,093</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outstanding restricted share units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15,377,302</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768,865</w:t>
            </w:r>
          </w:p>
        </w:tc>
      </w:tr>
      <w:tr>
        <w:trPr>
          <w:trHeight w:val="156"/>
        </w:trPr>
        <w:tc>
          <w:tcPr>
            <w:tcW w:w="61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Reserved for future issuance pursuant to outstanding warrants</w:t>
            </w:r>
          </w:p>
        </w:tc>
        <w:tc>
          <w:tcPr>
            <w:tcW w:w="3180" w:type="dxa"/>
            <w:vAlign w:val="bottom"/>
            <w:tcBorders>
              <w:bottom w:val="single" w:sz="8" w:color="666666"/>
            </w:tcBorders>
          </w:tcPr>
          <w:p>
            <w:pPr>
              <w:jc w:val="right"/>
              <w:ind w:right="268"/>
              <w:spacing w:after="0" w:line="155" w:lineRule="exact"/>
              <w:rPr>
                <w:sz w:val="20"/>
                <w:szCs w:val="20"/>
                <w:color w:val="auto"/>
              </w:rPr>
            </w:pPr>
            <w:r>
              <w:rPr>
                <w:rFonts w:ascii="Arial" w:cs="Arial" w:eastAsia="Arial" w:hAnsi="Arial"/>
                <w:sz w:val="14"/>
                <w:szCs w:val="14"/>
                <w:color w:val="auto"/>
              </w:rPr>
              <w:t>84,500,000</w:t>
            </w:r>
          </w:p>
        </w:tc>
        <w:tc>
          <w:tcPr>
            <w:tcW w:w="17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4,225,000</w:t>
            </w:r>
          </w:p>
        </w:tc>
      </w:tr>
      <w:tr>
        <w:trPr>
          <w:trHeight w:val="156"/>
        </w:trPr>
        <w:tc>
          <w:tcPr>
            <w:tcW w:w="6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Reserved for future issuance pursuant to exchangeable notes</w:t>
            </w:r>
          </w:p>
        </w:tc>
        <w:tc>
          <w:tcPr>
            <w:tcW w:w="31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163,394,484</w:t>
            </w: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8,169,724</w:t>
            </w:r>
          </w:p>
        </w:tc>
      </w:tr>
    </w:tbl>
    <w:p>
      <w:pPr>
        <w:spacing w:after="0" w:line="180" w:lineRule="exact"/>
        <w:rPr>
          <w:sz w:val="20"/>
          <w:szCs w:val="20"/>
          <w:color w:val="auto"/>
        </w:rPr>
      </w:pPr>
    </w:p>
    <w:p>
      <w:pPr>
        <w:ind w:left="200" w:right="600"/>
        <w:spacing w:after="0" w:line="258" w:lineRule="auto"/>
        <w:rPr>
          <w:sz w:val="20"/>
          <w:szCs w:val="20"/>
          <w:color w:val="auto"/>
        </w:rPr>
      </w:pPr>
      <w:r>
        <w:rPr>
          <w:rFonts w:ascii="Arial" w:cs="Arial" w:eastAsia="Arial" w:hAnsi="Arial"/>
          <w:sz w:val="14"/>
          <w:szCs w:val="14"/>
          <w:color w:val="auto"/>
        </w:rPr>
        <w:t>If the proposed reverse stock split is implemented, it would increase the number of our shareholders who own “odd lots” of less than 100 ordinary shares. Brokerage commission and other costs of transactions in odd lots are generally higher than the costs of transactions of more than 100 ordinary shares.</w:t>
      </w:r>
    </w:p>
    <w:p>
      <w:pPr>
        <w:spacing w:after="0" w:line="167" w:lineRule="exact"/>
        <w:rPr>
          <w:sz w:val="20"/>
          <w:szCs w:val="20"/>
          <w:color w:val="auto"/>
        </w:rPr>
      </w:pPr>
    </w:p>
    <w:p>
      <w:pPr>
        <w:ind w:left="200" w:right="100"/>
        <w:spacing w:after="0" w:line="250" w:lineRule="auto"/>
        <w:rPr>
          <w:sz w:val="20"/>
          <w:szCs w:val="20"/>
          <w:color w:val="auto"/>
        </w:rPr>
      </w:pPr>
      <w:r>
        <w:rPr>
          <w:rFonts w:ascii="Arial" w:cs="Arial" w:eastAsia="Arial" w:hAnsi="Arial"/>
          <w:sz w:val="14"/>
          <w:szCs w:val="14"/>
          <w:color w:val="auto"/>
        </w:rPr>
        <w:t>Our ordinary shares are currently registered under Section 12(b) of the Securities Exchange Act of 1934, as amended (the “Exchange Act”), and we are subject to the periodic reporting and other requirements of the Exchange Act. The reverse stock split would not affect the registration of our ordinary shares under the Exchange Act. If the reverse stock split is implemented, our ordinary shares would continue to be reported on the NYSE under the symbol “WFT”.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Effective Time</w:t>
      </w:r>
    </w:p>
    <w:p>
      <w:pPr>
        <w:spacing w:after="0" w:line="195"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If our shareholders vote in favor of the reverse stock split, the effective time of the reverse stock split will be immediately following the close of business of the NYSE on June 25, 2019 (the date of the Annual General Meeting) or such later date to which the Annual General Meeting may be adjourned (the “Effective Time”).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Treatment of Fractional Shares</w:t>
      </w:r>
    </w:p>
    <w:p>
      <w:pPr>
        <w:spacing w:after="0" w:line="195"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 xml:space="preserve">No scrip or fractional shares would be issued if, as a result of the reverse stock split, a shareholder would otherwise become entitled to a fractional share. Instead, we would consolidate the fractional entitlements that arise from the reverse stock split into new ordinary shares, which will then be sold into the market. The cash proceeds of such sale would then be distributed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the affected shareholders. No transaction costs would be assessed to shareholders for the cash payment. Shareholders would not be entitled to receive interest for their fractional shares. To the extent that all such fractional entitlements cannot be consolidated into new ordinary shares, any remaining fractional entitlements shall be cancelled.</w:t>
      </w:r>
    </w:p>
    <w:p>
      <w:pPr>
        <w:spacing w:after="0" w:line="178" w:lineRule="exact"/>
        <w:rPr>
          <w:sz w:val="20"/>
          <w:szCs w:val="20"/>
          <w:color w:val="auto"/>
        </w:rPr>
      </w:pPr>
    </w:p>
    <w:p>
      <w:pPr>
        <w:jc w:val="both"/>
        <w:ind w:left="200" w:right="400"/>
        <w:spacing w:after="0" w:line="250" w:lineRule="auto"/>
        <w:rPr>
          <w:sz w:val="20"/>
          <w:szCs w:val="20"/>
          <w:color w:val="auto"/>
        </w:rPr>
      </w:pPr>
      <w:r>
        <w:rPr>
          <w:rFonts w:ascii="Arial" w:cs="Arial" w:eastAsia="Arial" w:hAnsi="Arial"/>
          <w:sz w:val="14"/>
          <w:szCs w:val="14"/>
          <w:color w:val="auto"/>
        </w:rPr>
        <w:t>If pre-reverse stock split, you do not hold sufficient ordinary shares to receive at least one ordinary share after the reverse stock split, and you want to hold our ordinary shares after the reverse stock split, you may do so by taking either of the following actions far enough in advance so that it is completed before the reverse stock split is effected:</w:t>
      </w:r>
    </w:p>
    <w:p>
      <w:pPr>
        <w:spacing w:after="0" w:line="199" w:lineRule="exact"/>
        <w:rPr>
          <w:sz w:val="20"/>
          <w:szCs w:val="20"/>
          <w:color w:val="auto"/>
        </w:rPr>
      </w:pPr>
    </w:p>
    <w:p>
      <w:pPr>
        <w:ind w:left="420" w:right="400" w:hanging="216"/>
        <w:spacing w:after="0" w:line="258" w:lineRule="auto"/>
        <w:tabs>
          <w:tab w:leader="none" w:pos="4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purchase a sufficient number of our ordinary shares so that you would hold at least that number of ordinary shares in your account prior to the implementation of the reverse stock split that would entitle you to receive at least one ordinary share on a post-reverse stock split basis; or</w:t>
      </w:r>
    </w:p>
    <w:p>
      <w:pPr>
        <w:spacing w:after="0" w:line="194" w:lineRule="exact"/>
        <w:rPr>
          <w:rFonts w:ascii="Arial" w:cs="Arial" w:eastAsia="Arial" w:hAnsi="Arial"/>
          <w:sz w:val="14"/>
          <w:szCs w:val="14"/>
          <w:color w:val="C3002F"/>
        </w:rPr>
      </w:pPr>
    </w:p>
    <w:p>
      <w:pPr>
        <w:ind w:left="420" w:right="60" w:hanging="216"/>
        <w:spacing w:after="0" w:line="245" w:lineRule="auto"/>
        <w:tabs>
          <w:tab w:leader="none" w:pos="4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if applicable, consolidate your accounts so that you hold at least that number of our ordinary shares in one account prior to the reverse stock split that would entitle you to at least one ordinary share on a post-reverse stock split basis. Ordinary shares held in registered form (that is, shares held by you in your own name on our company’s share register maintained by our transfer agent) and ordinary shares held in “street name” (that is, shares held by you through a bank, broker or other nominee) for the same investor would be considered held in separate accounts and would not be aggregated when implementing the reverse stock split. Also, ordinary shares held in registered form but in separate accounts by the same investor would not be aggregated when implementing the reverse stock split.</w:t>
      </w:r>
    </w:p>
    <w:p>
      <w:pPr>
        <w:spacing w:after="0" w:line="164" w:lineRule="exact"/>
        <w:rPr>
          <w:sz w:val="20"/>
          <w:szCs w:val="20"/>
          <w:color w:val="auto"/>
        </w:rPr>
      </w:pPr>
    </w:p>
    <w:p>
      <w:pPr>
        <w:ind w:left="200" w:right="140"/>
        <w:spacing w:after="0" w:line="247" w:lineRule="auto"/>
        <w:rPr>
          <w:sz w:val="20"/>
          <w:szCs w:val="20"/>
          <w:color w:val="auto"/>
        </w:rPr>
      </w:pPr>
      <w:r>
        <w:rPr>
          <w:rFonts w:ascii="Arial" w:cs="Arial" w:eastAsia="Arial" w:hAnsi="Arial"/>
          <w:sz w:val="14"/>
          <w:szCs w:val="14"/>
          <w:color w:val="auto"/>
        </w:rPr>
        <w:t>After the reverse stock split, then-current shareholders would have no further interest in our company with respect to their fractional shares. A person otherwise entitled to a fractional share would not have any voting, dividend or other rights in respect of his or her fractional share except to receive the cash payment as described above. Such cash payments would reduce the number of post-reverse stock split shareholders to the extent that there are shareholders holding fewer than that number of pre-reverse stock split shares within the 1-for-20 ratio described above. Reducing the number of post-reverse stock split shareholders, however, is not the purpose of this proposal.</w:t>
      </w:r>
    </w:p>
    <w:p>
      <w:pPr>
        <w:spacing w:after="0" w:line="161"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Shareholders should be aware that, under the escheat laws of the various jurisdictions where shareholders reside, where we are domiciled and where the funds for fractional shares would be deposited, sums due to shareholders in payment for fractional shares that are not timely claimed after the Effective Time may be required to be paid to the designated agent for each such jurisdiction. Thereafter, shareholders otherwise entitled to receive such funds may have to seek to obtain them directly from the designated agent for each such jurisdiction to which they were paid.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Effect on Non-Registered Shareholders</w:t>
      </w:r>
    </w:p>
    <w:p>
      <w:pPr>
        <w:spacing w:after="0" w:line="208"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Non-registered shareholders holding our ordinary shares through a bank, broker or other nominee should note that such banks, brokers or other nominees may have different procedures for processing the consolidation than those that would be put in place by us for registered shareholders, and their procedures may result, for example, in differences in the precise cash amounts being paid by such nominees in lieu of a fractional share. If you hold your shares with such a bank, broker or other nominee and if you have questions in this regard, you are encouraged to contact your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41</w:t>
      </w:r>
    </w:p>
    <w:p>
      <w:pPr>
        <w:sectPr>
          <w:pgSz w:w="11900" w:h="16838" w:orient="portrait"/>
          <w:cols w:equalWidth="0" w:num="1">
            <w:col w:w="11240"/>
          </w:cols>
          <w:pgMar w:left="240" w:top="459" w:right="4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4</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Book-Entry Shares and Payment for Fractional Shares</w:t>
      </w:r>
    </w:p>
    <w:p>
      <w:pPr>
        <w:spacing w:after="0" w:line="195" w:lineRule="exact"/>
        <w:rPr>
          <w:sz w:val="20"/>
          <w:szCs w:val="20"/>
          <w:color w:val="auto"/>
        </w:rPr>
      </w:pPr>
    </w:p>
    <w:p>
      <w:pPr>
        <w:ind w:left="200" w:right="100"/>
        <w:spacing w:after="0" w:line="247" w:lineRule="auto"/>
        <w:rPr>
          <w:sz w:val="20"/>
          <w:szCs w:val="20"/>
          <w:color w:val="auto"/>
        </w:rPr>
      </w:pPr>
      <w:r>
        <w:rPr>
          <w:rFonts w:ascii="Arial" w:cs="Arial" w:eastAsia="Arial" w:hAnsi="Arial"/>
          <w:sz w:val="14"/>
          <w:szCs w:val="14"/>
          <w:color w:val="auto"/>
        </w:rPr>
        <w:t>If our shareholders vote in favor of the reverse stock split, immediately following the reverse stock split, the reduction in the number of our authorized but un-issued and authorized and issued ordinary shares will occur without any further action on the part of our shareholders. Our registered shareholders may hold some or all of their shares electronically in book-entry form. These shareholders will not have stock certificates evidencing their ownership of ordinary shares. They are, however, provided with a statement reflecting the number of ordinary shares registered in their accounts.</w:t>
      </w:r>
    </w:p>
    <w:p>
      <w:pPr>
        <w:spacing w:after="0" w:line="161"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Shareholders who hold registered ordinary shares in book-entry form do not need to take any action to receive post-reverse stock split ordinary shares in registered book-entry form or the cash payment in lieu of any fractional interest, if applicable. These shareholders will have their pre-reverse stock split shares consolidated automatically and a Credit Advise will be mailed to them upon consolidation indicating the number of post-reverse stock split shares owned by such shareholders. A check will also be mailed to such shareholders’ registered address as soon as practicable after the reverse stock split. By signing and cashing this check, such shareholders will warrant that they owned the ordinary shares for which they received the cash payment.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Exchange of Stock Certificates and Payment for Fractional Shares</w:t>
      </w:r>
    </w:p>
    <w:p>
      <w:pPr>
        <w:spacing w:after="0" w:line="208" w:lineRule="exact"/>
        <w:rPr>
          <w:sz w:val="20"/>
          <w:szCs w:val="20"/>
          <w:color w:val="auto"/>
        </w:rPr>
      </w:pPr>
    </w:p>
    <w:p>
      <w:pPr>
        <w:ind w:left="200" w:right="120"/>
        <w:spacing w:after="0" w:line="250" w:lineRule="auto"/>
        <w:rPr>
          <w:sz w:val="20"/>
          <w:szCs w:val="20"/>
          <w:color w:val="auto"/>
        </w:rPr>
      </w:pPr>
      <w:r>
        <w:rPr>
          <w:rFonts w:ascii="Arial" w:cs="Arial" w:eastAsia="Arial" w:hAnsi="Arial"/>
          <w:sz w:val="14"/>
          <w:szCs w:val="14"/>
          <w:color w:val="auto"/>
        </w:rPr>
        <w:t>If our shareholders vote in favor of the reverse stock split, immediately following the reverse stock split, the reduction in the number of our authorized but un-issued and authorized and issued ordinary shares will occur without any further action on the part of our shareholders and without regard to the date that stock certificates representing pre-reverse stock split ordinary shares are physically surrendered for new stock certificates representing post-reverse stock split ordinary shares.</w:t>
      </w:r>
    </w:p>
    <w:p>
      <w:pPr>
        <w:spacing w:after="0" w:line="159" w:lineRule="exact"/>
        <w:rPr>
          <w:sz w:val="20"/>
          <w:szCs w:val="20"/>
          <w:color w:val="auto"/>
        </w:rPr>
      </w:pPr>
    </w:p>
    <w:p>
      <w:pPr>
        <w:ind w:left="200" w:right="60"/>
        <w:spacing w:after="0" w:line="243" w:lineRule="auto"/>
        <w:rPr>
          <w:sz w:val="20"/>
          <w:szCs w:val="20"/>
          <w:color w:val="auto"/>
        </w:rPr>
      </w:pPr>
      <w:r>
        <w:rPr>
          <w:rFonts w:ascii="Arial" w:cs="Arial" w:eastAsia="Arial" w:hAnsi="Arial"/>
          <w:sz w:val="14"/>
          <w:szCs w:val="14"/>
          <w:color w:val="auto"/>
        </w:rPr>
        <w:t>As soon as practicable after the Effective Time, transmittal forms will be mailed to each holder of record of certificates for our ordinary shares to be used in forwarding such certificates for surrender in exchange for any cash payment due for fractional shares and, if so elected by the holder, certificates representing the number of shares of our post-reverse stock split ordinary shares such shareholder is entitled to receive as a result of the reverse stock split. Our transfer agent will act as exchange agent for purposes of implementing the payment in lieu of fractional shares and exchange of stock certificates. The transmittal forms will be accompanied by instructions specifying other details of the exchange. Upon receipt of the transmittal form, each shareholder should surrender the certificates representing ordinary shares prior to the reverse stock split in accordance with the applicable instructions. Each shareholder who surrenders certificates will receive any cash payment due for fractional shares and, upon payment of the applicable fee, new certificates representing the whole number of ordinary shares that he or she holds as a result of the reverse stock split. No new certificates and no payments in lieu of fractional shares will be issued to a shareholder until the shareholder has surrendered its outstanding stock certificate(s) together with the properly completed and executed transmittal form to the exchange agent.</w:t>
      </w:r>
    </w:p>
    <w:p>
      <w:pPr>
        <w:spacing w:after="0" w:line="180"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color w:val="auto"/>
        </w:rPr>
        <w:t>SHAREHOLDERS SHOULD NOT DESTROY ANY PRE-REVERSE STOCK SPLIT STOCK CERTIFICATES AND SHOULD NOT SUBMIT ANY STOCK CERTIFICATES UNTIL THEY ARE REQUESTED TO DO SO.</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Accounting Consequences</w:t>
      </w:r>
    </w:p>
    <w:p>
      <w:pPr>
        <w:spacing w:after="0" w:line="195"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par value per share of our ordinary shares will be consolidated from $0.001 to $0.02 and subsequently right sized to $0.001. Subject to non-material adjustments to cater for the cancellation of remaining fractional entitlements, the consolidation will not affect the total ordinary shareholders’ equity on the balance sheet, although it will result in the share capital attributable to ordinary shares decreasing and the undenominated capital increasing. The per share ordinary share net loss and net book value would be increased because there would be fewer ordinary shares outstanding. We do not anticipate that any other accounting consequences would arise as a result of the consolidation.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 Appraisal Rights</w:t>
      </w:r>
    </w:p>
    <w:p>
      <w:pPr>
        <w:spacing w:after="0" w:line="195" w:lineRule="exact"/>
        <w:rPr>
          <w:sz w:val="20"/>
          <w:szCs w:val="20"/>
          <w:color w:val="auto"/>
        </w:rPr>
      </w:pPr>
    </w:p>
    <w:p>
      <w:pPr>
        <w:ind w:left="200" w:right="320"/>
        <w:spacing w:after="0" w:line="258" w:lineRule="auto"/>
        <w:rPr>
          <w:sz w:val="20"/>
          <w:szCs w:val="20"/>
          <w:color w:val="auto"/>
        </w:rPr>
      </w:pPr>
      <w:r>
        <w:rPr>
          <w:rFonts w:ascii="Arial" w:cs="Arial" w:eastAsia="Arial" w:hAnsi="Arial"/>
          <w:sz w:val="14"/>
          <w:szCs w:val="14"/>
          <w:color w:val="auto"/>
        </w:rPr>
        <w:t>Under Irish law, shareholders are not entitled to dissenters’ rights with respect to the reverse stock split, and we will not independently provide our shareholders with any such right.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 Going Private Transaction</w:t>
      </w:r>
    </w:p>
    <w:p>
      <w:pPr>
        <w:spacing w:after="0" w:line="208" w:lineRule="exact"/>
        <w:rPr>
          <w:sz w:val="20"/>
          <w:szCs w:val="20"/>
          <w:color w:val="auto"/>
        </w:rPr>
      </w:pPr>
    </w:p>
    <w:p>
      <w:pPr>
        <w:ind w:left="200" w:right="120"/>
        <w:spacing w:after="0" w:line="258" w:lineRule="auto"/>
        <w:rPr>
          <w:sz w:val="20"/>
          <w:szCs w:val="20"/>
          <w:color w:val="auto"/>
        </w:rPr>
      </w:pPr>
      <w:r>
        <w:rPr>
          <w:rFonts w:ascii="Arial" w:cs="Arial" w:eastAsia="Arial" w:hAnsi="Arial"/>
          <w:sz w:val="14"/>
          <w:szCs w:val="14"/>
          <w:color w:val="auto"/>
        </w:rPr>
        <w:t>Notwithstanding the decrease in the number of issued ordinary shares following the reverse stock split, the Board does not intend for this transaction to be the first step in a series of plans or proposals of a “going private transaction” within the meaning of Rule 13e-3 of the Exchange Act.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Interests of Certain Persons in the Proposal</w:t>
      </w:r>
    </w:p>
    <w:p>
      <w:pPr>
        <w:spacing w:after="0" w:line="195" w:lineRule="exact"/>
        <w:rPr>
          <w:sz w:val="20"/>
          <w:szCs w:val="20"/>
          <w:color w:val="auto"/>
        </w:rPr>
      </w:pPr>
    </w:p>
    <w:p>
      <w:pPr>
        <w:ind w:left="200" w:right="180"/>
        <w:spacing w:after="0" w:line="250" w:lineRule="auto"/>
        <w:rPr>
          <w:sz w:val="20"/>
          <w:szCs w:val="20"/>
          <w:color w:val="auto"/>
        </w:rPr>
      </w:pPr>
      <w:r>
        <w:rPr>
          <w:rFonts w:ascii="Arial" w:cs="Arial" w:eastAsia="Arial" w:hAnsi="Arial"/>
          <w:sz w:val="14"/>
          <w:szCs w:val="14"/>
          <w:color w:val="auto"/>
        </w:rPr>
        <w:t>Certain of our officers and directors have an interest in Agenda Item 4 as a result of their ownership of our ordinary shares, as set forth in the section entitled “Share Ownership” below. However, we do not believe that our officers or directors have interests in Agenda Item 4 that are different from or greater than those of any other of our shareholders.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 Federal Income Tax Consequences of the Reverse Stock Split to U.S. Holders</w:t>
      </w:r>
    </w:p>
    <w:p>
      <w:pPr>
        <w:spacing w:after="0" w:line="195" w:lineRule="exact"/>
        <w:rPr>
          <w:sz w:val="20"/>
          <w:szCs w:val="20"/>
          <w:color w:val="auto"/>
        </w:rPr>
      </w:pPr>
    </w:p>
    <w:p>
      <w:pPr>
        <w:ind w:left="200" w:right="200"/>
        <w:spacing w:after="0" w:line="244" w:lineRule="auto"/>
        <w:rPr>
          <w:sz w:val="20"/>
          <w:szCs w:val="20"/>
          <w:color w:val="auto"/>
        </w:rPr>
      </w:pPr>
      <w:r>
        <w:rPr>
          <w:rFonts w:ascii="Arial" w:cs="Arial" w:eastAsia="Arial" w:hAnsi="Arial"/>
          <w:sz w:val="14"/>
          <w:szCs w:val="14"/>
          <w:color w:val="auto"/>
        </w:rPr>
        <w:t>The following is a discussion of material U.S. federal income tax consequences related to the reverse stock split, but does not purport to be a complete analysis of all potential tax effects. This discussion is limited to consequences relevant to a U.S. holder (as defined below) and does not address the effects of any U.S. federal tax laws other than U.S. federal income tax laws (such as estate and gift tax laws) or any state, local or non-U.S.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United States Internal Revenue Service (the “IRS”) have been or will be sought with respect to the matters discussed below. There can be no assurance that the IRS will not take a different position concerning the tax consequences described below or that any such position would not be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60" w:hanging="356"/>
        <w:spacing w:after="0"/>
        <w:tabs>
          <w:tab w:leader="none" w:pos="560" w:val="left"/>
        </w:tabs>
        <w:numPr>
          <w:ilvl w:val="0"/>
          <w:numId w:val="8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4</w:t>
      </w:r>
    </w:p>
    <w:p>
      <w:pPr>
        <w:spacing w:after="0" w:line="168"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This discussion assumes that you hold our ordinary shares as “capital assets” within the meaning of Section 1221 of the Code (generally, property held for investment) and does not address all of the U.S. federal income tax consequences that may be relevant to a U.S. holder in light of such holder’s particular circumstances, including the impact of the unearned income Medicare contribution tax, or to holders subject to special rules, including without limitation:</w:t>
      </w:r>
    </w:p>
    <w:p>
      <w:pPr>
        <w:spacing w:after="0" w:line="199" w:lineRule="exact"/>
        <w:rPr>
          <w:sz w:val="20"/>
          <w:szCs w:val="20"/>
          <w:color w:val="auto"/>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U.S. expatriates and former citizens or long-term residents of the United States;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whose functional currency is not the United States dollar;</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liable for alternative minimum tax;</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that are resident in or have a permanent establishment in a jurisdiction outside the United States;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holding our ordinary shares as part of a “straddle,” “hedge,” “conversion transaction” or other integrated transaction;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deemed to sell our ordinary shares under the constructive sale provisions of the Code;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who own directly, indirectly or constructively 10% or more of our stock (by vote or value)</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who hold or received our ordinary shares pursuant to the exercise of any employee stock option or otherwise as compensation;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tax-qualified retirement plans;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banks, insurance companies and other financial institutions;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brokers, dealers and traders in securities or currencies;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regulated investment companies and real estate investment trusts;</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S corporations, partnerships and other entities or arrangements treated as partnerships for U.S. federal income tax purposes (and investors therein);</w:t>
      </w:r>
    </w:p>
    <w:p>
      <w:pPr>
        <w:spacing w:after="0" w:line="217" w:lineRule="exact"/>
        <w:rPr>
          <w:rFonts w:ascii="Arial" w:cs="Arial" w:eastAsia="Arial" w:hAnsi="Arial"/>
          <w:sz w:val="14"/>
          <w:szCs w:val="14"/>
          <w:color w:val="C3002F"/>
        </w:rPr>
      </w:pPr>
    </w:p>
    <w:p>
      <w:pPr>
        <w:ind w:left="420" w:hanging="216"/>
        <w:spacing w:after="0"/>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tax-exempt organizations and governmental organizations; and</w:t>
      </w:r>
    </w:p>
    <w:p>
      <w:pPr>
        <w:spacing w:after="0" w:line="217" w:lineRule="exact"/>
        <w:rPr>
          <w:rFonts w:ascii="Arial" w:cs="Arial" w:eastAsia="Arial" w:hAnsi="Arial"/>
          <w:sz w:val="14"/>
          <w:szCs w:val="14"/>
          <w:color w:val="C3002F"/>
        </w:rPr>
      </w:pPr>
    </w:p>
    <w:p>
      <w:pPr>
        <w:ind w:left="420" w:right="440" w:hanging="216"/>
        <w:spacing w:after="0" w:line="258" w:lineRule="auto"/>
        <w:tabs>
          <w:tab w:leader="none" w:pos="420" w:val="left"/>
        </w:tabs>
        <w:numPr>
          <w:ilvl w:val="0"/>
          <w:numId w:val="82"/>
        </w:numPr>
        <w:rPr>
          <w:rFonts w:ascii="Arial" w:cs="Arial" w:eastAsia="Arial" w:hAnsi="Arial"/>
          <w:sz w:val="14"/>
          <w:szCs w:val="14"/>
          <w:color w:val="C3002F"/>
        </w:rPr>
      </w:pPr>
      <w:r>
        <w:rPr>
          <w:rFonts w:ascii="Arial" w:cs="Arial" w:eastAsia="Arial" w:hAnsi="Arial"/>
          <w:sz w:val="14"/>
          <w:szCs w:val="14"/>
          <w:color w:val="auto"/>
        </w:rPr>
        <w:t>persons subject to special tax accounting rules as a result of any item of gross income with respect to our ordinary shares being taken into account in an applicable financial statement.</w:t>
      </w:r>
    </w:p>
    <w:p>
      <w:pPr>
        <w:spacing w:after="0" w:line="15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THIS DISCUSSION IS FOR INFORMATIONAL PURPOSES ONLY AND IS NOT TAX ADVICE. INVESTORS SHOULD CONSULT THEIR TAX ADVISORS WITH RESPECT TO THE APPLICATION OF THE U.S. FEDERAL INCOME TAX LAWS TO THEIR PARTICULAR SITUATIONS AS WELL AS ANY TAX CONSEQUENCES OF THE REVERSE STOCK SPLIT AND THE OWNERSHIP AND DISPOSITION OF OUR ORDINARY SHARES ARISING UNDER OTHER U.S. FEDERAL TAX LAWS (INCLUDING ESTATE AND GIFT TAX LAWS), UNDER THE LAWS OF ANY STATE, LOCAL OR NON-U.S. TAXING JURISDICTION OR UNDER ANY APPLICABLE TAX TREATY.</w:t>
      </w:r>
    </w:p>
    <w:p>
      <w:pPr>
        <w:spacing w:after="0" w:line="161" w:lineRule="exact"/>
        <w:rPr>
          <w:sz w:val="20"/>
          <w:szCs w:val="20"/>
          <w:color w:val="auto"/>
        </w:rPr>
      </w:pPr>
    </w:p>
    <w:p>
      <w:pPr>
        <w:jc w:val="both"/>
        <w:ind w:left="200" w:right="140"/>
        <w:spacing w:after="0" w:line="250" w:lineRule="auto"/>
        <w:rPr>
          <w:sz w:val="20"/>
          <w:szCs w:val="20"/>
          <w:color w:val="auto"/>
        </w:rPr>
      </w:pPr>
      <w:r>
        <w:rPr>
          <w:rFonts w:ascii="Arial" w:cs="Arial" w:eastAsia="Arial" w:hAnsi="Arial"/>
          <w:sz w:val="14"/>
          <w:szCs w:val="14"/>
          <w:color w:val="auto"/>
        </w:rPr>
        <w:t>If an entity or other arrangement treated as a partnership for U.S. federal income tax purposes holds our ordinary shares, the tax treatment of a partner in such partnership will depend on the status of the partner, the activities of the partnership and certain determinations made at the partner level. Accordingly, partnerships holding our ordinary shares and the partners in such partnerships should consult their tax advisors regarding the U.S. federal income tax consequences to them.</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Definition of a U.S. holder</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For purposes of this discussion, a U.S. holder is any beneficial owner of our ordinary shares that for U.S. federal income tax purposes is:</w:t>
      </w:r>
    </w:p>
    <w:p>
      <w:pPr>
        <w:spacing w:after="0" w:line="217" w:lineRule="exact"/>
        <w:rPr>
          <w:sz w:val="20"/>
          <w:szCs w:val="20"/>
          <w:color w:val="auto"/>
        </w:rPr>
      </w:pPr>
    </w:p>
    <w:p>
      <w:pPr>
        <w:ind w:left="420" w:hanging="216"/>
        <w:spacing w:after="0"/>
        <w:tabs>
          <w:tab w:leader="none" w:pos="42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an individual who is a citizen or resident of the United States;</w:t>
      </w:r>
    </w:p>
    <w:p>
      <w:pPr>
        <w:spacing w:after="0" w:line="217" w:lineRule="exact"/>
        <w:rPr>
          <w:rFonts w:ascii="Arial" w:cs="Arial" w:eastAsia="Arial" w:hAnsi="Arial"/>
          <w:sz w:val="14"/>
          <w:szCs w:val="14"/>
          <w:color w:val="C3002F"/>
        </w:rPr>
      </w:pPr>
    </w:p>
    <w:p>
      <w:pPr>
        <w:ind w:left="420" w:right="380" w:hanging="216"/>
        <w:spacing w:after="0" w:line="258" w:lineRule="auto"/>
        <w:tabs>
          <w:tab w:leader="none" w:pos="42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194" w:lineRule="exact"/>
        <w:rPr>
          <w:rFonts w:ascii="Arial" w:cs="Arial" w:eastAsia="Arial" w:hAnsi="Arial"/>
          <w:sz w:val="14"/>
          <w:szCs w:val="14"/>
          <w:color w:val="C3002F"/>
        </w:rPr>
      </w:pPr>
    </w:p>
    <w:p>
      <w:pPr>
        <w:ind w:left="420" w:hanging="216"/>
        <w:spacing w:after="0"/>
        <w:tabs>
          <w:tab w:leader="none" w:pos="42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an estate the income of which is subject to U.S. federal income taxation regardless of its source; and</w:t>
      </w:r>
    </w:p>
    <w:p>
      <w:pPr>
        <w:spacing w:after="0" w:line="217" w:lineRule="exact"/>
        <w:rPr>
          <w:rFonts w:ascii="Arial" w:cs="Arial" w:eastAsia="Arial" w:hAnsi="Arial"/>
          <w:sz w:val="14"/>
          <w:szCs w:val="14"/>
          <w:color w:val="C3002F"/>
        </w:rPr>
      </w:pPr>
    </w:p>
    <w:p>
      <w:pPr>
        <w:ind w:left="420" w:right="80" w:hanging="216"/>
        <w:spacing w:after="0" w:line="250" w:lineRule="auto"/>
        <w:tabs>
          <w:tab w:leader="none" w:pos="42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of the reverse stock split generally</w:t>
      </w:r>
    </w:p>
    <w:p>
      <w:pPr>
        <w:spacing w:after="0" w:line="191"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Except as provided below with respect to cash received in lieu of fractional shares, a U.S. holder generally will not recognize any gain or loss as a result of the reverse stock split. A U.S. holder’s aggregate tax basis in the ordinary shares received in the reverse stock split generally will equal such holder’s aggregate tax basis in our ordinary shares surrendered in the reverse stock split reduced by any amount allocable to a fractional post-split ordinary share for which cash is received. The holding period for the ordinary shares received in the reverse stock split generally will include the holding period for the ordinary shares surrendered in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4</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Cash received in lieu of fractional shares</w:t>
      </w:r>
    </w:p>
    <w:p>
      <w:pPr>
        <w:spacing w:after="0" w:line="191"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A U.S. holder that receives cash in lieu of fractional shares in the reverse stock split generally will be treated as having received such fractional shares and then as having immediately received such cash in redemption of such fractional shares. A U.S. holder generally will recognize gain or loss measured by the difference between the amount of cash received for the fractional shares and the portion of the U.S. holder’s basis of the pre-split ordinary shares allocable to such fractional shares. A U.S. holder’s tax basis in fractional shares generally will be determined by allocating the holder’s tax basis in its pre-split ordinary shares between the ordinary shares received in the reverse stock split and the fractional shares, in accordance with their respective fair market values. Such gain or loss generally will constitute capital gain or loss and will be long-term capital gain or loss if the U.S. holder’s holding period in our ordinary shares exchanged therefore was greater than one year as of the date of the exchange. The deductibility of capital losses is subject to limitations.</w:t>
      </w:r>
    </w:p>
    <w:p>
      <w:pPr>
        <w:spacing w:after="0" w:line="164"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To the extent a U.S. holder holds pre-split ordinary shares with different tax bases and holding periods, different allocation rules may apply from those described above. Such holders are urged to consult their tax advisors regarding how to allocate their tax basis between ordinary shares received in the reverse stock split and any fractional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Information Reporting and Backup Withholding</w:t>
      </w:r>
    </w:p>
    <w:p>
      <w:pPr>
        <w:spacing w:after="0" w:line="204"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Certain U.S. holders may be subject to information reporting and backup withholding of U.S. federal income tax with respect to any cash received in lieu of fractional shares.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Backup withholding is not an additional tax and any amounts withheld will be allowed as a refund or credit against the U.S. holder’s U.S. federal income tax liability, if any, provided that such U.S. holder timely furnishes the required information to the IRS.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Certain Swiss Tax Considerations</w:t>
      </w:r>
    </w:p>
    <w:p>
      <w:pPr>
        <w:spacing w:after="0" w:line="195" w:lineRule="exact"/>
        <w:rPr>
          <w:sz w:val="20"/>
          <w:szCs w:val="20"/>
          <w:color w:val="auto"/>
        </w:rPr>
      </w:pPr>
    </w:p>
    <w:p>
      <w:pPr>
        <w:ind w:left="200" w:right="60"/>
        <w:spacing w:after="0" w:line="253" w:lineRule="auto"/>
        <w:rPr>
          <w:sz w:val="20"/>
          <w:szCs w:val="20"/>
          <w:color w:val="auto"/>
        </w:rPr>
      </w:pPr>
      <w:r>
        <w:rPr>
          <w:rFonts w:ascii="Arial" w:cs="Arial" w:eastAsia="Arial" w:hAnsi="Arial"/>
          <w:sz w:val="14"/>
          <w:szCs w:val="14"/>
          <w:color w:val="auto"/>
        </w:rPr>
        <w:t>The following is a summary of certain Swiss tax consequences for non-Swiss holders of the proposed reverse stock split of Weatherford International plc shares. The summary does not purport to be a comprehensive description of all of the Swiss tax considerations that may be relevant to a decision to approve the proposed reverse stock split.</w:t>
      </w:r>
    </w:p>
    <w:p>
      <w:pPr>
        <w:spacing w:after="0" w:line="322"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investor in the shares should consult their own advisors as to the Swiss or other tax consequences of the proposed transaction.</w:t>
      </w:r>
    </w:p>
    <w:p>
      <w:pPr>
        <w:spacing w:after="0" w:line="172"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color w:val="auto"/>
        </w:rPr>
        <w:t>The Swiss tax consequences to Swiss holders (Swiss tax residents or non-Swiss holders with any other taxable presence in Switzerland) of Weatherford International plc shares are not covered in this summary. It is recommended that any Swiss holders consult their own advisors as to the Swiss or other tax consequences of the reverse stock split of the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of the reverse stock split generally</w:t>
      </w:r>
    </w:p>
    <w:p>
      <w:pPr>
        <w:spacing w:after="0" w:line="191"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par value per share of the ordinary shares will be consolidated from $0.001 to $0.02 and subsequently reduced again to $0.001. In case the difference between the consolidated par value of $0.02 and the right sized par value of $0.001 will be allocated to the qualifying capital contribution reserves (Kapitaleinlagereserven) according to the relevant Swiss tax laws (often called “qualifying additional paid-in capital”), the amount per share that can be distributed to the shareholders free of Swiss withholding taxes should not change upon the transaction. Furthermore, the re-booking should not trigger any Swiss withholding tax consequences. In case the respective amount would be allocated to any other reserves account, the amount that can be distributed free of Swiss withholding tax would be reduced accordingly.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Tax consequences in relation with the fractional shares</w:t>
      </w:r>
    </w:p>
    <w:p>
      <w:pPr>
        <w:spacing w:after="0" w:line="19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sale of the fractional shares by Weatherford International plc on behalf of the shareholders is expected to be subject to Swiss transfer stamp duty irrespective of the place of residency of the holder and the purchaser as Weatherford International plc qualifies as intermediary in the sense of the Swiss Federal Stamp Tax Act. The applicable transfer stamp duty rate should be 0.075% (assuming the shares are qualified as “Swiss issued” shares; if the shares would be qualified as “non-Swiss” issued shares the rate would be 0.15%) for each of the two parties to a transaction provided that no (partial) exemption applies and is calculated based on the sale proceeds.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EACH SHAREHOLDER SHOULD CONSULT HIS OR HER TAX ADVISOR AS TO THE PARTICULAR CONSEQUENCES THAT MAY APPLY TO SUCH SHAREHOLDER.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90"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“That:</w:t>
      </w:r>
    </w:p>
    <w:p>
      <w:pPr>
        <w:spacing w:after="0" w:line="203" w:lineRule="exact"/>
        <w:rPr>
          <w:sz w:val="20"/>
          <w:szCs w:val="20"/>
          <w:color w:val="auto"/>
        </w:rPr>
      </w:pPr>
    </w:p>
    <w:p>
      <w:pPr>
        <w:ind w:left="1520" w:right="40" w:hanging="330"/>
        <w:spacing w:after="0" w:line="249" w:lineRule="auto"/>
        <w:tabs>
          <w:tab w:leader="none" w:pos="152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every 20 authorized but un-issued ordinary shares of $0.001 each (nominal value) be consolidated with effect from immediately following the close of business of the New York Stock Exchange on June 25, 2019 or such later date to which the Company’s 2019 annual general meeting may be adjourned (the “Effective Time”) into 1 ordinary share of $0.02 (nominal value) in the capital of the Company, provided that, where such consolidation would otherwise result in a fraction of an un-issued consolidated ordinary share of $0.02 (nominal value), the number of existing ordinary shares of $0.001 each (nominal value) that would otherwise constitute such fraction be cancelled, with effect from the Effective Time, pursuant to section 83(1)(f)(ii) of the Companies Act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60" w:hanging="356"/>
        <w:spacing w:after="0"/>
        <w:tabs>
          <w:tab w:leader="none" w:pos="560" w:val="left"/>
        </w:tabs>
        <w:numPr>
          <w:ilvl w:val="0"/>
          <w:numId w:val="8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4</w:t>
      </w:r>
    </w:p>
    <w:p>
      <w:pPr>
        <w:spacing w:after="0" w:line="370" w:lineRule="exact"/>
        <w:rPr>
          <w:sz w:val="20"/>
          <w:szCs w:val="20"/>
          <w:color w:val="auto"/>
        </w:rPr>
      </w:pPr>
    </w:p>
    <w:p>
      <w:pPr>
        <w:ind w:left="1520" w:hanging="330"/>
        <w:spacing w:after="0" w:line="243" w:lineRule="auto"/>
        <w:tabs>
          <w:tab w:leader="none" w:pos="15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every 20 authorized and issued ordinary shares of $0.001 each (nominal value) be consolidated, with effect from the Effective Time, into 1 ordinary share of $0.02 (nominal value), provided that, (1) where such consolidation would otherwise result in a shareholder being entitled to a fraction of an ordinary share of $0.02 (nominal value), such fraction shall, so far as possible, be aggregated and consolidated with the fractions of a consolidated ordinary share of $0.02 (nominal value) to which other shareholders would otherwise be entitled into consolidated ordinary shares of $0.02 (nominal value) and the board of directors of the Company be authorized to sell (or appoint any other person to sell) to any person, on behalf of the relevant shareholders, all the consolidated ordinary shares representing such fractions at the best price reasonably obtainable, (2) the net proceeds of any such sale shall be distributed in due proportion to the shareholders who would have been entitled to the fractions, (3) any director of the Company (or any person appointed by the board of directors of the Company) be authorized to execute an instrument of transfer in respect of such shares on behalf of the relevant shareholders and to do all acts and things the directors consider necessary or desirable to effect the transfer of such shares to, or in accordance with the directions of, any buyer of any such share; and (4) each (if any) of the authorized and issued ordinary shares of $0.001 that cannot be consolidated into 1 ordinary share of $0.02 be, with effect from the Effective Time, immediately acquired by the Company from the shareholders otherwise entitled thereto for nominal or no consideration and such acquisition shall take effect as a redemption pursuant to regulation 3.4 of the articles of association of the Company. The existing ordinary shares so redeemed shall be cancelled and the issued share capital of the Company shall be reduced by the nominal value of the existing ordinary shares so redeemed and cancelled and any director of the Company (or any person appointed by the board of directors of the Company) be and is hereby authorized to execute an instrument of transfer in respect of such shares on behalf of the shareholders of the Company concerned and to do all acts and things that the directors consider necessary or desirable to effect the acquisition and cancellation of such shares; and</w:t>
      </w:r>
    </w:p>
    <w:p>
      <w:pPr>
        <w:spacing w:after="0" w:line="363" w:lineRule="exact"/>
        <w:rPr>
          <w:rFonts w:ascii="Arial" w:cs="Arial" w:eastAsia="Arial" w:hAnsi="Arial"/>
          <w:sz w:val="14"/>
          <w:szCs w:val="14"/>
          <w:i w:val="1"/>
          <w:iCs w:val="1"/>
          <w:color w:val="auto"/>
        </w:rPr>
      </w:pPr>
    </w:p>
    <w:p>
      <w:pPr>
        <w:ind w:left="1520" w:right="200" w:hanging="330"/>
        <w:spacing w:after="0" w:line="279" w:lineRule="auto"/>
        <w:tabs>
          <w:tab w:leader="none" w:pos="152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nominal value of each of the authorized but un-issued ordinary shares of $0.02 each and the authorized and issued ordinary shares of $0.02 each resulting from the foregoing resolutions, be reduced, with effect from the Effective Time, from $0.02 to $0.001.”</w:t>
      </w:r>
    </w:p>
    <w:p>
      <w:pPr>
        <w:spacing w:after="0" w:line="125" w:lineRule="exact"/>
        <w:rPr>
          <w:sz w:val="20"/>
          <w:szCs w:val="20"/>
          <w:color w:val="auto"/>
        </w:rPr>
      </w:pPr>
    </w:p>
    <w:p>
      <w:pPr>
        <w:ind w:left="200" w:right="20"/>
        <w:spacing w:after="0" w:line="279"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340"/>
        <w:spacing w:after="0" w:line="283" w:lineRule="auto"/>
        <w:rPr>
          <w:sz w:val="20"/>
          <w:szCs w:val="20"/>
          <w:color w:val="auto"/>
        </w:rPr>
      </w:pPr>
      <w:r>
        <w:rPr>
          <w:rFonts w:ascii="Arial" w:cs="Arial" w:eastAsia="Arial" w:hAnsi="Arial"/>
          <w:sz w:val="64"/>
          <w:szCs w:val="64"/>
          <w:b w:val="1"/>
          <w:bCs w:val="1"/>
          <w:color w:val="C3002F"/>
        </w:rPr>
        <w:t>AGENDA ITEM 5 - INCREASE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-1080135</wp:posOffset>
            </wp:positionV>
            <wp:extent cx="8318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Subject to the approval of Agenda Item 4, we are further asking our shareholders to approve an increase of the authorized share capital of the Company by the creation of 33,900,000 additional ordinary shares of US$0.001 each. This represents approximately 50% of the authorized ordinary share capital after the reverse share split. Following the increase of the authorized share capital of the Company, an amended Memorandum and Articles of Association is required to be filed with the Irish Companies Registration Office to reflect the increase of the authorized share capital. The amended Memorandum and Articles of Association, to reflect the increase of the authorized share capital, is attached to this Proxy Statement as Annex B.</w:t>
      </w:r>
    </w:p>
    <w:p>
      <w:pPr>
        <w:spacing w:after="0" w:line="164"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Board believes that the proposed increase in authorized share capital is in the best interests of the Company to give us greater flexibility in considering and planning for future corporate needs. The purposes for which the Board may deem it advisable to issue ordinary shares include, without limitation, potential business and financial transactions such as share dividends, future mergers or acquisitions, equity financings and other strategic or general corporate transactions, and as appropriate equity incentives for executives, directors, employees and consultants under approved incentive compensation plans.</w:t>
      </w:r>
    </w:p>
    <w:p>
      <w:pPr>
        <w:spacing w:after="0" w:line="161" w:lineRule="exact"/>
        <w:rPr>
          <w:sz w:val="20"/>
          <w:szCs w:val="20"/>
          <w:color w:val="auto"/>
        </w:rPr>
      </w:pPr>
    </w:p>
    <w:p>
      <w:pPr>
        <w:ind w:left="200" w:right="20"/>
        <w:spacing w:after="0" w:line="258" w:lineRule="auto"/>
        <w:rPr>
          <w:sz w:val="20"/>
          <w:szCs w:val="20"/>
          <w:color w:val="auto"/>
        </w:rPr>
      </w:pPr>
      <w:r>
        <w:rPr>
          <w:rFonts w:ascii="Arial" w:cs="Arial" w:eastAsia="Arial" w:hAnsi="Arial"/>
          <w:sz w:val="14"/>
          <w:szCs w:val="14"/>
          <w:color w:val="auto"/>
        </w:rPr>
        <w:t>The Board believes that additional authorized share capital will better position us to take timely advantage of market conditions and the availability of favorable financing and acquisition opportunities without the delay and expense associated with convening an extraordinary general meeting (unless otherwise required by the rules of NYSE).</w:t>
      </w:r>
    </w:p>
    <w:p>
      <w:pPr>
        <w:spacing w:after="0" w:line="167"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There are currently no commitments or understandings with respect to the issuance of any of the additional ordinary shares that would be authorized by the proposed increase of the authorized share capital.</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76" w:lineRule="exact"/>
        <w:rPr>
          <w:sz w:val="20"/>
          <w:szCs w:val="20"/>
          <w:color w:val="auto"/>
        </w:rPr>
      </w:pPr>
    </w:p>
    <w:p>
      <w:pPr>
        <w:ind w:left="200" w:right="20"/>
        <w:spacing w:after="0" w:line="251" w:lineRule="auto"/>
        <w:rPr>
          <w:sz w:val="20"/>
          <w:szCs w:val="20"/>
          <w:color w:val="auto"/>
        </w:rPr>
      </w:pPr>
      <w:r>
        <w:rPr>
          <w:rFonts w:ascii="Arial" w:cs="Arial" w:eastAsia="Arial" w:hAnsi="Arial"/>
          <w:sz w:val="14"/>
          <w:szCs w:val="14"/>
          <w:i w:val="1"/>
          <w:iCs w:val="1"/>
          <w:color w:val="auto"/>
        </w:rPr>
        <w:t>“That, subject to the approval of the resolution set out in Agenda Item 4 and such resolution becoming effective in accordance with its terms, the authorized share capital of the Company be increased, with effect from immediately following the close of business of the New York Stock Exchange on June 25, 2019 or such later date to which the Company’s 2019 annual general meeting may be adjourned, from $67,800 divided into 67,800,000 ordinary shares of $0.001 each to $101,700 divided into 101,700,000 ordinary shares of $0.001 each (by the creation of an additional 33,900,000 ordinary shares of $0.001 each, such shares to rank pari passu with the existing ordinary shares of the Company)”.</w:t>
      </w:r>
    </w:p>
    <w:p>
      <w:pPr>
        <w:spacing w:after="0" w:line="144" w:lineRule="exact"/>
        <w:rPr>
          <w:sz w:val="20"/>
          <w:szCs w:val="20"/>
          <w:color w:val="auto"/>
        </w:rPr>
      </w:pPr>
    </w:p>
    <w:p>
      <w:pPr>
        <w:ind w:left="200"/>
        <w:spacing w:after="0" w:line="279" w:lineRule="auto"/>
        <w:rPr>
          <w:sz w:val="20"/>
          <w:szCs w:val="20"/>
          <w:color w:val="auto"/>
        </w:rPr>
      </w:pPr>
      <w:r>
        <w:rPr>
          <w:rFonts w:ascii="Arial" w:cs="Arial" w:eastAsia="Arial" w:hAnsi="Arial"/>
          <w:sz w:val="14"/>
          <w:szCs w:val="14"/>
          <w:color w:val="auto"/>
        </w:rPr>
        <w:t>As required under Irish law,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9" w:lineRule="exact"/>
        <w:rPr>
          <w:sz w:val="20"/>
          <w:szCs w:val="20"/>
          <w:color w:val="auto"/>
        </w:rPr>
      </w:pPr>
    </w:p>
    <w:p>
      <w:pPr>
        <w:ind w:left="560" w:hanging="356"/>
        <w:spacing w:after="0"/>
        <w:tabs>
          <w:tab w:leader="none" w:pos="560" w:val="left"/>
        </w:tabs>
        <w:numPr>
          <w:ilvl w:val="0"/>
          <w:numId w:val="8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160"/>
        <w:spacing w:after="0" w:line="283" w:lineRule="auto"/>
        <w:rPr>
          <w:sz w:val="20"/>
          <w:szCs w:val="20"/>
          <w:color w:val="auto"/>
        </w:rPr>
      </w:pPr>
      <w:r>
        <w:rPr>
          <w:rFonts w:ascii="Arial" w:cs="Arial" w:eastAsia="Arial" w:hAnsi="Arial"/>
          <w:sz w:val="64"/>
          <w:szCs w:val="64"/>
          <w:b w:val="1"/>
          <w:bCs w:val="1"/>
          <w:color w:val="C3002F"/>
        </w:rPr>
        <w:t>AGENDA ITEM 6 - BOARD AUTHORITY TO ISSUE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-1080135</wp:posOffset>
            </wp:positionV>
            <wp:extent cx="8318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Under Irish law, directors of an Irish public limited company must have authority from the company’s shareholders to issue any shares, including shares which are part of the Company’s authorized but unissued share capital. Our current authorization permits us to issue shares up to our current authorized but unissued share capital and is due to expire on June 6, 2019. In conjunction with Agenda Item 5 to increase our authorized share capital, we are presenting this Agenda Item 6 to renew the Board’s authority to issue our authorized shares on the terms set forth below.</w:t>
      </w:r>
    </w:p>
    <w:p>
      <w:pPr>
        <w:spacing w:after="0" w:line="161" w:lineRule="exact"/>
        <w:rPr>
          <w:sz w:val="20"/>
          <w:szCs w:val="20"/>
          <w:color w:val="auto"/>
        </w:rPr>
      </w:pPr>
    </w:p>
    <w:p>
      <w:pPr>
        <w:ind w:left="200" w:right="20"/>
        <w:spacing w:after="0" w:line="246" w:lineRule="auto"/>
        <w:rPr>
          <w:sz w:val="20"/>
          <w:szCs w:val="20"/>
          <w:color w:val="auto"/>
        </w:rPr>
      </w:pPr>
      <w:r>
        <w:rPr>
          <w:rFonts w:ascii="Arial" w:cs="Arial" w:eastAsia="Arial" w:hAnsi="Arial"/>
          <w:sz w:val="14"/>
          <w:szCs w:val="14"/>
          <w:color w:val="auto"/>
        </w:rPr>
        <w:t>It is customary practice in Ireland to seek shareholder authority to issue up to 33% of a listed public company’s issued ordinary share capital and for such authority to be limited to a period of 12 to 18 months. Therefore, in accordance with customary practice in Ireland, we are seeking approval to authorize the Board to issue up to a maximum of approximately 33% of our issued ordinary share capital after the reverse share split for a period expiring 18 months from the passing of this resolution, unless otherwise varied, revoked or renewed. Notwithstanding the foregoing, we expect to propose renewal of this authorization on a regular basis at our annual general meetings in subsequent years.</w:t>
      </w:r>
    </w:p>
    <w:p>
      <w:pPr>
        <w:spacing w:after="0" w:line="32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Granting the Board this authority is a routine matter for listed public companies incorporated in Ireland and is consistent with Irish market practice. This authority is fundamental to our business and enables us to issue shares, including, if applicable, in connection with funding acquisitions and raising capital. In addition, we note that, because we are a NYSE-listed company, our shareholders continue to benefit from the protections afforded to them under the rules and regulations of the NYSE and SEC, including those rules that limit our ability to issue shares in specified circumstances. Furthermore, we note that this authorization is required as a matter of Irish law and is not otherwise required for other companies listed on the NYSE with whom we compete. Accordingly, approval of this resolution would merely place us on par with other NYSE-listed companies.</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an ordinary resolution:</w:t>
      </w:r>
    </w:p>
    <w:p>
      <w:pPr>
        <w:spacing w:after="0" w:line="163" w:lineRule="exact"/>
        <w:rPr>
          <w:sz w:val="20"/>
          <w:szCs w:val="20"/>
          <w:color w:val="auto"/>
        </w:rPr>
      </w:pPr>
    </w:p>
    <w:p>
      <w:pPr>
        <w:ind w:left="200"/>
        <w:spacing w:after="0" w:line="246" w:lineRule="auto"/>
        <w:rPr>
          <w:sz w:val="20"/>
          <w:szCs w:val="20"/>
          <w:color w:val="auto"/>
        </w:rPr>
      </w:pPr>
      <w:r>
        <w:rPr>
          <w:rFonts w:ascii="Arial" w:cs="Arial" w:eastAsia="Arial" w:hAnsi="Arial"/>
          <w:sz w:val="14"/>
          <w:szCs w:val="14"/>
          <w:i w:val="1"/>
          <w:iCs w:val="1"/>
          <w:color w:val="auto"/>
        </w:rPr>
        <w:t>“That, subject to the approval of the resolution set out in Agenda Item 5 and such resolution becoming effective in accordance with its terms, and without prejudice to all existing authorities, the directors be and are hereby, generally and unconditionally, authorized, with effect from immediately following the close of business of the New York Stock Exchange on June 25, 2019 or such later date to which the Company’s 2019 annual general meeting may be adjourned (the “Effective Time”), to exercise all powers of the Company to allot relevant securities (within the meaning of section 1021 of the Companies Act 2014 of Ireland) up to an aggregate nominal amount of $16,555 (representing 16,555,014 ordinary shares), being equivalent to approximately 33% of our issued ordinary share capital after the reverse share split (based on 1,003,334,214 ordinary shares of $0.001 in issue prior to the reverse share split as of April 15, 2019 (the latest practicable date before this proxy statement)), and the authority conferred by this resolution shall expire 18 months from the Effective Time, unless previously renewed, varied or revoked; provided that the Company may make an offer or agreement before the expiry of this authority, which would or might require any such securities to be allotted after this authority has expired, and in that case, the directors may allot relevant securities in pursuance of any such offer or agreement as if the authority conferred hereby had not expired.”</w:t>
      </w:r>
    </w:p>
    <w:p>
      <w:pPr>
        <w:spacing w:after="0" w:line="162" w:lineRule="exact"/>
        <w:rPr>
          <w:sz w:val="20"/>
          <w:szCs w:val="20"/>
          <w:color w:val="auto"/>
        </w:rPr>
      </w:pPr>
    </w:p>
    <w:p>
      <w:pPr>
        <w:ind w:left="200" w:right="40"/>
        <w:spacing w:after="0" w:line="279" w:lineRule="auto"/>
        <w:rPr>
          <w:sz w:val="20"/>
          <w:szCs w:val="20"/>
          <w:color w:val="auto"/>
        </w:rPr>
      </w:pPr>
      <w:r>
        <w:rPr>
          <w:rFonts w:ascii="Arial" w:cs="Arial" w:eastAsia="Arial" w:hAnsi="Arial"/>
          <w:sz w:val="14"/>
          <w:szCs w:val="14"/>
          <w:color w:val="auto"/>
        </w:rPr>
        <w:t>As required under Irish law,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300"/>
        <w:spacing w:after="0" w:line="257" w:lineRule="auto"/>
        <w:rPr>
          <w:sz w:val="20"/>
          <w:szCs w:val="20"/>
          <w:color w:val="auto"/>
        </w:rPr>
      </w:pPr>
      <w:r>
        <w:rPr>
          <w:rFonts w:ascii="Arial" w:cs="Arial" w:eastAsia="Arial" w:hAnsi="Arial"/>
          <w:sz w:val="65"/>
          <w:szCs w:val="65"/>
          <w:b w:val="1"/>
          <w:bCs w:val="1"/>
          <w:color w:val="C3002F"/>
        </w:rPr>
        <w:t>AGENDA ITEM 7 - BOARD AUTHORITY TO OPT OUT OF PRE-EMPTION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-1502410</wp:posOffset>
            </wp:positionV>
            <wp:extent cx="8318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Under Irish law, unless the directors are otherwise authorized, when an Irish listed public company proposes to issue shares for cash to new shareholders, it is required to first offer those shares on the same or more favorable terms to existing shareholders of the company on a pro-rata basis (commonly referred to as statutory pre-emption rights). Our current authority empowers our directors to issue shares free from statutory pre-emption rights up to our current authorized but unissued share capital and is due to expire on June 6, 2019. In conjunction with Agenda Item 6 to renew the Board’s general authority to issue shares, we are presenting this proposal to renew the Board’s authority to issue our shares free from statutory pre-emption right on the terms set forth below.</w:t>
      </w:r>
    </w:p>
    <w:p>
      <w:pPr>
        <w:spacing w:after="0" w:line="164" w:lineRule="exact"/>
        <w:rPr>
          <w:sz w:val="20"/>
          <w:szCs w:val="20"/>
          <w:color w:val="auto"/>
        </w:rPr>
      </w:pPr>
    </w:p>
    <w:p>
      <w:pPr>
        <w:ind w:left="200" w:right="100"/>
        <w:spacing w:after="0" w:line="243" w:lineRule="auto"/>
        <w:rPr>
          <w:sz w:val="20"/>
          <w:szCs w:val="20"/>
          <w:color w:val="auto"/>
        </w:rPr>
      </w:pPr>
      <w:r>
        <w:rPr>
          <w:rFonts w:ascii="Arial" w:cs="Arial" w:eastAsia="Arial" w:hAnsi="Arial"/>
          <w:sz w:val="14"/>
          <w:szCs w:val="14"/>
          <w:color w:val="auto"/>
        </w:rPr>
        <w:t>It is customary practice in Ireland to seek shareholder authority to empower a listed public company’s directors to issue shares free from statutory pre-emption rights in the event of (1) the issuance of shares for cash in connection with any rights issue and (2) the issuance of shares for cash, if the issuance is limited to up to 5% of a company’s issued share capital (with the possibility of issuing an additional 5% of the company’s issued share capital provided the company uses it only in connection with an acquisition or specified capital investment which is announced contemporaneously with the issuance, or which has taken place in the preceding 6-month period and is disclosed in the announcement of the issue, bringing the total acceptable limit to 10% of the company’s issued share capital). It is also customary practice for such authority to be limited to a period of 12 to 18 months. Therefore, in accordance with customary practice in Ireland, we are seeking this authority for a period expiring 18 months from the passing of this resolution, unless otherwise varied, renewed or revoked. Notwithstanding the foregoing, we expect to propose renewal of this authorization on a regular basis at our annual general meetings in subsequent years.</w:t>
      </w:r>
    </w:p>
    <w:p>
      <w:pPr>
        <w:spacing w:after="0" w:line="168" w:lineRule="exact"/>
        <w:rPr>
          <w:sz w:val="20"/>
          <w:szCs w:val="20"/>
          <w:color w:val="auto"/>
        </w:rPr>
      </w:pPr>
    </w:p>
    <w:p>
      <w:pPr>
        <w:ind w:left="200" w:right="120"/>
        <w:spacing w:after="0" w:line="244" w:lineRule="auto"/>
        <w:rPr>
          <w:sz w:val="20"/>
          <w:szCs w:val="20"/>
          <w:color w:val="auto"/>
        </w:rPr>
      </w:pPr>
      <w:r>
        <w:rPr>
          <w:rFonts w:ascii="Arial" w:cs="Arial" w:eastAsia="Arial" w:hAnsi="Arial"/>
          <w:sz w:val="14"/>
          <w:szCs w:val="14"/>
          <w:color w:val="auto"/>
        </w:rPr>
        <w:t>Granting the Board this authority is a routine matter for public companies incorporated in Ireland and is consistent with Irish customary practice. Similar to the authorization sought for Agenda Item 6, this authority is fundamental to our business and, if applicable, will facilitate our ability to fund acquisitions and otherwise raise capital. This approval is being sought in conjunction with the proposal to increase our authorized share capital and will grant the Board the power to issue shares free from statutory pre-emption rights in the same manner as our existing authority (but subject to the caps referred to above). Without this authorization, in each case where we issue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NYSE with whom we compete. Accordingly, approval of this resolution would merely place us on par with other NYSE-listed companies.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Resolution for Approval</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Board recommends that the shareholders approve the following resolution as a special resolution:</w:t>
      </w:r>
    </w:p>
    <w:p>
      <w:pPr>
        <w:spacing w:after="0" w:line="163" w:lineRule="exact"/>
        <w:rPr>
          <w:sz w:val="20"/>
          <w:szCs w:val="20"/>
          <w:color w:val="auto"/>
        </w:rPr>
      </w:pPr>
    </w:p>
    <w:p>
      <w:pPr>
        <w:ind w:left="200" w:right="80"/>
        <w:spacing w:after="0" w:line="251" w:lineRule="auto"/>
        <w:rPr>
          <w:sz w:val="20"/>
          <w:szCs w:val="20"/>
          <w:color w:val="auto"/>
        </w:rPr>
      </w:pPr>
      <w:r>
        <w:rPr>
          <w:rFonts w:ascii="Arial" w:cs="Arial" w:eastAsia="Arial" w:hAnsi="Arial"/>
          <w:sz w:val="14"/>
          <w:szCs w:val="14"/>
          <w:i w:val="1"/>
          <w:iCs w:val="1"/>
          <w:color w:val="auto"/>
        </w:rPr>
        <w:t>“That, subject to the passing of the resolution set out in Agenda Item 6 and such resolution becoming effective in accordance with its terms, and without prejudice to all existing powers, the directors be and are hereby empowered, with effect from immediately following the close of business of the New York State Exchange on June 25 2019 or such later date to which the Company’s 2019 annual general meeting may be adjourned (the “Effective Time”), pursuant to section 1023 of the Companies Act 2014 of Ireland to allot equity securities (as defined in section 1023 of that Act) for cash, pursuant to the authority conferred by the resolution set out in Agenda Item 6 as if sub-section (1) of section 1022 of the Companies Act 2014 of Ireland did not apply to any such allotment, provided that this power shall be limited to:</w:t>
      </w:r>
    </w:p>
    <w:p>
      <w:pPr>
        <w:spacing w:after="0" w:line="185" w:lineRule="exact"/>
        <w:rPr>
          <w:sz w:val="20"/>
          <w:szCs w:val="20"/>
          <w:color w:val="auto"/>
        </w:rPr>
      </w:pPr>
    </w:p>
    <w:p>
      <w:pPr>
        <w:ind w:left="1300" w:right="20" w:hanging="326"/>
        <w:spacing w:after="0" w:line="251" w:lineRule="auto"/>
        <w:tabs>
          <w:tab w:leader="none" w:pos="130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the allotment of equity securities in connection with a rights issue in favor of the holders of ordinary shares (including rights to subscribe for, or convert into, ordinary shares) where the equity securities respectively attributable to the interests of such holders are proportional (as nearly as may be) to the respective numbers of ordinary shares held by them (but subject to such exclusions or other arrangements as the directors may deem necessary or expedient to deal with fractional entitlements that would otherwise arise, or with legal or practical problems under the laws of, or the requirements of any recognized regulatory body or any stock exchange in, any territory, or otherwise); and</w:t>
      </w:r>
    </w:p>
    <w:p>
      <w:pPr>
        <w:spacing w:after="0" w:line="184" w:lineRule="exact"/>
        <w:rPr>
          <w:rFonts w:ascii="Arial" w:cs="Arial" w:eastAsia="Arial" w:hAnsi="Arial"/>
          <w:sz w:val="14"/>
          <w:szCs w:val="14"/>
          <w:i w:val="1"/>
          <w:iCs w:val="1"/>
          <w:color w:val="auto"/>
        </w:rPr>
      </w:pPr>
    </w:p>
    <w:p>
      <w:pPr>
        <w:ind w:left="1300" w:hanging="326"/>
        <w:spacing w:after="0" w:line="247" w:lineRule="auto"/>
        <w:tabs>
          <w:tab w:leader="none" w:pos="130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the allotment (other than pursuant to sub-paragraph (a) above) of equity securities up to an aggregate nominal value of $5,017 (representing 5,016,671 ordinary shares), being equivalent to approximately 10% of the aggregate nominal value of the issued ordinary share capital of the Company after the reverse share split (based on 1,003,334,214 ordinary shares of $0.001 in issue prior to the reverse share split as of April 15, 2019 (the latest practicable date before this proxy statement)), provided that any amount above $2,508 (representing 2,508,335 ordinary shares), being equivalent to approximately 5% of the aggregate nominal value of the issued ordinary share capital of the Company after the reverse share split (based on 1,003,334,214 ordinary shares of $0.001 in issue prior to the reverse share split as of April 15, 2019 (the latest practicable date before this proxy statement)) is to be used only for the purpose of an acquisition or a specific capital investment,</w:t>
      </w:r>
    </w:p>
    <w:p>
      <w:pPr>
        <w:spacing w:after="0" w:line="164" w:lineRule="exact"/>
        <w:rPr>
          <w:sz w:val="20"/>
          <w:szCs w:val="20"/>
          <w:color w:val="auto"/>
        </w:rPr>
      </w:pPr>
    </w:p>
    <w:p>
      <w:pPr>
        <w:ind w:left="200" w:right="100"/>
        <w:spacing w:after="0" w:line="260" w:lineRule="auto"/>
        <w:rPr>
          <w:sz w:val="20"/>
          <w:szCs w:val="20"/>
          <w:color w:val="auto"/>
        </w:rPr>
      </w:pPr>
      <w:r>
        <w:rPr>
          <w:rFonts w:ascii="Arial" w:cs="Arial" w:eastAsia="Arial" w:hAnsi="Arial"/>
          <w:sz w:val="14"/>
          <w:szCs w:val="14"/>
          <w:i w:val="1"/>
          <w:iCs w:val="1"/>
          <w:color w:val="auto"/>
        </w:rPr>
        <w:t>and the authority conferred by this resolution shall expire 18 months from the Effective Time, unless previously renewed, varied or revoked; provided that the Company may make an offer or agreement before the expiry of this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139" w:lineRule="exact"/>
        <w:rPr>
          <w:sz w:val="20"/>
          <w:szCs w:val="20"/>
          <w:color w:val="auto"/>
        </w:rPr>
      </w:pPr>
    </w:p>
    <w:p>
      <w:pPr>
        <w:ind w:left="200"/>
        <w:spacing w:after="0" w:line="254" w:lineRule="auto"/>
        <w:rPr>
          <w:sz w:val="20"/>
          <w:szCs w:val="20"/>
          <w:color w:val="auto"/>
        </w:rPr>
      </w:pPr>
      <w:r>
        <w:rPr>
          <w:rFonts w:ascii="Arial" w:cs="Arial" w:eastAsia="Arial" w:hAnsi="Arial"/>
          <w:sz w:val="14"/>
          <w:szCs w:val="14"/>
          <w:color w:val="auto"/>
        </w:rPr>
        <w:t>As required under Irish law, a special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75% majority of the votes cast “For” or “Against”) is required to approve this proposal. If you properly give a proxy but do not indicate how you wish to vote, the persons named on the proxy card, or if you do not name your proxy or proxies, the Proxy Holders, will vote for the proposal. In addition, under Irish law, the Board may only be empowered to issue shares free from statutory pre-emption rights if it is authorized to issue the relevant shares, which authority is being sought in Agenda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60" w:hanging="356"/>
        <w:spacing w:after="0"/>
        <w:tabs>
          <w:tab w:leader="none" w:pos="560" w:val="left"/>
        </w:tabs>
        <w:numPr>
          <w:ilvl w:val="0"/>
          <w:numId w:val="8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100"/>
        <w:spacing w:after="0" w:line="250" w:lineRule="auto"/>
        <w:rPr>
          <w:sz w:val="20"/>
          <w:szCs w:val="20"/>
          <w:color w:val="auto"/>
        </w:rPr>
      </w:pPr>
      <w:r>
        <w:rPr>
          <w:rFonts w:ascii="Arial" w:cs="Arial" w:eastAsia="Arial" w:hAnsi="Arial"/>
          <w:sz w:val="65"/>
          <w:szCs w:val="65"/>
          <w:b w:val="1"/>
          <w:bCs w:val="1"/>
          <w:color w:val="C3002F"/>
        </w:rPr>
        <w:t>AGENDA ITEM 8 - APPROVE AMENDMENT TO THE WEATHERFORD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-1955165</wp:posOffset>
            </wp:positionV>
            <wp:extent cx="8318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We are asking our shareholders to approve the 2010 Omnibus Incentive Plan, as amended and restated (the “Plan”), as set forth in Annex C to this Proxy Statement. This amendment and restatement will replenish the pool of Weatherford ordinary shares available for issuance under the Plan by adding 32,000,000 ordinary shares to the Plan. Note, this additional share number does not reflect any reverse stock splits and will be adjusted automatically should the reverse stock split proposal, set forth in Agenda Item 4 be approved by shareholders. As a result, the increase of 32,000,000 ordinary shares being requested will result in an increase of 1,600,000 ordinary shares following the implementation of the reverse stock split. Amending and restating the Plan has been approved by our Board, upon the recommendation of the Compensation Committee.</w:t>
      </w:r>
    </w:p>
    <w:p>
      <w:pPr>
        <w:spacing w:after="0" w:line="164"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In 2015 and 2017, shareholders approved amendments to the Plan which, among other changes, increased the number of shares available thereunder to 64,144,000.</w:t>
      </w:r>
    </w:p>
    <w:p>
      <w:pPr>
        <w:spacing w:after="0" w:line="161" w:lineRule="exact"/>
        <w:rPr>
          <w:sz w:val="20"/>
          <w:szCs w:val="20"/>
          <w:color w:val="auto"/>
        </w:rPr>
      </w:pPr>
    </w:p>
    <w:p>
      <w:pPr>
        <w:ind w:left="200" w:right="200"/>
        <w:spacing w:after="0" w:line="245" w:lineRule="auto"/>
        <w:rPr>
          <w:sz w:val="20"/>
          <w:szCs w:val="20"/>
          <w:color w:val="auto"/>
        </w:rPr>
      </w:pPr>
      <w:r>
        <w:rPr>
          <w:rFonts w:ascii="Arial" w:cs="Arial" w:eastAsia="Arial" w:hAnsi="Arial"/>
          <w:sz w:val="14"/>
          <w:szCs w:val="14"/>
          <w:color w:val="auto"/>
        </w:rPr>
        <w:t>For the last nine years, we have made annual long-term incentive awards and other grants to our officers and employees and annual grants to our non-employee directors under our Plan. We believe that this type of equity compensation, provided we have a healthy share price,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2.3%, which is well below the Institutional Shareholder Services (ISS) 2018 industry burn rate cap of 3.99%.</w:t>
      </w:r>
    </w:p>
    <w:p>
      <w:pPr>
        <w:spacing w:after="0" w:line="340"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In 2017 and 2018, we granted approximately 14 million ordinary shares in each year, to over 1,500 employees working in approximately 50 countries. We believe that these grants ensure that we are compensating our employees in a manner that is consistent with our competitors, where equity grants are customary and widespread practice. We believe these broad-based grants strengthen the relationship between the long-term value of our shares and the potential financial gain for our employees.</w:t>
      </w:r>
    </w:p>
    <w:p>
      <w:pPr>
        <w:spacing w:after="0" w:line="159" w:lineRule="exact"/>
        <w:rPr>
          <w:sz w:val="20"/>
          <w:szCs w:val="20"/>
          <w:color w:val="auto"/>
        </w:rPr>
      </w:pPr>
    </w:p>
    <w:p>
      <w:pPr>
        <w:jc w:val="both"/>
        <w:ind w:left="200" w:right="60"/>
        <w:spacing w:after="0" w:line="258" w:lineRule="auto"/>
        <w:rPr>
          <w:sz w:val="20"/>
          <w:szCs w:val="20"/>
          <w:color w:val="auto"/>
        </w:rPr>
      </w:pPr>
      <w:r>
        <w:rPr>
          <w:rFonts w:ascii="Arial" w:cs="Arial" w:eastAsia="Arial" w:hAnsi="Arial"/>
          <w:sz w:val="14"/>
          <w:szCs w:val="14"/>
          <w:color w:val="auto"/>
        </w:rPr>
        <w:t>The following table provides information as of December 31, 2018, about the number of shares to be issued upon vesting or exercise of equity awards as well as the number of shares remaining available for issuance under our equity compensation plans.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Numbers of Securities to</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Weighted Average</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be Issued Upon Exercise</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Exercise Price of</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40" w:type="dxa"/>
            <w:vAlign w:val="bottom"/>
          </w:tcPr>
          <w:p>
            <w:pPr>
              <w:jc w:val="right"/>
              <w:ind w:right="448"/>
              <w:spacing w:after="0"/>
              <w:rPr>
                <w:sz w:val="20"/>
                <w:szCs w:val="20"/>
                <w:color w:val="auto"/>
              </w:rPr>
            </w:pPr>
            <w:r>
              <w:rPr>
                <w:rFonts w:ascii="Arial" w:cs="Arial" w:eastAsia="Arial" w:hAnsi="Arial"/>
                <w:sz w:val="14"/>
                <w:szCs w:val="14"/>
                <w:b w:val="1"/>
                <w:bCs w:val="1"/>
                <w:color w:val="auto"/>
              </w:rPr>
              <w:t>of Outstanding Options,</w:t>
            </w:r>
          </w:p>
        </w:tc>
        <w:tc>
          <w:tcPr>
            <w:tcW w:w="620" w:type="dxa"/>
            <w:vAlign w:val="bottom"/>
          </w:tcPr>
          <w:p>
            <w:pPr>
              <w:spacing w:after="0"/>
              <w:rPr>
                <w:sz w:val="14"/>
                <w:szCs w:val="14"/>
                <w:color w:val="auto"/>
              </w:rPr>
            </w:pPr>
          </w:p>
        </w:tc>
        <w:tc>
          <w:tcPr>
            <w:tcW w:w="2000" w:type="dxa"/>
            <w:vAlign w:val="bottom"/>
          </w:tcPr>
          <w:p>
            <w:pPr>
              <w:jc w:val="right"/>
              <w:ind w:right="448"/>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2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Warrants and Rights</w:t>
            </w:r>
          </w:p>
        </w:tc>
        <w:tc>
          <w:tcPr>
            <w:tcW w:w="26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Warrants and Rights(a)</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Plans(b)</w:t>
            </w:r>
          </w:p>
        </w:tc>
      </w:tr>
      <w:tr>
        <w:trPr>
          <w:trHeight w:val="160"/>
        </w:trPr>
        <w:tc>
          <w:tcPr>
            <w:tcW w:w="3280" w:type="dxa"/>
            <w:vAlign w:val="bottom"/>
            <w:gridSpan w:val="2"/>
          </w:tcPr>
          <w:p>
            <w:pPr>
              <w:spacing w:after="0"/>
              <w:rPr>
                <w:sz w:val="20"/>
                <w:szCs w:val="20"/>
                <w:color w:val="auto"/>
              </w:rPr>
            </w:pPr>
            <w:r>
              <w:rPr>
                <w:rFonts w:ascii="Arial" w:cs="Arial" w:eastAsia="Arial" w:hAnsi="Arial"/>
                <w:sz w:val="14"/>
                <w:szCs w:val="14"/>
                <w:color w:val="auto"/>
              </w:rPr>
              <w:t>Equity compensation plans approved by</w:t>
            </w:r>
          </w:p>
        </w:tc>
        <w:tc>
          <w:tcPr>
            <w:tcW w:w="2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shareholders(c)(d)</w:t>
            </w:r>
          </w:p>
        </w:tc>
        <w:tc>
          <w:tcPr>
            <w:tcW w:w="294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21,292</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18,112</w:t>
            </w:r>
          </w:p>
        </w:tc>
      </w:tr>
    </w:tbl>
    <w:p>
      <w:pPr>
        <w:spacing w:after="0" w:line="86" w:lineRule="exact"/>
        <w:rPr>
          <w:sz w:val="20"/>
          <w:szCs w:val="20"/>
          <w:color w:val="auto"/>
        </w:rPr>
      </w:pPr>
    </w:p>
    <w:p>
      <w:pPr>
        <w:ind w:left="420" w:hanging="216"/>
        <w:spacing w:after="0"/>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41" w:lineRule="exact"/>
        <w:rPr>
          <w:rFonts w:ascii="Arial" w:cs="Arial" w:eastAsia="Arial" w:hAnsi="Arial"/>
          <w:sz w:val="14"/>
          <w:szCs w:val="14"/>
          <w:color w:val="auto"/>
        </w:rPr>
      </w:pPr>
    </w:p>
    <w:p>
      <w:pPr>
        <w:ind w:left="420" w:right="280" w:hanging="216"/>
        <w:spacing w:after="0" w:line="258" w:lineRule="auto"/>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our 2006 Omnibus Plan, which was approved by our shareholders in May 2006, the Plan, as amended, which was originally approved by our shareholders in June 2010, and our Employee Stock Purchase Plan, which was approved by our shareholders in June 2016.</w:t>
      </w:r>
    </w:p>
    <w:p>
      <w:pPr>
        <w:spacing w:after="0" w:line="18" w:lineRule="exact"/>
        <w:rPr>
          <w:rFonts w:ascii="Arial" w:cs="Arial" w:eastAsia="Arial" w:hAnsi="Arial"/>
          <w:sz w:val="14"/>
          <w:szCs w:val="14"/>
          <w:color w:val="auto"/>
        </w:rPr>
      </w:pPr>
    </w:p>
    <w:p>
      <w:pPr>
        <w:ind w:left="420" w:hanging="216"/>
        <w:spacing w:after="0"/>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177" w:lineRule="exact"/>
        <w:rPr>
          <w:sz w:val="20"/>
          <w:szCs w:val="20"/>
          <w:color w:val="auto"/>
        </w:rPr>
      </w:pPr>
    </w:p>
    <w:p>
      <w:pPr>
        <w:ind w:left="200" w:right="100"/>
        <w:spacing w:after="0" w:line="243" w:lineRule="auto"/>
        <w:rPr>
          <w:sz w:val="20"/>
          <w:szCs w:val="20"/>
          <w:color w:val="auto"/>
        </w:rPr>
      </w:pPr>
      <w:r>
        <w:rPr>
          <w:rFonts w:ascii="Arial" w:cs="Arial" w:eastAsia="Arial" w:hAnsi="Arial"/>
          <w:sz w:val="14"/>
          <w:szCs w:val="14"/>
          <w:color w:val="auto"/>
        </w:rPr>
        <w:t>As of April 15, 2019, a total of approximately 10.6 million ordinary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Plan for grants beyond the first quarter of 2019. We therefore intend to suspend the broad-based employee grants described above for 2019 and 2020 until additional shares are authorized and our share price recovers from its current level. The closing price of our shares as reported on the NYSE on April 15, 2019 was $0.57. We would like the opportunity to make additional shares available for grant in 2019 and in future years by way of the amendment to provide incentive opportunities to our officers, directors and employees and to align their interests with the interests of our shareholders. Based on current economic conditions and provided our share price recovers to an acceptable level, we anticipate that the additional shares that will be available for issuance by way of the amendment to the Plan (if the amendment is approved at the Annual General Meeting) will be sufficient to meet our needs for the next two to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49</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 provides certain additional information regarding our outstanding and available equity under all of the Company’s equity plans: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April 15, 2019</w:t>
            </w:r>
          </w:p>
        </w:tc>
      </w:tr>
      <w:tr>
        <w:trPr>
          <w:trHeight w:val="156"/>
        </w:trPr>
        <w:tc>
          <w:tcPr>
            <w:tcW w:w="714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color w:val="auto"/>
              </w:rPr>
              <w:t>Total Share Options Outstanding</w:t>
            </w:r>
          </w:p>
        </w:tc>
        <w:tc>
          <w:tcPr>
            <w:tcW w:w="3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Restricted Share Units Outstanding</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15,377,302</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Performance Share Units Outstanding(a)</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3,459,803</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Ordinary Shares Outstanding</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1,003,334,214</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Weighted-Average Exercise Price of Share Options Outstanding</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Weighted-Average Remaining Duration of Share Options Outstanding</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Shares Available under Employee Stock Purchase Plan</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5,418,918</w:t>
            </w:r>
          </w:p>
        </w:tc>
      </w:tr>
      <w:tr>
        <w:trPr>
          <w:trHeight w:val="183"/>
        </w:trPr>
        <w:tc>
          <w:tcPr>
            <w:tcW w:w="7140" w:type="dxa"/>
            <w:vAlign w:val="bottom"/>
            <w:tcBorders>
              <w:bottom w:val="single" w:sz="8" w:color="666666"/>
            </w:tcBorders>
            <w:gridSpan w:val="2"/>
          </w:tcPr>
          <w:p>
            <w:pPr>
              <w:spacing w:after="0"/>
              <w:rPr>
                <w:sz w:val="20"/>
                <w:szCs w:val="20"/>
                <w:color w:val="auto"/>
              </w:rPr>
            </w:pPr>
            <w:r>
              <w:rPr>
                <w:rFonts w:ascii="Arial" w:cs="Arial" w:eastAsia="Arial" w:hAnsi="Arial"/>
                <w:sz w:val="14"/>
                <w:szCs w:val="14"/>
                <w:color w:val="auto"/>
              </w:rPr>
              <w:t>Total Shares Available for Grant under the 2006 Omnibus Incentive Plan</w:t>
            </w:r>
          </w:p>
        </w:tc>
        <w:tc>
          <w:tcPr>
            <w:tcW w:w="39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3,565,471</w:t>
            </w:r>
          </w:p>
        </w:tc>
      </w:tr>
      <w:tr>
        <w:trPr>
          <w:trHeight w:val="183"/>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Shares Available for Grant under the 2010 Omnibus Incentive Plan</w:t>
            </w: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10,636,405</w:t>
            </w:r>
          </w:p>
        </w:tc>
      </w:tr>
      <w:tr>
        <w:trPr>
          <w:trHeight w:val="198"/>
        </w:trPr>
        <w:tc>
          <w:tcPr>
            <w:tcW w:w="7140" w:type="dxa"/>
            <w:vAlign w:val="bottom"/>
            <w:gridSpan w:val="2"/>
          </w:tcPr>
          <w:p>
            <w:pPr>
              <w:spacing w:after="0"/>
              <w:rPr>
                <w:sz w:val="20"/>
                <w:szCs w:val="20"/>
                <w:color w:val="auto"/>
              </w:rPr>
            </w:pPr>
            <w:r>
              <w:rPr>
                <w:rFonts w:ascii="Arial" w:cs="Arial" w:eastAsia="Arial" w:hAnsi="Arial"/>
                <w:sz w:val="14"/>
                <w:szCs w:val="14"/>
                <w:color w:val="auto"/>
              </w:rPr>
              <w:t>(a) Includes PSUs calculated at target.</w:t>
            </w:r>
          </w:p>
        </w:tc>
        <w:tc>
          <w:tcPr>
            <w:tcW w:w="3900" w:type="dxa"/>
            <w:vAlign w:val="bottom"/>
          </w:tcPr>
          <w:p>
            <w:pPr>
              <w:spacing w:after="0"/>
              <w:rPr>
                <w:sz w:val="17"/>
                <w:szCs w:val="17"/>
                <w:color w:val="auto"/>
              </w:rPr>
            </w:pPr>
          </w:p>
        </w:tc>
      </w:tr>
    </w:tbl>
    <w:p>
      <w:pPr>
        <w:spacing w:after="0" w:line="165" w:lineRule="exact"/>
        <w:rPr>
          <w:sz w:val="20"/>
          <w:szCs w:val="20"/>
          <w:color w:val="auto"/>
        </w:rPr>
      </w:pPr>
    </w:p>
    <w:p>
      <w:pPr>
        <w:ind w:left="200" w:right="80"/>
        <w:spacing w:after="0" w:line="247"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under Irish law. If you properly give a proxy but do not indicate how you wish to vote, the persons named on the proxy card will vote for the proposal, in person or by proxy, provided a quorum is present. Generally, abstentions and broker “non-votes” will not affect the voting results; however, this proposal is also subject to separate NYSE rules. Under NYSE rules, abstentions will be considered votes cast. As a result, abstentions will have the effect of a vote against this proposal under NYSE rules. Broker “non-votes” will not affect the voting results for this proposal.</w:t>
      </w:r>
    </w:p>
    <w:p>
      <w:pPr>
        <w:spacing w:after="0" w:line="202" w:lineRule="exact"/>
        <w:rPr>
          <w:sz w:val="20"/>
          <w:szCs w:val="20"/>
          <w:color w:val="auto"/>
        </w:rPr>
      </w:pPr>
    </w:p>
    <w:p>
      <w:pPr>
        <w:ind w:left="200" w:right="60"/>
        <w:spacing w:after="0" w:line="245" w:lineRule="auto"/>
        <w:rPr>
          <w:sz w:val="20"/>
          <w:szCs w:val="20"/>
          <w:color w:val="auto"/>
        </w:rPr>
      </w:pPr>
      <w:r>
        <w:rPr>
          <w:rFonts w:ascii="Arial" w:cs="Arial" w:eastAsia="Arial" w:hAnsi="Arial"/>
          <w:sz w:val="14"/>
          <w:szCs w:val="14"/>
          <w:color w:val="auto"/>
        </w:rPr>
        <w:t>If the amendment and restatement of the Plan is not approved by our shareholders, we may continue to make awards under the Plan and our Weatherford International plc 2006 Omnibus Incentive Plan, as amended and restated. In the event that we have insufficient shares available for issuance under the Plan and the 2006 Omnibus Incentive Plan to cover our projected grants beyond 2019, we may have to increase the cash component of our executive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w:t>
      </w:r>
    </w:p>
    <w:p>
      <w:pPr>
        <w:spacing w:after="0" w:line="205"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4"/>
          <w:szCs w:val="14"/>
          <w:color w:val="auto"/>
        </w:rPr>
        <w:t>Following is a summary of the material terms of the Plan and of certain tax effects of participation in the Plan. The summary does not purport to be complete and is subject to, and qualified in its entirety by reference to, the complete text of the amended and restated Plan. The proposed amended and restated Plan is attached hereto as Annex C. To the extent that there is a conflict between this summary and the amended and restated Plan, the terms of the amended and restated Plan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KEY PLAN PROVISIONS</w:t>
      </w:r>
    </w:p>
    <w:p>
      <w:pPr>
        <w:spacing w:after="0" w:line="280" w:lineRule="exact"/>
        <w:rPr>
          <w:sz w:val="20"/>
          <w:szCs w:val="20"/>
          <w:color w:val="auto"/>
        </w:rPr>
      </w:pPr>
    </w:p>
    <w:p>
      <w:pPr>
        <w:ind w:left="200" w:right="340"/>
        <w:spacing w:after="0" w:line="258" w:lineRule="auto"/>
        <w:rPr>
          <w:sz w:val="20"/>
          <w:szCs w:val="20"/>
          <w:color w:val="auto"/>
        </w:rPr>
      </w:pPr>
      <w:r>
        <w:rPr>
          <w:rFonts w:ascii="Arial" w:cs="Arial" w:eastAsia="Arial" w:hAnsi="Arial"/>
          <w:sz w:val="14"/>
          <w:szCs w:val="14"/>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78" w:lineRule="exact"/>
        <w:rPr>
          <w:sz w:val="20"/>
          <w:szCs w:val="20"/>
          <w:color w:val="auto"/>
        </w:rPr>
      </w:pPr>
    </w:p>
    <w:p>
      <w:pPr>
        <w:ind w:left="420" w:right="200" w:hanging="216"/>
        <w:spacing w:after="0" w:line="282"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Broad-Based Grants: </w:t>
      </w:r>
      <w:r>
        <w:rPr>
          <w:rFonts w:ascii="Arial" w:cs="Arial" w:eastAsia="Arial" w:hAnsi="Arial"/>
          <w:sz w:val="14"/>
          <w:szCs w:val="14"/>
          <w:color w:val="auto"/>
        </w:rPr>
        <w:t>The plan permits us to grant equity incentives to a broad group of employees, not only to executives and directors. We believe this broad-based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approach provides a variety of benefits, including by aligning employees’ interests with those of our shareholders.</w:t>
      </w:r>
    </w:p>
    <w:p>
      <w:pPr>
        <w:spacing w:after="0" w:line="161" w:lineRule="exact"/>
        <w:rPr>
          <w:rFonts w:ascii="Arial" w:cs="Arial" w:eastAsia="Arial" w:hAnsi="Arial"/>
          <w:sz w:val="14"/>
          <w:szCs w:val="14"/>
          <w:color w:val="C3002F"/>
        </w:rPr>
      </w:pPr>
    </w:p>
    <w:p>
      <w:pPr>
        <w:ind w:left="420" w:right="340" w:hanging="216"/>
        <w:spacing w:after="0" w:line="282"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Stock Option Repricing/Exchange: </w:t>
      </w:r>
      <w:r>
        <w:rPr>
          <w:rFonts w:ascii="Arial" w:cs="Arial" w:eastAsia="Arial" w:hAnsi="Arial"/>
          <w:sz w:val="14"/>
          <w:szCs w:val="14"/>
          <w:color w:val="auto"/>
        </w:rPr>
        <w:t>The Plan does not permit the repricing of options or SARs or the exchange of underwater options or SARs for cash or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awards without shareholder approval.</w:t>
      </w:r>
    </w:p>
    <w:p>
      <w:pPr>
        <w:spacing w:after="0" w:line="161" w:lineRule="exact"/>
        <w:rPr>
          <w:rFonts w:ascii="Arial" w:cs="Arial" w:eastAsia="Arial" w:hAnsi="Arial"/>
          <w:sz w:val="14"/>
          <w:szCs w:val="14"/>
          <w:color w:val="C3002F"/>
        </w:rPr>
      </w:pPr>
    </w:p>
    <w:p>
      <w:pPr>
        <w:ind w:left="420" w:hanging="216"/>
        <w:spacing w:after="0"/>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Discounted Awards: </w:t>
      </w:r>
      <w:r>
        <w:rPr>
          <w:rFonts w:ascii="Arial" w:cs="Arial" w:eastAsia="Arial" w:hAnsi="Arial"/>
          <w:sz w:val="14"/>
          <w:szCs w:val="14"/>
          <w:color w:val="auto"/>
        </w:rPr>
        <w:t>Awards having an exercise price will not be granted with an exercise price less than the fair market value on the date of grant.</w:t>
      </w:r>
    </w:p>
    <w:p>
      <w:pPr>
        <w:spacing w:after="0" w:line="217" w:lineRule="exact"/>
        <w:rPr>
          <w:rFonts w:ascii="Arial" w:cs="Arial" w:eastAsia="Arial" w:hAnsi="Arial"/>
          <w:sz w:val="14"/>
          <w:szCs w:val="14"/>
          <w:color w:val="C3002F"/>
        </w:rPr>
      </w:pPr>
    </w:p>
    <w:p>
      <w:pPr>
        <w:ind w:left="420" w:right="180" w:hanging="216"/>
        <w:spacing w:after="0" w:line="261"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“Evergreen” Provision: </w:t>
      </w:r>
      <w:r>
        <w:rPr>
          <w:rFonts w:ascii="Arial" w:cs="Arial" w:eastAsia="Arial" w:hAnsi="Arial"/>
          <w:sz w:val="14"/>
          <w:szCs w:val="14"/>
          <w:color w:val="auto"/>
        </w:rPr>
        <w:t>The Plan fixes the number of shares available for future grants (96,144,000, if the proposed amendment and restatement is approved),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provided that this number does not reflect any reverse stock splits and will be adjusted automatically should the reverse stock split proposal (set forth in Agenda Item 4, be approved by shareholders) and does not provide an annual or automatic increase in the number of shares available for future grants.</w:t>
      </w:r>
    </w:p>
    <w:p>
      <w:pPr>
        <w:spacing w:after="0" w:line="177" w:lineRule="exact"/>
        <w:rPr>
          <w:rFonts w:ascii="Arial" w:cs="Arial" w:eastAsia="Arial" w:hAnsi="Arial"/>
          <w:sz w:val="14"/>
          <w:szCs w:val="14"/>
          <w:color w:val="C3002F"/>
        </w:rPr>
      </w:pPr>
    </w:p>
    <w:p>
      <w:pPr>
        <w:ind w:left="420" w:right="100" w:hanging="216"/>
        <w:spacing w:after="0" w:line="261"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Strict Change of Control Definition: </w:t>
      </w:r>
      <w:r>
        <w:rPr>
          <w:rFonts w:ascii="Arial" w:cs="Arial" w:eastAsia="Arial" w:hAnsi="Arial"/>
          <w:sz w:val="14"/>
          <w:szCs w:val="14"/>
          <w:color w:val="auto"/>
        </w:rPr>
        <w:t>No change of control would be triggered by mere shareholder approval of a business combination or similar corporate transaction,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but only upon consummation of such a transaction. In addition, no change of control is triggered unless the incumbent members of the Board fail to constitute at least a majority of the Board (excluding the election of any such individual whose nomination or election was approved by two-thirds of the then incumbent Board).</w:t>
      </w:r>
    </w:p>
    <w:p>
      <w:pPr>
        <w:spacing w:after="0" w:line="177" w:lineRule="exact"/>
        <w:rPr>
          <w:rFonts w:ascii="Arial" w:cs="Arial" w:eastAsia="Arial" w:hAnsi="Arial"/>
          <w:sz w:val="14"/>
          <w:szCs w:val="14"/>
          <w:color w:val="C3002F"/>
        </w:rPr>
      </w:pPr>
    </w:p>
    <w:p>
      <w:pPr>
        <w:ind w:left="420" w:right="100" w:hanging="216"/>
        <w:spacing w:after="0" w:line="261"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Limitation on Reuse of Shares: </w:t>
      </w:r>
      <w:r>
        <w:rPr>
          <w:rFonts w:ascii="Arial" w:cs="Arial" w:eastAsia="Arial" w:hAnsi="Arial"/>
          <w:sz w:val="14"/>
          <w:szCs w:val="14"/>
          <w:color w:val="auto"/>
        </w:rPr>
        <w:t>The Plan does not allow shares to be added back to the aggregate number of shares that may be issued under the Plan if such shares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were withheld, deducted or delivered in connection with required withholding tax payments, the exercise price of an option, the payment of the purchase price for restricted share awards, RSUs, performance share awards and PSUs or the settlement of SARs.</w:t>
      </w:r>
    </w:p>
    <w:p>
      <w:pPr>
        <w:spacing w:after="0" w:line="177" w:lineRule="exact"/>
        <w:rPr>
          <w:rFonts w:ascii="Arial" w:cs="Arial" w:eastAsia="Arial" w:hAnsi="Arial"/>
          <w:sz w:val="14"/>
          <w:szCs w:val="14"/>
          <w:color w:val="C3002F"/>
        </w:rPr>
      </w:pPr>
    </w:p>
    <w:p>
      <w:pPr>
        <w:ind w:left="420" w:right="100" w:hanging="216"/>
        <w:spacing w:after="0" w:line="255" w:lineRule="auto"/>
        <w:tabs>
          <w:tab w:leader="none" w:pos="420" w:val="left"/>
        </w:tabs>
        <w:numPr>
          <w:ilvl w:val="0"/>
          <w:numId w:val="91"/>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Minimum Vesting and Performance Period: </w:t>
      </w:r>
      <w:r>
        <w:rPr>
          <w:rFonts w:ascii="Arial" w:cs="Arial" w:eastAsia="Arial" w:hAnsi="Arial"/>
          <w:sz w:val="14"/>
          <w:szCs w:val="14"/>
          <w:color w:val="auto"/>
        </w:rPr>
        <w:t>Restricted share awards, RSUs and other share-based awards that are not subject to performance goals have a minimum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vesting period of three years, except (i) on certain terminations of employment, (ii) in connection with restricted share awards made in lieu of salary, cash bonuses or a non-employee director’s annual compensation or (iii) upon a change of control. Performance share awards and PSUs that are subject to performance goals have a minimum performance period of one year, except on certain terminations of employment or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60" w:hanging="356"/>
        <w:spacing w:after="0"/>
        <w:tabs>
          <w:tab w:leader="none" w:pos="560" w:val="left"/>
        </w:tabs>
        <w:numPr>
          <w:ilvl w:val="0"/>
          <w:numId w:val="9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8</w:t>
      </w:r>
    </w:p>
    <w:p>
      <w:pPr>
        <w:spacing w:after="0" w:line="368" w:lineRule="exact"/>
        <w:rPr>
          <w:sz w:val="20"/>
          <w:szCs w:val="20"/>
          <w:color w:val="auto"/>
        </w:rPr>
      </w:pPr>
    </w:p>
    <w:p>
      <w:pPr>
        <w:ind w:left="420" w:right="60" w:hanging="216"/>
        <w:spacing w:after="0" w:line="269" w:lineRule="auto"/>
        <w:tabs>
          <w:tab w:leader="none" w:pos="420" w:val="left"/>
        </w:tabs>
        <w:numPr>
          <w:ilvl w:val="0"/>
          <w:numId w:val="93"/>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 on Awards without Restriction: </w:t>
      </w:r>
      <w:r>
        <w:rPr>
          <w:rFonts w:ascii="Arial" w:cs="Arial" w:eastAsia="Arial" w:hAnsi="Arial"/>
          <w:sz w:val="14"/>
          <w:szCs w:val="14"/>
          <w:color w:val="auto"/>
        </w:rPr>
        <w:t>Restricted share awards, RSUs and other share-based awards that are not subject to minimum vesting periods and performance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 awards and PSUs that are not subject to minimum performance periods are limited to 5% of the total number of shares that may be issued or delivered under the Plan.</w:t>
      </w:r>
    </w:p>
    <w:p>
      <w:pPr>
        <w:spacing w:after="0" w:line="341" w:lineRule="exact"/>
        <w:rPr>
          <w:rFonts w:ascii="Arial" w:cs="Arial" w:eastAsia="Arial" w:hAnsi="Arial"/>
          <w:sz w:val="14"/>
          <w:szCs w:val="14"/>
          <w:color w:val="C3002F"/>
        </w:rPr>
      </w:pPr>
    </w:p>
    <w:p>
      <w:pPr>
        <w:ind w:left="420" w:hanging="216"/>
        <w:spacing w:after="0"/>
        <w:tabs>
          <w:tab w:leader="none" w:pos="420" w:val="left"/>
        </w:tabs>
        <w:numPr>
          <w:ilvl w:val="0"/>
          <w:numId w:val="93"/>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Independent Committee Administration: </w:t>
      </w:r>
      <w:r>
        <w:rPr>
          <w:rFonts w:ascii="Arial" w:cs="Arial" w:eastAsia="Arial" w:hAnsi="Arial"/>
          <w:sz w:val="14"/>
          <w:szCs w:val="14"/>
          <w:color w:val="auto"/>
        </w:rPr>
        <w:t>The Plan is administered by our Compensation Committee, which is composed entirely of independent directors.</w:t>
      </w:r>
    </w:p>
    <w:p>
      <w:pPr>
        <w:spacing w:after="0" w:line="193" w:lineRule="exact"/>
        <w:rPr>
          <w:sz w:val="20"/>
          <w:szCs w:val="20"/>
          <w:color w:val="auto"/>
        </w:rPr>
      </w:pPr>
    </w:p>
    <w:p>
      <w:pPr>
        <w:jc w:val="both"/>
        <w:ind w:left="200" w:right="180"/>
        <w:spacing w:after="0" w:line="250" w:lineRule="auto"/>
        <w:rPr>
          <w:sz w:val="20"/>
          <w:szCs w:val="20"/>
          <w:color w:val="auto"/>
        </w:rPr>
      </w:pPr>
      <w:r>
        <w:rPr>
          <w:rFonts w:ascii="Arial" w:cs="Arial" w:eastAsia="Arial" w:hAnsi="Arial"/>
          <w:sz w:val="14"/>
          <w:szCs w:val="14"/>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GENERAL TERMS</w:t>
      </w:r>
    </w:p>
    <w:p>
      <w:pPr>
        <w:spacing w:after="0" w:line="280" w:lineRule="exact"/>
        <w:rPr>
          <w:sz w:val="20"/>
          <w:szCs w:val="20"/>
          <w:color w:val="auto"/>
        </w:rPr>
      </w:pPr>
    </w:p>
    <w:p>
      <w:pPr>
        <w:ind w:left="200" w:right="40"/>
        <w:spacing w:after="0" w:line="247" w:lineRule="auto"/>
        <w:rPr>
          <w:sz w:val="20"/>
          <w:szCs w:val="20"/>
          <w:color w:val="auto"/>
        </w:rPr>
      </w:pPr>
      <w:r>
        <w:rPr>
          <w:rFonts w:ascii="Arial" w:cs="Arial" w:eastAsia="Arial" w:hAnsi="Arial"/>
          <w:sz w:val="14"/>
          <w:szCs w:val="14"/>
          <w:color w:val="auto"/>
        </w:rPr>
        <w:t>The aggregate number of shares available for grant under the Plan, as proposed to be amended, will be 96,144,000 million. Note that this share number does not reflect any reverse stock splits and will be adjusted automatically should the reverse stock split proposal, set forth in Item 4, be approved by shareholders. Each share that is subject to an award counts as one share against the aggregate number. The maximum number of shares subject to an award that may be granted under the Plan to an employee of Weatherford or any of its affiliates during any fiscal year is 5,000,000 which will automatically be adjusted to a limit of 250,000 if the reverse stock split is approved.</w:t>
      </w:r>
    </w:p>
    <w:p>
      <w:pPr>
        <w:spacing w:after="0" w:line="161"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8"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share unit awards, other share-based awards and cash-based awards.</w:t>
      </w:r>
    </w:p>
    <w:p>
      <w:pPr>
        <w:spacing w:after="0" w:line="164"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We currently have approximately 26,500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59" w:lineRule="exact"/>
        <w:rPr>
          <w:sz w:val="20"/>
          <w:szCs w:val="20"/>
          <w:color w:val="auto"/>
        </w:rPr>
      </w:pPr>
    </w:p>
    <w:p>
      <w:pPr>
        <w:ind w:left="200" w:right="600"/>
        <w:spacing w:after="0" w:line="258" w:lineRule="auto"/>
        <w:rPr>
          <w:sz w:val="20"/>
          <w:szCs w:val="20"/>
          <w:color w:val="auto"/>
        </w:rPr>
      </w:pPr>
      <w:r>
        <w:rPr>
          <w:rFonts w:ascii="Arial" w:cs="Arial" w:eastAsia="Arial" w:hAnsi="Arial"/>
          <w:sz w:val="14"/>
          <w:szCs w:val="14"/>
          <w:color w:val="auto"/>
        </w:rPr>
        <w:t>The Board of Directors may amend the terms of the Plan at any time, subject to the shareholder approval requirements of the NYSE and other rules and regulations applicable to Weatherford.</w:t>
      </w:r>
    </w:p>
    <w:p>
      <w:pPr>
        <w:spacing w:after="0" w:line="167" w:lineRule="exact"/>
        <w:rPr>
          <w:sz w:val="20"/>
          <w:szCs w:val="20"/>
          <w:color w:val="auto"/>
        </w:rPr>
      </w:pPr>
    </w:p>
    <w:p>
      <w:pPr>
        <w:ind w:left="200" w:right="520"/>
        <w:spacing w:after="0" w:line="258" w:lineRule="auto"/>
        <w:rPr>
          <w:sz w:val="20"/>
          <w:szCs w:val="20"/>
          <w:color w:val="auto"/>
        </w:rPr>
      </w:pPr>
      <w:r>
        <w:rPr>
          <w:rFonts w:ascii="Arial" w:cs="Arial" w:eastAsia="Arial" w:hAnsi="Arial"/>
          <w:sz w:val="14"/>
          <w:szCs w:val="14"/>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54"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61" w:lineRule="exact"/>
        <w:rPr>
          <w:sz w:val="20"/>
          <w:szCs w:val="20"/>
          <w:color w:val="auto"/>
        </w:rPr>
      </w:pPr>
    </w:p>
    <w:p>
      <w:pPr>
        <w:ind w:left="200" w:right="360"/>
        <w:spacing w:after="0" w:line="258" w:lineRule="auto"/>
        <w:rPr>
          <w:sz w:val="20"/>
          <w:szCs w:val="20"/>
          <w:color w:val="auto"/>
        </w:rPr>
      </w:pPr>
      <w:r>
        <w:rPr>
          <w:rFonts w:ascii="Arial" w:cs="Arial" w:eastAsia="Arial" w:hAnsi="Arial"/>
          <w:sz w:val="14"/>
          <w:szCs w:val="14"/>
          <w:color w:val="auto"/>
        </w:rPr>
        <w:t>The Committee may establish certain performance goals applicable to certain awards, including performance share awards and performance share unit awards granted under the Plan.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will continue indefinitely until it is terminated pursuant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PERFORMANCE SHARE AWARDS AND</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PERFORMANCE SHARE UNIT AWARDS</w:t>
      </w:r>
    </w:p>
    <w:p>
      <w:pPr>
        <w:spacing w:after="0" w:line="226"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share unit award denominated in shares is 5,000,000 shares per fiscal year for any holder. The maximum amount payable to any holder in respect of a performance share unit award that is not denominated in shares with respect to any fiscal year in the performance period is $25 million per fiscal year.</w:t>
      </w:r>
    </w:p>
    <w:p>
      <w:pPr>
        <w:spacing w:after="0" w:line="161" w:lineRule="exact"/>
        <w:rPr>
          <w:sz w:val="20"/>
          <w:szCs w:val="20"/>
          <w:color w:val="auto"/>
        </w:rPr>
      </w:pPr>
    </w:p>
    <w:p>
      <w:pPr>
        <w:ind w:left="200" w:right="220"/>
        <w:spacing w:after="0" w:line="245" w:lineRule="auto"/>
        <w:rPr>
          <w:sz w:val="20"/>
          <w:szCs w:val="20"/>
          <w:color w:val="auto"/>
        </w:rPr>
      </w:pPr>
      <w:r>
        <w:rPr>
          <w:rFonts w:ascii="Arial" w:cs="Arial" w:eastAsia="Arial" w:hAnsi="Arial"/>
          <w:sz w:val="14"/>
          <w:szCs w:val="14"/>
          <w:color w:val="auto"/>
        </w:rPr>
        <w:t>The Committee may, in its sole discretion, grant performance share awards and performance share unit awards. A performance share award or performance share unit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4"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spacing w:after="0" w:line="242" w:lineRule="auto"/>
        <w:rPr>
          <w:sz w:val="20"/>
          <w:szCs w:val="20"/>
          <w:color w:val="auto"/>
        </w:rPr>
      </w:pPr>
      <w:r>
        <w:rPr>
          <w:rFonts w:ascii="Arial" w:cs="Arial" w:eastAsia="Arial" w:hAnsi="Arial"/>
          <w:sz w:val="14"/>
          <w:szCs w:val="14"/>
          <w:color w:val="auto"/>
        </w:rPr>
        <w:t>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Performance share awards and performance share unit awards may also be based on other quantifiable business criteria.</w:t>
      </w:r>
    </w:p>
    <w:p>
      <w:pPr>
        <w:spacing w:after="0" w:line="177"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All performance share awards and performance share unit awards are generally subject to a minimum performance period of not less than one year, except for performance share awards and performance share unit awards made in lieu of salary, cash bonuses or a non-employee director’s annual compensation. The Committee may also accelerate the vesting of performance share awards and performance share unit awards in certain circumstances.</w:t>
      </w:r>
    </w:p>
    <w:p>
      <w:pPr>
        <w:spacing w:after="0" w:line="172" w:lineRule="exact"/>
        <w:rPr>
          <w:sz w:val="20"/>
          <w:szCs w:val="20"/>
          <w:color w:val="auto"/>
        </w:rPr>
      </w:pPr>
    </w:p>
    <w:p>
      <w:pPr>
        <w:jc w:val="both"/>
        <w:ind w:left="200" w:right="160"/>
        <w:spacing w:after="0" w:line="248" w:lineRule="auto"/>
        <w:rPr>
          <w:sz w:val="20"/>
          <w:szCs w:val="20"/>
          <w:color w:val="auto"/>
        </w:rPr>
      </w:pPr>
      <w:r>
        <w:rPr>
          <w:rFonts w:ascii="Arial" w:cs="Arial" w:eastAsia="Arial" w:hAnsi="Arial"/>
          <w:sz w:val="14"/>
          <w:szCs w:val="14"/>
          <w:color w:val="auto"/>
        </w:rPr>
        <w:t>Performance share unit awards are payable in cash or shares, or a combination of cash and shares, as specified in the applicable award agreement. Any payment under a performance share unit award will be made either (i) by a date that is no later than two and one-half months after the end of the fiscal year in which the performance share unit award payment is no longer subject to a “substantial risk of forfeiture” (as that term is defined in the Plan) or (ii) at a time that is permissible under Section 409A of the Code.</w:t>
      </w:r>
    </w:p>
    <w:p>
      <w:pPr>
        <w:spacing w:after="0" w:line="325"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share unit awards do not have any rights of a shareholder.</w:t>
      </w:r>
    </w:p>
    <w:p>
      <w:pPr>
        <w:spacing w:after="0" w:line="159" w:lineRule="exact"/>
        <w:rPr>
          <w:sz w:val="20"/>
          <w:szCs w:val="20"/>
          <w:color w:val="auto"/>
        </w:rPr>
      </w:pPr>
    </w:p>
    <w:p>
      <w:pPr>
        <w:ind w:left="200" w:right="320"/>
        <w:spacing w:after="0" w:line="250" w:lineRule="auto"/>
        <w:rPr>
          <w:sz w:val="20"/>
          <w:szCs w:val="20"/>
          <w:color w:val="auto"/>
        </w:rPr>
      </w:pPr>
      <w:r>
        <w:rPr>
          <w:rFonts w:ascii="Arial" w:cs="Arial" w:eastAsia="Arial" w:hAnsi="Arial"/>
          <w:sz w:val="14"/>
          <w:szCs w:val="14"/>
          <w:color w:val="auto"/>
        </w:rPr>
        <w:t>Any performance goal for a particular performance share award or performance share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terms and conditions applicable to performance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8318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RESTRICTED SHARES</w:t>
      </w:r>
    </w:p>
    <w:p>
      <w:pPr>
        <w:spacing w:after="0" w:line="280" w:lineRule="exact"/>
        <w:rPr>
          <w:sz w:val="20"/>
          <w:szCs w:val="20"/>
          <w:color w:val="auto"/>
        </w:rPr>
      </w:pPr>
    </w:p>
    <w:p>
      <w:pPr>
        <w:ind w:left="200" w:right="160"/>
        <w:spacing w:after="0" w:line="247" w:lineRule="auto"/>
        <w:rPr>
          <w:sz w:val="20"/>
          <w:szCs w:val="20"/>
          <w:color w:val="auto"/>
        </w:rPr>
      </w:pPr>
      <w:r>
        <w:rPr>
          <w:rFonts w:ascii="Arial" w:cs="Arial" w:eastAsia="Arial" w:hAnsi="Arial"/>
          <w:sz w:val="14"/>
          <w:szCs w:val="14"/>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6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RESTRICTED SHARE UNIT AWARDS</w:t>
      </w:r>
    </w:p>
    <w:p>
      <w:pPr>
        <w:spacing w:after="0" w:line="280"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61"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0" w:lineRule="exact"/>
        <w:rPr>
          <w:sz w:val="20"/>
          <w:szCs w:val="20"/>
          <w:color w:val="auto"/>
        </w:rPr>
      </w:pPr>
    </w:p>
    <w:p>
      <w:pPr>
        <w:ind w:left="560" w:hanging="356"/>
        <w:spacing w:after="0"/>
        <w:tabs>
          <w:tab w:leader="none" w:pos="560" w:val="left"/>
        </w:tabs>
        <w:numPr>
          <w:ilvl w:val="0"/>
          <w:numId w:val="9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8</w:t>
      </w:r>
    </w:p>
    <w:p>
      <w:pPr>
        <w:spacing w:after="0" w:line="168" w:lineRule="exact"/>
        <w:rPr>
          <w:sz w:val="20"/>
          <w:szCs w:val="20"/>
          <w:color w:val="auto"/>
        </w:rPr>
      </w:pPr>
    </w:p>
    <w:p>
      <w:pPr>
        <w:ind w:left="200" w:right="200"/>
        <w:spacing w:after="0" w:line="250" w:lineRule="auto"/>
        <w:rPr>
          <w:sz w:val="20"/>
          <w:szCs w:val="20"/>
          <w:color w:val="auto"/>
        </w:rPr>
      </w:pPr>
      <w:r>
        <w:rPr>
          <w:rFonts w:ascii="Arial" w:cs="Arial" w:eastAsia="Arial" w:hAnsi="Arial"/>
          <w:sz w:val="14"/>
          <w:szCs w:val="14"/>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59" w:lineRule="exact"/>
        <w:rPr>
          <w:sz w:val="20"/>
          <w:szCs w:val="20"/>
          <w:color w:val="auto"/>
        </w:rPr>
      </w:pPr>
    </w:p>
    <w:p>
      <w:pPr>
        <w:ind w:left="200" w:right="200"/>
        <w:spacing w:after="0" w:line="258" w:lineRule="auto"/>
        <w:rPr>
          <w:sz w:val="20"/>
          <w:szCs w:val="20"/>
          <w:color w:val="auto"/>
        </w:rPr>
      </w:pPr>
      <w:r>
        <w:rPr>
          <w:rFonts w:ascii="Arial" w:cs="Arial" w:eastAsia="Arial" w:hAnsi="Arial"/>
          <w:sz w:val="14"/>
          <w:szCs w:val="14"/>
          <w:color w:val="auto"/>
        </w:rPr>
        <w:t>In its discretion, the Committee may specify that the holder of a restricted share unit award is entitled to the payment of dividend equivalents under the award. Other terms and conditions applicable to restricted share units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OPTIONS</w:t>
      </w:r>
    </w:p>
    <w:p>
      <w:pPr>
        <w:spacing w:after="0" w:line="280"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54"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75"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prohibits any repricing of options after their grant, other than in connection with a share split, payment of a share dividend or certain other corporate transactions.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also prohibits the cancellation (i.e., “buying out”) of “underwater” stock options in exchange for cash or any other award without shareholder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 options have been granted under the Plan since its inception in 2010.</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60"/>
        <w:spacing w:after="0" w:line="250" w:lineRule="auto"/>
        <w:rPr>
          <w:sz w:val="20"/>
          <w:szCs w:val="20"/>
          <w:color w:val="auto"/>
        </w:rPr>
      </w:pPr>
      <w:r>
        <w:rPr>
          <w:rFonts w:ascii="Arial" w:cs="Arial" w:eastAsia="Arial" w:hAnsi="Arial"/>
          <w:sz w:val="14"/>
          <w:szCs w:val="14"/>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72"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4"/>
          <w:szCs w:val="14"/>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59"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 the discretion of the Committee, this payment may be in cash, in shares of equivalent value, in some combination thereof, or in any other form that may be approved by the Committee.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prohibits any re-pricing of SARs after their grant, other than in connection with a share split, payment of a share dividend or certain other corporate transactions.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Plan also prohibits the cancellation (i.e., “buying out”) of “underwater” SARs in exchange for cash or any other award without shareholder approval.</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OTHER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40"/>
        <w:spacing w:after="0" w:line="244" w:lineRule="auto"/>
        <w:rPr>
          <w:sz w:val="20"/>
          <w:szCs w:val="20"/>
          <w:color w:val="auto"/>
        </w:rPr>
      </w:pPr>
      <w:r>
        <w:rPr>
          <w:rFonts w:ascii="Arial" w:cs="Arial" w:eastAsia="Arial" w:hAnsi="Arial"/>
          <w:sz w:val="14"/>
          <w:szCs w:val="14"/>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179"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53</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CASH-BASED AWARDS</w:t>
      </w:r>
    </w:p>
    <w:p>
      <w:pPr>
        <w:spacing w:after="0" w:line="28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The Committee may grant cash-based awards in such amounts and upon such terms as the Committee may determine. Any payment with respect to a cash-based award will be made in cash. The maximum amount payable to any holder in respect of any cash-based award, when aggregated with such holder’s performance share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share unit awards. If the Committee decides to establish performance goals, the cash-based awards that will be paid out to the holder will depend on the extent to which the performance goals are met.</w:t>
      </w:r>
    </w:p>
    <w:p>
      <w:pPr>
        <w:spacing w:after="0" w:line="326" w:lineRule="exact"/>
        <w:rPr>
          <w:sz w:val="20"/>
          <w:szCs w:val="20"/>
          <w:color w:val="auto"/>
        </w:rPr>
      </w:pPr>
    </w:p>
    <w:p>
      <w:pPr>
        <w:ind w:left="200" w:right="40"/>
        <w:spacing w:after="0" w:line="258" w:lineRule="auto"/>
        <w:rPr>
          <w:sz w:val="20"/>
          <w:szCs w:val="20"/>
          <w:color w:val="auto"/>
        </w:rPr>
      </w:pPr>
      <w:r>
        <w:rPr>
          <w:rFonts w:ascii="Arial" w:cs="Arial" w:eastAsia="Arial" w:hAnsi="Arial"/>
          <w:sz w:val="14"/>
          <w:szCs w:val="14"/>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right="1620"/>
        <w:spacing w:after="0" w:line="281" w:lineRule="auto"/>
        <w:rPr>
          <w:sz w:val="20"/>
          <w:szCs w:val="20"/>
          <w:color w:val="auto"/>
        </w:rPr>
      </w:pPr>
      <w:r>
        <w:rPr>
          <w:rFonts w:ascii="Arial" w:cs="Arial" w:eastAsia="Arial" w:hAnsi="Arial"/>
          <w:sz w:val="43"/>
          <w:szCs w:val="43"/>
          <w:b w:val="1"/>
          <w:bCs w:val="1"/>
          <w:color w:val="666666"/>
        </w:rPr>
        <w:t>EFFECTS OF CERTAIN TRANSACTIONS AND CHANGE OF CONTROL</w:t>
      </w:r>
    </w:p>
    <w:p>
      <w:pPr>
        <w:spacing w:after="0" w:line="116"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83185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FEDERAL INCOME TAX CONSEQUENCES</w:t>
      </w:r>
    </w:p>
    <w:p>
      <w:pPr>
        <w:spacing w:after="0" w:line="280" w:lineRule="exact"/>
        <w:rPr>
          <w:sz w:val="20"/>
          <w:szCs w:val="20"/>
          <w:color w:val="auto"/>
        </w:rPr>
      </w:pPr>
    </w:p>
    <w:p>
      <w:pPr>
        <w:ind w:left="200" w:right="20"/>
        <w:spacing w:after="0" w:line="245" w:lineRule="auto"/>
        <w:rPr>
          <w:sz w:val="20"/>
          <w:szCs w:val="20"/>
          <w:color w:val="auto"/>
        </w:rPr>
      </w:pPr>
      <w:r>
        <w:rPr>
          <w:rFonts w:ascii="Arial" w:cs="Arial" w:eastAsia="Arial" w:hAnsi="Arial"/>
          <w:sz w:val="14"/>
          <w:szCs w:val="14"/>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312"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i w:val="1"/>
          <w:iCs w:val="1"/>
          <w:color w:val="auto"/>
        </w:rPr>
        <w:t>Options, SARs, Performance share unit Awards, Restricted Share Unit Awards and Other Share-Based Awards</w:t>
      </w:r>
      <w:r>
        <w:rPr>
          <w:rFonts w:ascii="Arial" w:cs="Arial" w:eastAsia="Arial" w:hAnsi="Arial"/>
          <w:sz w:val="14"/>
          <w:szCs w:val="14"/>
          <w:color w:val="auto"/>
        </w:rPr>
        <w:t>. A participant generally is not required to recognize income</w:t>
      </w:r>
      <w:r>
        <w:rPr>
          <w:rFonts w:ascii="Arial" w:cs="Arial" w:eastAsia="Arial" w:hAnsi="Arial"/>
          <w:sz w:val="14"/>
          <w:szCs w:val="14"/>
          <w:i w:val="1"/>
          <w:iCs w:val="1"/>
          <w:color w:val="auto"/>
        </w:rPr>
        <w:t xml:space="preserve"> </w:t>
      </w:r>
      <w:r>
        <w:rPr>
          <w:rFonts w:ascii="Arial" w:cs="Arial" w:eastAsia="Arial" w:hAnsi="Arial"/>
          <w:sz w:val="14"/>
          <w:szCs w:val="14"/>
          <w:color w:val="auto"/>
        </w:rPr>
        <w:t>on the grant of an option, SAR, restricted share unit award, performance share unit award or other share-based award. Instead, ordinary income generally is required to be recognized on the date the option (see ISO discussion below) or SAR is exercised, or in the case of restricted share unit awards, performance share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share unit awards or other share-based awards, the amount of cash and/or the fair market value of any shares received in respect thereof.</w:t>
      </w:r>
    </w:p>
    <w:p>
      <w:pPr>
        <w:spacing w:after="0" w:line="164" w:lineRule="exact"/>
        <w:rPr>
          <w:sz w:val="20"/>
          <w:szCs w:val="20"/>
          <w:color w:val="auto"/>
        </w:rPr>
      </w:pPr>
    </w:p>
    <w:p>
      <w:pPr>
        <w:ind w:left="200" w:right="200"/>
        <w:spacing w:after="0" w:line="279" w:lineRule="auto"/>
        <w:rPr>
          <w:sz w:val="20"/>
          <w:szCs w:val="20"/>
          <w:color w:val="auto"/>
        </w:rPr>
      </w:pPr>
      <w:r>
        <w:rPr>
          <w:rFonts w:ascii="Arial" w:cs="Arial" w:eastAsia="Arial" w:hAnsi="Arial"/>
          <w:sz w:val="14"/>
          <w:szCs w:val="14"/>
          <w:i w:val="1"/>
          <w:iCs w:val="1"/>
          <w:color w:val="auto"/>
        </w:rPr>
        <w:t>ISOs</w:t>
      </w:r>
      <w:r>
        <w:rPr>
          <w:rFonts w:ascii="Arial" w:cs="Arial" w:eastAsia="Arial" w:hAnsi="Arial"/>
          <w:sz w:val="14"/>
          <w:szCs w:val="14"/>
          <w:color w:val="auto"/>
        </w:rPr>
        <w:t>. When a participant is granted an ISO, or when the participant exercises the ISO, the participant will generally not recognize taxable income (except for purposes of</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minimum tax).</w:t>
      </w:r>
    </w:p>
    <w:p>
      <w:pPr>
        <w:spacing w:after="0" w:line="139" w:lineRule="exact"/>
        <w:rPr>
          <w:sz w:val="20"/>
          <w:szCs w:val="20"/>
          <w:color w:val="auto"/>
        </w:rPr>
      </w:pPr>
    </w:p>
    <w:p>
      <w:pPr>
        <w:ind w:left="200" w:right="260"/>
        <w:spacing w:after="0" w:line="247" w:lineRule="auto"/>
        <w:rPr>
          <w:sz w:val="20"/>
          <w:szCs w:val="20"/>
          <w:color w:val="auto"/>
        </w:rPr>
      </w:pPr>
      <w:r>
        <w:rPr>
          <w:rFonts w:ascii="Arial" w:cs="Arial" w:eastAsia="Arial" w:hAnsi="Arial"/>
          <w:sz w:val="14"/>
          <w:szCs w:val="14"/>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Cash-Based Awards</w:t>
      </w:r>
      <w:r>
        <w:rPr>
          <w:rFonts w:ascii="Arial" w:cs="Arial" w:eastAsia="Arial" w:hAnsi="Arial"/>
          <w:sz w:val="14"/>
          <w:szCs w:val="14"/>
          <w:color w:val="auto"/>
        </w:rPr>
        <w:t>. Upon payment of a cash-based award, a participant is required to recognize ordinary income in the amount of the award.</w:t>
      </w:r>
    </w:p>
    <w:p>
      <w:pPr>
        <w:spacing w:after="0" w:line="19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i w:val="1"/>
          <w:iCs w:val="1"/>
          <w:color w:val="auto"/>
        </w:rPr>
        <w:t>Restricted Shares and Performance Share Awards</w:t>
      </w:r>
      <w:r>
        <w:rPr>
          <w:rFonts w:ascii="Arial" w:cs="Arial" w:eastAsia="Arial" w:hAnsi="Arial"/>
          <w:sz w:val="14"/>
          <w:szCs w:val="14"/>
          <w:color w:val="auto"/>
        </w:rPr>
        <w:t>. Unless a participant who receives an award of restricted shares or an award of performance shares makes an election</w:t>
      </w:r>
      <w:r>
        <w:rPr>
          <w:rFonts w:ascii="Arial" w:cs="Arial" w:eastAsia="Arial" w:hAnsi="Arial"/>
          <w:sz w:val="14"/>
          <w:szCs w:val="14"/>
          <w:i w:val="1"/>
          <w:iCs w:val="1"/>
          <w:color w:val="auto"/>
        </w:rPr>
        <w:t xml:space="preserve"> </w:t>
      </w:r>
      <w:r>
        <w:rPr>
          <w:rFonts w:ascii="Arial" w:cs="Arial" w:eastAsia="Arial" w:hAnsi="Arial"/>
          <w:sz w:val="14"/>
          <w:szCs w:val="14"/>
          <w:color w:val="auto"/>
        </w:rPr>
        <w:t>under Section 83(b) of the Code as described below, the participant generally is not required to recognize ordinary income on the award of restricted shares or performance shares. Instead, on the date the shares vest (i.e.,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93980</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ind w:left="560" w:hanging="356"/>
        <w:spacing w:after="0"/>
        <w:tabs>
          <w:tab w:leader="none" w:pos="560" w:val="left"/>
        </w:tabs>
        <w:numPr>
          <w:ilvl w:val="0"/>
          <w:numId w:val="9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140"/>
          </w:cols>
          <w:pgMar w:left="24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8</w:t>
      </w:r>
    </w:p>
    <w:p>
      <w:pPr>
        <w:spacing w:after="0" w:line="154" w:lineRule="exact"/>
        <w:rPr>
          <w:sz w:val="20"/>
          <w:szCs w:val="20"/>
          <w:color w:val="auto"/>
        </w:rPr>
      </w:pPr>
    </w:p>
    <w:p>
      <w:pPr>
        <w:ind w:left="200" w:right="60"/>
        <w:spacing w:after="0" w:line="279" w:lineRule="auto"/>
        <w:rPr>
          <w:sz w:val="20"/>
          <w:szCs w:val="20"/>
          <w:color w:val="auto"/>
        </w:rPr>
      </w:pPr>
      <w:r>
        <w:rPr>
          <w:rFonts w:ascii="Arial" w:cs="Arial" w:eastAsia="Arial" w:hAnsi="Arial"/>
          <w:sz w:val="14"/>
          <w:szCs w:val="14"/>
          <w:i w:val="1"/>
          <w:iCs w:val="1"/>
          <w:color w:val="auto"/>
        </w:rPr>
        <w:t>Gain or Loss on Sale or Exchange of Shares</w:t>
      </w:r>
      <w:r>
        <w:rPr>
          <w:rFonts w:ascii="Arial" w:cs="Arial" w:eastAsia="Arial" w:hAnsi="Arial"/>
          <w:sz w:val="14"/>
          <w:szCs w:val="14"/>
          <w:color w:val="auto"/>
        </w:rPr>
        <w:t>. In general, gain or loss from the sale or exchange of shares ranted or awarded under the Plan will be treated as capital gain or</w:t>
      </w:r>
      <w:r>
        <w:rPr>
          <w:rFonts w:ascii="Arial" w:cs="Arial" w:eastAsia="Arial" w:hAnsi="Arial"/>
          <w:sz w:val="14"/>
          <w:szCs w:val="14"/>
          <w:i w:val="1"/>
          <w:iCs w:val="1"/>
          <w:color w:val="auto"/>
        </w:rPr>
        <w:t xml:space="preserve"> </w:t>
      </w:r>
      <w:r>
        <w:rPr>
          <w:rFonts w:ascii="Arial" w:cs="Arial" w:eastAsia="Arial" w:hAnsi="Arial"/>
          <w:sz w:val="14"/>
          <w:szCs w:val="14"/>
          <w:color w:val="auto"/>
        </w:rPr>
        <w:t>loss, provided that the shares are held as capital assets at the time of the sale or exchange.</w:t>
      </w:r>
    </w:p>
    <w:p>
      <w:pPr>
        <w:spacing w:after="0" w:line="125" w:lineRule="exact"/>
        <w:rPr>
          <w:sz w:val="20"/>
          <w:szCs w:val="20"/>
          <w:color w:val="auto"/>
        </w:rPr>
      </w:pPr>
    </w:p>
    <w:p>
      <w:pPr>
        <w:ind w:left="200" w:right="40"/>
        <w:spacing w:after="0" w:line="254" w:lineRule="auto"/>
        <w:rPr>
          <w:sz w:val="20"/>
          <w:szCs w:val="20"/>
          <w:color w:val="auto"/>
        </w:rPr>
      </w:pPr>
      <w:r>
        <w:rPr>
          <w:rFonts w:ascii="Arial" w:cs="Arial" w:eastAsia="Arial" w:hAnsi="Arial"/>
          <w:sz w:val="14"/>
          <w:szCs w:val="14"/>
          <w:i w:val="1"/>
          <w:iCs w:val="1"/>
          <w:color w:val="auto"/>
        </w:rPr>
        <w:t>Deductibility by Weatherford</w:t>
      </w:r>
      <w:r>
        <w:rPr>
          <w:rFonts w:ascii="Arial" w:cs="Arial" w:eastAsia="Arial" w:hAnsi="Arial"/>
          <w:sz w:val="14"/>
          <w:szCs w:val="14"/>
          <w:color w:val="auto"/>
        </w:rPr>
        <w:t>. To the extent that a participant recognizes ordinary income in the circumstances described above, Weatherford or the subsidiary for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42" w:lineRule="exact"/>
        <w:rPr>
          <w:sz w:val="20"/>
          <w:szCs w:val="20"/>
          <w:color w:val="auto"/>
        </w:rPr>
      </w:pPr>
    </w:p>
    <w:p>
      <w:pPr>
        <w:ind w:left="200" w:right="100"/>
        <w:spacing w:after="0" w:line="245" w:lineRule="auto"/>
        <w:rPr>
          <w:sz w:val="20"/>
          <w:szCs w:val="20"/>
          <w:color w:val="auto"/>
        </w:rPr>
      </w:pPr>
      <w:r>
        <w:rPr>
          <w:rFonts w:ascii="Arial" w:cs="Arial" w:eastAsia="Arial" w:hAnsi="Arial"/>
          <w:sz w:val="14"/>
          <w:szCs w:val="14"/>
          <w:i w:val="1"/>
          <w:iCs w:val="1"/>
          <w:color w:val="auto"/>
        </w:rPr>
        <w:t>Performance Based Compensation</w:t>
      </w:r>
      <w:r>
        <w:rPr>
          <w:rFonts w:ascii="Arial" w:cs="Arial" w:eastAsia="Arial" w:hAnsi="Arial"/>
          <w:sz w:val="14"/>
          <w:szCs w:val="14"/>
          <w:color w:val="auto"/>
        </w:rPr>
        <w:t>. Code Section 162(m) of the Internal Revenue Code (“Section 162(m)”) places a limit of $1 million on the amount of compensation that</w:t>
      </w:r>
      <w:r>
        <w:rPr>
          <w:rFonts w:ascii="Arial" w:cs="Arial" w:eastAsia="Arial" w:hAnsi="Arial"/>
          <w:sz w:val="14"/>
          <w:szCs w:val="14"/>
          <w:i w:val="1"/>
          <w:iCs w:val="1"/>
          <w:color w:val="auto"/>
        </w:rPr>
        <w:t xml:space="preserve"> </w:t>
      </w:r>
      <w:r>
        <w:rPr>
          <w:rFonts w:ascii="Arial" w:cs="Arial" w:eastAsia="Arial" w:hAnsi="Arial"/>
          <w:sz w:val="14"/>
          <w:szCs w:val="14"/>
          <w:color w:val="auto"/>
        </w:rPr>
        <w:t>we may deduct for federal income tax purposes in any one year with respect to certain “covered employees.” Prior to the passage of the Tax Cuts and Job Act on December 22, 2017, there was an exemption to the $1 million limitation for performance-based compensation meeting certain requirements. With the enactment of the Tax Cuts and Jobs Act, the Section 162(m) performance-based compensation exemption has been repealed, subject to limited transition relief for certain written binding contracts in effect on November 2, 2017, and the covered employees include our chief executive officer, chief financial officer and three other most highly compensated executive officers, as well as any individual who is a covered employee for 2017 or any subsequent calendar year. Accordingly, for 2018 and later years, compensation in excess of $1 million paid to our covered named executive officers generally will not be deductible and no assurances can be given that compensation payable under certain of our compensation programs which were intended to qualify for the performance-based exception will in fact be deductible. While the Compensation Committee may consider tax deductibility as one of several relevant factors in determining executive compensation, to maintain flexibility in compensating our named executive officers, the Compensation Committee has not adopted a policy requiring all compensation to be deductible. Accordingly, the deduction for awards to covered employees may be disallowed. However, as a multi-national Irish company, this U.S. corporate tax deduction limitation may have a reduced impact on the Company.</w:t>
      </w:r>
    </w:p>
    <w:p>
      <w:pPr>
        <w:spacing w:after="0" w:line="164" w:lineRule="exact"/>
        <w:rPr>
          <w:sz w:val="20"/>
          <w:szCs w:val="20"/>
          <w:color w:val="auto"/>
        </w:rPr>
      </w:pPr>
    </w:p>
    <w:p>
      <w:pPr>
        <w:ind w:left="200" w:right="100"/>
        <w:spacing w:after="0" w:line="254" w:lineRule="auto"/>
        <w:rPr>
          <w:sz w:val="20"/>
          <w:szCs w:val="20"/>
          <w:color w:val="auto"/>
        </w:rPr>
      </w:pPr>
      <w:r>
        <w:rPr>
          <w:rFonts w:ascii="Arial" w:cs="Arial" w:eastAsia="Arial" w:hAnsi="Arial"/>
          <w:sz w:val="14"/>
          <w:szCs w:val="14"/>
          <w:i w:val="1"/>
          <w:iCs w:val="1"/>
          <w:color w:val="auto"/>
        </w:rPr>
        <w:t>Parachute Payments</w:t>
      </w:r>
      <w:r>
        <w:rPr>
          <w:rFonts w:ascii="Arial" w:cs="Arial" w:eastAsia="Arial" w:hAnsi="Arial"/>
          <w:sz w:val="14"/>
          <w:szCs w:val="14"/>
          <w:color w:val="auto"/>
        </w:rPr>
        <w:t>. Under the so-called “golden parachute” provisions of the Code, the accelerated vesting of options and benefits paid under other awards in connection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42" w:lineRule="exact"/>
        <w:rPr>
          <w:sz w:val="20"/>
          <w:szCs w:val="20"/>
          <w:color w:val="auto"/>
        </w:rPr>
      </w:pPr>
    </w:p>
    <w:p>
      <w:pPr>
        <w:ind w:left="200" w:right="180"/>
        <w:spacing w:after="0" w:line="279" w:lineRule="auto"/>
        <w:rPr>
          <w:sz w:val="20"/>
          <w:szCs w:val="20"/>
          <w:color w:val="auto"/>
        </w:rPr>
      </w:pPr>
      <w:r>
        <w:rPr>
          <w:rFonts w:ascii="Arial" w:cs="Arial" w:eastAsia="Arial" w:hAnsi="Arial"/>
          <w:sz w:val="14"/>
          <w:szCs w:val="14"/>
          <w:i w:val="1"/>
          <w:iCs w:val="1"/>
          <w:color w:val="auto"/>
        </w:rPr>
        <w:t>Withholding</w:t>
      </w:r>
      <w:r>
        <w:rPr>
          <w:rFonts w:ascii="Arial" w:cs="Arial" w:eastAsia="Arial" w:hAnsi="Arial"/>
          <w:sz w:val="14"/>
          <w:szCs w:val="14"/>
          <w:color w:val="auto"/>
        </w:rPr>
        <w:t>. Awards under the Plan may be subject to tax withholding. When an award results in income subject to withholding, Weatherford may require the participant to</w:t>
      </w:r>
      <w:r>
        <w:rPr>
          <w:rFonts w:ascii="Arial" w:cs="Arial" w:eastAsia="Arial" w:hAnsi="Arial"/>
          <w:sz w:val="14"/>
          <w:szCs w:val="14"/>
          <w:i w:val="1"/>
          <w:iCs w:val="1"/>
          <w:color w:val="auto"/>
        </w:rPr>
        <w:t xml:space="preserve"> </w:t>
      </w:r>
      <w:r>
        <w:rPr>
          <w:rFonts w:ascii="Arial" w:cs="Arial" w:eastAsia="Arial" w:hAnsi="Arial"/>
          <w:sz w:val="14"/>
          <w:szCs w:val="14"/>
          <w:color w:val="auto"/>
        </w:rPr>
        <w:t>remit the withholding amount to Weatherford or cause our shares to be withheld from issuance or sold in order to satisfy the tax withholding obligations.</w:t>
      </w:r>
    </w:p>
    <w:p>
      <w:pPr>
        <w:spacing w:after="0" w:line="125" w:lineRule="exact"/>
        <w:rPr>
          <w:sz w:val="20"/>
          <w:szCs w:val="20"/>
          <w:color w:val="auto"/>
        </w:rPr>
      </w:pPr>
    </w:p>
    <w:p>
      <w:pPr>
        <w:ind w:left="200" w:right="200"/>
        <w:spacing w:after="0" w:line="251" w:lineRule="auto"/>
        <w:rPr>
          <w:sz w:val="20"/>
          <w:szCs w:val="20"/>
          <w:color w:val="auto"/>
        </w:rPr>
      </w:pPr>
      <w:r>
        <w:rPr>
          <w:rFonts w:ascii="Arial" w:cs="Arial" w:eastAsia="Arial" w:hAnsi="Arial"/>
          <w:sz w:val="14"/>
          <w:szCs w:val="14"/>
          <w:i w:val="1"/>
          <w:iCs w:val="1"/>
          <w:color w:val="auto"/>
        </w:rPr>
        <w:t>Section 409A</w:t>
      </w:r>
      <w:r>
        <w:rPr>
          <w:rFonts w:ascii="Arial" w:cs="Arial" w:eastAsia="Arial" w:hAnsi="Arial"/>
          <w:sz w:val="14"/>
          <w:szCs w:val="14"/>
          <w:color w:val="auto"/>
        </w:rPr>
        <w:t>. Section 409A of the Code applies to compensation plans providing deferred compensation to employees, directors and consultants, and potentially could</w:t>
      </w:r>
      <w:r>
        <w:rPr>
          <w:rFonts w:ascii="Arial" w:cs="Arial" w:eastAsia="Arial" w:hAnsi="Arial"/>
          <w:sz w:val="14"/>
          <w:szCs w:val="14"/>
          <w:i w:val="1"/>
          <w:iCs w:val="1"/>
          <w:color w:val="auto"/>
        </w:rPr>
        <w:t xml:space="preserve"> </w:t>
      </w:r>
      <w:r>
        <w:rPr>
          <w:rFonts w:ascii="Arial" w:cs="Arial" w:eastAsia="Arial" w:hAnsi="Arial"/>
          <w:sz w:val="14"/>
          <w:szCs w:val="14"/>
          <w:color w:val="auto"/>
        </w:rPr>
        <w:t>apply to 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666666"/>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0" w:lineRule="exact"/>
        <w:rPr>
          <w:sz w:val="20"/>
          <w:szCs w:val="20"/>
          <w:color w:val="auto"/>
        </w:rPr>
      </w:pPr>
    </w:p>
    <w:p>
      <w:pPr>
        <w:ind w:left="200" w:right="40"/>
        <w:spacing w:after="0" w:line="250" w:lineRule="auto"/>
        <w:rPr>
          <w:sz w:val="20"/>
          <w:szCs w:val="20"/>
          <w:color w:val="auto"/>
        </w:rPr>
      </w:pPr>
      <w:r>
        <w:rPr>
          <w:rFonts w:ascii="Arial" w:cs="Arial" w:eastAsia="Arial" w:hAnsi="Arial"/>
          <w:sz w:val="14"/>
          <w:szCs w:val="14"/>
          <w:color w:val="auto"/>
        </w:rPr>
        <w:t>As of the date of this Proxy Statement, no awards have been made with respect to the additional shares proposed to be approved for future grants of awards under the Plan. Any grants of awards under the Plan, and the terms and conditions of those awards, will be made in the discretion of the Committee. Therefore, we cannot now determine the number or type of awards to be approved in the future to any particular person or group of employees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2"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55</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200" w:right="1560"/>
        <w:spacing w:after="0" w:line="256" w:lineRule="auto"/>
        <w:rPr>
          <w:sz w:val="20"/>
          <w:szCs w:val="20"/>
          <w:color w:val="auto"/>
        </w:rPr>
      </w:pPr>
      <w:r>
        <w:rPr>
          <w:rFonts w:ascii="Arial" w:cs="Arial" w:eastAsia="Arial" w:hAnsi="Arial"/>
          <w:sz w:val="64"/>
          <w:szCs w:val="64"/>
          <w:b w:val="1"/>
          <w:bCs w:val="1"/>
          <w:color w:val="C3002F"/>
        </w:rPr>
        <w:t>AGENDA ITEM 9 - APPROVE AMENDMENT TO WEATHERFORD’S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-1971675</wp:posOffset>
            </wp:positionV>
            <wp:extent cx="8318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jc w:val="both"/>
        <w:ind w:left="200" w:right="60"/>
        <w:spacing w:after="0" w:line="250" w:lineRule="auto"/>
        <w:rPr>
          <w:sz w:val="20"/>
          <w:szCs w:val="20"/>
          <w:color w:val="auto"/>
        </w:rPr>
      </w:pPr>
      <w:r>
        <w:rPr>
          <w:rFonts w:ascii="Arial" w:cs="Arial" w:eastAsia="Arial" w:hAnsi="Arial"/>
          <w:sz w:val="14"/>
          <w:szCs w:val="14"/>
          <w:color w:val="auto"/>
        </w:rPr>
        <w:t>We are seeking shareholder approval of an amendment to the Weatherford International plc Employee Stock Purchase Plan, as amended (“Employee Stock Purchase Plan” or “ESPP”) to authorize 50,000,000 additional ordinary shares for purchase under the ESPP and to modify a purchase limitation based upon a maximum number of shares. The ESPP was adopted by our Board on March 18, 2016 and became effective upon receiving shareholder approval at the following 2016 Annual General Meeting.</w:t>
      </w:r>
    </w:p>
    <w:p>
      <w:pPr>
        <w:spacing w:after="0" w:line="159" w:lineRule="exact"/>
        <w:rPr>
          <w:sz w:val="20"/>
          <w:szCs w:val="20"/>
          <w:color w:val="auto"/>
        </w:rPr>
      </w:pPr>
    </w:p>
    <w:p>
      <w:pPr>
        <w:ind w:left="200" w:right="140"/>
        <w:spacing w:after="0" w:line="258" w:lineRule="auto"/>
        <w:rPr>
          <w:sz w:val="20"/>
          <w:szCs w:val="20"/>
          <w:color w:val="auto"/>
        </w:rPr>
      </w:pPr>
      <w:r>
        <w:rPr>
          <w:rFonts w:ascii="Arial" w:cs="Arial" w:eastAsia="Arial" w:hAnsi="Arial"/>
          <w:sz w:val="14"/>
          <w:szCs w:val="14"/>
          <w:color w:val="auto"/>
        </w:rPr>
        <w:t>The Board subsequently suspended the operation of the ESPP effective January 16, 2019, due to the number of ordinary shares being insufficient for any future purchases under the ESPP.</w:t>
      </w:r>
    </w:p>
    <w:p>
      <w:pPr>
        <w:spacing w:after="0" w:line="154"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As of April 15, 2019, we have approximately 5,400,000 ordinary shares remaining for purchase under the ESPP of the 12,000,000 ordinary shares initially authorized by shareholders. On March 27, 2019, our Board unanimously approved the amendment to the ESPP to increase the number of ordinary shares available for purchase under the ESPP, subject to approval by shareholders at the 2019 Annual General Meeting. The increase of 50,000,000 ordinary shares should provide sufficient shares to meet expected sales under the ESPP over the next two to three years, depending on the share price and enrollment in the ESPP. Note, this additional share number of 50,000,000 does not reflect any reverse stock splits and will be adjusted automatically should the reverse stock split proposal, set forth in Item 4 be approved by shareholders. In such case, an additional 2,500,000 ordinary shares will be available under the ESPP post reverse stock split.</w:t>
      </w:r>
    </w:p>
    <w:p>
      <w:pPr>
        <w:spacing w:after="0" w:line="179"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In addition, Section 7 of the ESPP contains the maximum number of ordinary shares that can be purchased during an Offering Period by an eligible employee and this amendment will increase the number from 20,000 shares to 100,000 shares. This limit is necessary to provide the beneficial income tax treatment to participants. The ESPP remains subject to a number of other Plan limits on purchases and these are set forth below in the summary.</w:t>
      </w:r>
    </w:p>
    <w:p>
      <w:pPr>
        <w:spacing w:after="0" w:line="159"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An ordinary resolution (i.e., a simple majority of the votes cast “For” or “Against,” in person or by proxy, provided a quorum is present) is required to approve this proposal under Irish law. If you properly give a proxy but do not indicate how you wish to vote, the persons named on the proxy card will vote for the proposal. Under Irish law abstentions and “broker non-votes” will not affect the voting results. However, under NYSE rules, abstentions will be considered votes cast. As a result, abstentions will have the effect of a vote against this proposal under NYSE rules. “Broker non-votes” will not affect the voting results for this proposal under Irish law or NYSE rules.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If our shareholders do not approve the amendment to the ESPP, the Company will not be able to offer the ESPP to its employees and the ESPP will remain suspended.</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Material Change to the ESPP</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summary highlights the proposed material change to the ESPP.</w:t>
      </w:r>
    </w:p>
    <w:p>
      <w:pPr>
        <w:spacing w:after="0" w:line="217" w:lineRule="exact"/>
        <w:rPr>
          <w:sz w:val="20"/>
          <w:szCs w:val="20"/>
          <w:color w:val="auto"/>
        </w:rPr>
      </w:pPr>
    </w:p>
    <w:p>
      <w:pPr>
        <w:ind w:left="420" w:right="300" w:hanging="216"/>
        <w:spacing w:after="0" w:line="250" w:lineRule="auto"/>
        <w:tabs>
          <w:tab w:leader="none" w:pos="420" w:val="left"/>
        </w:tabs>
        <w:numPr>
          <w:ilvl w:val="0"/>
          <w:numId w:val="96"/>
        </w:numPr>
        <w:rPr>
          <w:rFonts w:ascii="Arial" w:cs="Arial" w:eastAsia="Arial" w:hAnsi="Arial"/>
          <w:sz w:val="14"/>
          <w:szCs w:val="14"/>
          <w:color w:val="C3002F"/>
        </w:rPr>
      </w:pPr>
      <w:r>
        <w:rPr>
          <w:rFonts w:ascii="Arial" w:cs="Arial" w:eastAsia="Arial" w:hAnsi="Arial"/>
          <w:sz w:val="14"/>
          <w:szCs w:val="14"/>
          <w:color w:val="auto"/>
        </w:rPr>
        <w:t>The number of ordinary shares reserved for purchase under ESPP has been increased by 50,000,000 additional shares to 62,000,000 ordinary shares. (These share numbers do not reflect any reverse stock splits and will be adjusted automatically should the reverse stock split proposal, set forth in Item 4 be approved by shareholders.)</w:t>
      </w:r>
    </w:p>
    <w:p>
      <w:pPr>
        <w:spacing w:after="0" w:line="199" w:lineRule="exact"/>
        <w:rPr>
          <w:rFonts w:ascii="Arial" w:cs="Arial" w:eastAsia="Arial" w:hAnsi="Arial"/>
          <w:sz w:val="14"/>
          <w:szCs w:val="14"/>
          <w:color w:val="C3002F"/>
        </w:rPr>
      </w:pPr>
    </w:p>
    <w:p>
      <w:pPr>
        <w:ind w:left="420" w:right="140" w:hanging="216"/>
        <w:spacing w:after="0" w:line="250" w:lineRule="auto"/>
        <w:tabs>
          <w:tab w:leader="none" w:pos="420" w:val="left"/>
        </w:tabs>
        <w:numPr>
          <w:ilvl w:val="0"/>
          <w:numId w:val="96"/>
        </w:numPr>
        <w:rPr>
          <w:rFonts w:ascii="Arial" w:cs="Arial" w:eastAsia="Arial" w:hAnsi="Arial"/>
          <w:sz w:val="14"/>
          <w:szCs w:val="14"/>
          <w:color w:val="C3002F"/>
        </w:rPr>
      </w:pPr>
      <w:r>
        <w:rPr>
          <w:rFonts w:ascii="Arial" w:cs="Arial" w:eastAsia="Arial" w:hAnsi="Arial"/>
          <w:sz w:val="14"/>
          <w:szCs w:val="14"/>
          <w:color w:val="auto"/>
        </w:rPr>
        <w:t>The maximum number of ordinary shares which can be purchased by an eligible employee during an Offering Period will be increased from 20,000 ordinary shares to 100,000 ordinary shares. This new limit does not reflect any reverse stock split and will be adjusted automatically to 5,000 ordinary shares should the reverse stock split proposal, set forth in Agenda Item 4, be approved by shareholders.</w:t>
      </w:r>
    </w:p>
    <w:p>
      <w:pPr>
        <w:spacing w:after="0" w:line="159" w:lineRule="exact"/>
        <w:rPr>
          <w:sz w:val="20"/>
          <w:szCs w:val="20"/>
          <w:color w:val="auto"/>
        </w:rPr>
      </w:pPr>
    </w:p>
    <w:p>
      <w:pPr>
        <w:ind w:left="200" w:right="140"/>
        <w:spacing w:after="0" w:line="250" w:lineRule="auto"/>
        <w:rPr>
          <w:sz w:val="20"/>
          <w:szCs w:val="20"/>
          <w:color w:val="auto"/>
        </w:rPr>
      </w:pPr>
      <w:r>
        <w:rPr>
          <w:rFonts w:ascii="Arial" w:cs="Arial" w:eastAsia="Arial" w:hAnsi="Arial"/>
          <w:sz w:val="14"/>
          <w:szCs w:val="14"/>
          <w:color w:val="auto"/>
        </w:rPr>
        <w:t>The amendments to the ESPP are set forth in Annex D. The following description of certain features of the ESPP is qualified in its entirety by reference to the full text of the ESPP which was filed as Annex A of the Company’s Definitive Proxy Statement on Schedule 14A filed April 26, 2016 (available here), and (ii) the proposed amendments which are attached as Annex D to this proxy statement.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Summary of the ESPP</w:t>
      </w:r>
    </w:p>
    <w:p>
      <w:pPr>
        <w:spacing w:after="0" w:line="179" w:lineRule="exact"/>
        <w:rPr>
          <w:sz w:val="20"/>
          <w:szCs w:val="20"/>
          <w:color w:val="auto"/>
        </w:rPr>
      </w:pPr>
    </w:p>
    <w:p>
      <w:pPr>
        <w:ind w:left="200" w:right="40"/>
        <w:spacing w:after="0" w:line="255" w:lineRule="auto"/>
        <w:rPr>
          <w:sz w:val="20"/>
          <w:szCs w:val="20"/>
          <w:color w:val="auto"/>
        </w:rPr>
      </w:pPr>
      <w:r>
        <w:rPr>
          <w:rFonts w:ascii="Arial" w:cs="Arial" w:eastAsia="Arial" w:hAnsi="Arial"/>
          <w:sz w:val="14"/>
          <w:szCs w:val="14"/>
          <w:b w:val="1"/>
          <w:bCs w:val="1"/>
          <w:i w:val="1"/>
          <w:iCs w:val="1"/>
          <w:color w:val="auto"/>
        </w:rPr>
        <w:t xml:space="preserve">Administration. </w:t>
      </w:r>
      <w:r>
        <w:rPr>
          <w:rFonts w:ascii="Arial" w:cs="Arial" w:eastAsia="Arial" w:hAnsi="Arial"/>
          <w:sz w:val="14"/>
          <w:szCs w:val="14"/>
          <w:color w:val="auto"/>
        </w:rPr>
        <w:t>The ESPP will be administered by the Compensation Committee, which will have the authority to interpret and determine eligibility under the plan, prescribe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forms, rules and procedures relating to the plan, and otherwise do all things necessary or appropriate to carry out the purposes of the plan. The Compensation Committee may delegate its authority under the ESPP to a subcommittee comprised of one or more of its members, to members of our Board of Directors, or to officers or employees of the Company to the extent permitted by law.</w:t>
      </w:r>
    </w:p>
    <w:p>
      <w:pPr>
        <w:spacing w:after="0" w:line="153" w:lineRule="exact"/>
        <w:rPr>
          <w:sz w:val="20"/>
          <w:szCs w:val="20"/>
          <w:color w:val="auto"/>
        </w:rPr>
      </w:pPr>
    </w:p>
    <w:p>
      <w:pPr>
        <w:ind w:left="200" w:right="40"/>
        <w:spacing w:after="0" w:line="249" w:lineRule="auto"/>
        <w:rPr>
          <w:sz w:val="20"/>
          <w:szCs w:val="20"/>
          <w:color w:val="auto"/>
        </w:rPr>
      </w:pPr>
      <w:r>
        <w:rPr>
          <w:rFonts w:ascii="Arial" w:cs="Arial" w:eastAsia="Arial" w:hAnsi="Arial"/>
          <w:sz w:val="14"/>
          <w:szCs w:val="14"/>
          <w:b w:val="1"/>
          <w:bCs w:val="1"/>
          <w:i w:val="1"/>
          <w:iCs w:val="1"/>
          <w:color w:val="auto"/>
        </w:rPr>
        <w:t xml:space="preserve">Shares Subject to the Plan. </w:t>
      </w:r>
      <w:r>
        <w:rPr>
          <w:rFonts w:ascii="Arial" w:cs="Arial" w:eastAsia="Arial" w:hAnsi="Arial"/>
          <w:sz w:val="14"/>
          <w:szCs w:val="14"/>
          <w:color w:val="auto"/>
        </w:rPr>
        <w:t>As noted above, the ESPP Share Pool will be increased from 12,000,000 ordinary shares to 62,000,000 ordinary shares, subject to adjustment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any reverse stock splits, as described below. Shares delivered upon exercise of purchase rights under the ESPP may be either shares of authorized but unissued ordinary shares, treasury stock, or ordinary shares acquired in an open-market transaction. In the event of any change in our outstanding ordinary shares by reason of a stock dividend, stock split, reverse stock split, split-up, recapitalization, merger, consolidation, reorganization, or other capital change, the aggregate number and type of shares available for purchase under the ESPP, the number and type of shares granted or purchasable during an offering period and the purchase price per share under an outstanding purchase right will be appropriately adjusted in a manner that complies with Section 423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60" w:hanging="356"/>
        <w:spacing w:after="0"/>
        <w:tabs>
          <w:tab w:leader="none" w:pos="560" w:val="left"/>
        </w:tabs>
        <w:numPr>
          <w:ilvl w:val="0"/>
          <w:numId w:val="9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666666"/>
        </w:rPr>
        <w:t>AGENDA ITEM 9</w:t>
      </w:r>
    </w:p>
    <w:p>
      <w:pPr>
        <w:spacing w:after="0" w:line="168" w:lineRule="exact"/>
        <w:rPr>
          <w:sz w:val="20"/>
          <w:szCs w:val="20"/>
          <w:color w:val="auto"/>
        </w:rPr>
      </w:pPr>
    </w:p>
    <w:p>
      <w:pPr>
        <w:ind w:left="200" w:right="100"/>
        <w:spacing w:after="0" w:line="258" w:lineRule="auto"/>
        <w:rPr>
          <w:sz w:val="20"/>
          <w:szCs w:val="20"/>
          <w:color w:val="auto"/>
        </w:rPr>
      </w:pPr>
      <w:r>
        <w:rPr>
          <w:rFonts w:ascii="Arial" w:cs="Arial" w:eastAsia="Arial" w:hAnsi="Arial"/>
          <w:sz w:val="14"/>
          <w:szCs w:val="14"/>
          <w:color w:val="auto"/>
        </w:rPr>
        <w:t>If any purchase right granted under the ESPP expires or terminates for any reason without having been exercised in full or ceases for any reason to be exercisable in whole or in part, the unpurchased ordinary shares will again be available for purchase pursuant to offerings under the ESPP.</w:t>
      </w:r>
    </w:p>
    <w:p>
      <w:pPr>
        <w:spacing w:after="0" w:line="138" w:lineRule="exact"/>
        <w:rPr>
          <w:sz w:val="20"/>
          <w:szCs w:val="20"/>
          <w:color w:val="auto"/>
        </w:rPr>
      </w:pPr>
    </w:p>
    <w:p>
      <w:pPr>
        <w:ind w:left="200" w:right="160"/>
        <w:spacing w:after="0" w:line="255" w:lineRule="auto"/>
        <w:rPr>
          <w:sz w:val="20"/>
          <w:szCs w:val="20"/>
          <w:color w:val="auto"/>
        </w:rPr>
      </w:pPr>
      <w:r>
        <w:rPr>
          <w:rFonts w:ascii="Arial" w:cs="Arial" w:eastAsia="Arial" w:hAnsi="Arial"/>
          <w:sz w:val="14"/>
          <w:szCs w:val="14"/>
          <w:b w:val="1"/>
          <w:bCs w:val="1"/>
          <w:i w:val="1"/>
          <w:iCs w:val="1"/>
          <w:color w:val="auto"/>
        </w:rPr>
        <w:t xml:space="preserve">Eligibility. </w:t>
      </w:r>
      <w:r>
        <w:rPr>
          <w:rFonts w:ascii="Arial" w:cs="Arial" w:eastAsia="Arial" w:hAnsi="Arial"/>
          <w:sz w:val="14"/>
          <w:szCs w:val="14"/>
          <w:color w:val="auto"/>
        </w:rPr>
        <w:t>Participation in the ESPP will generally be limited to employees of Weatherford and any of its designated subsidiaries (a) whose customary employment is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more than five months per calendar year, (b) who customarily work 20 hours or more per week, and (c) who satisfy the procedural enrollment and other requirements set forth in the ESPP. Under the ESPP, designated subsidiaries include any subsidiary (within the meaning of Section 424(f) of the Internal Revenue Code) of Weatherford that has been designated by our Board of Directors or the Compensation Committee as eligible to participate in the plan.</w:t>
      </w:r>
    </w:p>
    <w:p>
      <w:pPr>
        <w:spacing w:after="0" w:line="156" w:lineRule="exact"/>
        <w:rPr>
          <w:sz w:val="20"/>
          <w:szCs w:val="20"/>
          <w:color w:val="auto"/>
        </w:rPr>
      </w:pPr>
    </w:p>
    <w:p>
      <w:pPr>
        <w:ind w:left="200" w:right="100"/>
        <w:spacing w:after="0" w:line="244" w:lineRule="auto"/>
        <w:rPr>
          <w:sz w:val="20"/>
          <w:szCs w:val="20"/>
          <w:color w:val="auto"/>
        </w:rPr>
      </w:pPr>
      <w:r>
        <w:rPr>
          <w:rFonts w:ascii="Arial" w:cs="Arial" w:eastAsia="Arial" w:hAnsi="Arial"/>
          <w:sz w:val="14"/>
          <w:szCs w:val="14"/>
          <w:color w:val="auto"/>
        </w:rPr>
        <w:t>No employee may be granted a purchase right under the ESPP if, immediately after the purchase right is granted, the employee would own (or, under applicable statutory attribution rules, would be deemed to own) stock possessing 5% or more of the total combined voting power or value of all classes of stock of the Company or any of its subsidiaries. In addition, employees who are citizens or residents of a foreign jurisdiction will not be eligible to participate in the ESPP if the grant of a purchase right under the plan is prohibited under the laws of the foreign jurisdiction or compliance with the laws of the foreign jurisdiction would cause the plan to violate the requirements of Section 423 of the Internal Revenue Code. The Compensation Committee may establish additional eligibility requirements for offering periods that have not yet commenced that are not inconsistent with Section 423 of the Internal Revenue Code.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As of January, 2019, approximately 22,000 employees would be eligible to participate in the ESPP, including certain of our executive officers.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Terms of Participation</w:t>
      </w:r>
    </w:p>
    <w:p>
      <w:pPr>
        <w:spacing w:after="0" w:line="177" w:lineRule="exact"/>
        <w:rPr>
          <w:sz w:val="20"/>
          <w:szCs w:val="20"/>
          <w:color w:val="auto"/>
        </w:rPr>
      </w:pPr>
    </w:p>
    <w:p>
      <w:pPr>
        <w:ind w:left="200" w:right="180"/>
        <w:spacing w:after="0" w:line="263" w:lineRule="auto"/>
        <w:rPr>
          <w:sz w:val="20"/>
          <w:szCs w:val="20"/>
          <w:color w:val="auto"/>
        </w:rPr>
      </w:pPr>
      <w:r>
        <w:rPr>
          <w:rFonts w:ascii="Arial" w:cs="Arial" w:eastAsia="Arial" w:hAnsi="Arial"/>
          <w:sz w:val="14"/>
          <w:szCs w:val="14"/>
          <w:b w:val="1"/>
          <w:bCs w:val="1"/>
          <w:i w:val="1"/>
          <w:iCs w:val="1"/>
          <w:color w:val="auto"/>
        </w:rPr>
        <w:t>Offering Periods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ESPP allows eligible employees to purchase our ordinary shares for separate six-month offering periods, commencing on the first trading day 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after March 1 and September 1 of each year. Each offering has a single coterminous six-month purchase period. The Compensation Committee may change the commencement date, the ending date and the duration of the offering periods to the extent permitted by Section 423 of the Internal Revenue Code.</w:t>
      </w:r>
    </w:p>
    <w:p>
      <w:pPr>
        <w:spacing w:after="0" w:line="132" w:lineRule="exact"/>
        <w:rPr>
          <w:sz w:val="20"/>
          <w:szCs w:val="20"/>
          <w:color w:val="auto"/>
        </w:rPr>
      </w:pPr>
    </w:p>
    <w:p>
      <w:pPr>
        <w:ind w:left="200"/>
        <w:spacing w:after="0" w:line="252" w:lineRule="auto"/>
        <w:rPr>
          <w:sz w:val="20"/>
          <w:szCs w:val="20"/>
          <w:color w:val="auto"/>
        </w:rPr>
      </w:pPr>
      <w:r>
        <w:rPr>
          <w:rFonts w:ascii="Arial" w:cs="Arial" w:eastAsia="Arial" w:hAnsi="Arial"/>
          <w:sz w:val="14"/>
          <w:szCs w:val="14"/>
          <w:b w:val="1"/>
          <w:bCs w:val="1"/>
          <w:i w:val="1"/>
          <w:iCs w:val="1"/>
          <w:color w:val="auto"/>
        </w:rPr>
        <w:t>Method of Participation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will be purchased under the ESPP on the last day of each offering period (a purchase date) using accumulated payroll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unless the Compensation Committee provides otherwise with respect to the employees of a designated subsidiary in a manner consistent with Section 423 of the Internal Revenue Code. In order to participate in the ESPP, an eligible employee must complete and submit to the administrator of the ESPP a payroll deduction and participant authorization form in accordance with procedures and prior to the deadlines prescribed by the administrator of the ESPP. Participation will be effective as of the first day of an offering period.</w:t>
      </w:r>
    </w:p>
    <w:p>
      <w:pPr>
        <w:spacing w:after="0" w:line="172" w:lineRule="exact"/>
        <w:rPr>
          <w:sz w:val="20"/>
          <w:szCs w:val="20"/>
          <w:color w:val="auto"/>
        </w:rPr>
      </w:pPr>
    </w:p>
    <w:p>
      <w:pPr>
        <w:ind w:left="200" w:right="160"/>
        <w:spacing w:after="0" w:line="245" w:lineRule="auto"/>
        <w:rPr>
          <w:sz w:val="20"/>
          <w:szCs w:val="20"/>
          <w:color w:val="auto"/>
        </w:rPr>
      </w:pPr>
      <w:r>
        <w:rPr>
          <w:rFonts w:ascii="Arial" w:cs="Arial" w:eastAsia="Arial" w:hAnsi="Arial"/>
          <w:sz w:val="14"/>
          <w:szCs w:val="14"/>
          <w:color w:val="auto"/>
        </w:rPr>
        <w:t>Participants may elect payroll deductions up to 10% of the participant’s total eligible earnings per payroll period within an offering period. Eligible earnings include regular base salary, but exclude overtime pay and regularly paid wage premiums (such as evening or shift premiums), commissions, income from equity compensation awards, bonuses and other compensation. A participant’s payroll deduction authorization will remain in effect for subsequent offering periods unless the participant’s participation in the ESPP terminates, as described below, or the participant cancels the authorization or submits a new payroll deduction and participant authorization form within the time specified by the administrator of the ESPP prior to the start of the subsequent offering period.</w:t>
      </w:r>
    </w:p>
    <w:p>
      <w:pPr>
        <w:spacing w:after="0" w:line="146" w:lineRule="exact"/>
        <w:rPr>
          <w:sz w:val="20"/>
          <w:szCs w:val="20"/>
          <w:color w:val="auto"/>
        </w:rPr>
      </w:pPr>
    </w:p>
    <w:p>
      <w:pPr>
        <w:ind w:left="200" w:right="20"/>
        <w:spacing w:after="0" w:line="250" w:lineRule="auto"/>
        <w:rPr>
          <w:sz w:val="20"/>
          <w:szCs w:val="20"/>
          <w:color w:val="auto"/>
        </w:rPr>
      </w:pPr>
      <w:r>
        <w:rPr>
          <w:rFonts w:ascii="Arial" w:cs="Arial" w:eastAsia="Arial" w:hAnsi="Arial"/>
          <w:sz w:val="14"/>
          <w:szCs w:val="14"/>
          <w:b w:val="1"/>
          <w:bCs w:val="1"/>
          <w:i w:val="1"/>
          <w:iCs w:val="1"/>
          <w:color w:val="auto"/>
        </w:rPr>
        <w:t>Grant and Exercise of Purchase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the first day of each offering period, each participant will be granted a right to purchase our ordinary shares on the last day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offering period, subject to the limitations set forth in the ESPP. On the last day of each offering period, the payroll deductions accumulated by each participant during the offering period will be applied automatically to the purchase of ordinary shares at the purchase price in effect for that offering period. However, no participant may, on any purchase date, purchase more than 100,000 ordinary shares (which will be adjusted automatically to 5,000 ordinary shares should the reverse stock split be implemented). In addition, no participant will be granted a purchase right under the ESPP that would permit the participant’s right to purchase our ordinary shares under the ESPP to accrue at a rate that exceeds $25,000 in fair market value for each calendar year, determined in accordance with Section 423 of the Internal Revenue Code.</w:t>
      </w:r>
    </w:p>
    <w:p>
      <w:pPr>
        <w:spacing w:after="0" w:line="142" w:lineRule="exact"/>
        <w:rPr>
          <w:sz w:val="20"/>
          <w:szCs w:val="20"/>
          <w:color w:val="auto"/>
        </w:rPr>
      </w:pPr>
    </w:p>
    <w:p>
      <w:pPr>
        <w:jc w:val="both"/>
        <w:ind w:left="200" w:right="120"/>
        <w:spacing w:after="0" w:line="263" w:lineRule="auto"/>
        <w:rPr>
          <w:sz w:val="20"/>
          <w:szCs w:val="20"/>
          <w:color w:val="auto"/>
        </w:rPr>
      </w:pPr>
      <w:r>
        <w:rPr>
          <w:rFonts w:ascii="Arial" w:cs="Arial" w:eastAsia="Arial" w:hAnsi="Arial"/>
          <w:sz w:val="14"/>
          <w:szCs w:val="14"/>
          <w:b w:val="1"/>
          <w:bCs w:val="1"/>
          <w:i w:val="1"/>
          <w:iCs w:val="1"/>
          <w:color w:val="auto"/>
        </w:rPr>
        <w:t>Purchase Price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purchase price per share of our ordinary shares applicable to purchases during each offering period under the ESPP will be ninety percent (90%)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greater percentage as the Compensation Committee may designate) of the lower of (i) the fair market value per ordinary share on the first day of the offering period or (ii) the fair market value per ordinary share on the purchase date.</w:t>
      </w:r>
    </w:p>
    <w:p>
      <w:pPr>
        <w:spacing w:after="0" w:line="146" w:lineRule="exact"/>
        <w:rPr>
          <w:sz w:val="20"/>
          <w:szCs w:val="20"/>
          <w:color w:val="auto"/>
        </w:rPr>
      </w:pPr>
    </w:p>
    <w:p>
      <w:pPr>
        <w:ind w:left="200" w:right="20"/>
        <w:spacing w:after="0" w:line="256" w:lineRule="auto"/>
        <w:rPr>
          <w:sz w:val="20"/>
          <w:szCs w:val="20"/>
          <w:color w:val="auto"/>
        </w:rPr>
      </w:pPr>
      <w:r>
        <w:rPr>
          <w:rFonts w:ascii="Arial" w:cs="Arial" w:eastAsia="Arial" w:hAnsi="Arial"/>
          <w:sz w:val="14"/>
          <w:szCs w:val="14"/>
          <w:b w:val="1"/>
          <w:bCs w:val="1"/>
          <w:i w:val="1"/>
          <w:iCs w:val="1"/>
          <w:color w:val="auto"/>
        </w:rPr>
        <w:t>Termination of Purchase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the termination of a participant’s employment with the Company or a designated subsidiary, or in the event the participant otherwise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ceases to qualify as an eligible employee, any purchase right then held by the participant will be canceled. Payroll deductions accumulated by the participant during the offering period in which such purchase right terminates will be returned to the participant (or his or her designated beneficiary or legal representative), without interest, as soon as practicable thereafter, and the participant will have no further rights under the ESPP.</w:t>
      </w:r>
    </w:p>
    <w:p>
      <w:pPr>
        <w:spacing w:after="0" w:line="137" w:lineRule="exact"/>
        <w:rPr>
          <w:sz w:val="20"/>
          <w:szCs w:val="20"/>
          <w:color w:val="auto"/>
        </w:rPr>
      </w:pPr>
    </w:p>
    <w:p>
      <w:pPr>
        <w:ind w:left="200" w:right="300"/>
        <w:spacing w:after="0" w:line="285" w:lineRule="auto"/>
        <w:rPr>
          <w:sz w:val="20"/>
          <w:szCs w:val="20"/>
          <w:color w:val="auto"/>
        </w:rPr>
      </w:pPr>
      <w:r>
        <w:rPr>
          <w:rFonts w:ascii="Arial" w:cs="Arial" w:eastAsia="Arial" w:hAnsi="Arial"/>
          <w:sz w:val="14"/>
          <w:szCs w:val="14"/>
          <w:b w:val="1"/>
          <w:bCs w:val="1"/>
          <w:i w:val="1"/>
          <w:iCs w:val="1"/>
          <w:color w:val="auto"/>
        </w:rPr>
        <w:t>Shareholder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 participant will have any shareholder rights with respect to the ordinary shares covered by his or her purchase right until the shares are actually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purchased on the participant’s behalf.</w:t>
      </w:r>
    </w:p>
    <w:p>
      <w:pPr>
        <w:spacing w:after="0" w:line="117" w:lineRule="exact"/>
        <w:rPr>
          <w:sz w:val="20"/>
          <w:szCs w:val="20"/>
          <w:color w:val="auto"/>
        </w:rPr>
      </w:pPr>
    </w:p>
    <w:p>
      <w:pPr>
        <w:ind w:left="200" w:right="260"/>
        <w:spacing w:after="0" w:line="285" w:lineRule="auto"/>
        <w:rPr>
          <w:sz w:val="20"/>
          <w:szCs w:val="20"/>
          <w:color w:val="auto"/>
        </w:rPr>
      </w:pPr>
      <w:r>
        <w:rPr>
          <w:rFonts w:ascii="Arial" w:cs="Arial" w:eastAsia="Arial" w:hAnsi="Arial"/>
          <w:sz w:val="14"/>
          <w:szCs w:val="14"/>
          <w:b w:val="1"/>
          <w:bCs w:val="1"/>
          <w:i w:val="1"/>
          <w:iCs w:val="1"/>
          <w:color w:val="auto"/>
        </w:rPr>
        <w:t>Transferability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 rights granted to participants under the ESPP are not assignable or transferable and may be exercised only by the participant during his or 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lifetime.</w:t>
      </w:r>
    </w:p>
    <w:p>
      <w:pPr>
        <w:spacing w:after="0" w:line="131" w:lineRule="exact"/>
        <w:rPr>
          <w:sz w:val="20"/>
          <w:szCs w:val="20"/>
          <w:color w:val="auto"/>
        </w:rPr>
      </w:pPr>
    </w:p>
    <w:p>
      <w:pPr>
        <w:ind w:left="200" w:right="40"/>
        <w:spacing w:after="0" w:line="285" w:lineRule="auto"/>
        <w:rPr>
          <w:sz w:val="20"/>
          <w:szCs w:val="20"/>
          <w:color w:val="auto"/>
        </w:rPr>
      </w:pPr>
      <w:r>
        <w:rPr>
          <w:rFonts w:ascii="Arial" w:cs="Arial" w:eastAsia="Arial" w:hAnsi="Arial"/>
          <w:sz w:val="14"/>
          <w:szCs w:val="14"/>
          <w:b w:val="1"/>
          <w:bCs w:val="1"/>
          <w:i w:val="1"/>
          <w:iCs w:val="1"/>
          <w:color w:val="auto"/>
        </w:rPr>
        <w:t>Amendment and Termination of the ESPP</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Board of Directors has the right to amend the ESPP to any extent and in any manner it may deem advisable, provided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amendment that would be treated as the adoption of a new plan for purposes of Section 423 of the Internal Revenue Code will require shareholder approval.</w:t>
      </w:r>
    </w:p>
    <w:p>
      <w:pPr>
        <w:spacing w:after="0" w:line="135" w:lineRule="exact"/>
        <w:rPr>
          <w:sz w:val="20"/>
          <w:szCs w:val="20"/>
          <w:color w:val="auto"/>
        </w:rPr>
      </w:pPr>
    </w:p>
    <w:p>
      <w:pPr>
        <w:jc w:val="both"/>
        <w:ind w:left="200" w:right="240"/>
        <w:spacing w:after="0" w:line="250" w:lineRule="auto"/>
        <w:rPr>
          <w:sz w:val="20"/>
          <w:szCs w:val="20"/>
          <w:color w:val="auto"/>
        </w:rPr>
      </w:pPr>
      <w:r>
        <w:rPr>
          <w:rFonts w:ascii="Arial" w:cs="Arial" w:eastAsia="Arial" w:hAnsi="Arial"/>
          <w:sz w:val="14"/>
          <w:szCs w:val="14"/>
          <w:color w:val="auto"/>
        </w:rPr>
        <w:t>Our Board of Directors also has the right, at any time, to suspend or terminate the ESPP. In connection with such a termination or suspension, our Board of Directors may provide, in its discretion, either that the outstanding purchase rights will be exercisable on the purchase date for the applicable offering period (or such earlier date as the Board of Directors may specify), or that each participant’s accumulated payroll deductions will be returned to the participant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AGENDA ITEM 9</w:t>
      </w:r>
    </w:p>
    <w:p>
      <w:pPr>
        <w:spacing w:after="0" w:line="152" w:lineRule="exact"/>
        <w:rPr>
          <w:sz w:val="20"/>
          <w:szCs w:val="20"/>
          <w:color w:val="auto"/>
        </w:rPr>
      </w:pPr>
    </w:p>
    <w:p>
      <w:pPr>
        <w:ind w:left="200" w:right="100"/>
        <w:spacing w:after="0" w:line="261" w:lineRule="auto"/>
        <w:rPr>
          <w:sz w:val="20"/>
          <w:szCs w:val="20"/>
          <w:color w:val="auto"/>
        </w:rPr>
      </w:pPr>
      <w:r>
        <w:rPr>
          <w:rFonts w:ascii="Arial" w:cs="Arial" w:eastAsia="Arial" w:hAnsi="Arial"/>
          <w:sz w:val="14"/>
          <w:szCs w:val="14"/>
          <w:b w:val="1"/>
          <w:bCs w:val="1"/>
          <w:i w:val="1"/>
          <w:iCs w:val="1"/>
          <w:color w:val="auto"/>
        </w:rPr>
        <w:t xml:space="preserve">Sub-Plans. </w:t>
      </w:r>
      <w:r>
        <w:rPr>
          <w:rFonts w:ascii="Arial" w:cs="Arial" w:eastAsia="Arial" w:hAnsi="Arial"/>
          <w:sz w:val="14"/>
          <w:szCs w:val="14"/>
          <w:color w:val="auto"/>
        </w:rPr>
        <w:t>Consistent with the requirements of Section 423 of the Internal Revenue Code, the Compensation Committee may amend the terms of the ESPP, or an offering,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provide for separate offerings under the ESPP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137" w:lineRule="exact"/>
        <w:rPr>
          <w:sz w:val="20"/>
          <w:szCs w:val="20"/>
          <w:color w:val="auto"/>
        </w:rPr>
      </w:pPr>
    </w:p>
    <w:p>
      <w:pPr>
        <w:jc w:val="both"/>
        <w:ind w:left="200" w:right="20"/>
        <w:spacing w:after="0" w:line="261" w:lineRule="auto"/>
        <w:rPr>
          <w:sz w:val="20"/>
          <w:szCs w:val="20"/>
          <w:color w:val="auto"/>
        </w:rPr>
      </w:pPr>
      <w:r>
        <w:rPr>
          <w:rFonts w:ascii="Arial" w:cs="Arial" w:eastAsia="Arial" w:hAnsi="Arial"/>
          <w:sz w:val="14"/>
          <w:szCs w:val="14"/>
          <w:b w:val="1"/>
          <w:bCs w:val="1"/>
          <w:i w:val="1"/>
          <w:iCs w:val="1"/>
          <w:color w:val="auto"/>
        </w:rPr>
        <w:t xml:space="preserve">Effective Date and Term. </w:t>
      </w:r>
      <w:r>
        <w:rPr>
          <w:rFonts w:ascii="Arial" w:cs="Arial" w:eastAsia="Arial" w:hAnsi="Arial"/>
          <w:sz w:val="14"/>
          <w:szCs w:val="14"/>
          <w:color w:val="auto"/>
        </w:rPr>
        <w:t>The ESPP was adopted by our Board on March 18, 2016 and became effective upon receiving shareholder approval at the following 2016 Annual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Meeting. No purchase rights will be granted under the ESPP after the earliest to occur of (i) the date on which all shares available for issuance under the ESPP have been issued or (ii) the termination of the ESPP by the Company.</w:t>
      </w:r>
    </w:p>
    <w:p>
      <w:pPr>
        <w:spacing w:after="0" w:line="135" w:lineRule="exact"/>
        <w:rPr>
          <w:sz w:val="20"/>
          <w:szCs w:val="20"/>
          <w:color w:val="auto"/>
        </w:rPr>
      </w:pPr>
    </w:p>
    <w:p>
      <w:pPr>
        <w:ind w:left="200" w:right="100"/>
        <w:spacing w:after="0" w:line="256" w:lineRule="auto"/>
        <w:rPr>
          <w:sz w:val="20"/>
          <w:szCs w:val="20"/>
          <w:color w:val="auto"/>
        </w:rPr>
      </w:pPr>
      <w:r>
        <w:rPr>
          <w:rFonts w:ascii="Arial" w:cs="Arial" w:eastAsia="Arial" w:hAnsi="Arial"/>
          <w:sz w:val="14"/>
          <w:szCs w:val="14"/>
          <w:b w:val="1"/>
          <w:bCs w:val="1"/>
          <w:i w:val="1"/>
          <w:iCs w:val="1"/>
          <w:color w:val="auto"/>
        </w:rPr>
        <w:t>Corporate Transactions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event of a consolidation, merger, redomestication or similar transaction, a sale or transfer of all or substantially all of the Company’s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a dissolution or liquidation of the Company, the Compensation Committee may, in its discretion, provide that each outstanding purchase right will be assumed or substituted for a right granted by the acquiror or successor corporation or by a parent or subsidiary of such entity, or will be cancelled with accumulated payroll deductions returned to each participant, or that the offering period will end before the date of the proposed sale, merger or similar transaction.</w:t>
      </w:r>
    </w:p>
    <w:p>
      <w:pPr>
        <w:spacing w:after="0" w:line="152" w:lineRule="exact"/>
        <w:rPr>
          <w:sz w:val="20"/>
          <w:szCs w:val="20"/>
          <w:color w:val="auto"/>
        </w:rPr>
      </w:pPr>
    </w:p>
    <w:p>
      <w:pPr>
        <w:jc w:val="both"/>
        <w:ind w:left="200" w:right="400"/>
        <w:spacing w:after="0" w:line="261" w:lineRule="auto"/>
        <w:rPr>
          <w:sz w:val="20"/>
          <w:szCs w:val="20"/>
          <w:color w:val="auto"/>
        </w:rPr>
      </w:pPr>
      <w:r>
        <w:rPr>
          <w:rFonts w:ascii="Arial" w:cs="Arial" w:eastAsia="Arial" w:hAnsi="Arial"/>
          <w:sz w:val="14"/>
          <w:szCs w:val="14"/>
          <w:b w:val="1"/>
          <w:bCs w:val="1"/>
          <w:i w:val="1"/>
          <w:iCs w:val="1"/>
          <w:color w:val="auto"/>
        </w:rPr>
        <w:t xml:space="preserve">New Plan Benefits. </w:t>
      </w:r>
      <w:r>
        <w:rPr>
          <w:rFonts w:ascii="Arial" w:cs="Arial" w:eastAsia="Arial" w:hAnsi="Arial"/>
          <w:sz w:val="14"/>
          <w:szCs w:val="14"/>
          <w:color w:val="auto"/>
        </w:rPr>
        <w:t>Benefits and purchases of our ordinary shares under the ESPP depend on elections made by employees and the fair market value of our ordinary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on dates in the future. As a result, it is not possible to determine the benefits that will be received by eligible executive officers and other employees in the future under the ESPP. As described above, no employee may purchase shares under the ESPP at a rate that exceeds $25,000 in fair market value in any calendar year.</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 Federal Income Tax Consequences Relating to the ESPP</w:t>
      </w:r>
    </w:p>
    <w:p>
      <w:pPr>
        <w:spacing w:after="0" w:line="195" w:lineRule="exact"/>
        <w:rPr>
          <w:sz w:val="20"/>
          <w:szCs w:val="20"/>
          <w:color w:val="auto"/>
        </w:rPr>
      </w:pPr>
    </w:p>
    <w:p>
      <w:pPr>
        <w:ind w:left="200" w:right="160"/>
        <w:spacing w:after="0" w:line="250" w:lineRule="auto"/>
        <w:rPr>
          <w:sz w:val="20"/>
          <w:szCs w:val="20"/>
          <w:color w:val="auto"/>
        </w:rPr>
      </w:pPr>
      <w:r>
        <w:rPr>
          <w:rFonts w:ascii="Arial" w:cs="Arial" w:eastAsia="Arial" w:hAnsi="Arial"/>
          <w:sz w:val="14"/>
          <w:szCs w:val="14"/>
          <w:color w:val="auto"/>
        </w:rPr>
        <w:t>The following is a summary of certain material U.S. federal income tax consequences associated with the grant and exercise of purchase rights under the ESPP (i.e., the Code Section 423 Component) under current federal tax laws and certain other tax considerations associated with purchase rights under the ESPP. The summary does not address tax rates or non-U.S., state or local tax consequences, nor does it address employment tax or other federal tax consequences except as noted.</w:t>
      </w:r>
    </w:p>
    <w:p>
      <w:pPr>
        <w:spacing w:after="0" w:line="172" w:lineRule="exact"/>
        <w:rPr>
          <w:sz w:val="20"/>
          <w:szCs w:val="20"/>
          <w:color w:val="auto"/>
        </w:rPr>
      </w:pPr>
    </w:p>
    <w:p>
      <w:pPr>
        <w:ind w:left="200" w:right="240"/>
        <w:spacing w:after="0" w:line="250" w:lineRule="auto"/>
        <w:rPr>
          <w:sz w:val="20"/>
          <w:szCs w:val="20"/>
          <w:color w:val="auto"/>
        </w:rPr>
      </w:pPr>
      <w:r>
        <w:rPr>
          <w:rFonts w:ascii="Arial" w:cs="Arial" w:eastAsia="Arial" w:hAnsi="Arial"/>
          <w:sz w:val="14"/>
          <w:szCs w:val="14"/>
          <w:color w:val="auto"/>
        </w:rPr>
        <w:t>The ESPP is intended to qualify as an “employee stock purchase plan” under Section 423 of the Internal Revenue Code. In general, an employee will not recognize U.S. taxable income until the sale or other disposition of our ordinary shares purchased under the ESPP (the “ESPP Shares”). Upon such sale or disposition, the employee will generally be subject to tax in an amount that depends on the employee’s holding period with respect to the ESPP Shares.</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If the ESPP Shares are sold or disposed of more than one year from the date of purchase and more than two years after the first day of the offering period in which they were purchased, or upon the employee’s death while owning the ESPP Shares, the employee will recognize ordinary income in an amount generally equal to the lesser of: (i) an amount equal to 10% of the fair market value of the ESPP Shares on the first day of the offering period (or such other percentage equal to the applicable purchase price discount), and (ii) the excess of the sale price of the ESPP Shares over the purchase price. Any additional gain will be treated as long-term capital gain. If the ESPP Shares held for the periods described above are sold and the sale price is less than the purchase price, then the employee will recognize a long-term capital loss in an amount equal to the excess of the purchase price over the sale price of the ESPP Shares.</w:t>
      </w:r>
    </w:p>
    <w:p>
      <w:pPr>
        <w:spacing w:after="0" w:line="166"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If the ESPP Shares are sold or otherwise disposed of before the expiration of the holding periods described above, other than following the employee’s death while owning the ESPP Shares, the employee generally will recognize as ordinary income an amount equal to the excess of the fair market value of the ESPP Shares on the date the ESPP Shares were purchased over the sale price. Any additional gain or loss on such sale or disposition will be long-term or short-term capital gain or loss, depending on the employee’s holding period with respect to the ESPP Shares.</w:t>
      </w:r>
    </w:p>
    <w:p>
      <w:pPr>
        <w:spacing w:after="0" w:line="175" w:lineRule="exact"/>
        <w:rPr>
          <w:sz w:val="20"/>
          <w:szCs w:val="20"/>
          <w:color w:val="auto"/>
        </w:rPr>
      </w:pPr>
    </w:p>
    <w:p>
      <w:pPr>
        <w:ind w:left="200" w:right="260"/>
        <w:spacing w:after="0" w:line="258" w:lineRule="auto"/>
        <w:rPr>
          <w:sz w:val="20"/>
          <w:szCs w:val="20"/>
          <w:color w:val="auto"/>
        </w:rPr>
      </w:pPr>
      <w:r>
        <w:rPr>
          <w:rFonts w:ascii="Arial" w:cs="Arial" w:eastAsia="Arial" w:hAnsi="Arial"/>
          <w:sz w:val="14"/>
          <w:szCs w:val="14"/>
          <w:color w:val="auto"/>
        </w:rPr>
        <w:t>We are not entitled to a U.S. corporate income tax deduction for amounts taxed as ordinary income or capital gain to an employee except to the extent of ordinary income recognized upon a sale or disposition of ESPP Shares prior to the expiration of the holding periods described above.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95"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The following table provides information as of December 31, 2018, about the number of shares to be issued upon vesting or exercise of equity awards as well as the number of shares remaining available for issuance under our equity compensation plans.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Numbers of Securities to</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Weighted Average</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be Issued Upon Exercise</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Exercise Price of</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of Outstanding Options,</w:t>
            </w:r>
          </w:p>
        </w:tc>
        <w:tc>
          <w:tcPr>
            <w:tcW w:w="56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Outstanding Options,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3000" w:type="dxa"/>
            <w:vAlign w:val="bottom"/>
          </w:tcPr>
          <w:p>
            <w:pPr>
              <w:jc w:val="right"/>
              <w:ind w:right="388"/>
              <w:spacing w:after="0"/>
              <w:rPr>
                <w:sz w:val="20"/>
                <w:szCs w:val="20"/>
                <w:color w:val="auto"/>
              </w:rPr>
            </w:pPr>
            <w:r>
              <w:rPr>
                <w:rFonts w:ascii="Arial" w:cs="Arial" w:eastAsia="Arial" w:hAnsi="Arial"/>
                <w:sz w:val="14"/>
                <w:szCs w:val="14"/>
                <w:b w:val="1"/>
                <w:bCs w:val="1"/>
                <w:color w:val="auto"/>
              </w:rPr>
              <w:t>Warrants and Rights</w:t>
            </w:r>
          </w:p>
        </w:tc>
        <w:tc>
          <w:tcPr>
            <w:tcW w:w="25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Warrants and Rights(a)</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Compensation Plans(b)</w:t>
            </w:r>
          </w:p>
        </w:tc>
      </w:tr>
      <w:tr>
        <w:trPr>
          <w:trHeight w:val="160"/>
        </w:trPr>
        <w:tc>
          <w:tcPr>
            <w:tcW w:w="20" w:type="dxa"/>
            <w:vAlign w:val="bottom"/>
          </w:tcPr>
          <w:p>
            <w:pPr>
              <w:spacing w:after="0"/>
              <w:rPr>
                <w:sz w:val="13"/>
                <w:szCs w:val="13"/>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Equity compensation plans approved by</w:t>
            </w:r>
          </w:p>
        </w:tc>
        <w:tc>
          <w:tcPr>
            <w:tcW w:w="30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38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shareholders(c)(d)</w:t>
            </w:r>
          </w:p>
        </w:tc>
        <w:tc>
          <w:tcPr>
            <w:tcW w:w="3000" w:type="dxa"/>
            <w:vAlign w:val="bottom"/>
            <w:tcBorders>
              <w:bottom w:val="single" w:sz="8" w:color="auto"/>
            </w:tcBorders>
            <w:shd w:val="clear" w:color="auto" w:fill="CCEEFF"/>
          </w:tcPr>
          <w:p>
            <w:pPr>
              <w:jc w:val="right"/>
              <w:ind w:right="388"/>
              <w:spacing w:after="0" w:line="157" w:lineRule="exact"/>
              <w:rPr>
                <w:sz w:val="20"/>
                <w:szCs w:val="20"/>
                <w:color w:val="auto"/>
              </w:rPr>
            </w:pPr>
            <w:r>
              <w:rPr>
                <w:rFonts w:ascii="Arial" w:cs="Arial" w:eastAsia="Arial" w:hAnsi="Arial"/>
                <w:sz w:val="14"/>
                <w:szCs w:val="14"/>
                <w:color w:val="auto"/>
              </w:rPr>
              <w:t>21,292</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408"/>
              <w:spacing w:after="0" w:line="157" w:lineRule="exact"/>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18,112</w:t>
            </w:r>
          </w:p>
        </w:tc>
      </w:tr>
    </w:tbl>
    <w:p>
      <w:pPr>
        <w:spacing w:after="0" w:line="45" w:lineRule="exact"/>
        <w:rPr>
          <w:sz w:val="20"/>
          <w:szCs w:val="20"/>
          <w:color w:val="auto"/>
        </w:rPr>
      </w:pPr>
    </w:p>
    <w:p>
      <w:pPr>
        <w:ind w:left="420" w:hanging="216"/>
        <w:spacing w:after="0"/>
        <w:tabs>
          <w:tab w:leader="none" w:pos="4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41" w:lineRule="exact"/>
        <w:rPr>
          <w:rFonts w:ascii="Arial" w:cs="Arial" w:eastAsia="Arial" w:hAnsi="Arial"/>
          <w:sz w:val="14"/>
          <w:szCs w:val="14"/>
          <w:color w:val="auto"/>
        </w:rPr>
      </w:pPr>
    </w:p>
    <w:p>
      <w:pPr>
        <w:ind w:left="420" w:hanging="216"/>
        <w:spacing w:after="0"/>
        <w:tabs>
          <w:tab w:leader="none" w:pos="4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41" w:lineRule="exact"/>
        <w:rPr>
          <w:rFonts w:ascii="Arial" w:cs="Arial" w:eastAsia="Arial" w:hAnsi="Arial"/>
          <w:sz w:val="14"/>
          <w:szCs w:val="14"/>
          <w:color w:val="auto"/>
        </w:rPr>
      </w:pPr>
    </w:p>
    <w:p>
      <w:pPr>
        <w:ind w:left="420" w:right="140" w:hanging="216"/>
        <w:spacing w:after="0" w:line="258" w:lineRule="auto"/>
        <w:tabs>
          <w:tab w:leader="none" w:pos="4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our 2006 Omnibus Incentive Plan, which was approved by our shareholders in May 2006, our 2010 Omnibus Incentive Plan, as amended, which was approved by our shareholders in June 2010, and our Employee Stock Purchase Plan, which was approved by our shareholders in June 2016.</w:t>
      </w:r>
    </w:p>
    <w:p>
      <w:pPr>
        <w:spacing w:after="0" w:line="18" w:lineRule="exact"/>
        <w:rPr>
          <w:rFonts w:ascii="Arial" w:cs="Arial" w:eastAsia="Arial" w:hAnsi="Arial"/>
          <w:sz w:val="14"/>
          <w:szCs w:val="14"/>
          <w:color w:val="auto"/>
        </w:rPr>
      </w:pPr>
    </w:p>
    <w:p>
      <w:pPr>
        <w:ind w:left="420" w:hanging="216"/>
        <w:spacing w:after="0"/>
        <w:tabs>
          <w:tab w:leader="none" w:pos="4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p>
      <w:pPr>
        <w:ind w:left="560" w:hanging="356"/>
        <w:spacing w:after="0"/>
        <w:tabs>
          <w:tab w:leader="none" w:pos="560" w:val="left"/>
        </w:tabs>
        <w:numPr>
          <w:ilvl w:val="0"/>
          <w:numId w:val="9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AGENDA ITEM 9</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Past Participation in the ESPP</w:t>
      </w:r>
    </w:p>
    <w:p>
      <w:pPr>
        <w:spacing w:after="0" w:line="195" w:lineRule="exact"/>
        <w:rPr>
          <w:sz w:val="20"/>
          <w:szCs w:val="20"/>
          <w:color w:val="auto"/>
        </w:rPr>
      </w:pPr>
    </w:p>
    <w:p>
      <w:pPr>
        <w:ind w:left="200" w:right="400"/>
        <w:spacing w:after="0" w:line="250" w:lineRule="auto"/>
        <w:rPr>
          <w:sz w:val="20"/>
          <w:szCs w:val="20"/>
          <w:color w:val="auto"/>
        </w:rPr>
      </w:pPr>
      <w:r>
        <w:rPr>
          <w:rFonts w:ascii="Arial" w:cs="Arial" w:eastAsia="Arial" w:hAnsi="Arial"/>
          <w:sz w:val="14"/>
          <w:szCs w:val="14"/>
          <w:color w:val="auto"/>
        </w:rPr>
        <w:t>The table below sets forth the number of ordinary shares purchased by each of our named executive officers and other employees of the Company and participating subsidiaries under the ESPP, including all executive officers as a group since the inception of the ESPP through April 15, 2019 at a weighted average purchase price of $2.99 per ordinary share. Non-employee directors are not eligible to participate in the Plan.</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Ordinary shares</w:t>
            </w:r>
          </w:p>
        </w:tc>
      </w:tr>
      <w:tr>
        <w:trPr>
          <w:trHeight w:val="175"/>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r>
      <w:tr>
        <w:trPr>
          <w:trHeight w:val="156"/>
        </w:trPr>
        <w:tc>
          <w:tcPr>
            <w:tcW w:w="20" w:type="dxa"/>
            <w:vAlign w:val="bottom"/>
          </w:tcPr>
          <w:p>
            <w:pPr>
              <w:spacing w:after="0"/>
              <w:rPr>
                <w:sz w:val="13"/>
                <w:szCs w:val="13"/>
                <w:color w:val="auto"/>
              </w:rPr>
            </w:pPr>
          </w:p>
        </w:tc>
        <w:tc>
          <w:tcPr>
            <w:tcW w:w="6740" w:type="dxa"/>
            <w:vAlign w:val="bottom"/>
            <w:tcBorders>
              <w:top w:val="single" w:sz="8" w:color="auto"/>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All executive officers as a group</w:t>
            </w:r>
          </w:p>
        </w:tc>
        <w:tc>
          <w:tcPr>
            <w:tcW w:w="4280" w:type="dxa"/>
            <w:vAlign w:val="bottom"/>
            <w:tcBorders>
              <w:top w:val="single" w:sz="8" w:color="auto"/>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67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All employees, including all executive officers, as a group</w:t>
            </w:r>
          </w:p>
        </w:tc>
        <w:tc>
          <w:tcPr>
            <w:tcW w:w="4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6,581,082</w:t>
            </w:r>
          </w:p>
        </w:tc>
      </w:tr>
    </w:tbl>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The Board unanimously recommends a vote “FOR” amending the ESPP to increase the number of ordinary shares authorized for issuance under the ESPP.</w:t>
      </w:r>
    </w:p>
    <w:p>
      <w:pPr>
        <w:spacing w:after="0" w:line="192" w:lineRule="exact"/>
        <w:rPr>
          <w:sz w:val="20"/>
          <w:szCs w:val="20"/>
          <w:color w:val="auto"/>
        </w:rPr>
      </w:pPr>
    </w:p>
    <w:p>
      <w:pPr>
        <w:jc w:val="both"/>
        <w:ind w:left="200" w:right="40"/>
        <w:spacing w:after="0" w:line="279"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59</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50" w:lineRule="exact"/>
        <w:rPr>
          <w:sz w:val="20"/>
          <w:szCs w:val="20"/>
          <w:color w:val="auto"/>
        </w:rPr>
      </w:pPr>
    </w:p>
    <w:p>
      <w:pPr>
        <w:ind w:left="200"/>
        <w:spacing w:after="0"/>
        <w:rPr>
          <w:sz w:val="20"/>
          <w:szCs w:val="20"/>
          <w:color w:val="auto"/>
        </w:rPr>
      </w:pPr>
      <w:r>
        <w:rPr>
          <w:rFonts w:ascii="Arial" w:cs="Arial" w:eastAsia="Arial" w:hAnsi="Arial"/>
          <w:sz w:val="65"/>
          <w:szCs w:val="65"/>
          <w:b w:val="1"/>
          <w:bCs w:val="1"/>
          <w:color w:val="C3002F"/>
        </w:rPr>
        <w:t>OTHER INFORMATION</w:t>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8318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96" w:lineRule="exact"/>
        <w:rPr>
          <w:sz w:val="20"/>
          <w:szCs w:val="20"/>
          <w:color w:val="auto"/>
        </w:rPr>
      </w:pPr>
    </w:p>
    <w:p>
      <w:pPr>
        <w:ind w:left="200" w:right="480"/>
        <w:spacing w:after="0" w:line="281" w:lineRule="auto"/>
        <w:rPr>
          <w:sz w:val="20"/>
          <w:szCs w:val="20"/>
          <w:color w:val="auto"/>
        </w:rPr>
      </w:pPr>
      <w:r>
        <w:rPr>
          <w:rFonts w:ascii="Arial" w:cs="Arial" w:eastAsia="Arial" w:hAnsi="Arial"/>
          <w:sz w:val="43"/>
          <w:szCs w:val="43"/>
          <w:b w:val="1"/>
          <w:bCs w:val="1"/>
          <w:color w:val="C3002F"/>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440"/>
        <w:spacing w:after="0" w:line="258"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April 15, 2019. Each person has sole voting and investment power for the shares shown below.</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Number of Shares</w:t>
            </w:r>
          </w:p>
        </w:tc>
        <w:tc>
          <w:tcPr>
            <w:tcW w:w="144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Total Shares</w:t>
            </w:r>
          </w:p>
        </w:tc>
        <w:tc>
          <w:tcPr>
            <w:tcW w:w="14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Owned</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Right to Acquire(1)</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Beneficially Owned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Outstanding Shares</w:t>
            </w: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Mohamed A. Awad</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82,059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144,770</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Christoph Bausch</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204,488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33,333</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237,821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Karl Blanchard</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209,584</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209,584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Roxanne J. Decyk</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35,748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98,459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Stuart Fraser</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141,239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141,239</w:t>
            </w:r>
          </w:p>
        </w:tc>
        <w:tc>
          <w:tcPr>
            <w:tcW w:w="146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John D. Gass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104,171</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166,882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Christina M. Ibrahim</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328,927</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328,927</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Emyr Jones Parry</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136,145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198,856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Francis S. Kalman</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125,671</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188,382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David S. King</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35,748</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98,459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William E. Macaulay</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289,065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96,610</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385,675</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Mark A. McCollum</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450,696</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319,927</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770,623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Doug Mills(2)</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203,009</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203,009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Angela A. Minas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40,000</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102,711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4"/>
                <w:szCs w:val="14"/>
                <w:color w:val="auto"/>
              </w:rPr>
              <w:t>Guillermo Ortiz</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146,795</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62,711</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209,506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directors and executive officers as a group (15 persons)</w:t>
            </w:r>
          </w:p>
        </w:tc>
        <w:tc>
          <w:tcPr>
            <w:tcW w:w="2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2,533,345</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951,558</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3,484,903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  Less than 1%.</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0" w:lineRule="exact"/>
        <w:rPr>
          <w:sz w:val="20"/>
          <w:szCs w:val="20"/>
          <w:color w:val="auto"/>
        </w:rPr>
      </w:pPr>
    </w:p>
    <w:p>
      <w:pPr>
        <w:ind w:left="420" w:hanging="216"/>
        <w:spacing w:after="0"/>
        <w:tabs>
          <w:tab w:leader="none" w:pos="4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RSUs that vest on or before June 14, 2019.</w:t>
      </w:r>
    </w:p>
    <w:p>
      <w:pPr>
        <w:spacing w:after="0" w:line="1" w:lineRule="exact"/>
        <w:rPr>
          <w:rFonts w:ascii="Arial" w:cs="Arial" w:eastAsia="Arial" w:hAnsi="Arial"/>
          <w:sz w:val="14"/>
          <w:szCs w:val="14"/>
          <w:color w:val="auto"/>
        </w:rPr>
      </w:pPr>
    </w:p>
    <w:p>
      <w:pPr>
        <w:ind w:left="420" w:right="20" w:hanging="216"/>
        <w:spacing w:after="0" w:line="258" w:lineRule="auto"/>
        <w:tabs>
          <w:tab w:leader="none" w:pos="4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Share ownership information is based on Mr. Mills last Form 4 dated February 2, 2018, and corporate records of shares distributed to him in connection with his departure from the Company in April 2018.</w:t>
      </w:r>
    </w:p>
    <w:p>
      <w:pPr>
        <w:spacing w:after="0" w:line="352" w:lineRule="exact"/>
        <w:rPr>
          <w:sz w:val="20"/>
          <w:szCs w:val="20"/>
          <w:color w:val="auto"/>
        </w:rPr>
      </w:pPr>
    </w:p>
    <w:p>
      <w:pPr>
        <w:ind w:left="200" w:right="2020"/>
        <w:spacing w:after="0" w:line="281" w:lineRule="auto"/>
        <w:rPr>
          <w:sz w:val="20"/>
          <w:szCs w:val="20"/>
          <w:color w:val="auto"/>
        </w:rPr>
      </w:pPr>
      <w:r>
        <w:rPr>
          <w:rFonts w:ascii="Arial" w:cs="Arial" w:eastAsia="Arial" w:hAnsi="Arial"/>
          <w:sz w:val="43"/>
          <w:szCs w:val="43"/>
          <w:b w:val="1"/>
          <w:bCs w:val="1"/>
          <w:color w:val="666666"/>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240"/>
        <w:spacing w:after="0" w:line="258"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April 15, 2019, as contained in filings made by the shareholder with the SEC.</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Outstanding</w:t>
            </w:r>
          </w:p>
        </w:tc>
      </w:tr>
      <w:tr>
        <w:trPr>
          <w:trHeight w:val="157"/>
        </w:trPr>
        <w:tc>
          <w:tcPr>
            <w:tcW w:w="60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39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Number of Shares</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Shares(1)</w:t>
            </w: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ClearBridge Investments, LLC</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107,668,913(2)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10.7%</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620 8th Avenue</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New York, New York 10018</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Dodge &amp; Cox</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82,847,831(3)</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555 California Street, 40th Floor</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San Francisco, California 94104</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The Vanguard Group</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60,426,221(4)</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100 Vanguard Blvd.</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Malvern, Pennsylvania 19355</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American Funds Insurance Series Asset Allocation Fund</w:t>
            </w:r>
          </w:p>
        </w:tc>
        <w:tc>
          <w:tcPr>
            <w:tcW w:w="39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60,000,000(5)</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r>
      <w:tr>
        <w:trPr>
          <w:trHeight w:val="156"/>
        </w:trPr>
        <w:tc>
          <w:tcPr>
            <w:tcW w:w="20" w:type="dxa"/>
            <w:vAlign w:val="bottom"/>
          </w:tcPr>
          <w:p>
            <w:pPr>
              <w:spacing w:after="0"/>
              <w:rPr>
                <w:sz w:val="13"/>
                <w:szCs w:val="13"/>
                <w:color w:val="auto"/>
              </w:rPr>
            </w:pPr>
          </w:p>
        </w:tc>
        <w:tc>
          <w:tcPr>
            <w:tcW w:w="6060" w:type="dxa"/>
            <w:vAlign w:val="bottom"/>
            <w:tcBorders>
              <w:top w:val="single" w:sz="8" w:color="666666"/>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333 South Hope Street</w:t>
            </w:r>
          </w:p>
        </w:tc>
        <w:tc>
          <w:tcPr>
            <w:tcW w:w="3900" w:type="dxa"/>
            <w:vAlign w:val="bottom"/>
            <w:tcBorders>
              <w:top w:val="single" w:sz="8" w:color="666666"/>
              <w:bottom w:val="single" w:sz="8" w:color="auto"/>
            </w:tcBorders>
          </w:tcPr>
          <w:p>
            <w:pPr>
              <w:spacing w:after="0"/>
              <w:rPr>
                <w:sz w:val="13"/>
                <w:szCs w:val="13"/>
                <w:color w:val="auto"/>
              </w:rPr>
            </w:pPr>
          </w:p>
        </w:tc>
        <w:tc>
          <w:tcPr>
            <w:tcW w:w="1060" w:type="dxa"/>
            <w:vAlign w:val="bottom"/>
            <w:tcBorders>
              <w:top w:val="single" w:sz="8" w:color="666666"/>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Los Angeles, CA 90071</w:t>
            </w:r>
          </w:p>
        </w:tc>
        <w:tc>
          <w:tcPr>
            <w:tcW w:w="3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The percentage indicated is based on 1,003,334,214 outstanding shares as of April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560" w:hanging="356"/>
        <w:spacing w:after="0"/>
        <w:tabs>
          <w:tab w:leader="none" w:pos="560" w:val="left"/>
        </w:tabs>
        <w:numPr>
          <w:ilvl w:val="0"/>
          <w:numId w:val="10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OTHER INFORMATION</w:t>
      </w:r>
    </w:p>
    <w:p>
      <w:pPr>
        <w:spacing w:after="0" w:line="208" w:lineRule="exact"/>
        <w:rPr>
          <w:sz w:val="20"/>
          <w:szCs w:val="20"/>
          <w:color w:val="auto"/>
        </w:rPr>
      </w:pPr>
    </w:p>
    <w:p>
      <w:pPr>
        <w:ind w:left="420" w:right="100" w:hanging="216"/>
        <w:spacing w:after="0" w:line="250" w:lineRule="auto"/>
        <w:tabs>
          <w:tab w:leader="none" w:pos="4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2019 and filed with the SEC by ClearBridge Investments, LLC. According to the filing, (i) the beneficial owner has sole voting power over 104,498,299 shares and sole dispositive power over 107,668,913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ind w:left="420" w:right="100" w:hanging="216"/>
        <w:spacing w:after="0" w:line="250" w:lineRule="auto"/>
        <w:tabs>
          <w:tab w:leader="none" w:pos="4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2019 and filed with the SEC by Dodge &amp; Cox. According to the filing, (i) the beneficial reports sole voting power over 80,693,931 shares and sole dispositive power over 82,847,831 shares, and (ii) the beneficial owner reports shared voting and dispositive power over no shares.</w:t>
      </w:r>
    </w:p>
    <w:p>
      <w:pPr>
        <w:spacing w:after="0" w:line="23" w:lineRule="exact"/>
        <w:rPr>
          <w:rFonts w:ascii="Arial" w:cs="Arial" w:eastAsia="Arial" w:hAnsi="Arial"/>
          <w:sz w:val="14"/>
          <w:szCs w:val="14"/>
          <w:color w:val="auto"/>
        </w:rPr>
      </w:pPr>
    </w:p>
    <w:p>
      <w:pPr>
        <w:ind w:left="420" w:right="120" w:hanging="216"/>
        <w:spacing w:after="0" w:line="250" w:lineRule="auto"/>
        <w:tabs>
          <w:tab w:leader="none" w:pos="4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11, 2019 and filed with the SEC by The Vanguard Group. According to the filing, (i) the beneficial owner reports sole voting power over 460,948 shares and sole dispositive power over 59,884,511 shares, and (ii) the beneficial owner reports shared voting power over 174,300 shares and has shared dispositive power over 541,710 of the shares.</w:t>
      </w:r>
    </w:p>
    <w:p>
      <w:pPr>
        <w:spacing w:after="0" w:line="23" w:lineRule="exact"/>
        <w:rPr>
          <w:rFonts w:ascii="Arial" w:cs="Arial" w:eastAsia="Arial" w:hAnsi="Arial"/>
          <w:sz w:val="14"/>
          <w:szCs w:val="14"/>
          <w:color w:val="auto"/>
        </w:rPr>
      </w:pPr>
    </w:p>
    <w:p>
      <w:pPr>
        <w:ind w:left="420" w:right="120" w:hanging="216"/>
        <w:spacing w:after="0" w:line="247" w:lineRule="auto"/>
        <w:tabs>
          <w:tab w:leader="none" w:pos="4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dated February 8, 2019 and filed with the SEC by American Funds Insurance Series Asset Allocation Fund. According to the filing, (i) the beneficial owner reports sole voting power over no shares and sole dispositive power over no shares, and (ii) the beneficial owner does not have shared voting or dispositive power over any of the shares. The beneficial owner reported that these shares may be reflected in a filing made by Capital Research Global Investors, Capital International Investors and/or Capital World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right="1800"/>
        <w:spacing w:after="0" w:line="281"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116" w:lineRule="exact"/>
        <w:rPr>
          <w:sz w:val="20"/>
          <w:szCs w:val="20"/>
          <w:color w:val="auto"/>
        </w:rPr>
      </w:pPr>
    </w:p>
    <w:p>
      <w:pPr>
        <w:ind w:left="200" w:right="120"/>
        <w:spacing w:after="0" w:line="247"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and retirement plans (including our 401(k) plan). The minimum guidelines are based on a multiple of base salary or, in the case of directors, annual cash retainer. The guidelines are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6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4840" w:type="dxa"/>
            <w:vAlign w:val="bottom"/>
            <w:tcBorders>
              <w:top w:val="single" w:sz="8" w:color="auto"/>
            </w:tcBorders>
          </w:tcPr>
          <w:p>
            <w:pPr>
              <w:ind w:left="4640"/>
              <w:spacing w:after="0"/>
              <w:rPr>
                <w:sz w:val="20"/>
                <w:szCs w:val="20"/>
                <w:color w:val="auto"/>
              </w:rPr>
            </w:pPr>
            <w:r>
              <w:rPr>
                <w:rFonts w:ascii="Arial" w:cs="Arial" w:eastAsia="Arial" w:hAnsi="Arial"/>
                <w:sz w:val="14"/>
                <w:szCs w:val="14"/>
                <w:color w:val="auto"/>
              </w:rPr>
              <w:t>6x</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4840" w:type="dxa"/>
            <w:vAlign w:val="bottom"/>
          </w:tcPr>
          <w:p>
            <w:pPr>
              <w:ind w:left="4640"/>
              <w:spacing w:after="0"/>
              <w:rPr>
                <w:sz w:val="20"/>
                <w:szCs w:val="20"/>
                <w:color w:val="auto"/>
              </w:rPr>
            </w:pPr>
            <w:r>
              <w:rPr>
                <w:rFonts w:ascii="Arial" w:cs="Arial" w:eastAsia="Arial" w:hAnsi="Arial"/>
                <w:sz w:val="14"/>
                <w:szCs w:val="14"/>
                <w:color w:val="auto"/>
              </w:rPr>
              <w:t>3x</w:t>
            </w:r>
          </w:p>
        </w:tc>
      </w:tr>
      <w:tr>
        <w:trPr>
          <w:trHeight w:val="157"/>
        </w:trPr>
        <w:tc>
          <w:tcPr>
            <w:tcW w:w="62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Directors</w:t>
            </w:r>
          </w:p>
        </w:tc>
        <w:tc>
          <w:tcPr>
            <w:tcW w:w="4840" w:type="dxa"/>
            <w:vAlign w:val="bottom"/>
            <w:tcBorders>
              <w:bottom w:val="single" w:sz="8" w:color="auto"/>
            </w:tcBorders>
          </w:tcPr>
          <w:p>
            <w:pPr>
              <w:ind w:left="4640"/>
              <w:spacing w:after="0" w:line="157" w:lineRule="exact"/>
              <w:rPr>
                <w:sz w:val="20"/>
                <w:szCs w:val="20"/>
                <w:color w:val="auto"/>
              </w:rPr>
            </w:pPr>
            <w:r>
              <w:rPr>
                <w:rFonts w:ascii="Arial" w:cs="Arial" w:eastAsia="Arial" w:hAnsi="Arial"/>
                <w:sz w:val="14"/>
                <w:szCs w:val="14"/>
                <w:color w:val="auto"/>
              </w:rPr>
              <w:t>5x</w:t>
            </w:r>
          </w:p>
        </w:tc>
      </w:tr>
    </w:tbl>
    <w:p>
      <w:pPr>
        <w:spacing w:after="0" w:line="180" w:lineRule="exact"/>
        <w:rPr>
          <w:sz w:val="20"/>
          <w:szCs w:val="20"/>
          <w:color w:val="auto"/>
        </w:rPr>
      </w:pPr>
    </w:p>
    <w:p>
      <w:pPr>
        <w:ind w:left="200" w:right="220"/>
        <w:spacing w:after="0" w:line="258"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4" w:lineRule="exact"/>
        <w:rPr>
          <w:sz w:val="20"/>
          <w:szCs w:val="20"/>
          <w:color w:val="auto"/>
        </w:rPr>
      </w:pPr>
    </w:p>
    <w:p>
      <w:pPr>
        <w:ind w:left="200" w:right="40"/>
        <w:spacing w:after="0" w:line="245" w:lineRule="auto"/>
        <w:rPr>
          <w:sz w:val="20"/>
          <w:szCs w:val="20"/>
          <w:color w:val="auto"/>
        </w:rPr>
      </w:pPr>
      <w:r>
        <w:rPr>
          <w:rFonts w:ascii="Arial" w:cs="Arial" w:eastAsia="Arial" w:hAnsi="Arial"/>
          <w:sz w:val="14"/>
          <w:szCs w:val="14"/>
          <w:color w:val="auto"/>
        </w:rPr>
        <w:t>The Committee has reviewed the share ownership of our executive officers and directors and, subject to the transition periods and limitations described above, determined that Mr. Kalman, Mr. Gass, Mr. Macaulay, Sir Emyr Jones Parry and Dr. Ortiz were below the threshold, whereas the rest met or exceeded these share ownership guidelines. With respect to Mr. Kalman, Mr. Gass, Mr. Macaulay, Sir Emyr Jones Parry and Dr. Ortiz, the Company notes that these directors have historically been in full compliance, however due to the extreme decline in the Company’s share price over the energy downturn, these directors are temporarily out of compliance. We will continue to monitor our share price; however, we do not expect, nor do our minimum share ownership guidelines require, additional open market purchases by our directors to satisfy the guidelines.</w:t>
      </w:r>
    </w:p>
    <w:p>
      <w:pPr>
        <w:spacing w:after="0" w:line="200" w:lineRule="exact"/>
        <w:rPr>
          <w:sz w:val="20"/>
          <w:szCs w:val="20"/>
          <w:color w:val="auto"/>
        </w:rPr>
      </w:pPr>
    </w:p>
    <w:p>
      <w:pPr>
        <w:spacing w:after="0" w:line="325" w:lineRule="exact"/>
        <w:rPr>
          <w:sz w:val="20"/>
          <w:szCs w:val="20"/>
          <w:color w:val="auto"/>
        </w:rPr>
      </w:pPr>
    </w:p>
    <w:p>
      <w:pPr>
        <w:ind w:left="200" w:right="242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-726440</wp:posOffset>
            </wp:positionV>
            <wp:extent cx="83185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6"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All of our executive officers and directors are required to file initial reports of share ownership and reports of changes in ownership with the SEC pursuant to Section 16(a) of the Exchange Act.</w:t>
      </w:r>
    </w:p>
    <w:p>
      <w:pPr>
        <w:spacing w:after="0" w:line="167" w:lineRule="exact"/>
        <w:rPr>
          <w:sz w:val="20"/>
          <w:szCs w:val="20"/>
          <w:color w:val="auto"/>
        </w:rPr>
      </w:pPr>
    </w:p>
    <w:p>
      <w:pPr>
        <w:ind w:left="200" w:right="60"/>
        <w:spacing w:after="0" w:line="247" w:lineRule="auto"/>
        <w:rPr>
          <w:sz w:val="20"/>
          <w:szCs w:val="20"/>
          <w:color w:val="auto"/>
        </w:rPr>
      </w:pPr>
      <w:r>
        <w:rPr>
          <w:rFonts w:ascii="Arial" w:cs="Arial" w:eastAsia="Arial" w:hAnsi="Arial"/>
          <w:sz w:val="14"/>
          <w:szCs w:val="14"/>
          <w:color w:val="auto"/>
        </w:rPr>
        <w:t>We have reviewed these reports, including any amendments, and written representations from the executive officers and directors of the Company. Based on this review, we believe that all 2018 filing requirements were met for each of our directors and executive officers subject to Section 16(a). However, we have discovered that a Form 4 filing should have been made for Mr. Macaulay to reflect the distribution of 6,200 ordinary shares in November 2016 from the Anne R. Macaulay 2016 Trust and Elizabeth Macaulay Lewis 2016 Trusts to their respective beneficiaries, Mr. Macaulay’s children, who were, at the time of such distributions, living outside Mr. Macaulay’s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227965</wp:posOffset>
            </wp:positionV>
            <wp:extent cx="83185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INCORPORATION BY REFERENCE</w:t>
      </w:r>
    </w:p>
    <w:p>
      <w:pPr>
        <w:spacing w:after="0" w:line="280" w:lineRule="exact"/>
        <w:rPr>
          <w:sz w:val="20"/>
          <w:szCs w:val="20"/>
          <w:color w:val="auto"/>
        </w:rPr>
      </w:pPr>
    </w:p>
    <w:p>
      <w:pPr>
        <w:ind w:left="200" w:right="160"/>
        <w:spacing w:after="0" w:line="247" w:lineRule="auto"/>
        <w:rPr>
          <w:sz w:val="20"/>
          <w:szCs w:val="20"/>
          <w:color w:val="auto"/>
        </w:rPr>
      </w:pPr>
      <w:r>
        <w:rPr>
          <w:rFonts w:ascii="Arial" w:cs="Arial" w:eastAsia="Arial" w:hAnsi="Arial"/>
          <w:sz w:val="14"/>
          <w:szCs w:val="14"/>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61</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80" w:lineRule="exact"/>
        <w:rPr>
          <w:sz w:val="20"/>
          <w:szCs w:val="20"/>
          <w:color w:val="auto"/>
        </w:rPr>
      </w:pPr>
    </w:p>
    <w:p>
      <w:pPr>
        <w:ind w:left="200" w:right="80"/>
        <w:spacing w:after="0" w:line="245" w:lineRule="auto"/>
        <w:rPr>
          <w:sz w:val="20"/>
          <w:szCs w:val="20"/>
          <w:color w:val="auto"/>
        </w:rPr>
      </w:pPr>
      <w:r>
        <w:rPr>
          <w:rFonts w:ascii="Arial" w:cs="Arial" w:eastAsia="Arial" w:hAnsi="Arial"/>
          <w:sz w:val="14"/>
          <w:szCs w:val="14"/>
          <w:color w:val="auto"/>
        </w:rPr>
        <w:t xml:space="preserve">The Company’s Irish Statutory Accounts for the fiscal year ended December 31, 2018,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4"/>
          <w:szCs w:val="14"/>
          <w:i w:val="1"/>
          <w:iCs w:val="1"/>
          <w:color w:val="auto"/>
        </w:rPr>
        <w:t xml:space="preserve">www.weatherfordannualmeeting.com </w:t>
      </w:r>
      <w:r>
        <w:rPr>
          <w:rFonts w:ascii="Arial" w:cs="Arial" w:eastAsia="Arial" w:hAnsi="Arial"/>
          <w:sz w:val="14"/>
          <w:szCs w:val="14"/>
          <w:color w:val="auto"/>
        </w:rPr>
        <w:t>and in the Investor Relations section of the Company’s website at</w:t>
      </w:r>
      <w:r>
        <w:rPr>
          <w:rFonts w:ascii="Arial" w:cs="Arial" w:eastAsia="Arial" w:hAnsi="Arial"/>
          <w:sz w:val="14"/>
          <w:szCs w:val="14"/>
          <w:i w:val="1"/>
          <w:iCs w:val="1"/>
          <w:color w:val="auto"/>
        </w:rPr>
        <w:t xml:space="preserve"> www.weatherford.com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229870</wp:posOffset>
            </wp:positionV>
            <wp:extent cx="8318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PROPOSALS BY SHAREHOLDERS</w:t>
      </w:r>
    </w:p>
    <w:p>
      <w:pPr>
        <w:spacing w:after="0" w:line="280"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2020 annual general meeting, your proposals must be received by us by December 31, 2019 and must otherwise comply with Rule 14a-8. Any proposal received after such date will be considered untimely.</w:t>
      </w:r>
    </w:p>
    <w:p>
      <w:pPr>
        <w:spacing w:after="0" w:line="161" w:lineRule="exact"/>
        <w:rPr>
          <w:sz w:val="20"/>
          <w:szCs w:val="20"/>
          <w:color w:val="auto"/>
        </w:rPr>
      </w:pPr>
    </w:p>
    <w:p>
      <w:pPr>
        <w:ind w:left="200" w:right="40"/>
        <w:spacing w:after="0" w:line="243" w:lineRule="auto"/>
        <w:rPr>
          <w:sz w:val="20"/>
          <w:szCs w:val="20"/>
          <w:color w:val="auto"/>
        </w:rPr>
      </w:pPr>
      <w:r>
        <w:rPr>
          <w:rFonts w:ascii="Arial" w:cs="Arial" w:eastAsia="Arial" w:hAnsi="Arial"/>
          <w:sz w:val="14"/>
          <w:szCs w:val="14"/>
          <w:color w:val="auto"/>
        </w:rPr>
        <w:t>If you desire to bring a matter before the 2020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10th calendar day after the date on which public announcement or other notification to the shareholders of the date of the contemplated annual general meeting is first made by the Company.</w:t>
      </w:r>
    </w:p>
    <w:p>
      <w:pPr>
        <w:spacing w:after="0" w:line="168" w:lineRule="exact"/>
        <w:rPr>
          <w:sz w:val="20"/>
          <w:szCs w:val="20"/>
          <w:color w:val="auto"/>
        </w:rPr>
      </w:pPr>
    </w:p>
    <w:p>
      <w:pPr>
        <w:jc w:val="both"/>
        <w:ind w:left="200"/>
        <w:spacing w:after="0" w:line="250" w:lineRule="auto"/>
        <w:rPr>
          <w:sz w:val="20"/>
          <w:szCs w:val="20"/>
          <w:color w:val="auto"/>
        </w:rPr>
      </w:pPr>
      <w:r>
        <w:rPr>
          <w:rFonts w:ascii="Arial" w:cs="Arial" w:eastAsia="Arial" w:hAnsi="Arial"/>
          <w:sz w:val="14"/>
          <w:szCs w:val="14"/>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72" w:lineRule="exact"/>
        <w:rPr>
          <w:sz w:val="20"/>
          <w:szCs w:val="20"/>
          <w:color w:val="auto"/>
        </w:rPr>
      </w:pPr>
    </w:p>
    <w:p>
      <w:pPr>
        <w:ind w:left="200" w:right="40"/>
        <w:spacing w:after="0" w:line="248" w:lineRule="auto"/>
        <w:rPr>
          <w:sz w:val="20"/>
          <w:szCs w:val="20"/>
          <w:color w:val="auto"/>
        </w:rPr>
      </w:pPr>
      <w:r>
        <w:rPr>
          <w:rFonts w:ascii="Arial" w:cs="Arial" w:eastAsia="Arial" w:hAnsi="Arial"/>
          <w:sz w:val="14"/>
          <w:szCs w:val="14"/>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Weststrasse 1, 6340 Baar, Switzerland.</w:t>
      </w:r>
    </w:p>
    <w:p>
      <w:pPr>
        <w:spacing w:after="0" w:line="325" w:lineRule="exact"/>
        <w:rPr>
          <w:sz w:val="20"/>
          <w:szCs w:val="20"/>
          <w:color w:val="auto"/>
        </w:rPr>
      </w:pPr>
    </w:p>
    <w:p>
      <w:pPr>
        <w:ind w:left="200" w:right="340"/>
        <w:spacing w:after="0" w:line="258"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8318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OTHER BUSINESS</w:t>
      </w:r>
    </w:p>
    <w:p>
      <w:pPr>
        <w:spacing w:after="0" w:line="280" w:lineRule="exact"/>
        <w:rPr>
          <w:sz w:val="20"/>
          <w:szCs w:val="20"/>
          <w:color w:val="auto"/>
        </w:rPr>
      </w:pPr>
    </w:p>
    <w:p>
      <w:pPr>
        <w:ind w:left="200" w:right="80"/>
        <w:spacing w:after="0" w:line="250"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8318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HOUSEHOLDING</w:t>
      </w:r>
    </w:p>
    <w:p>
      <w:pPr>
        <w:spacing w:after="0" w:line="280" w:lineRule="exact"/>
        <w:rPr>
          <w:sz w:val="20"/>
          <w:szCs w:val="20"/>
          <w:color w:val="auto"/>
        </w:rPr>
      </w:pPr>
    </w:p>
    <w:p>
      <w:pPr>
        <w:ind w:left="200" w:right="120"/>
        <w:spacing w:after="0" w:line="250"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59"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6" w:lineRule="exact"/>
        <w:rPr>
          <w:sz w:val="20"/>
          <w:szCs w:val="20"/>
          <w:color w:val="auto"/>
        </w:rPr>
      </w:pPr>
    </w:p>
    <w:p>
      <w:pPr>
        <w:ind w:left="560" w:hanging="356"/>
        <w:spacing w:after="0"/>
        <w:tabs>
          <w:tab w:leader="none" w:pos="560" w:val="left"/>
        </w:tabs>
        <w:numPr>
          <w:ilvl w:val="0"/>
          <w:numId w:val="10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8318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ADDITIONAL INFORMATION AVAILABLE</w:t>
      </w:r>
    </w:p>
    <w:p>
      <w:pPr>
        <w:spacing w:after="0" w:line="280" w:lineRule="exact"/>
        <w:rPr>
          <w:sz w:val="20"/>
          <w:szCs w:val="20"/>
          <w:color w:val="auto"/>
        </w:rPr>
      </w:pPr>
    </w:p>
    <w:p>
      <w:pPr>
        <w:ind w:left="200" w:right="120"/>
        <w:spacing w:after="0" w:line="245" w:lineRule="auto"/>
        <w:rPr>
          <w:sz w:val="20"/>
          <w:szCs w:val="20"/>
          <w:color w:val="auto"/>
        </w:rPr>
      </w:pPr>
      <w:r>
        <w:rPr>
          <w:rFonts w:ascii="Arial" w:cs="Arial" w:eastAsia="Arial" w:hAnsi="Arial"/>
          <w:sz w:val="14"/>
          <w:szCs w:val="14"/>
          <w:color w:val="auto"/>
        </w:rPr>
        <w:t>The 2018 Annual Report on Form 10-K and the audited consolidated financial statements of Weatherford for the year ended December 31, 2018 and accompanying directors’ auditor’s reports have been filed with the SEC. Complete copies of these materials are available on our website at www.weatherford.com.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April 30, 2019</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40640</wp:posOffset>
            </wp:positionV>
            <wp:extent cx="2221230" cy="403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Christina M. Ibrahim</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7380"/>
        <w:spacing w:after="0"/>
        <w:tabs>
          <w:tab w:leader="none" w:pos="1104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63</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3860"/>
        <w:spacing w:after="0" w:line="245" w:lineRule="auto"/>
        <w:rPr>
          <w:sz w:val="20"/>
          <w:szCs w:val="20"/>
          <w:color w:val="auto"/>
        </w:rPr>
      </w:pPr>
      <w:r>
        <w:rPr>
          <w:rFonts w:ascii="Arial" w:cs="Arial" w:eastAsia="Arial" w:hAnsi="Arial"/>
          <w:sz w:val="47"/>
          <w:szCs w:val="47"/>
          <w:b w:val="1"/>
          <w:bCs w:val="1"/>
          <w:color w:val="C3002F"/>
        </w:rPr>
        <w:t>ANNEX A – AMENDED MEMORANDUM AND ARTICLES OF ASSOCIATION (REVERSE STOCK SPLIT)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COMPANIES ACTS 1963 TO 2013</w:t>
      </w:r>
    </w:p>
    <w:p>
      <w:pPr>
        <w:spacing w:after="0" w:line="13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 PUBLIC COMPANY LIMITED BY SHARES</w:t>
      </w:r>
    </w:p>
    <w:p>
      <w:pPr>
        <w:spacing w:after="0" w:line="13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MEMORANDUM OF ASSOCIATION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-of-</w:t>
      </w:r>
    </w:p>
    <w:p>
      <w:pPr>
        <w:spacing w:after="0" w:line="136"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WEATHERFORD INTERNATIONAL PUBLIC LIMITED COMPANY</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(Adopted on 3 March 2014 and amended by special resolutions passed on 31 March 2014, 27 May 2014, and 29 May 2014)</w:t>
      </w:r>
    </w:p>
    <w:p>
      <w:pPr>
        <w:spacing w:after="0" w:line="341" w:lineRule="exact"/>
        <w:rPr>
          <w:sz w:val="20"/>
          <w:szCs w:val="20"/>
          <w:color w:val="auto"/>
        </w:rPr>
      </w:pPr>
    </w:p>
    <w:p>
      <w:pPr>
        <w:ind w:left="980" w:hanging="776"/>
        <w:spacing w:after="0"/>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name of the company is Weatherford International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Company is to be a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objects for which the Company is established 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3.1</w:t>
            </w:r>
          </w:p>
        </w:tc>
        <w:tc>
          <w:tcPr>
            <w:tcW w:w="82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(a)</w:t>
            </w:r>
          </w:p>
        </w:tc>
        <w:tc>
          <w:tcPr>
            <w:tcW w:w="9640" w:type="dxa"/>
            <w:vAlign w:val="bottom"/>
          </w:tcPr>
          <w:p>
            <w:pPr>
              <w:ind w:left="360"/>
              <w:spacing w:after="0"/>
              <w:rPr>
                <w:sz w:val="20"/>
                <w:szCs w:val="20"/>
                <w:color w:val="auto"/>
              </w:rPr>
            </w:pPr>
            <w:r>
              <w:rPr>
                <w:rFonts w:ascii="Arial" w:cs="Arial" w:eastAsia="Arial" w:hAnsi="Arial"/>
                <w:sz w:val="14"/>
                <w:szCs w:val="14"/>
                <w:color w:val="auto"/>
                <w:w w:val="99"/>
              </w:rPr>
              <w:t>To carry on the business of a holding company and to co-ordinate the administration, finances and activities of any subsidiary companies or associated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companies, to do all lawful acts and things whatever that are necessary or convenient in carrying on the business of such a holding company and in</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particular to carry on, in all branches and business locations, the business of a management services company, to act as managers and to direct or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6"/>
              </w:rPr>
              <w:t>co-ordinate the management of other companies or of the business, property and estates of any company or person and to undertake and carry out all such</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services in connection therewith as may be deemed expedient by the board of directors of the Company and to exercise its powers as a shareholder,</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whether direct or indirect, of other companies.</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(b)</w:t>
            </w:r>
          </w:p>
        </w:tc>
        <w:tc>
          <w:tcPr>
            <w:tcW w:w="9640" w:type="dxa"/>
            <w:vAlign w:val="bottom"/>
          </w:tcPr>
          <w:p>
            <w:pPr>
              <w:ind w:left="360"/>
              <w:spacing w:after="0"/>
              <w:rPr>
                <w:sz w:val="20"/>
                <w:szCs w:val="20"/>
                <w:color w:val="auto"/>
              </w:rPr>
            </w:pPr>
            <w:r>
              <w:rPr>
                <w:rFonts w:ascii="Arial" w:cs="Arial" w:eastAsia="Arial" w:hAnsi="Arial"/>
                <w:sz w:val="14"/>
                <w:szCs w:val="14"/>
                <w:color w:val="auto"/>
                <w:w w:val="98"/>
              </w:rPr>
              <w:t>To acquire, hold, administer, control, sell and transfer equity securities in entities in Ireland and abroad, either directly or indirectly, in particular in entities</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9"/>
              </w:rPr>
              <w:t>which are active in the fields of providing services, financing, licensing, leasing, manufacturing and all other activities with respect to the acquisition and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production of natural energy and to do all things usually dealt in by persons carrying on the above mentioned businesses or likely to be required in</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connection with any of the said businesses.</w:t>
            </w:r>
          </w:p>
        </w:tc>
      </w:tr>
      <w:tr>
        <w:trPr>
          <w:trHeight w:val="392"/>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(c)</w:t>
            </w:r>
          </w:p>
        </w:tc>
        <w:tc>
          <w:tcPr>
            <w:tcW w:w="9640" w:type="dxa"/>
            <w:vAlign w:val="bottom"/>
          </w:tcPr>
          <w:p>
            <w:pPr>
              <w:ind w:left="360"/>
              <w:spacing w:after="0"/>
              <w:rPr>
                <w:sz w:val="20"/>
                <w:szCs w:val="20"/>
                <w:color w:val="auto"/>
              </w:rPr>
            </w:pPr>
            <w:r>
              <w:rPr>
                <w:rFonts w:ascii="Arial" w:cs="Arial" w:eastAsia="Arial" w:hAnsi="Arial"/>
                <w:sz w:val="14"/>
                <w:szCs w:val="14"/>
                <w:color w:val="auto"/>
              </w:rPr>
              <w:t>To engage in any commercial, financial or other activities which are, directly or indirectly, related to the purpose or objects of the Company.</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(d)</w:t>
            </w:r>
          </w:p>
        </w:tc>
        <w:tc>
          <w:tcPr>
            <w:tcW w:w="9640" w:type="dxa"/>
            <w:vAlign w:val="bottom"/>
          </w:tcPr>
          <w:p>
            <w:pPr>
              <w:ind w:left="360"/>
              <w:spacing w:after="0"/>
              <w:rPr>
                <w:sz w:val="20"/>
                <w:szCs w:val="20"/>
                <w:color w:val="auto"/>
              </w:rPr>
            </w:pPr>
            <w:r>
              <w:rPr>
                <w:rFonts w:ascii="Arial" w:cs="Arial" w:eastAsia="Arial" w:hAnsi="Arial"/>
                <w:sz w:val="14"/>
                <w:szCs w:val="14"/>
                <w:color w:val="auto"/>
                <w:w w:val="99"/>
              </w:rPr>
              <w:t>To generally engage in all types of transactions and take all measures that appear appropriate to promote, whether directly or indirectly, the purpose or</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w w:val="97"/>
              </w:rPr>
              <w:t>objects of the Company and/or the general interest of the Company or the group of companies to which the Company belongs, or that are related thereto.</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(e)</w:t>
            </w:r>
          </w:p>
        </w:tc>
        <w:tc>
          <w:tcPr>
            <w:tcW w:w="9640" w:type="dxa"/>
            <w:vAlign w:val="bottom"/>
          </w:tcPr>
          <w:p>
            <w:pPr>
              <w:ind w:left="360"/>
              <w:spacing w:after="0"/>
              <w:rPr>
                <w:sz w:val="20"/>
                <w:szCs w:val="20"/>
                <w:color w:val="auto"/>
              </w:rPr>
            </w:pPr>
            <w:r>
              <w:rPr>
                <w:rFonts w:ascii="Arial" w:cs="Arial" w:eastAsia="Arial" w:hAnsi="Arial"/>
                <w:sz w:val="14"/>
                <w:szCs w:val="14"/>
                <w:color w:val="auto"/>
                <w:w w:val="96"/>
              </w:rPr>
              <w:t>To participate in the financing, including by means of the providing of guarantees, support, security and sureties of any kind, of other entities of the group of</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companies to which the Company belongs in the general interest of such group.</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(f)</w:t>
            </w:r>
          </w:p>
        </w:tc>
        <w:tc>
          <w:tcPr>
            <w:tcW w:w="9640" w:type="dxa"/>
            <w:vAlign w:val="bottom"/>
          </w:tcPr>
          <w:p>
            <w:pPr>
              <w:ind w:left="360"/>
              <w:spacing w:after="0"/>
              <w:rPr>
                <w:sz w:val="20"/>
                <w:szCs w:val="20"/>
                <w:color w:val="auto"/>
              </w:rPr>
            </w:pPr>
            <w:r>
              <w:rPr>
                <w:rFonts w:ascii="Arial" w:cs="Arial" w:eastAsia="Arial" w:hAnsi="Arial"/>
                <w:sz w:val="14"/>
                <w:szCs w:val="14"/>
                <w:color w:val="auto"/>
                <w:w w:val="97"/>
              </w:rPr>
              <w:t>To take-over all assets and liabilities of Weatherford International Ltd., a joint-stock corporation organized under the laws of Switzerland (“WIL Swiss”), by</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7"/>
              </w:rPr>
              <w:t>way of an international (cross-border) merger without liquidation of WIL Swiss in compliance with, inter alia, Art. 3 et seq. Swiss Act on Merger, Demerger,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7"/>
              </w:rPr>
              <w:t>Transformation and Transfer of Assets and Art. 163b and Art. 163c Swiss Private International Law Act and also applicable laws of Ireland, and to do and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take all such things, measures, acts and actions (including, but not limited to, entering into agreements, contracts, deeds and other documents or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instruments and giving undertakings, covenants, representations, warranties, indemnities, guarantees and other commitments and promises) as the</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Company considers may be necessary or required in connection therewith, or conducive or incidental thereto.</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3.2</w:t>
            </w: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w w:val="97"/>
              </w:rPr>
              <w:t>To acquire shares, stocks, debentures, debenture stock, indentures, notes, loan notes, loan stock, bonds, obligations and other securities of any description, by original</w:t>
            </w:r>
          </w:p>
        </w:tc>
      </w:tr>
      <w:tr>
        <w:trPr>
          <w:trHeight w:val="149"/>
        </w:trPr>
        <w:tc>
          <w:tcPr>
            <w:tcW w:w="480" w:type="dxa"/>
            <w:vAlign w:val="bottom"/>
          </w:tcPr>
          <w:p>
            <w:pPr>
              <w:spacing w:after="0"/>
              <w:rPr>
                <w:sz w:val="12"/>
                <w:szCs w:val="12"/>
                <w:color w:val="auto"/>
              </w:rPr>
            </w:pPr>
          </w:p>
        </w:tc>
        <w:tc>
          <w:tcPr>
            <w:tcW w:w="104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8"/>
              </w:rPr>
              <w:t>subscription, tender, purchase, exchange or otherwise and to subscribe for the same either conditionally or otherwise, and to guarantee the subscription thereof and to</w:t>
            </w:r>
          </w:p>
        </w:tc>
      </w:tr>
      <w:tr>
        <w:trPr>
          <w:trHeight w:val="162"/>
        </w:trPr>
        <w:tc>
          <w:tcPr>
            <w:tcW w:w="480" w:type="dxa"/>
            <w:vAlign w:val="bottom"/>
          </w:tcPr>
          <w:p>
            <w:pPr>
              <w:spacing w:after="0"/>
              <w:rPr>
                <w:sz w:val="14"/>
                <w:szCs w:val="14"/>
                <w:color w:val="auto"/>
              </w:rPr>
            </w:pP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rPr>
              <w:t>exercise and enforce all rights and powers conferred by or incidental to the ownership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auto"/>
              </w:rPr>
              <w:t>3.3</w:t>
            </w:r>
          </w:p>
        </w:tc>
        <w:tc>
          <w:tcPr>
            <w:tcW w:w="10500" w:type="dxa"/>
            <w:vAlign w:val="bottom"/>
          </w:tcPr>
          <w:p>
            <w:pPr>
              <w:ind w:left="260"/>
              <w:spacing w:after="0"/>
              <w:rPr>
                <w:sz w:val="20"/>
                <w:szCs w:val="20"/>
                <w:color w:val="auto"/>
              </w:rPr>
            </w:pPr>
            <w:r>
              <w:rPr>
                <w:rFonts w:ascii="Arial" w:cs="Arial" w:eastAsia="Arial" w:hAnsi="Arial"/>
                <w:sz w:val="14"/>
                <w:szCs w:val="14"/>
                <w:color w:val="auto"/>
              </w:rPr>
              <w:t>To facilitate, effect, and encourage the creation, issue or conversion of, and to offer for public or private subscription, tender, purchase or exchange, shares, stocks,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debentures, debenture stock, indentures, notes, loan notes, loan stock, bonds, obligations and other securities of any description of the Company, of any member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group to which the Company belongs or of any other person and to act as trustees in connection with any such securities and to take part in the conversion of business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concerns and undertakings into companies.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3.4</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purchase or by any other means acquire any freehold, leasehold or other property and real estate and in particular lands, tenements and hereditaments of any tenure,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whether subject or not to any charges or encumbrances, for any estate or interest whatever, and any rights, privileges or easements over or in respect of any property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real estate, and any buildings, factories, mills, works, wharves, roads, rigs, machinery, engines, plant, live and dead stock, barges, vessels or things, and any real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personal property or rights whatsoever which may be necessary for, or may conveniently be used with, or may enhance the value or property of the Company, and to hold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or to sell, let, alienate, mortgage, charge or otherwise deal with all or any such freehold, leasehold, or other property and real estate, lands, tenements or hereditaments,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rights, privileges or easements.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establish and contribute to any scheme (including any share option scheme or similar scheme) for the purchase of shares in the Company to be held for the benefit of</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the Company’s directors, employees and consultants and to lend or otherwise provide money to such schemes or the directors, employees and consultants of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Company or any of its subsidiaries or associated companies to enable them to purchase shares of the Company, in each case subject to applicable law.</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3.6</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sell, lease, exchange, grant, convey, transfer or otherwise dispose of any or all of the property and real estate, investments or assets of the Company of whatever nature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or tenure for such price, consideration, sum or other return whether equal to or less than the market value thereof and whether by way of gift or otherwise as the Directors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shall deem fit and to grant any fee farm grant or lease or to enter into any agreement for letting or hire of any such property or asset for a rent or return equal to or less than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market or rack rent therefor or at no rent and subject to or free from covenants and restrictions as the Directors shall deem appropriate.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3.7</w:t>
            </w:r>
          </w:p>
        </w:tc>
        <w:tc>
          <w:tcPr>
            <w:tcW w:w="10500" w:type="dxa"/>
            <w:vAlign w:val="bottom"/>
          </w:tcPr>
          <w:p>
            <w:pPr>
              <w:ind w:left="260"/>
              <w:spacing w:after="0"/>
              <w:rPr>
                <w:sz w:val="20"/>
                <w:szCs w:val="20"/>
                <w:color w:val="auto"/>
              </w:rPr>
            </w:pPr>
            <w:r>
              <w:rPr>
                <w:rFonts w:ascii="Arial" w:cs="Arial" w:eastAsia="Arial" w:hAnsi="Arial"/>
                <w:sz w:val="14"/>
                <w:szCs w:val="14"/>
                <w:color w:val="auto"/>
              </w:rPr>
              <w:t>To acquire and undertake the whole or any part of the business, good-will and assets of any person, firm or company carrying on or proposing to carry on any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businesses which this Company is authorised to carry on, and as part of the consideration for such acquisition to undertake all or any of the liabilities of such person, firm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company, or to acquire an interest in, amalgamate with, or enter into any arrangement for sharing profits, or for co-operation, or for limiting competition or for mutual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assistance with any such person, firm or company and to give or accept by way of consideration for any of the acts or things aforesaid or property acquired, any shares,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stocks, debentures, debenture stock, indentures, notes, loan notes, loan stock, bonds, obligations and other securities of any description that may be agreed upon, and 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hold and retain or sell, mortgage or deal with any shares, stocks, debentures, debenture stock, indentures, notes, loan notes, loan stock, bonds, obligations and other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securities of any description so received.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3.8</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apply for, register, purchase, acquire, sell, lease, hold, use, administer, control, license or otherwise deal with any patents, brevets d’invention, copyrights, trademarks,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licences, technical and industrial know-how, concessions and the like conferring any exclusive or non-exclusive or limited rights to use or any secret or other inventing</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information as to any invention which may seem capable of being used for any of the purposes of the Company or the acquisition of which may seem calculated directly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indirectly to benefit the Company, and to use, exercise, develop or grant licences in respect of or otherwise turn to account the property, rights or information so acquired.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3.9</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enter into partnership or into any arrangement for sharing profits, union of interests, co-operation, joint venture, reciprocal concession or otherwise with any person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company carrying on or engaged in or about to carry on or engage in any business or transaction which the Company is authorised to carry on or engage in or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business or transaction capable of being conducted so as to, directly or indirectly, benefit the Company.</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3.10</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incorporate or cause to be incorporated any one or more subsidiaries (within the meaning of section 155 of the Companies Act 1963, as amended) for the purpose of</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carrying on any business.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3.11</w:t>
            </w:r>
          </w:p>
        </w:tc>
        <w:tc>
          <w:tcPr>
            <w:tcW w:w="10500" w:type="dxa"/>
            <w:vAlign w:val="bottom"/>
          </w:tcPr>
          <w:p>
            <w:pPr>
              <w:ind w:left="260"/>
              <w:spacing w:after="0"/>
              <w:rPr>
                <w:sz w:val="20"/>
                <w:szCs w:val="20"/>
                <w:color w:val="auto"/>
              </w:rPr>
            </w:pPr>
            <w:r>
              <w:rPr>
                <w:rFonts w:ascii="Arial" w:cs="Arial" w:eastAsia="Arial" w:hAnsi="Arial"/>
                <w:sz w:val="14"/>
                <w:szCs w:val="14"/>
                <w:color w:val="auto"/>
              </w:rPr>
              <w:t>To invest and deal with the moneys of the Company not immediately required upon such securities and in such manner as may from time to time be determined.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3.12</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lend money to and guarantee the performance of the contracts or obligations of any company, firm or person, and the repayment of the capital and principal of,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dividends, interest or premiums payable on, any stock, shares and securities of any company, whether having objects similar to those of this Company or not, and to give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all kinds of indemnities.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enter into, invest or engage in, acquire, hold or dispose of any financial instruments or risk management instruments, whether or not of a type currently in existence,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exchange, interest rate or commodity or index linked transactions (whether in connection with or incidental to any other contract, undertaking or business entered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into or carried on by the Company or whether as an independent object or activity), including securities in respect of which the return or redemption amount is calculated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reference to any index, price or rate, monetary and financial instruments of all kinds, futures contracts, swaps and hedges (including credit default, interest rate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swaps and hedges of any kind whatsoever), options contracts, contracts for differences, commodities (including bullion and other precious metals), forward rate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agreements, debentures, debenture stock, warrants, commercial paper, promissory notes, mortgage backed securities, asset backed securities, dealings in foreign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spot and forward rate exchange contracts, caps, floors, collars, and any other foreign exchange, interest rate or commodity or index linked arrangements,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such other instruments whether for the purpose of making a profit or avoiding a loss or managing a currency or interest rate exposure or any other purpose and to enter into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any contract for and to exercise and enforce all rights and powers conferred by or incidental, directly or indirectly, to such transactions or the termination of any such</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transactions.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3.14</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guarantee, support or secure, whether by personal covenant or by mortgaging or charging all or any part of the undertaking, property and assets (both present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future) and uncalled capital of the Company, or by both such methods, the performance of the obligations of, and the repayment or payment of the principal amounts of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premiums, interest and dividends on any securities of, any person, firm or company including (without prejudice to the generality of the foregoing) any company which is for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the time being the Company’s holding company as defined by section 155 of the Companies Act 1963, as amended, or a subsidiary as therein defined of any such holding</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company or otherwise associated with the Company in business.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borrow or raise finance or secure the payment of money in such manner as the Company shall think fit, and in particular by the provision of a guarantee or by the issue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stocks, debentures, debenture stock, notes, loan notes, loan stock, bonds, obligations and other securities of all kinds, either perpetual or terminable and either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redeemable or otherwise and to secure the repayment of any money borrowed, raised or owing by trust deed, mortgage, charge, or lien upon the whole or any part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Company’s property or assets (whether present or future) including its uncalled capital, and also by a similar trust deed, mortgage, charge or lien to secure and guarantee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performance by the Company of any obligation or liability it may undertake.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3.16</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carry on the business of financing and re-financing whether asset based or not (including financing and re-financing of financial assets), including managing financial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assets with or without security in whatever currency including financing or re-financing by way of loan, acceptance credits, commercial paper, euro medium term bonds,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euro bonds, asset-backed securities, securitisation, synthetic securitisation, collateralised debt obligations, bank placements, leasing, hire purchase, credit sale, conditional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sale, factoring, forfeiting, invoice discounting, note issue facilities, project financing, bond issuances, participation and syndications, assignment, novation, factoring,</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discounting, participation, sub-participation, derivative contracts, securities/stock lending contracts, repurchase agreements or other appropriate methods of finance and 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discount mortgage receivables, loan receivables and lease rentals for persons wherever situated in any currency whatsoever, and to do all of the foregoing as principal,</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agent or broker.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3.17</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draw, make, accept, endorse, discount, execute, negotiate and issue promissory notes, bills of exchange, bills of lading, warrants, indentures, debentures and other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negotiable or transferable instruments.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3.18</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subscribe for, take, purchase or otherwise acquire, hold, sell and transfer shares, stocks, debentures, debenture stock, indentures, notes, loan notes, loan stock, bonds,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obligations and other securities of any description of, or other interests in, any other company or person.</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3.19</w:t>
            </w:r>
          </w:p>
        </w:tc>
        <w:tc>
          <w:tcPr>
            <w:tcW w:w="10500" w:type="dxa"/>
            <w:vAlign w:val="bottom"/>
          </w:tcPr>
          <w:p>
            <w:pPr>
              <w:ind w:left="260"/>
              <w:spacing w:after="0"/>
              <w:rPr>
                <w:sz w:val="20"/>
                <w:szCs w:val="20"/>
                <w:color w:val="auto"/>
              </w:rPr>
            </w:pPr>
            <w:r>
              <w:rPr>
                <w:rFonts w:ascii="Arial" w:cs="Arial" w:eastAsia="Arial" w:hAnsi="Arial"/>
                <w:sz w:val="14"/>
                <w:szCs w:val="14"/>
                <w:color w:val="auto"/>
              </w:rPr>
              <w:t>To hold in trust as trustees or as nominees and to deal with, manage and turn to account, any real or personal property of any kind, and in particular shares, stocks,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debentures, debenture stock, indentures, notes, loan notes, loan stock, bonds, obligations and other securities of any description, policies, book debts, claims and choses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in actions, lands, buildings, hereditaments, business concerns and undertakings, mortgages, charges, annuities, patents, licences, and any interest in real or personal</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property, and any claims against such property or against any person or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3.20</w:t>
            </w:r>
          </w:p>
        </w:tc>
        <w:tc>
          <w:tcPr>
            <w:tcW w:w="10500" w:type="dxa"/>
            <w:vAlign w:val="bottom"/>
          </w:tcPr>
          <w:p>
            <w:pPr>
              <w:ind w:left="260"/>
              <w:spacing w:after="0"/>
              <w:rPr>
                <w:sz w:val="20"/>
                <w:szCs w:val="20"/>
                <w:color w:val="auto"/>
              </w:rPr>
            </w:pPr>
            <w:r>
              <w:rPr>
                <w:rFonts w:ascii="Arial" w:cs="Arial" w:eastAsia="Arial" w:hAnsi="Arial"/>
                <w:sz w:val="14"/>
                <w:szCs w:val="14"/>
                <w:color w:val="auto"/>
              </w:rPr>
              <w:t>To constitute any trusts with a view to the issue of preferred and, deferred or other special stocks or securities based on or representing any shares, stocks and other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assets specifically appropriated for the purpose of any such trust and to settle and regulate and if thought fit to undertake and execute any such trusts and to issue dispose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of or hold any such preferred, deferred or other special stocks or securities.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3.21</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give any guarantee in relation to the payment of any debentures, debenture stock, indentures, notes, loan notes, loan stock, bonds, obligations or other securities of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description and to guarantee the payment of interest thereon or of dividends on any stocks or shares of any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3.22</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construct, erect and maintain buildings, houses, flats, shops and all other works, erections, and things of any description whatsoever either upon the lands acquired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the Company or upon other lands and to hold, retain as investments or to sell, let, alienate, mortgage, charge or deal with all or any of the same and generally to alter,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develop and improve the lands and other property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provide for the welfare of persons in the employment of or holding office under or formerly in the employment of or holding office under the Company including Directors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and ex-Directors of the Company or any of its subsidiary or associated companies and the wives, widows and families, dependents or connections of such persons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grants of money, pensions or other payments and by forming and contributing to pension, provident or benefit funds or profit sharing or co-partnership schemes for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benefit of such persons and to form, subscribe to or otherwise aid charitable, benevolent, religious, scientific, national or other institutions, exhibitions or objects which shall</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have any moral or other claims to support or aid by the Company by reason of the locality of its operation or otherwise.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3.24</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remunerate by cash payments or allotment of shares or securities of the Company credited as fully paid up or otherwise any person or company for services rendered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to be rendered to the Company or any member of the group to which the Company belongs, whether in the course of employment with the Company or any group company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or the conduct or the management of the business of the Company or any group company or in placing or assisting to place or guaranteeing the placing of any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shares or other securities of the Company’s, or any group company’s capital, or any debentures or other securities of the Company or any group company or in or about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formation or promotion of the Company or any group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enter into and carry into effect any arrangement for joint working in business or for sharing of profits or for amalgamation with any other company or association or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partnership or person carrying on any business within the objects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3.26</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distribute in specie or as otherwise may be resolved all or any portion of the assets of the Company among its members and in particular the shares, debentures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other securities of any other company belonging to this Company or of which this Company may have the power of disposing.</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3.27</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vest any real or personal property, rights or interest acquired or belonging to the Company in any person or company on behalf of or for the benefit of the Company, and</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with or without any declared trust in favour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3.28</w:t>
            </w:r>
          </w:p>
        </w:tc>
        <w:tc>
          <w:tcPr>
            <w:tcW w:w="10500" w:type="dxa"/>
            <w:vAlign w:val="bottom"/>
          </w:tcPr>
          <w:p>
            <w:pPr>
              <w:ind w:left="260"/>
              <w:spacing w:after="0"/>
              <w:rPr>
                <w:sz w:val="20"/>
                <w:szCs w:val="20"/>
                <w:color w:val="auto"/>
              </w:rPr>
            </w:pPr>
            <w:r>
              <w:rPr>
                <w:rFonts w:ascii="Arial" w:cs="Arial" w:eastAsia="Arial" w:hAnsi="Arial"/>
                <w:sz w:val="14"/>
                <w:szCs w:val="14"/>
                <w:color w:val="auto"/>
              </w:rPr>
              <w:t>To transact or carry on any business which may seem to be capable of being conveniently carried on in connection with any of these objects or calculated directly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indirectly to enhance the value of or facilitate the realisation of or render profitable any of the Company’s property or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3.29</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accept stock or shares in or indentures, debentures, mortgages or securities of any other company in payment or part payment for any services rendered or for any sale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made to or debt owing from any such company, whether such shares shall be wholly or partly paid up.</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3.30</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pay all costs, charges and expenses incurred or sustained in or about the promotion and establishment of the Company or which the Company shall consider to be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preliminary thereto and to issue shares as fully or in part paid up, and to pay out of the funds of the Company all brokerage and charges incidental thereto.</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3.31</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procure the Company to be registered or recognized in Ireland or in any foreign country or in any colony or dependency of any such foreign country or that the central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management and control and/or place of effective management of the Company be located in any country, and to establish branches offices, places of business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subsidiaries in Ireland or any such foreign country or in any colony or dependency of any such foreign country.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3.32</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do all or any of the matters hereby authorised in any part of the world or in conjunction with or as trustee or agent for any other company or person or by or through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factors, trustees or agents.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make gifts or grant bonuses to the Directors or any other persons who are or have been in the employment of the Company including substitute and alternate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A-3</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3.34</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6"/>
              </w:rPr>
              <w:t>To do all such other things that the Company may consider incidental or conducive to the attainment of the above objects or as are capable of being conveniently carried on</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in connection therewith.</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3.35</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carry on any business which the Company may lawfully engage in and to do all such things incidental or conducive to the business of the Company.</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3.36</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make or receive gifts by way of capital contribution or otherwise.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3.37</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reduce its share capital in any manner permitted by law.</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3.38</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the extent permitted by law, to give whether directly or indirectly, any kind of financial assistance for the purpose of, or in connection with, the purchase of, or</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subscription for, shares, stocks, debentures, debenture stock, indentures, notes, loan notes, loan stock, bonds, obligations and other securities of any description of the</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Company or of any body corporate which is at any given time the Company’s holding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3.39</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To do and take all such things, measures, acts and actions (including, but not limited to, entering into agreements, contracts, deeds and other documents or instruments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giving undertakings, covenants, representations, warranties, indemnities and other commitments and promises) as the Company considers may be necessary or</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required in connection with, or incidental or conducive to, attainment of the above objects, or any of them.</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3.40</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The objects set forth in any sub-clause of this clause shall be regarded as independent objects and shall not, except, where the context expressly so requires, be in any</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way limited or restricted by reference to or inference from the terms of any other sub-clause, or by the name of the Company. None of such sub-clauses or the objects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therein specified or the powers thereby conferred shall be deemed subsidiary or auxiliary merely to the objects mentioned in the first sub-clause of this clause, but the</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Company shall have full power to exercise all or any of the powers conferred by any part of this clause in any part of the world notwithstanding that the business, property</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or acts proposed to be transacted, acquired or performed do not fall within the objects of the first sub-clause of this clause.</w:t>
            </w:r>
          </w:p>
        </w:tc>
      </w:tr>
      <w:tr>
        <w:trPr>
          <w:trHeight w:val="378"/>
        </w:trPr>
        <w:tc>
          <w:tcPr>
            <w:tcW w:w="52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NOTE:</w:t>
            </w:r>
          </w:p>
        </w:tc>
        <w:tc>
          <w:tcPr>
            <w:tcW w:w="9600" w:type="dxa"/>
            <w:vAlign w:val="bottom"/>
          </w:tcPr>
          <w:p>
            <w:pPr>
              <w:ind w:left="240"/>
              <w:spacing w:after="0"/>
              <w:rPr>
                <w:sz w:val="20"/>
                <w:szCs w:val="20"/>
                <w:color w:val="auto"/>
              </w:rPr>
            </w:pPr>
            <w:r>
              <w:rPr>
                <w:rFonts w:ascii="Arial" w:cs="Arial" w:eastAsia="Arial" w:hAnsi="Arial"/>
                <w:sz w:val="14"/>
                <w:szCs w:val="14"/>
                <w:color w:val="auto"/>
                <w:w w:val="97"/>
              </w:rPr>
              <w:t>It is hereby declared that the word “company” in this clause, except where used in reference to this Company shall be deemed to include any partnership or</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7"/>
              </w:rPr>
              <w:t>other body of persons whether incorporated or not incorporated and whether domiciled in Ireland or elsewhere and the intention is that the objects specified</w:t>
            </w:r>
          </w:p>
        </w:tc>
      </w:tr>
    </w:tbl>
    <w:p>
      <w:pPr>
        <w:ind w:left="1860" w:right="260"/>
        <w:spacing w:after="0" w:line="231" w:lineRule="auto"/>
        <w:rPr>
          <w:sz w:val="20"/>
          <w:szCs w:val="20"/>
          <w:color w:val="auto"/>
        </w:rPr>
      </w:pPr>
      <w:r>
        <w:rPr>
          <w:rFonts w:ascii="Arial" w:cs="Arial" w:eastAsia="Arial" w:hAnsi="Arial"/>
          <w:sz w:val="14"/>
          <w:szCs w:val="14"/>
          <w:color w:val="auto"/>
        </w:rPr>
        <w:t>in each paragraph of this clause shall except where otherwise expressed in such paragraph be in no way limited or restricted by reference to or inference from the terms of any other paragraph.</w:t>
      </w:r>
    </w:p>
    <w:p>
      <w:pPr>
        <w:spacing w:after="0" w:line="230" w:lineRule="exact"/>
        <w:rPr>
          <w:sz w:val="20"/>
          <w:szCs w:val="20"/>
          <w:color w:val="auto"/>
        </w:rPr>
      </w:pPr>
    </w:p>
    <w:p>
      <w:pPr>
        <w:ind w:left="980" w:hanging="776"/>
        <w:spacing w:after="0"/>
        <w:tabs>
          <w:tab w:leader="none" w:pos="9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liability of the members is limited.</w:t>
      </w:r>
    </w:p>
    <w:p>
      <w:pPr>
        <w:spacing w:after="0" w:line="220" w:lineRule="exact"/>
        <w:rPr>
          <w:rFonts w:ascii="Arial" w:cs="Arial" w:eastAsia="Arial" w:hAnsi="Arial"/>
          <w:sz w:val="14"/>
          <w:szCs w:val="14"/>
          <w:color w:val="auto"/>
        </w:rPr>
      </w:pPr>
    </w:p>
    <w:p>
      <w:pPr>
        <w:ind w:left="980" w:right="320" w:hanging="776"/>
        <w:spacing w:after="0" w:line="239" w:lineRule="auto"/>
        <w:tabs>
          <w:tab w:leader="none" w:pos="9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share capital of the Company is €40,000 and US$67,800 divided into 40,000 deferred ordinary shares of €1.00 each, and 67,800,000 ordinary shares of US$0.001 each.</w:t>
      </w:r>
    </w:p>
    <w:p>
      <w:pPr>
        <w:spacing w:after="0" w:line="229"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10"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96" w:lineRule="exact"/>
        <w:rPr>
          <w:sz w:val="20"/>
          <w:szCs w:val="20"/>
          <w:color w:val="auto"/>
        </w:rPr>
      </w:pPr>
    </w:p>
    <w:tbl>
      <w:tblPr>
        <w:tblLayout w:type="fixed"/>
        <w:tblInd w:w="230" w:type="dxa"/>
        <w:tblCellMar>
          <w:top w:w="0" w:type="dxa"/>
          <w:left w:w="0" w:type="dxa"/>
          <w:bottom w:w="0" w:type="dxa"/>
          <w:right w:w="0" w:type="dxa"/>
        </w:tblCellMar>
      </w:tblPr>
      <w:tr>
        <w:trPr>
          <w:trHeight w:val="240"/>
        </w:trPr>
        <w:tc>
          <w:tcPr>
            <w:tcW w:w="4560" w:type="dxa"/>
            <w:vAlign w:val="bottom"/>
            <w:tcBorders>
              <w:top w:val="single" w:sz="8" w:color="auto"/>
              <w:left w:val="single" w:sz="8" w:color="auto"/>
            </w:tcBorders>
            <w:shd w:val="clear" w:color="auto" w:fill="BFBFBF"/>
          </w:tcPr>
          <w:p>
            <w:pPr>
              <w:spacing w:after="0"/>
              <w:rPr>
                <w:sz w:val="20"/>
                <w:szCs w:val="20"/>
                <w:color w:val="auto"/>
              </w:rPr>
            </w:pPr>
          </w:p>
        </w:tc>
        <w:tc>
          <w:tcPr>
            <w:tcW w:w="3480" w:type="dxa"/>
            <w:vAlign w:val="bottom"/>
            <w:tcBorders>
              <w:top w:val="single" w:sz="8" w:color="auto"/>
              <w:right w:val="single" w:sz="8" w:color="auto"/>
            </w:tcBorders>
            <w:shd w:val="clear" w:color="auto" w:fill="BFBFBF"/>
          </w:tcPr>
          <w:p>
            <w:pPr>
              <w:spacing w:after="0"/>
              <w:rPr>
                <w:sz w:val="20"/>
                <w:szCs w:val="20"/>
                <w:color w:val="auto"/>
              </w:rPr>
            </w:pPr>
          </w:p>
        </w:tc>
        <w:tc>
          <w:tcPr>
            <w:tcW w:w="30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Number of Shares Taken by each</w:t>
            </w:r>
          </w:p>
        </w:tc>
      </w:tr>
      <w:tr>
        <w:trPr>
          <w:trHeight w:val="178"/>
        </w:trPr>
        <w:tc>
          <w:tcPr>
            <w:tcW w:w="4560" w:type="dxa"/>
            <w:vAlign w:val="bottom"/>
            <w:tcBorders>
              <w:left w:val="single" w:sz="8" w:color="auto"/>
            </w:tcBorders>
            <w:shd w:val="clear" w:color="auto" w:fill="BFBFBF"/>
          </w:tcPr>
          <w:p>
            <w:pPr>
              <w:ind w:left="220"/>
              <w:spacing w:after="0"/>
              <w:rPr>
                <w:sz w:val="20"/>
                <w:szCs w:val="20"/>
                <w:color w:val="auto"/>
              </w:rPr>
            </w:pPr>
            <w:r>
              <w:rPr>
                <w:rFonts w:ascii="Arial" w:cs="Arial" w:eastAsia="Arial" w:hAnsi="Arial"/>
                <w:sz w:val="14"/>
                <w:szCs w:val="14"/>
                <w:b w:val="1"/>
                <w:bCs w:val="1"/>
                <w:color w:val="auto"/>
              </w:rPr>
              <w:t>Names, Addresses and Descriptions of Subscribers</w:t>
            </w:r>
          </w:p>
        </w:tc>
        <w:tc>
          <w:tcPr>
            <w:tcW w:w="3480" w:type="dxa"/>
            <w:vAlign w:val="bottom"/>
            <w:tcBorders>
              <w:right w:val="single" w:sz="8" w:color="auto"/>
            </w:tcBorders>
            <w:shd w:val="clear" w:color="auto" w:fill="BFBFBF"/>
          </w:tcPr>
          <w:p>
            <w:pPr>
              <w:spacing w:after="0"/>
              <w:rPr>
                <w:sz w:val="15"/>
                <w:szCs w:val="15"/>
                <w:color w:val="auto"/>
              </w:rPr>
            </w:pPr>
          </w:p>
        </w:tc>
        <w:tc>
          <w:tcPr>
            <w:tcW w:w="300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Subscriber</w:t>
            </w:r>
          </w:p>
        </w:tc>
      </w:tr>
      <w:tr>
        <w:trPr>
          <w:trHeight w:val="82"/>
        </w:trPr>
        <w:tc>
          <w:tcPr>
            <w:tcW w:w="4560" w:type="dxa"/>
            <w:vAlign w:val="bottom"/>
            <w:tcBorders>
              <w:left w:val="single" w:sz="8" w:color="auto"/>
              <w:bottom w:val="single" w:sz="8" w:color="auto"/>
            </w:tcBorders>
            <w:shd w:val="clear" w:color="auto" w:fill="BFBFBF"/>
          </w:tcPr>
          <w:p>
            <w:pPr>
              <w:spacing w:after="0"/>
              <w:rPr>
                <w:sz w:val="7"/>
                <w:szCs w:val="7"/>
                <w:color w:val="auto"/>
              </w:rPr>
            </w:pPr>
          </w:p>
        </w:tc>
        <w:tc>
          <w:tcPr>
            <w:tcW w:w="3480" w:type="dxa"/>
            <w:vAlign w:val="bottom"/>
            <w:tcBorders>
              <w:bottom w:val="single" w:sz="8" w:color="auto"/>
              <w:right w:val="single" w:sz="8" w:color="auto"/>
            </w:tcBorders>
            <w:shd w:val="clear" w:color="auto" w:fill="BFBFBF"/>
          </w:tcPr>
          <w:p>
            <w:pPr>
              <w:spacing w:after="0"/>
              <w:rPr>
                <w:sz w:val="7"/>
                <w:szCs w:val="7"/>
                <w:color w:val="auto"/>
              </w:rPr>
            </w:pPr>
          </w:p>
        </w:tc>
        <w:tc>
          <w:tcPr>
            <w:tcW w:w="3000" w:type="dxa"/>
            <w:vAlign w:val="bottom"/>
            <w:tcBorders>
              <w:bottom w:val="single" w:sz="8" w:color="auto"/>
              <w:right w:val="single" w:sz="8" w:color="auto"/>
            </w:tcBorders>
            <w:shd w:val="clear" w:color="auto" w:fill="BFBFBF"/>
          </w:tcPr>
          <w:p>
            <w:pPr>
              <w:spacing w:after="0"/>
              <w:rPr>
                <w:sz w:val="7"/>
                <w:szCs w:val="7"/>
                <w:color w:val="auto"/>
              </w:rPr>
            </w:pPr>
          </w:p>
        </w:tc>
      </w:tr>
      <w:tr>
        <w:trPr>
          <w:trHeight w:val="263"/>
        </w:trPr>
        <w:tc>
          <w:tcPr>
            <w:tcW w:w="4560" w:type="dxa"/>
            <w:vAlign w:val="bottom"/>
            <w:tcBorders>
              <w:left w:val="single" w:sz="8" w:color="auto"/>
            </w:tcBorders>
          </w:tcPr>
          <w:p>
            <w:pPr>
              <w:ind w:left="200"/>
              <w:spacing w:after="0"/>
              <w:rPr>
                <w:sz w:val="20"/>
                <w:szCs w:val="20"/>
                <w:color w:val="auto"/>
              </w:rPr>
            </w:pPr>
            <w:r>
              <w:rPr>
                <w:rFonts w:ascii="Arial" w:cs="Arial" w:eastAsia="Arial" w:hAnsi="Arial"/>
                <w:sz w:val="14"/>
                <w:szCs w:val="14"/>
                <w:color w:val="auto"/>
              </w:rPr>
              <w:t>Alejandro Cestero</w:t>
            </w:r>
          </w:p>
        </w:tc>
        <w:tc>
          <w:tcPr>
            <w:tcW w:w="3480" w:type="dxa"/>
            <w:vAlign w:val="bottom"/>
            <w:tcBorders>
              <w:right w:val="single" w:sz="8" w:color="auto"/>
            </w:tcBorders>
          </w:tcPr>
          <w:p>
            <w:pPr>
              <w:spacing w:after="0"/>
              <w:rPr>
                <w:sz w:val="22"/>
                <w:szCs w:val="22"/>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 (One)</w:t>
            </w:r>
          </w:p>
        </w:tc>
      </w:tr>
      <w:tr>
        <w:trPr>
          <w:trHeight w:val="133"/>
        </w:trPr>
        <w:tc>
          <w:tcPr>
            <w:tcW w:w="4560" w:type="dxa"/>
            <w:vAlign w:val="bottom"/>
            <w:tcBorders>
              <w:left w:val="single" w:sz="8" w:color="auto"/>
            </w:tcBorders>
          </w:tcPr>
          <w:p>
            <w:pPr>
              <w:ind w:left="220"/>
              <w:spacing w:after="0" w:line="133" w:lineRule="exact"/>
              <w:rPr>
                <w:sz w:val="20"/>
                <w:szCs w:val="20"/>
                <w:color w:val="auto"/>
              </w:rPr>
            </w:pPr>
            <w:r>
              <w:rPr>
                <w:rFonts w:ascii="Arial" w:cs="Arial" w:eastAsia="Arial" w:hAnsi="Arial"/>
                <w:sz w:val="14"/>
                <w:szCs w:val="14"/>
                <w:color w:val="auto"/>
              </w:rPr>
              <w:t>For and on behalf of</w:t>
            </w:r>
          </w:p>
        </w:tc>
        <w:tc>
          <w:tcPr>
            <w:tcW w:w="348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r>
      <w:tr>
        <w:trPr>
          <w:trHeight w:val="165"/>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WEATHERFORD INTERNATIONAL LTD.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Alpenstrasse 15, Zug 6300</w:t>
            </w:r>
          </w:p>
        </w:tc>
        <w:tc>
          <w:tcPr>
            <w:tcW w:w="348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Switzerland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Body Corporate</w:t>
            </w:r>
          </w:p>
        </w:tc>
        <w:tc>
          <w:tcPr>
            <w:tcW w:w="348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Total shares taken</w:t>
            </w:r>
          </w:p>
        </w:tc>
        <w:tc>
          <w:tcPr>
            <w:tcW w:w="648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1 (One)</w:t>
            </w: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Dated 27 day of February 2014</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Witness to the above signatures:</w:t>
            </w:r>
          </w:p>
        </w:tc>
        <w:tc>
          <w:tcPr>
            <w:tcW w:w="3480" w:type="dxa"/>
            <w:vAlign w:val="bottom"/>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r>
      <w:tr>
        <w:trPr>
          <w:trHeight w:val="33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Name: Coralie Brunet</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Address: 4-6 Rue Jean François Bartholon, 1204,</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49"/>
        </w:trPr>
        <w:tc>
          <w:tcPr>
            <w:tcW w:w="4560" w:type="dxa"/>
            <w:vAlign w:val="bottom"/>
            <w:tcBorders>
              <w:left w:val="single" w:sz="8" w:color="auto"/>
            </w:tcBorders>
          </w:tcPr>
          <w:p>
            <w:pPr>
              <w:ind w:left="220"/>
              <w:spacing w:after="0" w:line="149" w:lineRule="exact"/>
              <w:rPr>
                <w:sz w:val="20"/>
                <w:szCs w:val="20"/>
                <w:color w:val="auto"/>
              </w:rPr>
            </w:pPr>
            <w:r>
              <w:rPr>
                <w:rFonts w:ascii="Arial" w:cs="Arial" w:eastAsia="Arial" w:hAnsi="Arial"/>
                <w:sz w:val="14"/>
                <w:szCs w:val="14"/>
                <w:color w:val="auto"/>
              </w:rPr>
              <w:t>Geneva, Switzerland</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Occupation: Office Manager</w:t>
            </w:r>
          </w:p>
        </w:tc>
        <w:tc>
          <w:tcPr>
            <w:tcW w:w="34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r>
      <w:tr>
        <w:trPr>
          <w:trHeight w:val="203"/>
        </w:trPr>
        <w:tc>
          <w:tcPr>
            <w:tcW w:w="4560" w:type="dxa"/>
            <w:vAlign w:val="bottom"/>
            <w:tcBorders>
              <w:left w:val="single" w:sz="8" w:color="auto"/>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spacing w:after="0"/>
              <w:rPr>
                <w:sz w:val="17"/>
                <w:szCs w:val="17"/>
                <w:color w:val="auto"/>
              </w:rPr>
            </w:pPr>
          </w:p>
        </w:tc>
      </w:tr>
      <w:tr>
        <w:trPr>
          <w:trHeight w:val="169"/>
        </w:trPr>
        <w:tc>
          <w:tcPr>
            <w:tcW w:w="4560" w:type="dxa"/>
            <w:vAlign w:val="bottom"/>
            <w:tcBorders>
              <w:bottom w:val="single" w:sz="8" w:color="666666"/>
            </w:tcBorders>
          </w:tcPr>
          <w:p>
            <w:pPr>
              <w:spacing w:after="0"/>
              <w:rPr>
                <w:sz w:val="14"/>
                <w:szCs w:val="14"/>
                <w:color w:val="auto"/>
              </w:rPr>
            </w:pPr>
          </w:p>
        </w:tc>
        <w:tc>
          <w:tcPr>
            <w:tcW w:w="3480" w:type="dxa"/>
            <w:vAlign w:val="bottom"/>
            <w:tcBorders>
              <w:bottom w:val="single" w:sz="8" w:color="666666"/>
            </w:tcBorders>
          </w:tcPr>
          <w:p>
            <w:pPr>
              <w:spacing w:after="0"/>
              <w:rPr>
                <w:sz w:val="14"/>
                <w:szCs w:val="14"/>
                <w:color w:val="auto"/>
              </w:rPr>
            </w:pPr>
          </w:p>
        </w:tc>
        <w:tc>
          <w:tcPr>
            <w:tcW w:w="3000" w:type="dxa"/>
            <w:vAlign w:val="bottom"/>
            <w:tcBorders>
              <w:bottom w:val="single" w:sz="8" w:color="666666"/>
            </w:tcBorders>
          </w:tcPr>
          <w:p>
            <w:pPr>
              <w:spacing w:after="0"/>
              <w:rPr>
                <w:sz w:val="14"/>
                <w:szCs w:val="14"/>
                <w:color w:val="auto"/>
              </w:rPr>
            </w:pPr>
          </w:p>
        </w:tc>
      </w:tr>
    </w:tbl>
    <w:p>
      <w:pPr>
        <w:spacing w:after="0" w:line="9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COMPANIES ACTS 1963 TO 2013</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A PUBLIC COMPANY LIMITED BY SHARES</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ARTICLES OF ASSOCIATION</w:t>
            </w:r>
          </w:p>
        </w:tc>
      </w:tr>
      <w:tr>
        <w:trPr>
          <w:trHeight w:val="284"/>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7"/>
              </w:rPr>
              <w:t>-of-</w:t>
            </w:r>
          </w:p>
        </w:tc>
      </w:tr>
      <w:tr>
        <w:trPr>
          <w:trHeight w:val="267"/>
        </w:trPr>
        <w:tc>
          <w:tcPr>
            <w:tcW w:w="7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WEATHERFORD INTERNATIONAL PUBLIC LIMITED COMPANY</w:t>
            </w:r>
          </w:p>
        </w:tc>
      </w:tr>
      <w:tr>
        <w:trPr>
          <w:trHeight w:val="178"/>
        </w:trPr>
        <w:tc>
          <w:tcPr>
            <w:tcW w:w="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(the “Company”)</w:t>
            </w:r>
          </w:p>
        </w:tc>
      </w:tr>
      <w:tr>
        <w:trPr>
          <w:trHeight w:val="297"/>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(Adopted by special resolution passed on 29 May 2014)</w:t>
            </w:r>
          </w:p>
        </w:tc>
      </w:tr>
      <w:tr>
        <w:trPr>
          <w:trHeight w:val="284"/>
        </w:trPr>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Preliminary</w:t>
            </w:r>
          </w:p>
        </w:tc>
      </w:tr>
      <w:tr>
        <w:trPr>
          <w:trHeight w:val="297"/>
        </w:trPr>
        <w:tc>
          <w:tcPr>
            <w:tcW w:w="720" w:type="dxa"/>
            <w:vAlign w:val="bottom"/>
          </w:tcPr>
          <w:p>
            <w:pPr>
              <w:spacing w:after="0"/>
              <w:rPr>
                <w:sz w:val="20"/>
                <w:szCs w:val="20"/>
                <w:color w:val="auto"/>
              </w:rPr>
            </w:pPr>
            <w:r>
              <w:rPr>
                <w:rFonts w:ascii="Arial" w:cs="Arial" w:eastAsia="Arial" w:hAnsi="Arial"/>
                <w:sz w:val="14"/>
                <w:szCs w:val="14"/>
                <w:color w:val="auto"/>
              </w:rPr>
              <w:t>1.</w:t>
            </w:r>
          </w:p>
        </w:tc>
        <w:tc>
          <w:tcPr>
            <w:tcW w:w="10260" w:type="dxa"/>
            <w:vAlign w:val="bottom"/>
            <w:gridSpan w:val="2"/>
          </w:tcPr>
          <w:p>
            <w:pPr>
              <w:ind w:left="60"/>
              <w:spacing w:after="0"/>
              <w:rPr>
                <w:sz w:val="20"/>
                <w:szCs w:val="20"/>
                <w:color w:val="auto"/>
              </w:rPr>
            </w:pPr>
            <w:r>
              <w:rPr>
                <w:rFonts w:ascii="Arial" w:cs="Arial" w:eastAsia="Arial" w:hAnsi="Arial"/>
                <w:sz w:val="14"/>
                <w:szCs w:val="14"/>
                <w:color w:val="auto"/>
              </w:rPr>
              <w:t>The regulations contained in Table A in the First Schedule to the Companies Act 1963 shall not apply to the Company.</w:t>
            </w: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2.</w:t>
            </w:r>
          </w:p>
        </w:tc>
        <w:tc>
          <w:tcPr>
            <w:tcW w:w="15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2.1</w:t>
            </w:r>
          </w:p>
        </w:tc>
        <w:tc>
          <w:tcPr>
            <w:tcW w:w="1580" w:type="dxa"/>
            <w:vAlign w:val="bottom"/>
          </w:tcPr>
          <w:p>
            <w:pPr>
              <w:ind w:left="60"/>
              <w:spacing w:after="0"/>
              <w:rPr>
                <w:sz w:val="20"/>
                <w:szCs w:val="20"/>
                <w:color w:val="auto"/>
              </w:rPr>
            </w:pPr>
            <w:r>
              <w:rPr>
                <w:rFonts w:ascii="Arial" w:cs="Arial" w:eastAsia="Arial" w:hAnsi="Arial"/>
                <w:sz w:val="14"/>
                <w:szCs w:val="14"/>
                <w:color w:val="auto"/>
              </w:rPr>
              <w:t>In these articles:</w:t>
            </w:r>
          </w:p>
        </w:tc>
        <w:tc>
          <w:tcPr>
            <w:tcW w:w="868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1983 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the Companies (Amendment) Act 1983.</w:t>
            </w:r>
          </w:p>
        </w:tc>
      </w:tr>
      <w:tr>
        <w:trPr>
          <w:trHeight w:val="28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1990 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1990.</w:t>
            </w:r>
          </w:p>
        </w:tc>
      </w:tr>
      <w:tr>
        <w:trPr>
          <w:trHeight w:val="28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w:t>
            </w:r>
            <w:r>
              <w:rPr>
                <w:rFonts w:ascii="Arial" w:cs="Arial" w:eastAsia="Arial" w:hAnsi="Arial"/>
                <w:sz w:val="14"/>
                <w:szCs w:val="14"/>
                <w:color w:val="auto"/>
              </w:rPr>
              <w:t>”</w:t>
            </w:r>
          </w:p>
        </w:tc>
        <w:tc>
          <w:tcPr>
            <w:tcW w:w="158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1963.</w:t>
            </w:r>
          </w:p>
        </w:tc>
      </w:tr>
      <w:tr>
        <w:trPr>
          <w:trHeight w:val="270"/>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Acts</w:t>
            </w:r>
            <w:r>
              <w:rPr>
                <w:rFonts w:ascii="Arial" w:cs="Arial" w:eastAsia="Arial" w:hAnsi="Arial"/>
                <w:sz w:val="14"/>
                <w:szCs w:val="14"/>
                <w:color w:val="auto"/>
              </w:rPr>
              <w:t>”</w:t>
            </w:r>
          </w:p>
        </w:tc>
        <w:tc>
          <w:tcPr>
            <w:tcW w:w="158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means the Companies Acts 1963 to 2013, and all statutory instruments which are to be read as one with, or construed, or to be read together</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with such Acts.</w:t>
            </w:r>
          </w:p>
        </w:tc>
      </w:tr>
      <w:tr>
        <w:trPr>
          <w:trHeight w:val="270"/>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address</w:t>
            </w:r>
            <w:r>
              <w:rPr>
                <w:rFonts w:ascii="Arial" w:cs="Arial" w:eastAsia="Arial" w:hAnsi="Arial"/>
                <w:sz w:val="14"/>
                <w:szCs w:val="14"/>
                <w:color w:val="auto"/>
              </w:rPr>
              <w:t>”</w:t>
            </w:r>
          </w:p>
        </w:tc>
        <w:tc>
          <w:tcPr>
            <w:tcW w:w="158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includes any number or address used for the purposes of communication, including by way of electronic mail or other electronic</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communication.</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“Adoption Date”</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3.3.</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“Applicable Escheatment Laws”</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162.2.</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Approved Nominee</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 person holding shares or rights or interests in shares in the Company on a nominee basis who has been determined by the</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Company to be an “Approved Nominee”.</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Assistant Secretary</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any person appointed by the Secretary or the Board from time to time to assist the Secretary.</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“Auditor” </w:t>
            </w:r>
            <w:r>
              <w:rPr>
                <w:rFonts w:ascii="Arial" w:cs="Arial" w:eastAsia="Arial" w:hAnsi="Arial"/>
                <w:sz w:val="14"/>
                <w:szCs w:val="14"/>
                <w:color w:val="auto"/>
              </w:rPr>
              <w:t>or</w:t>
            </w:r>
            <w:r>
              <w:rPr>
                <w:rFonts w:ascii="Arial" w:cs="Arial" w:eastAsia="Arial" w:hAnsi="Arial"/>
                <w:sz w:val="14"/>
                <w:szCs w:val="14"/>
                <w:b w:val="1"/>
                <w:bCs w:val="1"/>
                <w:color w:val="auto"/>
              </w:rPr>
              <w:t xml:space="preserve"> “Auditors”</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auditor or auditors at any given time of the Company.</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 Days</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w w:val="99"/>
              </w:rPr>
              <w:t>in relation to the period of notice to be given under these articles, that period excluding the day when the notice is given or deemed to be</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given and the day of the event for which it is given or on which it is to take effect.</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Covered Person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161.</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electronic communication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electronic signature</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5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“Euro Deferred Shares” or</w:t>
            </w: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euro deferred shares of nominal value €1.00 per share (or such other nominal value as may result from any reorganisation of capital)</w:t>
            </w:r>
          </w:p>
        </w:tc>
      </w:tr>
      <w:tr>
        <w:trPr>
          <w:trHeight w:val="189"/>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“deferred ordinary shares”</w:t>
            </w:r>
          </w:p>
        </w:tc>
        <w:tc>
          <w:tcPr>
            <w:tcW w:w="8680" w:type="dxa"/>
            <w:vAlign w:val="bottom"/>
          </w:tcPr>
          <w:p>
            <w:pPr>
              <w:ind w:left="240"/>
              <w:spacing w:after="0"/>
              <w:rPr>
                <w:sz w:val="20"/>
                <w:szCs w:val="20"/>
                <w:color w:val="auto"/>
              </w:rPr>
            </w:pPr>
            <w:r>
              <w:rPr>
                <w:rFonts w:ascii="Arial" w:cs="Arial" w:eastAsia="Arial" w:hAnsi="Arial"/>
                <w:sz w:val="14"/>
                <w:szCs w:val="14"/>
                <w:color w:val="auto"/>
              </w:rPr>
              <w:t>in 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United States Securities Exchange Act of 1934, as amended from time to time.</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Member Associated Person</w:t>
            </w:r>
            <w:r>
              <w:rPr>
                <w:rFonts w:ascii="Arial" w:cs="Arial" w:eastAsia="Arial" w:hAnsi="Arial"/>
                <w:sz w:val="14"/>
                <w:szCs w:val="14"/>
                <w:color w:val="auto"/>
              </w:rPr>
              <w:t>”</w:t>
            </w: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of any member means (A) any person controlling, directly or indirectly, or acting as a “group” (as such term is used in Rule 13d-5(b) under the</w:t>
            </w:r>
          </w:p>
        </w:tc>
      </w:tr>
      <w:tr>
        <w:trPr>
          <w:trHeight w:val="149"/>
        </w:trPr>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80" w:type="dxa"/>
            <w:vAlign w:val="bottom"/>
          </w:tcPr>
          <w:p>
            <w:pPr>
              <w:ind w:left="240"/>
              <w:spacing w:after="0" w:line="149" w:lineRule="exact"/>
              <w:rPr>
                <w:sz w:val="20"/>
                <w:szCs w:val="20"/>
                <w:color w:val="auto"/>
              </w:rPr>
            </w:pPr>
            <w:r>
              <w:rPr>
                <w:rFonts w:ascii="Arial" w:cs="Arial" w:eastAsia="Arial" w:hAnsi="Arial"/>
                <w:sz w:val="14"/>
                <w:szCs w:val="14"/>
                <w:color w:val="auto"/>
                <w:w w:val="97"/>
              </w:rPr>
              <w:t>Exchange Act) with, such member, (B) any beneficial owner of shares of the Company owned of record or beneficially by such member and</w:t>
            </w:r>
          </w:p>
        </w:tc>
      </w:tr>
      <w:tr>
        <w:trPr>
          <w:trHeight w:val="162"/>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 any person controlling, controlled by or under common control with such Member Associated Person.</w:t>
            </w:r>
          </w:p>
        </w:tc>
      </w:tr>
      <w:tr>
        <w:trPr>
          <w:trHeight w:val="254"/>
        </w:trPr>
        <w:tc>
          <w:tcPr>
            <w:tcW w:w="72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Merger</w:t>
            </w:r>
            <w:r>
              <w:rPr>
                <w:rFonts w:ascii="Arial" w:cs="Arial" w:eastAsia="Arial" w:hAnsi="Arial"/>
                <w:sz w:val="14"/>
                <w:szCs w:val="14"/>
                <w:color w:val="auto"/>
              </w:rPr>
              <w:t>”</w:t>
            </w:r>
          </w:p>
        </w:tc>
        <w:tc>
          <w:tcPr>
            <w:tcW w:w="1580" w:type="dxa"/>
            <w:vAlign w:val="bottom"/>
          </w:tcPr>
          <w:p>
            <w:pPr>
              <w:spacing w:after="0"/>
              <w:rPr>
                <w:sz w:val="22"/>
                <w:szCs w:val="22"/>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the merger of Weatherford International Ltd. (“</w:t>
            </w:r>
            <w:r>
              <w:rPr>
                <w:rFonts w:ascii="Arial" w:cs="Arial" w:eastAsia="Arial" w:hAnsi="Arial"/>
                <w:sz w:val="14"/>
                <w:szCs w:val="14"/>
                <w:b w:val="1"/>
                <w:bCs w:val="1"/>
                <w:color w:val="auto"/>
                <w:w w:val="97"/>
              </w:rPr>
              <w:t>Weatherford Switzerland</w:t>
            </w:r>
            <w:r>
              <w:rPr>
                <w:rFonts w:ascii="Arial" w:cs="Arial" w:eastAsia="Arial" w:hAnsi="Arial"/>
                <w:sz w:val="14"/>
                <w:szCs w:val="14"/>
                <w:color w:val="auto"/>
                <w:w w:val="97"/>
              </w:rPr>
              <w:t>”) and the Company, pursuant to a merger agreement dated</w:t>
            </w:r>
          </w:p>
        </w:tc>
      </w:tr>
      <w:tr>
        <w:trPr>
          <w:trHeight w:val="165"/>
        </w:trPr>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as of April 2, 2014 made between Weatherford Switzerland and the Company (the “</w:t>
            </w:r>
            <w:r>
              <w:rPr>
                <w:rFonts w:ascii="Arial" w:cs="Arial" w:eastAsia="Arial" w:hAnsi="Arial"/>
                <w:sz w:val="14"/>
                <w:szCs w:val="14"/>
                <w:b w:val="1"/>
                <w:bCs w:val="1"/>
                <w:color w:val="auto"/>
                <w:w w:val="97"/>
              </w:rPr>
              <w:t>Merger Agreement</w:t>
            </w:r>
            <w:r>
              <w:rPr>
                <w:rFonts w:ascii="Arial" w:cs="Arial" w:eastAsia="Arial" w:hAnsi="Arial"/>
                <w:sz w:val="14"/>
                <w:szCs w:val="14"/>
                <w:color w:val="auto"/>
                <w:w w:val="97"/>
              </w:rPr>
              <w:t>”), by way of an international (cross-</w:t>
            </w:r>
          </w:p>
        </w:tc>
      </w:tr>
    </w:tbl>
    <w:p>
      <w:pPr>
        <w:ind w:left="2740" w:right="160"/>
        <w:spacing w:after="0" w:line="300" w:lineRule="auto"/>
        <w:rPr>
          <w:sz w:val="20"/>
          <w:szCs w:val="20"/>
          <w:color w:val="auto"/>
        </w:rPr>
      </w:pPr>
      <w:r>
        <w:rPr>
          <w:rFonts w:ascii="Arial" w:cs="Arial" w:eastAsia="Arial" w:hAnsi="Arial"/>
          <w:sz w:val="12"/>
          <w:szCs w:val="12"/>
          <w:color w:val="auto"/>
        </w:rPr>
        <w:t>border) merger without liquidation of Weatherford Switzerland in compliance with, inter alia, Art. 3 et seq. Swiss Act on Merger, Demerger, Transformation and Transfer of Assets and Art. 163b, 163c and 164 Swiss Private International Law Act and also applicable laws of Ireland.</w:t>
      </w:r>
    </w:p>
    <w:p>
      <w:pPr>
        <w:sectPr>
          <w:pgSz w:w="11900" w:h="16838" w:orient="portrait"/>
          <w:cols w:equalWidth="0" w:num="1">
            <w:col w:w="11220"/>
          </w:cols>
          <w:pgMar w:left="240" w:top="459" w:right="439" w:bottom="1440" w:gutter="0" w:footer="0" w:header="0"/>
        </w:sectPr>
      </w:pPr>
    </w:p>
    <w:p>
      <w:pPr>
        <w:spacing w:after="0" w:line="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Resolution”</w:t>
      </w:r>
    </w:p>
    <w:p>
      <w:pPr>
        <w:spacing w:after="0" w:line="271"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b w:val="1"/>
          <w:bCs w:val="1"/>
          <w:color w:val="auto"/>
        </w:rPr>
        <w:t>“Ordinary Shares” or “ordinary shares”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Redeemable Shares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means a resolution of the Company’s members passed by a simple majority of the votes cast by such members as, being entitled to do so, voting in person, or by proxy, at a general meeting of the Company.</w:t>
      </w:r>
    </w:p>
    <w:p>
      <w:pPr>
        <w:spacing w:after="0" w:line="136"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means ordinary shares of nominal value US$0.001 per share (or such other nominal value as may result from any reorganisation of capital) in the capital of the Company, having the rights and being subject to the limitations set out in these articles.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redeemable shares in accordance with section 206 of the 1990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104140</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40"/>
            <w:col w:w="8480"/>
          </w:cols>
          <w:pgMar w:left="240" w:top="459" w:right="439" w:bottom="1440" w:gutter="0" w:footer="0" w:header="0"/>
          <w:type w:val="continuous"/>
        </w:sectPr>
      </w:pPr>
    </w:p>
    <w:p>
      <w:pPr>
        <w:spacing w:after="0" w:line="72"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A-5</w:t>
      </w:r>
    </w:p>
    <w:p>
      <w:pPr>
        <w:sectPr>
          <w:pgSz w:w="11900" w:h="16838" w:orient="portrait"/>
          <w:cols w:equalWidth="0" w:num="1">
            <w:col w:w="11220"/>
          </w:cols>
          <w:pgMar w:left="24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Section 81 Notice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xml:space="preserve">“Shareholder” </w:t>
      </w:r>
      <w:r>
        <w:rPr>
          <w:rFonts w:ascii="Arial" w:cs="Arial" w:eastAsia="Arial" w:hAnsi="Arial"/>
          <w:sz w:val="12"/>
          <w:szCs w:val="12"/>
          <w:color w:val="auto"/>
        </w:rPr>
        <w:t>or</w:t>
      </w:r>
      <w:r>
        <w:rPr>
          <w:rFonts w:ascii="Arial" w:cs="Arial" w:eastAsia="Arial" w:hAnsi="Arial"/>
          <w:sz w:val="12"/>
          <w:szCs w:val="12"/>
          <w:b w:val="1"/>
          <w:bCs w:val="1"/>
          <w:color w:val="auto"/>
        </w:rPr>
        <w:t xml:space="preserve"> “the Holder” </w:t>
      </w:r>
      <w:r>
        <w:rPr>
          <w:rFonts w:ascii="Arial" w:cs="Arial" w:eastAsia="Arial" w:hAnsi="Arial"/>
          <w:sz w:val="12"/>
          <w:szCs w:val="12"/>
          <w:color w:val="auto"/>
        </w:rPr>
        <w:t>or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“member”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Special Resolution</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Company</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Directors</w:t>
      </w:r>
      <w:r>
        <w:rPr>
          <w:rFonts w:ascii="Arial" w:cs="Arial" w:eastAsia="Arial" w:hAnsi="Arial"/>
          <w:sz w:val="14"/>
          <w:szCs w:val="14"/>
          <w:color w:val="auto"/>
        </w:rPr>
        <w:t>” or “</w:t>
      </w:r>
      <w:r>
        <w:rPr>
          <w:rFonts w:ascii="Arial" w:cs="Arial" w:eastAsia="Arial" w:hAnsi="Arial"/>
          <w:sz w:val="14"/>
          <w:szCs w:val="14"/>
          <w:b w:val="1"/>
          <w:bCs w:val="1"/>
          <w:color w:val="auto"/>
        </w:rPr>
        <w:t>the Board</w:t>
      </w:r>
      <w:r>
        <w:rPr>
          <w:rFonts w:ascii="Arial" w:cs="Arial" w:eastAsia="Arial" w:hAnsi="Arial"/>
          <w:sz w:val="14"/>
          <w:szCs w:val="14"/>
          <w:color w:val="auto"/>
        </w:rPr>
        <w: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Office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seal</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Secretary</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 State</w:t>
      </w:r>
      <w:r>
        <w:rPr>
          <w:rFonts w:ascii="Arial" w:cs="Arial" w:eastAsia="Arial" w:hAnsi="Arial"/>
          <w:sz w:val="14"/>
          <w:szCs w:val="14"/>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these articles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 of members to be kept as required in accordance with section 116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-641350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shall mean a notice given to a member in accordance with section 81 of the 1990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“Share” and “share” mean, unless specified otherwise or the context otherwise requires, any share in the capital of the Company.</w:t>
      </w:r>
    </w:p>
    <w:p>
      <w:pPr>
        <w:spacing w:after="0" w:line="13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means in relation to any share, the person whose name is entered in the Register as the holder of the share or, where the context permits, the persons whose names are entered in the Register as the joint holders of shares.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a special resolution of the Company’s members within the meaning of section 141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company whose name appears in the heading to these articles.</w:t>
      </w:r>
    </w:p>
    <w:p>
      <w:pPr>
        <w:spacing w:after="0" w:line="123"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means the directors from time to time and for the time being of the Company or the directors present at a meeting of the board of directors and includes any person occupying the position of director by whatever name called.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registered office from time to time and for the time being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common seal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any person appointed to perform the duties of the secretary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state of Ireland.</w:t>
      </w:r>
    </w:p>
    <w:p>
      <w:pPr>
        <w:spacing w:after="0" w:line="123"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means the articles of association of which this article forms part, as the same may be amended from time to time and for the time being in force.</w:t>
      </w:r>
    </w:p>
    <w:p>
      <w:pPr>
        <w:spacing w:after="0" w:line="200" w:lineRule="exact"/>
        <w:rPr>
          <w:sz w:val="20"/>
          <w:szCs w:val="20"/>
          <w:color w:val="auto"/>
        </w:rPr>
      </w:pPr>
    </w:p>
    <w:p>
      <w:pPr>
        <w:sectPr>
          <w:pgSz w:w="11900" w:h="16838" w:orient="portrait"/>
          <w:cols w:equalWidth="0" w:num="2">
            <w:col w:w="2280" w:space="460"/>
            <w:col w:w="8480"/>
          </w:cols>
          <w:pgMar w:left="240" w:top="459" w:right="439" w:bottom="1440" w:gutter="0" w:footer="0" w:header="0"/>
        </w:sectPr>
      </w:pP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2.2</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6"/>
              </w:rPr>
              <w:t>Expressions in these articles referring to writing shall be construed, unless the contrary intention appears, as including references to printing, lithography, photography and</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any other modes of representing or reproducing words in a visible form except as provided in these articles and / or where it constitutes writing in electronic form sent to the</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Company, and the Company has agreed to its receipt in such form. Expressions in these articles referring to execution of any document shall include any mode of</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7"/>
              </w:rPr>
              <w:t>execution whether under seal or under hand or any mode of electronic signature as shall be approved by the Directors. Expressions in these articles referring to receipt or</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issuance of any electronic communications shall, be limited to receipt or issuance in such manner as the Company has approved or as set out in these articles.</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8"/>
              </w:rPr>
              <w:t>Notwithstanding the foregoing, all written communication by the Company and the Directors may for the purposes of these articles, to the extent permitted by law, be in</w:t>
            </w:r>
          </w:p>
        </w:tc>
      </w:tr>
      <w:tr>
        <w:trPr>
          <w:trHeight w:val="162"/>
        </w:trPr>
        <w:tc>
          <w:tcPr>
            <w:tcW w:w="48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electronic form.</w:t>
            </w:r>
          </w:p>
        </w:tc>
        <w:tc>
          <w:tcPr>
            <w:tcW w:w="8840" w:type="dxa"/>
            <w:vAlign w:val="bottom"/>
          </w:tcPr>
          <w:p>
            <w:pPr>
              <w:spacing w:after="0"/>
              <w:rPr>
                <w:sz w:val="14"/>
                <w:szCs w:val="1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2.3</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7"/>
              </w:rPr>
              <w:t>Unless the contrary intention appears, words or expressions contained in these articles shall bear the same meaning as in the Acts or in any statutory modification thereof</w:t>
            </w:r>
          </w:p>
        </w:tc>
      </w:tr>
      <w:tr>
        <w:trPr>
          <w:trHeight w:val="162"/>
        </w:trPr>
        <w:tc>
          <w:tcPr>
            <w:tcW w:w="480" w:type="dxa"/>
            <w:vAlign w:val="bottom"/>
          </w:tcPr>
          <w:p>
            <w:pPr>
              <w:spacing w:after="0"/>
              <w:rPr>
                <w:sz w:val="14"/>
                <w:szCs w:val="14"/>
                <w:color w:val="auto"/>
              </w:rPr>
            </w:pP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in force at the date at which these articles become binding on the Company.</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2.4</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References herein to any enactment shall mean such enactment as the same may be amended and may be from time to time and for the time being in force.</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2.5</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6"/>
              </w:rPr>
              <w:t>The masculine gender shall include the feminine and neuter, and vice versa, and the singular number shall include the plural, and vice versa, and words importing persons</w:t>
            </w:r>
          </w:p>
        </w:tc>
      </w:tr>
      <w:tr>
        <w:trPr>
          <w:trHeight w:val="162"/>
        </w:trPr>
        <w:tc>
          <w:tcPr>
            <w:tcW w:w="480" w:type="dxa"/>
            <w:vAlign w:val="bottom"/>
          </w:tcPr>
          <w:p>
            <w:pPr>
              <w:spacing w:after="0"/>
              <w:rPr>
                <w:sz w:val="14"/>
                <w:szCs w:val="14"/>
                <w:color w:val="auto"/>
              </w:rPr>
            </w:pP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shall include firms or companies.</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2.6</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Reference to US$, USD, or dollars shall mean the currency of the United States of America and to €, euro, EUR or cent shall mean the currency of Ireland.</w:t>
            </w:r>
          </w:p>
        </w:tc>
      </w:tr>
      <w:tr>
        <w:trPr>
          <w:trHeight w:val="36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40" w:type="dxa"/>
            <w:vAlign w:val="bottom"/>
          </w:tcPr>
          <w:p>
            <w:pPr>
              <w:ind w:left="2200"/>
              <w:spacing w:after="0"/>
              <w:rPr>
                <w:sz w:val="20"/>
                <w:szCs w:val="20"/>
                <w:color w:val="auto"/>
              </w:rPr>
            </w:pPr>
            <w:r>
              <w:rPr>
                <w:rFonts w:ascii="Arial" w:cs="Arial" w:eastAsia="Arial" w:hAnsi="Arial"/>
                <w:sz w:val="14"/>
                <w:szCs w:val="14"/>
                <w:b w:val="1"/>
                <w:bCs w:val="1"/>
                <w:color w:val="auto"/>
              </w:rPr>
              <w:t>Share capital and variation of rights</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3.1</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8"/>
              </w:rPr>
              <w:t>The share capital of the Company is €40,000 and US$67,800 divided into 40,000 deferred ordinary shares of €1.00 each, and 67,800,000 ordinary shares of US$0.001</w:t>
            </w:r>
          </w:p>
        </w:tc>
      </w:tr>
      <w:tr>
        <w:trPr>
          <w:trHeight w:val="162"/>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each.</w:t>
            </w:r>
          </w:p>
        </w:tc>
        <w:tc>
          <w:tcPr>
            <w:tcW w:w="780" w:type="dxa"/>
            <w:vAlign w:val="bottom"/>
          </w:tcPr>
          <w:p>
            <w:pPr>
              <w:spacing w:after="0"/>
              <w:rPr>
                <w:sz w:val="14"/>
                <w:szCs w:val="14"/>
                <w:color w:val="auto"/>
              </w:rPr>
            </w:pPr>
          </w:p>
        </w:tc>
        <w:tc>
          <w:tcPr>
            <w:tcW w:w="8840" w:type="dxa"/>
            <w:vAlign w:val="bottom"/>
          </w:tcPr>
          <w:p>
            <w:pPr>
              <w:spacing w:after="0"/>
              <w:rPr>
                <w:sz w:val="14"/>
                <w:szCs w:val="14"/>
                <w:color w:val="auto"/>
              </w:rPr>
            </w:pP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3.2</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ordinary shares shall be as follows:</w:t>
            </w:r>
          </w:p>
        </w:tc>
      </w:tr>
      <w:tr>
        <w:trPr>
          <w:trHeight w:val="378"/>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subject to the right of the Company to set record dates for the purposes of determining the identity of members entitled to notice of and / or to vote at a</w:t>
            </w:r>
          </w:p>
        </w:tc>
      </w:tr>
      <w:tr>
        <w:trPr>
          <w:trHeight w:val="14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meeting, the right to attend and speak at any general meeting of the Company and to exercise one vote per ordinary share held at any general</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meeting of the Company;</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the right to participate pro rata in all dividends declared by the Company; and</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(c)</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the right, in the event of the Company’s winding up, to participate pro rata in the total assets of the Company.</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3.3</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Euro Deferred Shares shall be as follows:</w:t>
            </w:r>
          </w:p>
        </w:tc>
      </w:tr>
      <w:tr>
        <w:trPr>
          <w:trHeight w:val="378"/>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w w:val="99"/>
              </w:rPr>
              <w:t xml:space="preserve">The Euro Deferred Shares shall rank </w:t>
            </w:r>
            <w:r>
              <w:rPr>
                <w:rFonts w:ascii="Arial" w:cs="Arial" w:eastAsia="Arial" w:hAnsi="Arial"/>
                <w:sz w:val="14"/>
                <w:szCs w:val="14"/>
                <w:i w:val="1"/>
                <w:iCs w:val="1"/>
                <w:color w:val="auto"/>
                <w:w w:val="99"/>
              </w:rPr>
              <w:t>pari passu</w:t>
            </w:r>
            <w:r>
              <w:rPr>
                <w:rFonts w:ascii="Arial" w:cs="Arial" w:eastAsia="Arial" w:hAnsi="Arial"/>
                <w:sz w:val="14"/>
                <w:szCs w:val="14"/>
                <w:color w:val="auto"/>
                <w:w w:val="99"/>
              </w:rPr>
              <w:t xml:space="preserve"> with, and have the same rights, and be subject to the same restrictions, as the ordinary shares until the</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effective time of the Merger (as provided for in the Merger Agreement).</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From the effective time of the Merger (as provided for in the Merger Agreement):</w:t>
            </w:r>
          </w:p>
        </w:tc>
      </w:tr>
      <w:tr>
        <w:trPr>
          <w:trHeight w:val="378"/>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auto"/>
              </w:rPr>
              <w:t>(i)</w:t>
            </w:r>
          </w:p>
        </w:tc>
        <w:tc>
          <w:tcPr>
            <w:tcW w:w="8840" w:type="dxa"/>
            <w:vAlign w:val="bottom"/>
          </w:tcPr>
          <w:p>
            <w:pPr>
              <w:ind w:left="360"/>
              <w:spacing w:after="0"/>
              <w:rPr>
                <w:sz w:val="20"/>
                <w:szCs w:val="20"/>
                <w:color w:val="auto"/>
              </w:rPr>
            </w:pPr>
            <w:r>
              <w:rPr>
                <w:rFonts w:ascii="Arial" w:cs="Arial" w:eastAsia="Arial" w:hAnsi="Arial"/>
                <w:sz w:val="14"/>
                <w:szCs w:val="14"/>
                <w:color w:val="auto"/>
                <w:w w:val="97"/>
              </w:rPr>
              <w:t>the holders of the Euro Deferred Shares shall not be entitled to receive any dividend or distribution and shall not be entitled to receive notice</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40" w:type="dxa"/>
            <w:vAlign w:val="bottom"/>
          </w:tcPr>
          <w:p>
            <w:pPr>
              <w:ind w:left="360"/>
              <w:spacing w:after="0"/>
              <w:rPr>
                <w:sz w:val="20"/>
                <w:szCs w:val="20"/>
                <w:color w:val="auto"/>
              </w:rPr>
            </w:pPr>
            <w:r>
              <w:rPr>
                <w:rFonts w:ascii="Arial" w:cs="Arial" w:eastAsia="Arial" w:hAnsi="Arial"/>
                <w:sz w:val="14"/>
                <w:szCs w:val="14"/>
                <w:color w:val="auto"/>
              </w:rPr>
              <w:t>of, nor to attend, speak or vote at any meeting of some or all of the members of the Company;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7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720" w:right="60" w:hanging="868"/>
        <w:spacing w:after="0" w:line="226" w:lineRule="auto"/>
        <w:tabs>
          <w:tab w:leader="none" w:pos="272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214" w:lineRule="exact"/>
        <w:rPr>
          <w:rFonts w:ascii="Arial" w:cs="Arial" w:eastAsia="Arial" w:hAnsi="Arial"/>
          <w:sz w:val="14"/>
          <w:szCs w:val="14"/>
          <w:color w:val="auto"/>
        </w:rPr>
      </w:pPr>
    </w:p>
    <w:p>
      <w:pPr>
        <w:ind w:left="1860" w:right="560" w:hanging="886"/>
        <w:spacing w:after="0" w:line="247" w:lineRule="auto"/>
        <w:tabs>
          <w:tab w:leader="none" w:pos="18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special resolution passed on the date of adoption of these articles (the “</w:t>
      </w:r>
      <w:r>
        <w:rPr>
          <w:rFonts w:ascii="Arial" w:cs="Arial" w:eastAsia="Arial" w:hAnsi="Arial"/>
          <w:sz w:val="14"/>
          <w:szCs w:val="14"/>
          <w:b w:val="1"/>
          <w:bCs w:val="1"/>
          <w:color w:val="auto"/>
        </w:rPr>
        <w:t>Adoption Date</w:t>
      </w:r>
      <w:r>
        <w:rPr>
          <w:rFonts w:ascii="Arial" w:cs="Arial" w:eastAsia="Arial" w:hAnsi="Arial"/>
          <w:sz w:val="14"/>
          <w:szCs w:val="14"/>
          <w:color w:val="auto"/>
        </w:rPr>
        <w:t>”) shall be deemed to confer irrevocable authority on the Company at any time after the Adoption Date:</w:t>
      </w:r>
    </w:p>
    <w:p>
      <w:pPr>
        <w:spacing w:after="0" w:line="224" w:lineRule="exact"/>
        <w:rPr>
          <w:rFonts w:ascii="Arial" w:cs="Arial" w:eastAsia="Arial" w:hAnsi="Arial"/>
          <w:sz w:val="14"/>
          <w:szCs w:val="14"/>
          <w:color w:val="auto"/>
        </w:rPr>
      </w:pPr>
    </w:p>
    <w:p>
      <w:pPr>
        <w:ind w:left="2720" w:right="180" w:hanging="868"/>
        <w:spacing w:after="0" w:line="231" w:lineRule="auto"/>
        <w:tabs>
          <w:tab w:leader="none" w:pos="272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to acquire all or any of the fully paid Euro Deferred Shares otherwise than for valuable consideration in accordance with section 41(2) of the 1983 Act and without obtaining the sanction of the holders thereof;</w:t>
      </w:r>
    </w:p>
    <w:p>
      <w:pPr>
        <w:spacing w:after="0" w:line="230" w:lineRule="exact"/>
        <w:rPr>
          <w:sz w:val="20"/>
          <w:szCs w:val="20"/>
          <w:color w:val="auto"/>
        </w:rPr>
      </w:pPr>
    </w:p>
    <w:p>
      <w:pPr>
        <w:ind w:left="2720" w:right="100" w:hanging="868"/>
        <w:spacing w:after="0" w:line="228" w:lineRule="auto"/>
        <w:tabs>
          <w:tab w:leader="none" w:pos="27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229" w:lineRule="exact"/>
        <w:rPr>
          <w:rFonts w:ascii="Arial" w:cs="Arial" w:eastAsia="Arial" w:hAnsi="Arial"/>
          <w:sz w:val="14"/>
          <w:szCs w:val="14"/>
          <w:color w:val="auto"/>
        </w:rPr>
      </w:pPr>
    </w:p>
    <w:p>
      <w:pPr>
        <w:ind w:left="2720" w:hanging="868"/>
        <w:spacing w:after="0"/>
        <w:tabs>
          <w:tab w:leader="none" w:pos="27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to cancel any acquired Euro Deferred Shares; and</w:t>
      </w:r>
    </w:p>
    <w:p>
      <w:pPr>
        <w:spacing w:after="0" w:line="230" w:lineRule="exact"/>
        <w:rPr>
          <w:rFonts w:ascii="Arial" w:cs="Arial" w:eastAsia="Arial" w:hAnsi="Arial"/>
          <w:sz w:val="14"/>
          <w:szCs w:val="14"/>
          <w:color w:val="auto"/>
        </w:rPr>
      </w:pPr>
    </w:p>
    <w:p>
      <w:pPr>
        <w:ind w:left="2720" w:hanging="868"/>
        <w:spacing w:after="0"/>
        <w:tabs>
          <w:tab w:leader="none" w:pos="272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pending such acquisition and/or transfer and/or cancellation to retain the certificate (if any) for such Euro Deferred Shares.</w:t>
      </w:r>
    </w:p>
    <w:p>
      <w:pPr>
        <w:spacing w:after="0" w:line="230" w:lineRule="exact"/>
        <w:rPr>
          <w:rFonts w:ascii="Arial" w:cs="Arial" w:eastAsia="Arial" w:hAnsi="Arial"/>
          <w:sz w:val="14"/>
          <w:szCs w:val="14"/>
          <w:color w:val="auto"/>
        </w:rPr>
      </w:pPr>
    </w:p>
    <w:p>
      <w:pPr>
        <w:ind w:left="1860" w:right="120" w:hanging="886"/>
        <w:spacing w:after="0" w:line="225" w:lineRule="auto"/>
        <w:tabs>
          <w:tab w:leader="none" w:pos="18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231" w:lineRule="exact"/>
        <w:rPr>
          <w:rFonts w:ascii="Arial" w:cs="Arial" w:eastAsia="Arial" w:hAnsi="Arial"/>
          <w:sz w:val="14"/>
          <w:szCs w:val="14"/>
          <w:color w:val="auto"/>
        </w:rPr>
      </w:pPr>
    </w:p>
    <w:p>
      <w:pPr>
        <w:ind w:left="1860" w:right="20" w:hanging="886"/>
        <w:spacing w:after="0" w:line="225" w:lineRule="auto"/>
        <w:tabs>
          <w:tab w:leader="none" w:pos="18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3.4</w:t>
      </w:r>
    </w:p>
    <w:p>
      <w:pPr>
        <w:spacing w:after="0" w:line="231" w:lineRule="exact"/>
        <w:rPr>
          <w:sz w:val="20"/>
          <w:szCs w:val="20"/>
          <w:color w:val="auto"/>
        </w:rPr>
      </w:pPr>
    </w:p>
    <w:p>
      <w:pPr>
        <w:ind w:left="1860" w:right="120" w:hanging="886"/>
        <w:spacing w:after="0" w:line="226" w:lineRule="auto"/>
        <w:tabs>
          <w:tab w:leader="none" w:pos="186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230" w:lineRule="exact"/>
        <w:rPr>
          <w:rFonts w:ascii="Arial" w:cs="Arial" w:eastAsia="Arial" w:hAnsi="Arial"/>
          <w:sz w:val="14"/>
          <w:szCs w:val="14"/>
          <w:color w:val="auto"/>
        </w:rPr>
      </w:pPr>
    </w:p>
    <w:p>
      <w:pPr>
        <w:ind w:left="1860" w:right="40" w:hanging="886"/>
        <w:spacing w:after="0" w:line="226" w:lineRule="auto"/>
        <w:tabs>
          <w:tab w:leader="none" w:pos="186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and/or the relevant provision(s) of the Acts, and not a redemption of shares.</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Subject to the provisions of Part XI of the 1990 Act and the other provisions of this article, the Company may:</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4.1</w:t>
            </w:r>
          </w:p>
        </w:tc>
        <w:tc>
          <w:tcPr>
            <w:tcW w:w="10400" w:type="dxa"/>
            <w:vAlign w:val="bottom"/>
          </w:tcPr>
          <w:p>
            <w:pPr>
              <w:ind w:left="300"/>
              <w:spacing w:after="0"/>
              <w:rPr>
                <w:sz w:val="20"/>
                <w:szCs w:val="20"/>
                <w:color w:val="auto"/>
              </w:rPr>
            </w:pPr>
            <w:r>
              <w:rPr>
                <w:rFonts w:ascii="Arial" w:cs="Arial" w:eastAsia="Arial" w:hAnsi="Arial"/>
                <w:sz w:val="14"/>
                <w:szCs w:val="14"/>
                <w:color w:val="auto"/>
                <w:w w:val="98"/>
              </w:rPr>
              <w:t>pursuant to section 207 of the 1990 Act, issue any shares of the Company which are to be redeemed or are liable to be redeemed at the option of the Company or the</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w w:val="97"/>
              </w:rPr>
              <w:t>member on such terms and in such manner as may be determined by the Company in general meeting (by Special Resolution) on the recommendation of the Directors;</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4.2</w:t>
            </w:r>
          </w:p>
        </w:tc>
        <w:tc>
          <w:tcPr>
            <w:tcW w:w="10400" w:type="dxa"/>
            <w:vAlign w:val="bottom"/>
          </w:tcPr>
          <w:p>
            <w:pPr>
              <w:ind w:left="300"/>
              <w:spacing w:after="0"/>
              <w:rPr>
                <w:sz w:val="20"/>
                <w:szCs w:val="20"/>
                <w:color w:val="auto"/>
              </w:rPr>
            </w:pPr>
            <w:r>
              <w:rPr>
                <w:rFonts w:ascii="Arial" w:cs="Arial" w:eastAsia="Arial" w:hAnsi="Arial"/>
                <w:sz w:val="14"/>
                <w:szCs w:val="14"/>
                <w:color w:val="auto"/>
                <w:w w:val="96"/>
              </w:rPr>
              <w:t>subject to and in accordance with the provisions of the Acts and without prejudice to any relevant special rights attached to any class of shares pursuant to section 211 of</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the 1990 Act, purchase any of its own shares (including any Redeemable Shares and without any obligation to purchase on any pro rata basis as between members or</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members of the same class) and may cancel any shares so purchased or hold them as treasury shares (as defined in section 209 of the 1990 Act) and may reissue any</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rPr>
              <w:t>such shares as shares of any class or classes; or</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4.3</w:t>
            </w:r>
          </w:p>
        </w:tc>
        <w:tc>
          <w:tcPr>
            <w:tcW w:w="10400" w:type="dxa"/>
            <w:vAlign w:val="bottom"/>
          </w:tcPr>
          <w:p>
            <w:pPr>
              <w:ind w:left="300"/>
              <w:spacing w:after="0"/>
              <w:rPr>
                <w:sz w:val="20"/>
                <w:szCs w:val="20"/>
                <w:color w:val="auto"/>
              </w:rPr>
            </w:pPr>
            <w:r>
              <w:rPr>
                <w:rFonts w:ascii="Arial" w:cs="Arial" w:eastAsia="Arial" w:hAnsi="Arial"/>
                <w:sz w:val="14"/>
                <w:szCs w:val="14"/>
                <w:color w:val="auto"/>
              </w:rPr>
              <w:t>pursuant to section 210 of the 1990 Act, convert any of its shares into Redeemable Shares.</w:t>
            </w:r>
          </w:p>
        </w:tc>
      </w:tr>
    </w:tbl>
    <w:p>
      <w:pPr>
        <w:spacing w:after="0" w:line="229" w:lineRule="exact"/>
        <w:rPr>
          <w:sz w:val="20"/>
          <w:szCs w:val="20"/>
          <w:color w:val="auto"/>
        </w:rPr>
      </w:pPr>
    </w:p>
    <w:p>
      <w:pPr>
        <w:ind w:left="980" w:right="80" w:hanging="776"/>
        <w:spacing w:after="0" w:line="228"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229" w:lineRule="exact"/>
        <w:rPr>
          <w:rFonts w:ascii="Arial" w:cs="Arial" w:eastAsia="Arial" w:hAnsi="Arial"/>
          <w:sz w:val="14"/>
          <w:szCs w:val="14"/>
          <w:color w:val="auto"/>
        </w:rPr>
      </w:pPr>
    </w:p>
    <w:p>
      <w:pPr>
        <w:ind w:left="980" w:right="100" w:hanging="776"/>
        <w:spacing w:after="0" w:line="226"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8.</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A-7</w:t>
      </w:r>
    </w:p>
    <w:p>
      <w:pPr>
        <w:sectPr>
          <w:pgSz w:w="11900" w:h="16838" w:orient="portrait"/>
          <w:cols w:equalWidth="0" w:num="1">
            <w:col w:w="11220"/>
          </w:cols>
          <w:pgMar w:left="24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w w:val="98"/>
              </w:rPr>
              <w:t>they may consider to be in the best interests of the Company and its members, but so that no share shall be issued at a discount save in accordance with sections 26(5)</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and 28 of the 1983 Act, and so that, in the case of shares offered to the public for subscription, the amount payable on application on each share shall not be less than</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one-quarter of the nominal amount of the share and the whole of any premium thereon.</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8.2</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any requirement to obtain the approval of members under any laws, regulations or the rules of any stock exchange to which the Company is subject, the Board is</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authorised, from time to time, in its discretion, to grant such persons, for such periods and upon such terms as the Board deems advisable, options to purchase or</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subscribe for such number of shares of any class or classes or of any series of any class as the Board may deem advisable, and to cause warrants or other appropriate</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instruments evidencing such options to be issued.</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8.3</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for the purposes of section 20 of the 1983 Act, generally and unconditionally authorised to exercise all powers of the Company to allot and issue relevant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securities (as defined by the said section 20) up to the amount of Company’s authorised share capital and to allot and issue any shares purchased by the Company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pursuant to the provisions of Part XI of the 1990 Act and held as treasury shares and this authority shall expire five years from the date of adoption of these articles of</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association.</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8.4</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hereby empowered pursuant to sections 23 and 24(1) of the 1983 Act to allot equity securities within the meaning of the said section 23 for cash pursuant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to the authority conferred by article 8.3 as if section 23(1) of the said 1983 Act did not apply to any such allotment. The Company may before the expiry of such authority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make an offer or agreement which would or might require equity securities to be allotted after such expiry and the Directors may allot equity securities in pursuance of such</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an offer or agreement as if the power conferred by this paragraph had not expired.</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8.5</w:t>
            </w:r>
          </w:p>
        </w:tc>
        <w:tc>
          <w:tcPr>
            <w:tcW w:w="10540" w:type="dxa"/>
            <w:vAlign w:val="bottom"/>
          </w:tcPr>
          <w:p>
            <w:pPr>
              <w:ind w:left="300"/>
              <w:spacing w:after="0"/>
              <w:rPr>
                <w:sz w:val="20"/>
                <w:szCs w:val="20"/>
                <w:color w:val="auto"/>
              </w:rPr>
            </w:pPr>
            <w:r>
              <w:rPr>
                <w:rFonts w:ascii="Arial" w:cs="Arial" w:eastAsia="Arial" w:hAnsi="Arial"/>
                <w:sz w:val="14"/>
                <w:szCs w:val="14"/>
                <w:color w:val="auto"/>
              </w:rPr>
              <w:t>Nothing in these articles shall preclude the Directors from recognising a renunciation of the allotment of any shares by any allottee in favour of some other person.</w:t>
            </w:r>
          </w:p>
        </w:tc>
      </w:tr>
    </w:tbl>
    <w:p>
      <w:pPr>
        <w:spacing w:after="0" w:line="229" w:lineRule="exact"/>
        <w:rPr>
          <w:sz w:val="20"/>
          <w:szCs w:val="20"/>
          <w:color w:val="auto"/>
        </w:rPr>
      </w:pPr>
    </w:p>
    <w:p>
      <w:pPr>
        <w:ind w:left="980" w:right="40" w:hanging="776"/>
        <w:spacing w:after="0" w:line="226" w:lineRule="auto"/>
        <w:tabs>
          <w:tab w:leader="none" w:pos="9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3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231" w:lineRule="exact"/>
        <w:rPr>
          <w:rFonts w:ascii="Arial" w:cs="Arial" w:eastAsia="Arial" w:hAnsi="Arial"/>
          <w:sz w:val="14"/>
          <w:szCs w:val="14"/>
          <w:color w:val="auto"/>
        </w:rPr>
      </w:pPr>
    </w:p>
    <w:p>
      <w:pPr>
        <w:ind w:left="980" w:right="180" w:hanging="776"/>
        <w:spacing w:after="0" w:line="228" w:lineRule="auto"/>
        <w:tabs>
          <w:tab w:leader="none" w:pos="9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229"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Disclosure of beneficial ownership</w:t>
      </w:r>
    </w:p>
    <w:p>
      <w:pPr>
        <w:spacing w:after="0" w:line="247" w:lineRule="exact"/>
        <w:rPr>
          <w:sz w:val="20"/>
          <w:szCs w:val="20"/>
          <w:color w:val="auto"/>
        </w:rPr>
      </w:pPr>
    </w:p>
    <w:p>
      <w:pPr>
        <w:ind w:left="980" w:hanging="776"/>
        <w:spacing w:after="0"/>
        <w:tabs>
          <w:tab w:leader="none" w:pos="9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If at any time the Directors are satisfied that any member, or any other person appearing to be interested in shares held by such member:</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13.1</w:t>
            </w: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w w:val="99"/>
              </w:rPr>
              <w:t>(x) has been duly served with a Section 81 Notice and is in default for the prescribed period (as defined in article 13.6(b)) in supplying to the Company the information</w:t>
            </w:r>
          </w:p>
        </w:tc>
      </w:tr>
      <w:tr>
        <w:trPr>
          <w:trHeight w:val="133"/>
        </w:trPr>
        <w:tc>
          <w:tcPr>
            <w:tcW w:w="520" w:type="dxa"/>
            <w:vAlign w:val="bottom"/>
          </w:tcPr>
          <w:p>
            <w:pPr>
              <w:spacing w:after="0"/>
              <w:rPr>
                <w:sz w:val="11"/>
                <w:szCs w:val="11"/>
                <w:color w:val="auto"/>
              </w:rPr>
            </w:pPr>
          </w:p>
        </w:tc>
        <w:tc>
          <w:tcPr>
            <w:tcW w:w="10500" w:type="dxa"/>
            <w:vAlign w:val="bottom"/>
            <w:gridSpan w:val="4"/>
          </w:tcPr>
          <w:p>
            <w:pPr>
              <w:ind w:left="260"/>
              <w:spacing w:after="0" w:line="133" w:lineRule="exact"/>
              <w:rPr>
                <w:sz w:val="20"/>
                <w:szCs w:val="20"/>
                <w:color w:val="auto"/>
              </w:rPr>
            </w:pPr>
            <w:r>
              <w:rPr>
                <w:rFonts w:ascii="Arial" w:cs="Arial" w:eastAsia="Arial" w:hAnsi="Arial"/>
                <w:sz w:val="14"/>
                <w:szCs w:val="14"/>
                <w:color w:val="auto"/>
                <w:w w:val="98"/>
              </w:rPr>
              <w:t>thereby required; or (y) in purported compliance with such a notice, has made a statement which is false or inadequate in a material particular, then the Directors may, in</w:t>
            </w:r>
          </w:p>
        </w:tc>
      </w:tr>
      <w:tr>
        <w:trPr>
          <w:trHeight w:val="178"/>
        </w:trPr>
        <w:tc>
          <w:tcPr>
            <w:tcW w:w="520" w:type="dxa"/>
            <w:vAlign w:val="bottom"/>
          </w:tcPr>
          <w:p>
            <w:pPr>
              <w:spacing w:after="0"/>
              <w:rPr>
                <w:sz w:val="15"/>
                <w:szCs w:val="15"/>
                <w:color w:val="auto"/>
              </w:rPr>
            </w:pP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rPr>
              <w:t>their absolute discretion at any time thereafter by notice (a “</w:t>
            </w:r>
            <w:r>
              <w:rPr>
                <w:rFonts w:ascii="Arial" w:cs="Arial" w:eastAsia="Arial" w:hAnsi="Arial"/>
                <w:sz w:val="14"/>
                <w:szCs w:val="14"/>
                <w:b w:val="1"/>
                <w:bCs w:val="1"/>
                <w:color w:val="auto"/>
              </w:rPr>
              <w:t>direction notice</w:t>
            </w:r>
            <w:r>
              <w:rPr>
                <w:rFonts w:ascii="Arial" w:cs="Arial" w:eastAsia="Arial" w:hAnsi="Arial"/>
                <w:sz w:val="14"/>
                <w:szCs w:val="14"/>
                <w:color w:val="auto"/>
              </w:rPr>
              <w:t>”) to such member direct that:</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9"/>
              </w:rPr>
              <w:t>in respect of the shares in relation to which the default occurred (the “</w:t>
            </w:r>
            <w:r>
              <w:rPr>
                <w:rFonts w:ascii="Arial" w:cs="Arial" w:eastAsia="Arial" w:hAnsi="Arial"/>
                <w:sz w:val="14"/>
                <w:szCs w:val="14"/>
                <w:b w:val="1"/>
                <w:bCs w:val="1"/>
                <w:color w:val="auto"/>
                <w:w w:val="99"/>
              </w:rPr>
              <w:t>default shares</w:t>
            </w:r>
            <w:r>
              <w:rPr>
                <w:rFonts w:ascii="Arial" w:cs="Arial" w:eastAsia="Arial" w:hAnsi="Arial"/>
                <w:sz w:val="14"/>
                <w:szCs w:val="14"/>
                <w:color w:val="auto"/>
                <w:w w:val="99"/>
              </w:rPr>
              <w:t>”) the member shall not be entitled to attend or to vote at a general</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meeting either personally or by proxy or to exercise any other right conferred by membership in relation to meetings of the Company;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8"/>
              </w:rPr>
              <w:t>where the nominal value of the default shares represents at least 0.25 per cent of the nominal value of the issued shares of the class concerned, then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direction notice may additionally direct that:</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except in a liquidation of the Company, no payment shall be made of any sums due from the Company on the default shares, whether in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4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7"/>
              </w:rPr>
              <w:t>respect of capital or dividend or otherwise, and the Company shall not have any liability to pay interest on any such payment when it is finally</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paid to the member;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other distribution shall be made on the default shares; and /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transfer of any of the default shares held by such member shall be registered unless:</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(1)</w:t>
            </w:r>
          </w:p>
        </w:tc>
        <w:tc>
          <w:tcPr>
            <w:tcW w:w="7960" w:type="dxa"/>
            <w:vAlign w:val="bottom"/>
          </w:tcPr>
          <w:p>
            <w:pPr>
              <w:ind w:left="340"/>
              <w:spacing w:after="0"/>
              <w:rPr>
                <w:sz w:val="20"/>
                <w:szCs w:val="20"/>
                <w:color w:val="auto"/>
              </w:rPr>
            </w:pPr>
            <w:r>
              <w:rPr>
                <w:rFonts w:ascii="Arial" w:cs="Arial" w:eastAsia="Arial" w:hAnsi="Arial"/>
                <w:sz w:val="14"/>
                <w:szCs w:val="14"/>
                <w:color w:val="auto"/>
              </w:rPr>
              <w:t>the member is not himself in default as regards supplying the information requested and the transfer when presented for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w w:val="96"/>
              </w:rPr>
              <w:t>registration is accompanied by a certificate by the member in such form as the Directors may in their absolute discretion require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rPr>
              <w:t>to the effect that after due and careful enquiry the member is satisfied that no person in default as regards supplying such</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960" w:type="dxa"/>
            <w:vAlign w:val="bottom"/>
          </w:tcPr>
          <w:p>
            <w:pPr>
              <w:ind w:left="340"/>
              <w:spacing w:after="0"/>
              <w:rPr>
                <w:sz w:val="20"/>
                <w:szCs w:val="20"/>
                <w:color w:val="auto"/>
              </w:rPr>
            </w:pPr>
            <w:r>
              <w:rPr>
                <w:rFonts w:ascii="Arial" w:cs="Arial" w:eastAsia="Arial" w:hAnsi="Arial"/>
                <w:sz w:val="14"/>
                <w:szCs w:val="14"/>
                <w:color w:val="auto"/>
              </w:rPr>
              <w:t>information is interested in any of the shares the subject of the transfer;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(2)</w:t>
            </w:r>
          </w:p>
        </w:tc>
        <w:tc>
          <w:tcPr>
            <w:tcW w:w="7960" w:type="dxa"/>
            <w:vAlign w:val="bottom"/>
          </w:tcPr>
          <w:p>
            <w:pPr>
              <w:ind w:left="340"/>
              <w:spacing w:after="0"/>
              <w:rPr>
                <w:sz w:val="20"/>
                <w:szCs w:val="20"/>
                <w:color w:val="auto"/>
              </w:rPr>
            </w:pPr>
            <w:r>
              <w:rPr>
                <w:rFonts w:ascii="Arial" w:cs="Arial" w:eastAsia="Arial" w:hAnsi="Arial"/>
                <w:sz w:val="14"/>
                <w:szCs w:val="14"/>
                <w:color w:val="auto"/>
              </w:rPr>
              <w:t>the transfer is an approved transfer (as defined in article 13.6(c));</w:t>
            </w:r>
          </w:p>
        </w:tc>
      </w:tr>
    </w:tbl>
    <w:p>
      <w:pPr>
        <w:spacing w:after="0" w:line="208" w:lineRule="exact"/>
        <w:rPr>
          <w:sz w:val="20"/>
          <w:szCs w:val="20"/>
          <w:color w:val="auto"/>
        </w:rPr>
      </w:pPr>
    </w:p>
    <w:p>
      <w:pPr>
        <w:ind w:left="980" w:right="180"/>
        <w:spacing w:after="0" w:line="258" w:lineRule="auto"/>
        <w:rPr>
          <w:sz w:val="20"/>
          <w:szCs w:val="20"/>
          <w:color w:val="auto"/>
        </w:rPr>
      </w:pPr>
      <w:r>
        <w:rPr>
          <w:rFonts w:ascii="Arial" w:cs="Arial" w:eastAsia="Arial" w:hAnsi="Arial"/>
          <w:sz w:val="14"/>
          <w:szCs w:val="14"/>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57"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A-8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13.2</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w w:val="96"/>
              </w:rPr>
              <w:t>Where any person appearing to be interested in the default shares has been duly served with a direction notice or copy thereof and the default shares which are the subject</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of such direction notice are held by an Approved Nominee, the provisions of this article shall be treated as applying only to such default shares held by the Approved</w:t>
            </w:r>
          </w:p>
        </w:tc>
      </w:tr>
      <w:tr>
        <w:trPr>
          <w:trHeight w:val="162"/>
        </w:trPr>
        <w:tc>
          <w:tcPr>
            <w:tcW w:w="520" w:type="dxa"/>
            <w:vAlign w:val="bottom"/>
          </w:tcPr>
          <w:p>
            <w:pPr>
              <w:spacing w:after="0"/>
              <w:rPr>
                <w:sz w:val="14"/>
                <w:szCs w:val="14"/>
                <w:color w:val="auto"/>
              </w:rPr>
            </w:pP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Nominee and not (insofar as such person’s apparent interest is concerned) to any other shares held by the Approved Nominee.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13.3</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Where the member upon whom a Section 81 Notice is served is an Approved Nominee acting in its capacity as such, the obligations of the Approved Nominee as a</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w w:val="97"/>
              </w:rPr>
              <w:t>member of the Company shall be limited to disclosing to the Company such information as has been recorded by it relating to any person appearing to be interested in the</w:t>
            </w:r>
          </w:p>
        </w:tc>
      </w:tr>
      <w:tr>
        <w:trPr>
          <w:trHeight w:val="162"/>
        </w:trPr>
        <w:tc>
          <w:tcPr>
            <w:tcW w:w="52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shares held by it.</w:t>
            </w:r>
          </w:p>
        </w:tc>
        <w:tc>
          <w:tcPr>
            <w:tcW w:w="8840" w:type="dxa"/>
            <w:vAlign w:val="bottom"/>
          </w:tcPr>
          <w:p>
            <w:pPr>
              <w:spacing w:after="0"/>
              <w:rPr>
                <w:sz w:val="14"/>
                <w:szCs w:val="14"/>
                <w:color w:val="auto"/>
              </w:rPr>
            </w:pP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13.4</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Any direction notice shall cease to have effect:</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in relation to any shares which are transferred by such member by means of an approved transfer; or</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when the Directors are satisfied that such member, and any other person appearing to be interested in shares held by such member, has given to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Company the information required by the relevant Section 81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13.5</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The Directors may at any time give notice cancelling a direction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13.6</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For the purposes of this article:</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9"/>
              </w:rPr>
              <w:t>a person shall be treated as appearing to be interested in any shares if the member holding such shares has given to the Company a Section 81 Notice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which either (a) names such person as being so interested or (b) fails to establish the identities of all those interested in the shares and (after taking into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account the said notification and any other relevant Section 81 Notice) the Company knows or has reasonable cause to believe that the person in question is</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or may be interested in the shares;</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7"/>
              </w:rPr>
              <w:t>the “</w:t>
            </w:r>
            <w:r>
              <w:rPr>
                <w:rFonts w:ascii="Arial" w:cs="Arial" w:eastAsia="Arial" w:hAnsi="Arial"/>
                <w:sz w:val="14"/>
                <w:szCs w:val="14"/>
                <w:b w:val="1"/>
                <w:bCs w:val="1"/>
                <w:color w:val="auto"/>
                <w:w w:val="97"/>
              </w:rPr>
              <w:t>prescribed period</w:t>
            </w:r>
            <w:r>
              <w:rPr>
                <w:rFonts w:ascii="Arial" w:cs="Arial" w:eastAsia="Arial" w:hAnsi="Arial"/>
                <w:sz w:val="14"/>
                <w:szCs w:val="14"/>
                <w:color w:val="auto"/>
                <w:w w:val="97"/>
              </w:rPr>
              <w:t>” is 28 days from the date of service of the said Section 81 Notice unless the nominal value of the default shares represents at least</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0.25 per cent of the nominal value of the issued shares of that class, when the prescribed period is 14 days from that date;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a transfer of shares is an approved transfer if but only if:</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tcPr>
          <w:p>
            <w:pPr>
              <w:ind w:left="340"/>
              <w:spacing w:after="0"/>
              <w:rPr>
                <w:sz w:val="20"/>
                <w:szCs w:val="20"/>
                <w:color w:val="auto"/>
              </w:rPr>
            </w:pPr>
            <w:r>
              <w:rPr>
                <w:rFonts w:ascii="Arial" w:cs="Arial" w:eastAsia="Arial" w:hAnsi="Arial"/>
                <w:sz w:val="14"/>
                <w:szCs w:val="14"/>
                <w:color w:val="auto"/>
                <w:w w:val="98"/>
              </w:rPr>
              <w:t>it is a transfer of shares to an offeror by way or in pursuance of acceptance of an offer made to all the Holders (or all the Holders other than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w w:val="99"/>
              </w:rPr>
              <w:t>the person making the offer and his nominees) of the shares in the Company to acquire those shares or a specified proportion of them; or</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tcPr>
          <w:p>
            <w:pPr>
              <w:ind w:left="340"/>
              <w:spacing w:after="0"/>
              <w:rPr>
                <w:sz w:val="20"/>
                <w:szCs w:val="20"/>
                <w:color w:val="auto"/>
              </w:rPr>
            </w:pPr>
            <w:r>
              <w:rPr>
                <w:rFonts w:ascii="Arial" w:cs="Arial" w:eastAsia="Arial" w:hAnsi="Arial"/>
                <w:sz w:val="14"/>
                <w:szCs w:val="14"/>
                <w:color w:val="auto"/>
                <w:w w:val="97"/>
              </w:rPr>
              <w:t>the Directors are satisfied that the transfer is made pursuant to a sale of the whole of the beneficial ownership of the shares the subject of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rPr>
              <w:t>transfer to a party unconnected with the member and with other persons appearing to be interested in such shares;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tcPr>
          <w:p>
            <w:pPr>
              <w:ind w:left="340"/>
              <w:spacing w:after="0"/>
              <w:rPr>
                <w:sz w:val="20"/>
                <w:szCs w:val="20"/>
                <w:color w:val="auto"/>
              </w:rPr>
            </w:pPr>
            <w:r>
              <w:rPr>
                <w:rFonts w:ascii="Arial" w:cs="Arial" w:eastAsia="Arial" w:hAnsi="Arial"/>
                <w:sz w:val="14"/>
                <w:szCs w:val="14"/>
                <w:color w:val="auto"/>
              </w:rPr>
              <w:t>the transfer results from a sale made through a stock exchange on which the Company’s shares are normally traded;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(d)</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Nothing contained in this article shall limit the power of the Company under section 85 of the 1990 Act;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(e)</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6"/>
              </w:rPr>
              <w:t>For the purpose of establishing whether or not the terms of any notice served under this article shall have been complied with the decision of the Directors in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this regard shall be final and conclusive and shall bind all persons interested.</w:t>
            </w:r>
          </w:p>
        </w:tc>
      </w:tr>
    </w:tbl>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Lien</w:t>
      </w:r>
    </w:p>
    <w:p>
      <w:pPr>
        <w:spacing w:after="0" w:line="247" w:lineRule="exact"/>
        <w:rPr>
          <w:sz w:val="20"/>
          <w:szCs w:val="20"/>
          <w:color w:val="auto"/>
        </w:rPr>
      </w:pPr>
    </w:p>
    <w:p>
      <w:pPr>
        <w:ind w:left="980" w:right="60" w:hanging="776"/>
        <w:spacing w:after="0" w:line="228" w:lineRule="auto"/>
        <w:tabs>
          <w:tab w:leader="none" w:pos="9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229" w:lineRule="exact"/>
        <w:rPr>
          <w:rFonts w:ascii="Arial" w:cs="Arial" w:eastAsia="Arial" w:hAnsi="Arial"/>
          <w:sz w:val="14"/>
          <w:szCs w:val="14"/>
          <w:color w:val="auto"/>
        </w:rPr>
      </w:pPr>
    </w:p>
    <w:p>
      <w:pPr>
        <w:ind w:left="980" w:right="60" w:hanging="776"/>
        <w:spacing w:after="0" w:line="226" w:lineRule="auto"/>
        <w:tabs>
          <w:tab w:leader="none" w:pos="9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231" w:lineRule="exact"/>
        <w:rPr>
          <w:rFonts w:ascii="Arial" w:cs="Arial" w:eastAsia="Arial" w:hAnsi="Arial"/>
          <w:sz w:val="14"/>
          <w:szCs w:val="14"/>
          <w:color w:val="auto"/>
        </w:rPr>
      </w:pPr>
    </w:p>
    <w:p>
      <w:pPr>
        <w:jc w:val="both"/>
        <w:ind w:left="980" w:right="20" w:hanging="776"/>
        <w:spacing w:after="0" w:line="228" w:lineRule="auto"/>
        <w:tabs>
          <w:tab w:leader="none" w:pos="9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229" w:lineRule="exact"/>
        <w:rPr>
          <w:rFonts w:ascii="Arial" w:cs="Arial" w:eastAsia="Arial" w:hAnsi="Arial"/>
          <w:sz w:val="14"/>
          <w:szCs w:val="14"/>
          <w:color w:val="auto"/>
        </w:rPr>
      </w:pPr>
    </w:p>
    <w:p>
      <w:pPr>
        <w:ind w:left="980" w:right="160" w:hanging="776"/>
        <w:spacing w:after="0" w:line="225" w:lineRule="auto"/>
        <w:tabs>
          <w:tab w:leader="none" w:pos="9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231" w:lineRule="exact"/>
        <w:rPr>
          <w:rFonts w:ascii="Arial" w:cs="Arial" w:eastAsia="Arial" w:hAnsi="Arial"/>
          <w:sz w:val="14"/>
          <w:szCs w:val="14"/>
          <w:color w:val="auto"/>
        </w:rPr>
      </w:pPr>
    </w:p>
    <w:p>
      <w:pPr>
        <w:ind w:left="1860" w:hanging="886"/>
        <w:spacing w:after="0"/>
        <w:tabs>
          <w:tab w:leader="none" w:pos="18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death of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A-9</w:t>
      </w:r>
    </w:p>
    <w:p>
      <w:pPr>
        <w:sectPr>
          <w:pgSz w:w="11900" w:h="16838" w:orient="portrait"/>
          <w:cols w:equalWidth="0" w:num="1">
            <w:col w:w="11220"/>
          </w:cols>
          <w:pgMar w:left="24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hanging="886"/>
        <w:spacing w:after="0"/>
        <w:tabs>
          <w:tab w:leader="none" w:pos="18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non-payment of any income tax or other tax by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non-payment of any estate, probate, succession, death, stamp, or other duty by the executor or administrator of such Holder or by or out of his estate; or</w:t>
      </w:r>
    </w:p>
    <w:p>
      <w:pPr>
        <w:spacing w:after="0" w:line="253" w:lineRule="exact"/>
        <w:rPr>
          <w:rFonts w:ascii="Arial" w:cs="Arial" w:eastAsia="Arial" w:hAnsi="Arial"/>
          <w:sz w:val="12"/>
          <w:szCs w:val="12"/>
          <w:color w:val="auto"/>
        </w:rPr>
      </w:pPr>
    </w:p>
    <w:p>
      <w:pPr>
        <w:ind w:left="1860" w:hanging="886"/>
        <w:spacing w:after="0"/>
        <w:tabs>
          <w:tab w:leader="none" w:pos="18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any other act or thing;</w:t>
      </w:r>
    </w:p>
    <w:p>
      <w:pPr>
        <w:spacing w:after="0" w:line="209" w:lineRule="exact"/>
        <w:rPr>
          <w:rFonts w:ascii="Arial" w:cs="Arial" w:eastAsia="Arial" w:hAnsi="Arial"/>
          <w:sz w:val="14"/>
          <w:szCs w:val="14"/>
          <w:color w:val="auto"/>
        </w:rPr>
      </w:pPr>
    </w:p>
    <w:p>
      <w:pPr>
        <w:ind w:left="1860"/>
        <w:spacing w:after="0" w:line="258" w:lineRule="auto"/>
        <w:rPr>
          <w:rFonts w:ascii="Arial" w:cs="Arial" w:eastAsia="Arial" w:hAnsi="Arial"/>
          <w:sz w:val="14"/>
          <w:szCs w:val="14"/>
          <w:color w:val="auto"/>
        </w:rPr>
      </w:pPr>
      <w:r>
        <w:rPr>
          <w:rFonts w:ascii="Arial" w:cs="Arial" w:eastAsia="Arial" w:hAnsi="Arial"/>
          <w:sz w:val="14"/>
          <w:szCs w:val="14"/>
          <w:color w:val="auto"/>
        </w:rPr>
        <w:t>in every such case (except to the extent that the rights conferred upon Holders of any class of shares render the Company liable to make additional payments in respect of sums withheld on account of the foregoing):</w:t>
      </w:r>
    </w:p>
    <w:p>
      <w:pPr>
        <w:spacing w:after="0" w:line="215" w:lineRule="exact"/>
        <w:rPr>
          <w:rFonts w:ascii="Arial" w:cs="Arial" w:eastAsia="Arial" w:hAnsi="Arial"/>
          <w:sz w:val="14"/>
          <w:szCs w:val="14"/>
          <w:color w:val="auto"/>
        </w:rPr>
      </w:pPr>
    </w:p>
    <w:p>
      <w:pPr>
        <w:ind w:left="2720" w:hanging="868"/>
        <w:spacing w:after="0"/>
        <w:tabs>
          <w:tab w:leader="none" w:pos="27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the Company shall be fully indemnified by such Holder or his executor or administrator from all liability;</w:t>
      </w:r>
    </w:p>
    <w:p>
      <w:pPr>
        <w:spacing w:after="0" w:line="230" w:lineRule="exact"/>
        <w:rPr>
          <w:rFonts w:ascii="Arial" w:cs="Arial" w:eastAsia="Arial" w:hAnsi="Arial"/>
          <w:sz w:val="14"/>
          <w:szCs w:val="14"/>
          <w:color w:val="auto"/>
        </w:rPr>
      </w:pPr>
    </w:p>
    <w:p>
      <w:pPr>
        <w:ind w:left="2720" w:right="100" w:hanging="868"/>
        <w:spacing w:after="0" w:line="228" w:lineRule="auto"/>
        <w:tabs>
          <w:tab w:leader="none" w:pos="27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w:t>
      </w:r>
    </w:p>
    <w:p>
      <w:pPr>
        <w:spacing w:after="0" w:line="208" w:lineRule="exact"/>
        <w:rPr>
          <w:rFonts w:ascii="Arial" w:cs="Arial" w:eastAsia="Arial" w:hAnsi="Arial"/>
          <w:sz w:val="14"/>
          <w:szCs w:val="14"/>
          <w:color w:val="auto"/>
        </w:rPr>
      </w:pPr>
    </w:p>
    <w:p>
      <w:pPr>
        <w:ind w:left="2740" w:right="80"/>
        <w:spacing w:after="0" w:line="250" w:lineRule="auto"/>
        <w:rPr>
          <w:rFonts w:ascii="Arial" w:cs="Arial" w:eastAsia="Arial" w:hAnsi="Arial"/>
          <w:sz w:val="14"/>
          <w:szCs w:val="14"/>
          <w:color w:val="auto"/>
        </w:rPr>
      </w:pPr>
      <w:r>
        <w:rPr>
          <w:rFonts w:ascii="Arial" w:cs="Arial" w:eastAsia="Arial" w:hAnsi="Arial"/>
          <w:sz w:val="14"/>
          <w:szCs w:val="14"/>
          <w:color w:val="auto"/>
        </w:rPr>
        <w:t>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220" w:lineRule="exact"/>
        <w:rPr>
          <w:rFonts w:ascii="Arial" w:cs="Arial" w:eastAsia="Arial" w:hAnsi="Arial"/>
          <w:sz w:val="14"/>
          <w:szCs w:val="14"/>
          <w:color w:val="auto"/>
        </w:rPr>
      </w:pPr>
    </w:p>
    <w:p>
      <w:pPr>
        <w:ind w:left="2720" w:right="80" w:hanging="868"/>
        <w:spacing w:after="0" w:line="228" w:lineRule="auto"/>
        <w:tabs>
          <w:tab w:leader="none" w:pos="27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229" w:lineRule="exact"/>
        <w:rPr>
          <w:rFonts w:ascii="Arial" w:cs="Arial" w:eastAsia="Arial" w:hAnsi="Arial"/>
          <w:sz w:val="14"/>
          <w:szCs w:val="14"/>
          <w:color w:val="auto"/>
        </w:rPr>
      </w:pPr>
    </w:p>
    <w:p>
      <w:pPr>
        <w:ind w:left="2720" w:right="20" w:hanging="868"/>
        <w:spacing w:after="0" w:line="226" w:lineRule="auto"/>
        <w:tabs>
          <w:tab w:leader="none" w:pos="27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230" w:lineRule="exact"/>
        <w:rPr>
          <w:rFonts w:ascii="Arial" w:cs="Arial" w:eastAsia="Arial" w:hAnsi="Arial"/>
          <w:sz w:val="14"/>
          <w:szCs w:val="14"/>
          <w:color w:val="auto"/>
        </w:rPr>
      </w:pPr>
    </w:p>
    <w:p>
      <w:pPr>
        <w:ind w:left="2720" w:right="80" w:hanging="868"/>
        <w:spacing w:after="0" w:line="226" w:lineRule="auto"/>
        <w:tabs>
          <w:tab w:leader="none" w:pos="27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Calls on shares</w:t>
      </w:r>
    </w:p>
    <w:p>
      <w:pPr>
        <w:spacing w:after="0" w:line="247" w:lineRule="exact"/>
        <w:rPr>
          <w:sz w:val="20"/>
          <w:szCs w:val="20"/>
          <w:color w:val="auto"/>
        </w:rPr>
      </w:pPr>
    </w:p>
    <w:p>
      <w:pPr>
        <w:ind w:left="980" w:right="20" w:hanging="776"/>
        <w:spacing w:after="0" w:line="226" w:lineRule="auto"/>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 call shall be deemed to have been made at the time when the resolution of the Directors authorising the call was passed and may be required to be paid by instalments.</w:t>
      </w:r>
    </w:p>
    <w:p>
      <w:pPr>
        <w:spacing w:after="0" w:line="253" w:lineRule="exact"/>
        <w:rPr>
          <w:rFonts w:ascii="Arial" w:cs="Arial" w:eastAsia="Arial" w:hAnsi="Arial"/>
          <w:sz w:val="12"/>
          <w:szCs w:val="12"/>
          <w:color w:val="auto"/>
        </w:rPr>
      </w:pPr>
    </w:p>
    <w:p>
      <w:pPr>
        <w:ind w:left="980" w:hanging="776"/>
        <w:spacing w:after="0"/>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joint Holders of a share shall be jointly and severally liable to pay all calls in respect thereof.</w:t>
      </w:r>
    </w:p>
    <w:p>
      <w:pPr>
        <w:spacing w:after="0" w:line="230" w:lineRule="exact"/>
        <w:rPr>
          <w:rFonts w:ascii="Arial" w:cs="Arial" w:eastAsia="Arial" w:hAnsi="Arial"/>
          <w:sz w:val="14"/>
          <w:szCs w:val="14"/>
          <w:color w:val="auto"/>
        </w:rPr>
      </w:pPr>
    </w:p>
    <w:p>
      <w:pPr>
        <w:ind w:left="980" w:right="20" w:hanging="776"/>
        <w:spacing w:after="0" w:line="228" w:lineRule="auto"/>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229" w:lineRule="exact"/>
        <w:rPr>
          <w:rFonts w:ascii="Arial" w:cs="Arial" w:eastAsia="Arial" w:hAnsi="Arial"/>
          <w:sz w:val="14"/>
          <w:szCs w:val="14"/>
          <w:color w:val="auto"/>
        </w:rPr>
      </w:pPr>
    </w:p>
    <w:p>
      <w:pPr>
        <w:ind w:left="980" w:right="160" w:hanging="776"/>
        <w:spacing w:after="0" w:line="226" w:lineRule="auto"/>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Directors may, on the issue of shares, differentiate between the Holders as to the amount of calls to be paid and the time of payment.</w:t>
      </w:r>
    </w:p>
    <w:p>
      <w:pPr>
        <w:spacing w:after="0" w:line="230" w:lineRule="exact"/>
        <w:rPr>
          <w:rFonts w:ascii="Arial" w:cs="Arial" w:eastAsia="Arial" w:hAnsi="Arial"/>
          <w:sz w:val="14"/>
          <w:szCs w:val="14"/>
          <w:color w:val="auto"/>
        </w:rPr>
      </w:pPr>
    </w:p>
    <w:p>
      <w:pPr>
        <w:ind w:left="980" w:right="160" w:hanging="776"/>
        <w:spacing w:after="0" w:line="279" w:lineRule="auto"/>
        <w:tabs>
          <w:tab w:leader="none" w:pos="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Transfer of Shares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26.</w:t>
      </w:r>
    </w:p>
    <w:p>
      <w:pPr>
        <w:spacing w:after="0" w:line="231"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26.1</w:t>
      </w:r>
      <w:r>
        <w:rPr>
          <w:sz w:val="20"/>
          <w:szCs w:val="20"/>
          <w:color w:val="auto"/>
        </w:rPr>
        <w:tab/>
      </w:r>
      <w:r>
        <w:rPr>
          <w:rFonts w:ascii="Arial" w:cs="Arial" w:eastAsia="Arial" w:hAnsi="Arial"/>
          <w:sz w:val="14"/>
          <w:szCs w:val="14"/>
          <w:color w:val="auto"/>
        </w:rPr>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any share may be executed for and on behalf of the transferor by the Secretary, Assistant Secretary or any duly authorised delegate or attorney of the Secretary or</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7"/>
              </w:rPr>
              <w:t>Assistant Secretary (whether an individual, a corporation or other body of persons, whether corporate or not, and whether in respect of specific transfers or pursuant to a</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7"/>
              </w:rPr>
              <w:t>general standing authorisation) and the Secretary or Assistant Secretary or a relevant authorised delegate shall be deemed to have been irrevocably appointed agent for</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the transferor of such share or shares with full power to execute, complete and deliver in the name of and on behalf of the transferor of such share or shares all such</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6"/>
              </w:rPr>
              <w:t>transfers of shares held by the members in the share capital of the Company. Any document which records the name of the transferor, the name of the transferee, the class</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and number of shares agreed to be transferred and the date of the agreement to transfer shares, shall, once executed by the transferor or the Secretary or Assistant</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Secretary or relevant authorised delegate as agent for the transferor, be deemed to be a proper instrument of transfer for the purposes of section 81 of the Act. The</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rPr>
              <w:t>transferor shall be deemed to remain the Holder of the share until the name of the transferee is entered on the Register in respect thereof, and neither the title of the</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transferee nor the title of the transferor shall be affected by any irregularity or invalidity in the proceedings in reference to the sale should the Directors so determine.</w:t>
            </w:r>
          </w:p>
        </w:tc>
      </w:tr>
      <w:tr>
        <w:trPr>
          <w:trHeight w:val="370"/>
        </w:trPr>
        <w:tc>
          <w:tcPr>
            <w:tcW w:w="520" w:type="dxa"/>
            <w:vAlign w:val="bottom"/>
          </w:tcPr>
          <w:p>
            <w:pPr>
              <w:spacing w:after="0"/>
              <w:rPr>
                <w:sz w:val="24"/>
                <w:szCs w:val="2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The Company, at its absolute discretion, may, or may procure that a subsidiary of the Company shall, pay Irish stamp duty arising on a transfer of shares on</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behalf of the transferee of such shares of the Company. If stamp duty resulting from the transfer of shares in the Company which would otherwise be payable by</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the transferee is paid by the Company or any subsidiary of the Company on behalf of the transferee, then in those circumstances, the Company shall, on its</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behalf or on behalf of its subsidiary (as the case may be), be entitled to (i) seek reimbursement of the stamp duty from either the transferee or, at the Company’s</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sole discretion, the transferor; (ii) set-off the stamp duty against any dividends payable to the transferee of those shares; and (iii) claim a first and permanent lien</w:t>
            </w:r>
          </w:p>
        </w:tc>
      </w:tr>
      <w:tr>
        <w:trPr>
          <w:trHeight w:val="16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on the shares on which stamp duty has been paid by the Company or its subsidiary for the amount of stamp duty paid. The Company’s lien shall extend to all</w:t>
            </w:r>
          </w:p>
        </w:tc>
      </w:tr>
      <w:tr>
        <w:trPr>
          <w:trHeight w:val="172"/>
        </w:trPr>
        <w:tc>
          <w:tcPr>
            <w:tcW w:w="520" w:type="dxa"/>
            <w:vAlign w:val="bottom"/>
          </w:tcPr>
          <w:p>
            <w:pPr>
              <w:spacing w:after="0"/>
              <w:rPr>
                <w:sz w:val="14"/>
                <w:szCs w:val="14"/>
                <w:color w:val="auto"/>
              </w:rPr>
            </w:pPr>
          </w:p>
        </w:tc>
        <w:tc>
          <w:tcPr>
            <w:tcW w:w="10480" w:type="dxa"/>
            <w:vAlign w:val="bottom"/>
          </w:tcPr>
          <w:p>
            <w:pPr>
              <w:ind w:left="260"/>
              <w:spacing w:after="0"/>
              <w:rPr>
                <w:sz w:val="20"/>
                <w:szCs w:val="20"/>
                <w:color w:val="auto"/>
              </w:rPr>
            </w:pPr>
            <w:r>
              <w:rPr>
                <w:rFonts w:ascii="Arial" w:cs="Arial" w:eastAsia="Arial" w:hAnsi="Arial"/>
                <w:sz w:val="14"/>
                <w:szCs w:val="14"/>
                <w:color w:val="auto"/>
              </w:rPr>
              <w:t>dividends paid on those shares.</w:t>
            </w:r>
          </w:p>
        </w:tc>
      </w:tr>
      <w:tr>
        <w:trPr>
          <w:trHeight w:val="376"/>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26.2</w:t>
            </w:r>
          </w:p>
        </w:tc>
        <w:tc>
          <w:tcPr>
            <w:tcW w:w="10480" w:type="dxa"/>
            <w:vAlign w:val="bottom"/>
          </w:tcPr>
          <w:p>
            <w:pPr>
              <w:ind w:left="260"/>
              <w:spacing w:after="0"/>
              <w:rPr>
                <w:sz w:val="20"/>
                <w:szCs w:val="20"/>
                <w:color w:val="auto"/>
              </w:rPr>
            </w:pPr>
            <w:r>
              <w:rPr>
                <w:rFonts w:ascii="Arial" w:cs="Arial" w:eastAsia="Arial" w:hAnsi="Arial"/>
                <w:sz w:val="14"/>
                <w:szCs w:val="14"/>
                <w:color w:val="auto"/>
                <w:w w:val="98"/>
              </w:rPr>
              <w:t>Notwithstanding the provisions of these articles and subject to any regulations made under section 239 of the 1990 Act, title to any shares in the Company may also be</w:t>
            </w:r>
          </w:p>
        </w:tc>
      </w:tr>
      <w:tr>
        <w:trPr>
          <w:trHeight w:val="149"/>
        </w:trPr>
        <w:tc>
          <w:tcPr>
            <w:tcW w:w="520" w:type="dxa"/>
            <w:vAlign w:val="bottom"/>
          </w:tcPr>
          <w:p>
            <w:pPr>
              <w:spacing w:after="0"/>
              <w:rPr>
                <w:sz w:val="12"/>
                <w:szCs w:val="12"/>
                <w:color w:val="auto"/>
              </w:rPr>
            </w:pPr>
          </w:p>
        </w:tc>
        <w:tc>
          <w:tcPr>
            <w:tcW w:w="10480" w:type="dxa"/>
            <w:vAlign w:val="bottom"/>
          </w:tcPr>
          <w:p>
            <w:pPr>
              <w:ind w:left="260"/>
              <w:spacing w:after="0" w:line="149" w:lineRule="exact"/>
              <w:rPr>
                <w:sz w:val="20"/>
                <w:szCs w:val="20"/>
                <w:color w:val="auto"/>
              </w:rPr>
            </w:pPr>
            <w:r>
              <w:rPr>
                <w:rFonts w:ascii="Arial" w:cs="Arial" w:eastAsia="Arial" w:hAnsi="Arial"/>
                <w:sz w:val="14"/>
                <w:szCs w:val="14"/>
                <w:color w:val="auto"/>
                <w:w w:val="96"/>
              </w:rPr>
              <w:t>evidenced and transferred without a written instrument in accordance with section 239 of the 1990 Act or any regulations made thereunder. The Directors shall have power</w:t>
            </w:r>
          </w:p>
        </w:tc>
      </w:tr>
    </w:tbl>
    <w:p>
      <w:pPr>
        <w:ind w:left="980" w:right="40"/>
        <w:spacing w:after="0" w:line="228" w:lineRule="auto"/>
        <w:rPr>
          <w:sz w:val="20"/>
          <w:szCs w:val="20"/>
          <w:color w:val="auto"/>
        </w:rPr>
      </w:pPr>
      <w:r>
        <w:rPr>
          <w:rFonts w:ascii="Arial" w:cs="Arial" w:eastAsia="Arial" w:hAnsi="Arial"/>
          <w:sz w:val="14"/>
          <w:szCs w:val="14"/>
          <w:color w:val="auto"/>
        </w:rPr>
        <w:t>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230" w:lineRule="exact"/>
        <w:rPr>
          <w:sz w:val="20"/>
          <w:szCs w:val="20"/>
          <w:color w:val="auto"/>
        </w:rPr>
      </w:pPr>
    </w:p>
    <w:p>
      <w:pPr>
        <w:ind w:left="980" w:right="40" w:hanging="776"/>
        <w:spacing w:after="0" w:line="231"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28.1</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 instrument of transfer is duly stamped (if required by law) and lodged with the Company, at such place as the Directors shall appoint for the purpose, accompanied by</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6"/>
              </w:rPr>
              <w:t>the certificate for the shares (if any has been issued) to which it relates, and such other evidence as the Directors may reasonably require to show the right of the transferor</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to make the transfer;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28.2</w:t>
            </w:r>
          </w:p>
        </w:tc>
        <w:tc>
          <w:tcPr>
            <w:tcW w:w="10460" w:type="dxa"/>
            <w:vAlign w:val="bottom"/>
          </w:tcPr>
          <w:p>
            <w:pPr>
              <w:ind w:left="260"/>
              <w:spacing w:after="0"/>
              <w:rPr>
                <w:sz w:val="20"/>
                <w:szCs w:val="20"/>
                <w:color w:val="auto"/>
              </w:rPr>
            </w:pPr>
            <w:r>
              <w:rPr>
                <w:rFonts w:ascii="Arial" w:cs="Arial" w:eastAsia="Arial" w:hAnsi="Arial"/>
                <w:sz w:val="14"/>
                <w:szCs w:val="14"/>
                <w:color w:val="auto"/>
              </w:rPr>
              <w:t>the instrument of transfer is in respect of only one class of share; and</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28.3</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they are satisfied that all applicable consents, authorisations, permissions or approvals required to be obtained pursuant to any applicable law or agreement prior to such</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transfer have been obtained or that no such consents, authorisations, permissions or approvals are required.</w:t>
            </w:r>
          </w:p>
        </w:tc>
      </w:tr>
    </w:tbl>
    <w:p>
      <w:pPr>
        <w:spacing w:after="0" w:line="229" w:lineRule="exact"/>
        <w:rPr>
          <w:sz w:val="20"/>
          <w:szCs w:val="20"/>
          <w:color w:val="auto"/>
        </w:rPr>
      </w:pPr>
    </w:p>
    <w:p>
      <w:pPr>
        <w:ind w:left="980" w:right="120" w:hanging="776"/>
        <w:spacing w:after="0" w:line="231"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If the Directors refuse to register a transfer they shall, within three months after the date on which the transfer was lodged with the Company, send to the transferee notice of the refusal.</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All instruments of transfer shall upon their being lodged with the Company remain the property of the Company and the Company shall be entitled to retain them.</w:t>
      </w:r>
    </w:p>
    <w:p>
      <w:pPr>
        <w:spacing w:after="0" w:line="187" w:lineRule="exact"/>
        <w:rPr>
          <w:rFonts w:ascii="Arial" w:cs="Arial" w:eastAsia="Arial" w:hAnsi="Arial"/>
          <w:sz w:val="14"/>
          <w:szCs w:val="14"/>
          <w:color w:val="auto"/>
        </w:rPr>
      </w:pPr>
    </w:p>
    <w:p>
      <w:pPr>
        <w:ind w:left="4960"/>
        <w:spacing w:after="0"/>
        <w:rPr>
          <w:rFonts w:ascii="Arial" w:cs="Arial" w:eastAsia="Arial" w:hAnsi="Arial"/>
          <w:sz w:val="14"/>
          <w:szCs w:val="14"/>
          <w:color w:val="auto"/>
        </w:rPr>
      </w:pPr>
      <w:r>
        <w:rPr>
          <w:rFonts w:ascii="Arial" w:cs="Arial" w:eastAsia="Arial" w:hAnsi="Arial"/>
          <w:sz w:val="14"/>
          <w:szCs w:val="14"/>
          <w:b w:val="1"/>
          <w:bCs w:val="1"/>
          <w:color w:val="auto"/>
        </w:rPr>
        <w:t>Transmission of Shares</w:t>
      </w:r>
    </w:p>
    <w:p>
      <w:pPr>
        <w:spacing w:after="0" w:line="246"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232"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229" w:lineRule="exact"/>
        <w:rPr>
          <w:rFonts w:ascii="Arial" w:cs="Arial" w:eastAsia="Arial" w:hAnsi="Arial"/>
          <w:sz w:val="14"/>
          <w:szCs w:val="14"/>
          <w:color w:val="auto"/>
        </w:rPr>
      </w:pPr>
    </w:p>
    <w:p>
      <w:pPr>
        <w:ind w:left="980" w:right="100" w:hanging="776"/>
        <w:spacing w:after="0" w:line="225" w:lineRule="auto"/>
        <w:tabs>
          <w:tab w:leader="none" w:pos="9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A-11</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Forfeiture of Shares</w:t>
      </w:r>
    </w:p>
    <w:p>
      <w:pPr>
        <w:spacing w:after="0" w:line="247" w:lineRule="exact"/>
        <w:rPr>
          <w:sz w:val="20"/>
          <w:szCs w:val="20"/>
          <w:color w:val="auto"/>
        </w:rPr>
      </w:pPr>
    </w:p>
    <w:p>
      <w:pPr>
        <w:jc w:val="both"/>
        <w:ind w:left="980" w:right="120" w:hanging="776"/>
        <w:spacing w:after="0" w:line="228"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229" w:lineRule="exact"/>
        <w:rPr>
          <w:rFonts w:ascii="Arial" w:cs="Arial" w:eastAsia="Arial" w:hAnsi="Arial"/>
          <w:sz w:val="14"/>
          <w:szCs w:val="14"/>
          <w:color w:val="auto"/>
        </w:rPr>
      </w:pPr>
    </w:p>
    <w:p>
      <w:pPr>
        <w:ind w:left="980" w:right="80" w:hanging="776"/>
        <w:spacing w:after="0" w:line="228"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229" w:lineRule="exact"/>
        <w:rPr>
          <w:rFonts w:ascii="Arial" w:cs="Arial" w:eastAsia="Arial" w:hAnsi="Arial"/>
          <w:sz w:val="14"/>
          <w:szCs w:val="14"/>
          <w:color w:val="auto"/>
        </w:rPr>
      </w:pPr>
    </w:p>
    <w:p>
      <w:pPr>
        <w:ind w:left="980" w:right="480" w:hanging="776"/>
        <w:spacing w:after="0" w:line="228"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229" w:lineRule="exact"/>
        <w:rPr>
          <w:rFonts w:ascii="Arial" w:cs="Arial" w:eastAsia="Arial" w:hAnsi="Arial"/>
          <w:sz w:val="14"/>
          <w:szCs w:val="14"/>
          <w:color w:val="auto"/>
        </w:rPr>
      </w:pPr>
    </w:p>
    <w:p>
      <w:pPr>
        <w:ind w:left="980" w:right="160" w:hanging="776"/>
        <w:spacing w:after="0" w:line="231"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29"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231"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Financial assistance</w:t>
      </w:r>
    </w:p>
    <w:p>
      <w:pPr>
        <w:spacing w:after="0" w:line="247" w:lineRule="exact"/>
        <w:rPr>
          <w:sz w:val="20"/>
          <w:szCs w:val="20"/>
          <w:color w:val="auto"/>
        </w:rPr>
      </w:pPr>
    </w:p>
    <w:p>
      <w:pPr>
        <w:ind w:left="980" w:right="200" w:hanging="776"/>
        <w:spacing w:after="0" w:line="231" w:lineRule="auto"/>
        <w:tabs>
          <w:tab w:leader="none" w:pos="9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Alteration of Capital</w:t>
      </w:r>
    </w:p>
    <w:p>
      <w:pPr>
        <w:spacing w:after="0" w:line="247" w:lineRule="exact"/>
        <w:rPr>
          <w:sz w:val="20"/>
          <w:szCs w:val="20"/>
          <w:color w:val="auto"/>
        </w:rPr>
      </w:pPr>
    </w:p>
    <w:p>
      <w:pPr>
        <w:ind w:left="980" w:right="80" w:hanging="776"/>
        <w:spacing w:after="0" w:line="231" w:lineRule="auto"/>
        <w:tabs>
          <w:tab w:leader="none" w:pos="9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its authorised share capital by such sum, to be divided into shares of such amount, as the resolution shall prescribe.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Company may by Ordinary Resolution: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46.1</w:t>
            </w:r>
          </w:p>
        </w:tc>
        <w:tc>
          <w:tcPr>
            <w:tcW w:w="10460" w:type="dxa"/>
            <w:vAlign w:val="bottom"/>
          </w:tcPr>
          <w:p>
            <w:pPr>
              <w:ind w:left="260"/>
              <w:spacing w:after="0"/>
              <w:rPr>
                <w:sz w:val="20"/>
                <w:szCs w:val="20"/>
                <w:color w:val="auto"/>
              </w:rPr>
            </w:pPr>
            <w:r>
              <w:rPr>
                <w:rFonts w:ascii="Arial" w:cs="Arial" w:eastAsia="Arial" w:hAnsi="Arial"/>
                <w:sz w:val="14"/>
                <w:szCs w:val="14"/>
                <w:color w:val="auto"/>
              </w:rPr>
              <w:t>effect a reduction in its authorized but unissued share capital by cancelling unissued shares;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46.2</w:t>
            </w:r>
          </w:p>
        </w:tc>
        <w:tc>
          <w:tcPr>
            <w:tcW w:w="10460" w:type="dxa"/>
            <w:vAlign w:val="bottom"/>
          </w:tcPr>
          <w:p>
            <w:pPr>
              <w:ind w:left="260"/>
              <w:spacing w:after="0"/>
              <w:rPr>
                <w:sz w:val="20"/>
                <w:szCs w:val="20"/>
                <w:color w:val="auto"/>
              </w:rPr>
            </w:pPr>
            <w:r>
              <w:rPr>
                <w:rFonts w:ascii="Arial" w:cs="Arial" w:eastAsia="Arial" w:hAnsi="Arial"/>
                <w:sz w:val="14"/>
                <w:szCs w:val="14"/>
                <w:color w:val="auto"/>
              </w:rPr>
              <w:t>consolidate and divide all or any of its share capital into shares of larger amount than its existing shares;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46.3</w:t>
            </w:r>
          </w:p>
        </w:tc>
        <w:tc>
          <w:tcPr>
            <w:tcW w:w="10460" w:type="dxa"/>
            <w:vAlign w:val="bottom"/>
          </w:tcPr>
          <w:p>
            <w:pPr>
              <w:ind w:left="260"/>
              <w:spacing w:after="0"/>
              <w:rPr>
                <w:sz w:val="20"/>
                <w:szCs w:val="20"/>
                <w:color w:val="auto"/>
              </w:rPr>
            </w:pPr>
            <w:r>
              <w:rPr>
                <w:rFonts w:ascii="Arial" w:cs="Arial" w:eastAsia="Arial" w:hAnsi="Arial"/>
                <w:sz w:val="14"/>
                <w:szCs w:val="14"/>
                <w:color w:val="auto"/>
                <w:w w:val="96"/>
              </w:rPr>
              <w:t>subdivide its existing shares, or any of them, into shares of smaller amount than is fixed by the memorandum of association subject, nevertheless, to section 68(1)(d) of the</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Act;</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46.4</w:t>
            </w:r>
          </w:p>
        </w:tc>
        <w:tc>
          <w:tcPr>
            <w:tcW w:w="10460" w:type="dxa"/>
            <w:vAlign w:val="bottom"/>
          </w:tcPr>
          <w:p>
            <w:pPr>
              <w:ind w:left="260"/>
              <w:spacing w:after="0"/>
              <w:rPr>
                <w:sz w:val="20"/>
                <w:szCs w:val="20"/>
                <w:color w:val="auto"/>
              </w:rPr>
            </w:pPr>
            <w:r>
              <w:rPr>
                <w:rFonts w:ascii="Arial" w:cs="Arial" w:eastAsia="Arial" w:hAnsi="Arial"/>
                <w:sz w:val="14"/>
                <w:szCs w:val="14"/>
                <w:color w:val="auto"/>
              </w:rPr>
              <w:t>make provision for the issue and allotment of shares which do not carry any voting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46.5</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cancel any shares which, at the date of the passing of the resolution, have not been taken or agreed to be taken by any person and reduce the amount of its authorised</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share capital by the amount of the shares so cancelled;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46.6</w:t>
            </w:r>
          </w:p>
        </w:tc>
        <w:tc>
          <w:tcPr>
            <w:tcW w:w="10460" w:type="dxa"/>
            <w:vAlign w:val="bottom"/>
          </w:tcPr>
          <w:p>
            <w:pPr>
              <w:ind w:left="260"/>
              <w:spacing w:after="0"/>
              <w:rPr>
                <w:sz w:val="20"/>
                <w:szCs w:val="20"/>
                <w:color w:val="auto"/>
              </w:rPr>
            </w:pPr>
            <w:r>
              <w:rPr>
                <w:rFonts w:ascii="Arial" w:cs="Arial" w:eastAsia="Arial" w:hAnsi="Arial"/>
                <w:sz w:val="14"/>
                <w:szCs w:val="14"/>
                <w:color w:val="auto"/>
              </w:rPr>
              <w:t>subject to applicable law, change the currency denomination of its share capital.</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46.7</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Where any difficulty arises in regard to any division, consolidation or sub-division under this article 46, the Directors may settle the same as they think expedient and in</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9"/>
              </w:rPr>
              <w:t>particular, may, on behalf of applicable Holders, arrange for the sale of the shares representing fractions and distribute the net proceeds of such sale in due proportion</w:t>
            </w:r>
          </w:p>
        </w:tc>
      </w:tr>
    </w:tbl>
    <w:p>
      <w:pPr>
        <w:ind w:left="980" w:right="60"/>
        <w:spacing w:after="0" w:line="228" w:lineRule="auto"/>
        <w:rPr>
          <w:sz w:val="20"/>
          <w:szCs w:val="20"/>
          <w:color w:val="auto"/>
        </w:rPr>
      </w:pPr>
      <w:r>
        <w:rPr>
          <w:rFonts w:ascii="Arial" w:cs="Arial" w:eastAsia="Arial" w:hAnsi="Arial"/>
          <w:sz w:val="14"/>
          <w:szCs w:val="14"/>
          <w:color w:val="auto"/>
        </w:rPr>
        <w:t>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30" w:lineRule="exact"/>
        <w:rPr>
          <w:sz w:val="20"/>
          <w:szCs w:val="20"/>
          <w:color w:val="auto"/>
        </w:rPr>
      </w:pPr>
    </w:p>
    <w:p>
      <w:pPr>
        <w:ind w:left="980" w:right="120" w:hanging="776"/>
        <w:spacing w:after="0" w:line="231" w:lineRule="auto"/>
        <w:tabs>
          <w:tab w:leader="none" w:pos="9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72"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General meetings</w:t>
      </w:r>
    </w:p>
    <w:p>
      <w:pPr>
        <w:spacing w:after="0" w:line="247" w:lineRule="exact"/>
        <w:rPr>
          <w:sz w:val="20"/>
          <w:szCs w:val="20"/>
          <w:color w:val="auto"/>
        </w:rPr>
      </w:pPr>
    </w:p>
    <w:p>
      <w:pPr>
        <w:jc w:val="both"/>
        <w:ind w:left="980" w:right="20" w:hanging="776"/>
        <w:spacing w:after="0" w:line="228" w:lineRule="auto"/>
        <w:tabs>
          <w:tab w:leader="none" w:pos="9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All general meetings other than annual general meetings shall be called extraordinary general meetings.</w:t>
      </w:r>
    </w:p>
    <w:p>
      <w:pPr>
        <w:spacing w:after="0" w:line="230" w:lineRule="exact"/>
        <w:rPr>
          <w:rFonts w:ascii="Arial" w:cs="Arial" w:eastAsia="Arial" w:hAnsi="Arial"/>
          <w:sz w:val="14"/>
          <w:szCs w:val="14"/>
          <w:color w:val="auto"/>
        </w:rPr>
      </w:pPr>
    </w:p>
    <w:p>
      <w:pPr>
        <w:ind w:left="980" w:right="20" w:hanging="776"/>
        <w:spacing w:after="0" w:line="231" w:lineRule="auto"/>
        <w:tabs>
          <w:tab w:leader="none" w:pos="9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pacing w:after="0" w:line="230"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51.1</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necessary quorum shall be two or more persons holding or representing by proxy (whether or not such Holder actually exercises his voting rights in whole, in part or at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all at the relevant general meeting) more than 50% of the total issued-voting rights of the Company’s shares, provided, however, that if the class of shares shall have only</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one Holder, one Holder present in person or by proxy shall constitute the necessary quorum;</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Holder of shares of the class present in person or by proxy may demand a poll;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51.3</w:t>
            </w:r>
          </w:p>
        </w:tc>
        <w:tc>
          <w:tcPr>
            <w:tcW w:w="10400" w:type="dxa"/>
            <w:vAlign w:val="bottom"/>
          </w:tcPr>
          <w:p>
            <w:pPr>
              <w:ind w:left="260"/>
              <w:spacing w:after="0"/>
              <w:rPr>
                <w:sz w:val="20"/>
                <w:szCs w:val="20"/>
                <w:color w:val="auto"/>
              </w:rPr>
            </w:pPr>
            <w:r>
              <w:rPr>
                <w:rFonts w:ascii="Arial" w:cs="Arial" w:eastAsia="Arial" w:hAnsi="Arial"/>
                <w:sz w:val="14"/>
                <w:szCs w:val="14"/>
                <w:color w:val="auto"/>
              </w:rPr>
              <w:t>on a poll, each Holder of shares of the class shall have one vote in respect of every share of the class held by him.</w:t>
            </w:r>
          </w:p>
        </w:tc>
      </w:tr>
    </w:tbl>
    <w:p>
      <w:pPr>
        <w:spacing w:after="0" w:line="229" w:lineRule="exact"/>
        <w:rPr>
          <w:sz w:val="20"/>
          <w:szCs w:val="20"/>
          <w:color w:val="auto"/>
        </w:rPr>
      </w:pPr>
    </w:p>
    <w:p>
      <w:pPr>
        <w:ind w:left="980" w:hanging="776"/>
        <w:spacing w:after="0" w:line="231" w:lineRule="auto"/>
        <w:tabs>
          <w:tab w:leader="none" w:pos="9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 Director shall be entitled, notwithstanding that he is not a member, to attend and speak at any general meeting and at any separate meeting of the Holders of any class of shares in the Company.</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10500" w:type="dxa"/>
            <w:vAlign w:val="bottom"/>
          </w:tcPr>
          <w:p>
            <w:pPr>
              <w:ind w:left="4120"/>
              <w:spacing w:after="0"/>
              <w:rPr>
                <w:sz w:val="20"/>
                <w:szCs w:val="20"/>
                <w:color w:val="auto"/>
              </w:rPr>
            </w:pPr>
            <w:r>
              <w:rPr>
                <w:rFonts w:ascii="Arial" w:cs="Arial" w:eastAsia="Arial" w:hAnsi="Arial"/>
                <w:sz w:val="14"/>
                <w:szCs w:val="14"/>
                <w:b w:val="1"/>
                <w:bCs w:val="1"/>
                <w:color w:val="auto"/>
              </w:rPr>
              <w:t>Notice of General Meetings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53.</w:t>
            </w:r>
          </w:p>
        </w:tc>
        <w:tc>
          <w:tcPr>
            <w:tcW w:w="10500" w:type="dxa"/>
            <w:vAlign w:val="bottom"/>
          </w:tcPr>
          <w:p>
            <w:pPr>
              <w:spacing w:after="0"/>
              <w:rPr>
                <w:sz w:val="24"/>
                <w:szCs w:val="2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53.1</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Subject to the provisions of the Acts allowing a general meeting to be called by shorter notice, an annual general meeting, and an extraordinary general meeting called for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the passing of a Special Resolution, shall be called by not less than 21 Clear Days’ notice and all other extraordinary general meetings shall be called by not less than 14</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Clear Days’ notice.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53.2</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Notice of every general meeting shall be given in any manner permitted by these articles to all members (other than those who, under the provisions of these articles or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terms of issue of the shares which they hold, are not entitled to receive such notice from the Company) and to each Director and to the Auditors.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53.3</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Any notice convening a general meeting shall specify the time and place of the meeting and the general nature of the business to be conducted thereat and, in reasonable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prominence, that a member entitled to attend and vote is entitled to appoint one or more proxies to attend, speak and vote in his place and that any proxy need not be a</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member of the Company. It shall also give particulars of any Directors who are to retire at the meeting and of any persons who are recommended by the Directors for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election or re-election as Directors at the meeting or in respect of whom notice has been duly given to the Company of the intention to propose them for election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re-election as Directors at the meeting; provided that the latter requirement shall only apply where the intention to propose the person has been received by the Company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in accordance with the provisions of these articles. Subject to any restrictions imposed on any shares, the notice of the meeting shall be given to all the Holders of any class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of shares of the Company as of the record date set by the Directors other than shares which, under the terms of these articles or the terms of allotment of such shares, are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not entitled to receive such notice from the Company, and to the Directors and the Company’s auditors.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53.4</w:t>
            </w:r>
          </w:p>
        </w:tc>
        <w:tc>
          <w:tcPr>
            <w:tcW w:w="10500" w:type="dxa"/>
            <w:vAlign w:val="bottom"/>
          </w:tcPr>
          <w:p>
            <w:pPr>
              <w:ind w:left="260"/>
              <w:spacing w:after="0"/>
              <w:rPr>
                <w:sz w:val="20"/>
                <w:szCs w:val="20"/>
                <w:color w:val="auto"/>
              </w:rPr>
            </w:pPr>
            <w:r>
              <w:rPr>
                <w:rFonts w:ascii="Arial" w:cs="Arial" w:eastAsia="Arial" w:hAnsi="Arial"/>
                <w:sz w:val="14"/>
                <w:szCs w:val="14"/>
                <w:color w:val="auto"/>
              </w:rPr>
              <w:t>The accidental omission to give notice of a meeting to, or, in cases where instruments of proxy are sent out without the notice, the accidental omission to send such</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instrument of proxy to, or the non-receipt of notice of a meeting or instrument of proxy by, any person entitled to receive notice shall not invalidate the proceedings at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meeting.</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A Holder of shares present, either in person or by proxy, at any meeting of the Company or of the Holders of any class of shares in the Company shall be deemed to have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received notice of the meeting and, where required, of the purposes for which it was called.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53.6</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Upon request in writing of members holding such number of shares as is prescribed by section 132 of the Act, delivered to the Office, it shall be the duty of the Directors 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convene a general meeting to be held within two months from the date of the deposit of the requisition in accordance with the section 132 of the Act. If such notice is not</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given within two months after the delivery of such request, the requisitionists, or any one of them representing more than one half of the total voting rights of all of them,</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may themselves convene a meeting, but any meeting so convened shall not be held after the expiration of three months from the said date and any notice of such meeting</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shall be in compliance with these articles.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54.</w:t>
            </w:r>
          </w:p>
        </w:tc>
        <w:tc>
          <w:tcPr>
            <w:tcW w:w="10500" w:type="dxa"/>
            <w:vAlign w:val="bottom"/>
          </w:tcPr>
          <w:p>
            <w:pPr>
              <w:spacing w:after="0"/>
              <w:rPr>
                <w:sz w:val="24"/>
                <w:szCs w:val="2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54.1</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The Directors may postpone a general meeting of the members (other than a meeting requisitioned by a member in accordance with section 132 of the Act or where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postponement of which would be contrary to the Acts or a court order pursuant to the Acts) after it has been convened, and notice of such postponement shall be served in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accordance with article 53 upon all members entitled to notice of the meeting so postponed setting out, where the meeting is postponed to a specific date, notice of the new</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meeting in accordance with article 53.</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54.2</w:t>
            </w:r>
          </w:p>
        </w:tc>
        <w:tc>
          <w:tcPr>
            <w:tcW w:w="10500" w:type="dxa"/>
            <w:vAlign w:val="bottom"/>
          </w:tcPr>
          <w:p>
            <w:pPr>
              <w:ind w:left="260"/>
              <w:spacing w:after="0"/>
              <w:rPr>
                <w:sz w:val="20"/>
                <w:szCs w:val="20"/>
                <w:color w:val="auto"/>
              </w:rPr>
            </w:pPr>
            <w:r>
              <w:rPr>
                <w:rFonts w:ascii="Arial" w:cs="Arial" w:eastAsia="Arial" w:hAnsi="Arial"/>
                <w:sz w:val="14"/>
                <w:szCs w:val="14"/>
                <w:color w:val="auto"/>
              </w:rPr>
              <w:t>The Directors may cancel a general meeting of the members (other than a meeting requisitioned by a member in accordance with section 132 of the Act or where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cancellation of which would be contrary to the Acts or a court order pursuant to the Acts) after it has been convened, and notice of such cancellation shall be served in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accordance with article 53 upon all members entitled to notice of the meeting so cancelled.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A-13</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Proceedings at General Meetings</w:t>
      </w:r>
    </w:p>
    <w:p>
      <w:pPr>
        <w:spacing w:after="0" w:line="247" w:lineRule="exact"/>
        <w:rPr>
          <w:sz w:val="20"/>
          <w:szCs w:val="20"/>
          <w:color w:val="auto"/>
        </w:rPr>
      </w:pPr>
    </w:p>
    <w:p>
      <w:pPr>
        <w:ind w:left="980" w:right="40" w:hanging="776"/>
        <w:spacing w:after="0" w:line="225" w:lineRule="auto"/>
        <w:tabs>
          <w:tab w:leader="none" w:pos="9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231" w:lineRule="exact"/>
        <w:rPr>
          <w:rFonts w:ascii="Arial" w:cs="Arial" w:eastAsia="Arial" w:hAnsi="Arial"/>
          <w:sz w:val="14"/>
          <w:szCs w:val="14"/>
          <w:color w:val="auto"/>
        </w:rPr>
      </w:pPr>
    </w:p>
    <w:p>
      <w:pPr>
        <w:ind w:left="980" w:hanging="776"/>
        <w:spacing w:after="0" w:line="279" w:lineRule="auto"/>
        <w:tabs>
          <w:tab w:leader="none" w:pos="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229"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59.</w:t>
            </w:r>
          </w:p>
        </w:tc>
        <w:tc>
          <w:tcPr>
            <w:tcW w:w="61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59.1</w:t>
            </w:r>
          </w:p>
        </w:tc>
        <w:tc>
          <w:tcPr>
            <w:tcW w:w="6100" w:type="dxa"/>
            <w:vAlign w:val="bottom"/>
          </w:tcPr>
          <w:p>
            <w:pPr>
              <w:ind w:left="260"/>
              <w:spacing w:after="0"/>
              <w:rPr>
                <w:sz w:val="20"/>
                <w:szCs w:val="20"/>
                <w:color w:val="auto"/>
              </w:rPr>
            </w:pPr>
            <w:r>
              <w:rPr>
                <w:rFonts w:ascii="Arial" w:cs="Arial" w:eastAsia="Arial" w:hAnsi="Arial"/>
                <w:sz w:val="14"/>
                <w:szCs w:val="14"/>
                <w:color w:val="auto"/>
                <w:w w:val="96"/>
              </w:rPr>
              <w:t>Subject to the Acts, a resolution may only be put to a vote at a general meeting of the Company if:</w:t>
            </w:r>
          </w:p>
        </w:tc>
      </w:tr>
    </w:tbl>
    <w:p>
      <w:pPr>
        <w:spacing w:after="0" w:line="229" w:lineRule="exact"/>
        <w:rPr>
          <w:sz w:val="20"/>
          <w:szCs w:val="20"/>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it is specified in the notice of the meeting;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it is otherwise properly brought before the meeting by the chairman of the meeting or by or at the direction of the Board;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it is proposed at the direction of a court of competent jurisdiction; or</w:t>
      </w:r>
    </w:p>
    <w:p>
      <w:pPr>
        <w:spacing w:after="0" w:line="230" w:lineRule="exact"/>
        <w:rPr>
          <w:rFonts w:ascii="Arial" w:cs="Arial" w:eastAsia="Arial" w:hAnsi="Arial"/>
          <w:sz w:val="14"/>
          <w:szCs w:val="14"/>
          <w:color w:val="auto"/>
        </w:rPr>
      </w:pPr>
    </w:p>
    <w:p>
      <w:pPr>
        <w:ind w:left="1860" w:right="560" w:hanging="886"/>
        <w:spacing w:after="0" w:line="231" w:lineRule="auto"/>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in the case of an annual general meeting, it is proposed in accordance with articles 68 to 72;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it is proposed in accordance with article 116;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the chairman of the meeting in his discretion decides that the resolution may properly be regarded as within the scope of the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229" w:lineRule="exact"/>
        <w:rPr>
          <w:rFonts w:ascii="Arial" w:cs="Arial" w:eastAsia="Arial" w:hAnsi="Arial"/>
          <w:sz w:val="14"/>
          <w:szCs w:val="14"/>
          <w:color w:val="auto"/>
        </w:rPr>
      </w:pPr>
    </w:p>
    <w:p>
      <w:pPr>
        <w:ind w:left="980" w:hanging="776"/>
        <w:spacing w:after="0" w:line="300" w:lineRule="auto"/>
        <w:tabs>
          <w:tab w:leader="none" w:pos="98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95" w:lineRule="exact"/>
        <w:rPr>
          <w:rFonts w:ascii="Arial" w:cs="Arial" w:eastAsia="Arial" w:hAnsi="Arial"/>
          <w:sz w:val="12"/>
          <w:szCs w:val="12"/>
          <w:color w:val="auto"/>
        </w:rPr>
      </w:pPr>
    </w:p>
    <w:p>
      <w:pPr>
        <w:ind w:left="980" w:right="160" w:hanging="776"/>
        <w:spacing w:after="0" w:line="231"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230"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66.</w:t>
            </w:r>
          </w:p>
        </w:tc>
        <w:tc>
          <w:tcPr>
            <w:tcW w:w="10400" w:type="dxa"/>
            <w:vAlign w:val="bottom"/>
          </w:tcPr>
          <w:p>
            <w:pPr>
              <w:spacing w:after="0"/>
              <w:rPr>
                <w:sz w:val="14"/>
                <w:szCs w:val="1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The Board may make such arrangements as it considers appropriate to enable the members to participate in any general meeting by means of two-way, audio-visual</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electronic facilities, so as to permit all persons participating in the meeting to communicate with each other simultaneously and instantaneously, and participation in such a</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meeting shall constitute presence in person at such meeting.</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66.2</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Board may, and at any general meeting or meeting of a class of members, the chairman of such meeting may make any arrangement and impose any requirement as</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may be reasonable for the purpose of verifying the identity of members participating by way of electronic facilities, as described in article 66.1.</w:t>
            </w:r>
          </w:p>
        </w:tc>
      </w:tr>
    </w:tbl>
    <w:p>
      <w:pPr>
        <w:spacing w:after="0" w:line="229" w:lineRule="exact"/>
        <w:rPr>
          <w:sz w:val="20"/>
          <w:szCs w:val="20"/>
          <w:color w:val="auto"/>
        </w:rPr>
      </w:pPr>
    </w:p>
    <w:p>
      <w:pPr>
        <w:ind w:left="980" w:right="20" w:hanging="776"/>
        <w:spacing w:after="0" w:line="225" w:lineRule="auto"/>
        <w:tabs>
          <w:tab w:leader="none" w:pos="9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67.1</w:t>
            </w:r>
          </w:p>
        </w:tc>
        <w:tc>
          <w:tcPr>
            <w:tcW w:w="10360" w:type="dxa"/>
            <w:vAlign w:val="bottom"/>
          </w:tcPr>
          <w:p>
            <w:pPr>
              <w:ind w:left="260"/>
              <w:spacing w:after="0"/>
              <w:rPr>
                <w:sz w:val="20"/>
                <w:szCs w:val="20"/>
                <w:color w:val="auto"/>
              </w:rPr>
            </w:pPr>
            <w:r>
              <w:rPr>
                <w:rFonts w:ascii="Arial" w:cs="Arial" w:eastAsia="Arial" w:hAnsi="Arial"/>
                <w:sz w:val="14"/>
                <w:szCs w:val="14"/>
                <w:color w:val="auto"/>
                <w:w w:val="98"/>
              </w:rPr>
              <w:t>For the purposes of any written resolution under this article 67, the date of the resolution in writing is the date when the resolution is signed by, or on behalf of, the last</w:t>
            </w:r>
          </w:p>
        </w:tc>
      </w:tr>
      <w:tr>
        <w:trPr>
          <w:trHeight w:val="149"/>
        </w:trPr>
        <w:tc>
          <w:tcPr>
            <w:tcW w:w="520" w:type="dxa"/>
            <w:vAlign w:val="bottom"/>
          </w:tcPr>
          <w:p>
            <w:pPr>
              <w:spacing w:after="0"/>
              <w:rPr>
                <w:sz w:val="12"/>
                <w:szCs w:val="12"/>
                <w:color w:val="auto"/>
              </w:rPr>
            </w:pPr>
          </w:p>
        </w:tc>
        <w:tc>
          <w:tcPr>
            <w:tcW w:w="10360" w:type="dxa"/>
            <w:vAlign w:val="bottom"/>
          </w:tcPr>
          <w:p>
            <w:pPr>
              <w:ind w:left="260"/>
              <w:spacing w:after="0" w:line="149" w:lineRule="exact"/>
              <w:rPr>
                <w:sz w:val="20"/>
                <w:szCs w:val="20"/>
                <w:color w:val="auto"/>
              </w:rPr>
            </w:pPr>
            <w:r>
              <w:rPr>
                <w:rFonts w:ascii="Arial" w:cs="Arial" w:eastAsia="Arial" w:hAnsi="Arial"/>
                <w:sz w:val="14"/>
                <w:szCs w:val="14"/>
                <w:color w:val="auto"/>
                <w:w w:val="96"/>
              </w:rPr>
              <w:t>member to sign and any reference in any enactment to the date of passing of a resolution is, in relation to a resolution in writing made in accordance with this article 67, a</w:t>
            </w:r>
          </w:p>
        </w:tc>
      </w:tr>
      <w:tr>
        <w:trPr>
          <w:trHeight w:val="162"/>
        </w:trPr>
        <w:tc>
          <w:tcPr>
            <w:tcW w:w="520" w:type="dxa"/>
            <w:vAlign w:val="bottom"/>
          </w:tcPr>
          <w:p>
            <w:pPr>
              <w:spacing w:after="0"/>
              <w:rPr>
                <w:sz w:val="14"/>
                <w:szCs w:val="14"/>
                <w:color w:val="auto"/>
              </w:rPr>
            </w:pPr>
          </w:p>
        </w:tc>
        <w:tc>
          <w:tcPr>
            <w:tcW w:w="10360" w:type="dxa"/>
            <w:vAlign w:val="bottom"/>
          </w:tcPr>
          <w:p>
            <w:pPr>
              <w:ind w:left="260"/>
              <w:spacing w:after="0"/>
              <w:rPr>
                <w:sz w:val="20"/>
                <w:szCs w:val="20"/>
                <w:color w:val="auto"/>
              </w:rPr>
            </w:pPr>
            <w:r>
              <w:rPr>
                <w:rFonts w:ascii="Arial" w:cs="Arial" w:eastAsia="Arial" w:hAnsi="Arial"/>
                <w:sz w:val="14"/>
                <w:szCs w:val="14"/>
                <w:color w:val="auto"/>
              </w:rPr>
              <w:t>reference to such date.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67.2</w:t>
            </w:r>
          </w:p>
        </w:tc>
        <w:tc>
          <w:tcPr>
            <w:tcW w:w="10360" w:type="dxa"/>
            <w:vAlign w:val="bottom"/>
          </w:tcPr>
          <w:p>
            <w:pPr>
              <w:ind w:left="260"/>
              <w:spacing w:after="0"/>
              <w:rPr>
                <w:sz w:val="20"/>
                <w:szCs w:val="20"/>
                <w:color w:val="auto"/>
              </w:rPr>
            </w:pPr>
            <w:r>
              <w:rPr>
                <w:rFonts w:ascii="Arial" w:cs="Arial" w:eastAsia="Arial" w:hAnsi="Arial"/>
                <w:sz w:val="14"/>
                <w:szCs w:val="14"/>
                <w:color w:val="auto"/>
              </w:rPr>
              <w:t>A resolution in writing made in accordance with this article 67 is as valid as if it had been passed by the Company in general meeting.</w:t>
            </w:r>
          </w:p>
        </w:tc>
      </w:tr>
      <w:tr>
        <w:trPr>
          <w:trHeight w:val="365"/>
        </w:trPr>
        <w:tc>
          <w:tcPr>
            <w:tcW w:w="520" w:type="dxa"/>
            <w:vAlign w:val="bottom"/>
          </w:tcPr>
          <w:p>
            <w:pPr>
              <w:spacing w:after="0"/>
              <w:rPr>
                <w:sz w:val="24"/>
                <w:szCs w:val="24"/>
                <w:color w:val="auto"/>
              </w:rPr>
            </w:pPr>
          </w:p>
        </w:tc>
        <w:tc>
          <w:tcPr>
            <w:tcW w:w="10360" w:type="dxa"/>
            <w:vAlign w:val="bottom"/>
          </w:tcPr>
          <w:p>
            <w:pPr>
              <w:ind w:left="2320"/>
              <w:spacing w:after="0"/>
              <w:rPr>
                <w:sz w:val="20"/>
                <w:szCs w:val="20"/>
                <w:color w:val="auto"/>
              </w:rPr>
            </w:pPr>
            <w:r>
              <w:rPr>
                <w:rFonts w:ascii="Arial" w:cs="Arial" w:eastAsia="Arial" w:hAnsi="Arial"/>
                <w:sz w:val="14"/>
                <w:szCs w:val="14"/>
                <w:b w:val="1"/>
                <w:bCs w:val="1"/>
                <w:color w:val="auto"/>
              </w:rPr>
              <w:t>Advance notice of member business and nominations for Annual General Meetings</w:t>
            </w:r>
          </w:p>
        </w:tc>
      </w:tr>
    </w:tbl>
    <w:p>
      <w:pPr>
        <w:spacing w:after="0" w:line="229" w:lineRule="exact"/>
        <w:rPr>
          <w:sz w:val="20"/>
          <w:szCs w:val="20"/>
          <w:color w:val="auto"/>
        </w:rPr>
      </w:pPr>
    </w:p>
    <w:p>
      <w:pPr>
        <w:ind w:left="980" w:right="220" w:hanging="776"/>
        <w:spacing w:after="0" w:line="231" w:lineRule="auto"/>
        <w:tabs>
          <w:tab w:leader="none" w:pos="9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230" w:lineRule="exact"/>
        <w:rPr>
          <w:rFonts w:ascii="Arial" w:cs="Arial" w:eastAsia="Arial" w:hAnsi="Arial"/>
          <w:sz w:val="14"/>
          <w:szCs w:val="14"/>
          <w:color w:val="auto"/>
        </w:rPr>
      </w:pPr>
    </w:p>
    <w:p>
      <w:pPr>
        <w:ind w:left="980" w:right="60" w:hanging="776"/>
        <w:spacing w:after="0" w:line="264" w:lineRule="auto"/>
        <w:tabs>
          <w:tab w:leader="none" w:pos="9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Company’s annual general meeting for the prior year (and in the case of the Company’s first annual general meeting, references to the preceding year’s annual general meeting shall be to the annual meeting of Weatherford International Ltd. in that preceding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10"/>
          <w:szCs w:val="10"/>
          <w:color w:val="auto"/>
        </w:rPr>
        <w:t>th</w:t>
      </w:r>
      <w:r>
        <w:rPr>
          <w:rFonts w:ascii="Arial" w:cs="Arial" w:eastAsia="Arial" w:hAnsi="Arial"/>
          <w:sz w:val="12"/>
          <w:szCs w:val="12"/>
          <w:color w:val="auto"/>
        </w:rPr>
        <w:t xml:space="preserve"> calendar day after the date on which public announcement or other notification to the members of the date of the contemplated annual general meeting is first made by the Company. In no event shall the public announcement of an adjournment or postponement of an annual general meeting commence a new time period (or extend any time period) for the giving of a member’s notice as described in articles 70 and 71.</w:t>
      </w:r>
    </w:p>
    <w:p>
      <w:pPr>
        <w:spacing w:after="0" w:line="369" w:lineRule="exact"/>
        <w:rPr>
          <w:rFonts w:ascii="Arial" w:cs="Arial" w:eastAsia="Arial" w:hAnsi="Arial"/>
          <w:sz w:val="12"/>
          <w:szCs w:val="12"/>
          <w:color w:val="auto"/>
        </w:rPr>
      </w:pPr>
    </w:p>
    <w:p>
      <w:pPr>
        <w:ind w:left="980" w:hanging="776"/>
        <w:spacing w:after="0"/>
        <w:tabs>
          <w:tab w:leader="none" w:pos="9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 member’s notice to the Secretary must set forth as to each matter such member proposes to bring before the meeting:</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70.1</w:t>
            </w: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a brief description of the business desired to be brought before the meeting, the text of the proposal or business (including the text of any resolutions proposed for</w:t>
            </w:r>
          </w:p>
        </w:tc>
      </w:tr>
      <w:tr>
        <w:trPr>
          <w:trHeight w:val="149"/>
        </w:trPr>
        <w:tc>
          <w:tcPr>
            <w:tcW w:w="520" w:type="dxa"/>
            <w:vAlign w:val="bottom"/>
          </w:tcPr>
          <w:p>
            <w:pPr>
              <w:spacing w:after="0"/>
              <w:rPr>
                <w:sz w:val="12"/>
                <w:szCs w:val="12"/>
                <w:color w:val="auto"/>
              </w:rPr>
            </w:pPr>
          </w:p>
        </w:tc>
        <w:tc>
          <w:tcPr>
            <w:tcW w:w="104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consideration and if such business includes a proposal to amend the articles of the Company, the text of the proposed amendment) and the reasons for conducting such</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business at the meeting;</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70.2</w:t>
            </w: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as to the member giving the notice: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68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clauses (b) and (c) below;</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68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Person with respect to the Company’s securities; (B) a description of any agreement, arrangement or understanding in connection with the proposal of such</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business between or among such member and any Member Associated Person, any of their respective affiliates or associates, and any others (including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their names) acting as a “group” (as such term is used in Rule 13d-5(b) under the Exchange Act) with any of the foregoing; (C) a description of any</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agreement, arrangement or understanding (including, regardless of the form of settlement, any derivative, long or short positions, profit interests, options,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warrants, convertible securities, stock appreciation or similar rights, hedging transactions, and borrowed or loaned securities) that has been entered into, the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5"/>
              </w:rPr>
              <w:t>effect or intent of which is to mitigate loss to, manage risk or benefit from share price changes for, or increase or decrease the voting power of, such member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9"/>
              </w:rPr>
              <w:t>or such Member Associated Person, with respect to shares of the Company; (D) a representation that the member is a Holder of not less than 860,000</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9"/>
              </w:rPr>
              <w:t>ordinary shares of the Company (either of record or beneficially) entitled to vote at such meeting and that the member intends to appear in person or by</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proxy at the meeting to propose such business; (E) a representation whether the member or the Member Associated Person, if any, intends or is part of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group which intends (x) to deliver a proxy statement and / or form of proxy to Holders of at least the percentage of the Company’s outstanding shares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required to adopt the proposal and / or (y) otherwise to solicit proxies from members in support of such proposal. If requested by the Company, the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information required under clauses (A), (B) and (C) of the preceding sentence shall be supplemented by such member and any Member Associated Person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not later than ten days after the later of the record date for the meeting or the date notice of the record date is first publicly disclosed to disclose such</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80" w:type="dxa"/>
            <w:vAlign w:val="bottom"/>
          </w:tcPr>
          <w:p>
            <w:pPr>
              <w:ind w:left="360"/>
              <w:spacing w:after="0"/>
              <w:rPr>
                <w:sz w:val="20"/>
                <w:szCs w:val="20"/>
                <w:color w:val="auto"/>
              </w:rPr>
            </w:pPr>
            <w:r>
              <w:rPr>
                <w:rFonts w:ascii="Arial" w:cs="Arial" w:eastAsia="Arial" w:hAnsi="Arial"/>
                <w:sz w:val="14"/>
                <w:szCs w:val="14"/>
                <w:color w:val="auto"/>
              </w:rPr>
              <w:t>information as of the record date;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680" w:type="dxa"/>
            <w:vAlign w:val="bottom"/>
          </w:tcPr>
          <w:p>
            <w:pPr>
              <w:ind w:left="360"/>
              <w:spacing w:after="0"/>
              <w:rPr>
                <w:sz w:val="20"/>
                <w:szCs w:val="20"/>
                <w:color w:val="auto"/>
              </w:rPr>
            </w:pPr>
            <w:r>
              <w:rPr>
                <w:rFonts w:ascii="Arial" w:cs="Arial" w:eastAsia="Arial" w:hAnsi="Arial"/>
                <w:sz w:val="14"/>
                <w:szCs w:val="14"/>
                <w:color w:val="auto"/>
              </w:rPr>
              <w:t>any material interest of the member or any Member Associated Person in such business.</w:t>
            </w:r>
          </w:p>
        </w:tc>
      </w:tr>
      <w:tr>
        <w:trPr>
          <w:trHeight w:val="370"/>
        </w:trPr>
        <w:tc>
          <w:tcPr>
            <w:tcW w:w="520" w:type="dxa"/>
            <w:vAlign w:val="bottom"/>
          </w:tcPr>
          <w:p>
            <w:pPr>
              <w:spacing w:after="0"/>
              <w:rPr>
                <w:sz w:val="24"/>
                <w:szCs w:val="2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The chairman of the meeting shall have the power and duty to determine whether any business proposed to be brought before the meeting was made or</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proposed in accordance with the procedures set forth in this article, and if any proposed business is not in compliance with this article, to declare that such</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defective proposal shall be disregarded. The chairman of such meeting shall, if the facts reasonably warrant, refuse to acknowledge that a proposal that is not</w:t>
            </w:r>
          </w:p>
        </w:tc>
      </w:tr>
      <w:tr>
        <w:trPr>
          <w:trHeight w:val="17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made in compliance with the procedure specified in this article, and any such proposal not properly brought before the meeting, be considered.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A-15</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71.</w:t>
            </w:r>
          </w:p>
        </w:tc>
        <w:tc>
          <w:tcPr>
            <w:tcW w:w="78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71.1</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A member’s notice to the Secretary must set forth:</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00" w:type="dxa"/>
            <w:vAlign w:val="bottom"/>
          </w:tcPr>
          <w:p>
            <w:pPr>
              <w:ind w:left="360"/>
              <w:spacing w:after="0"/>
              <w:rPr>
                <w:sz w:val="20"/>
                <w:szCs w:val="20"/>
                <w:color w:val="auto"/>
              </w:rPr>
            </w:pPr>
            <w:r>
              <w:rPr>
                <w:rFonts w:ascii="Arial" w:cs="Arial" w:eastAsia="Arial" w:hAnsi="Arial"/>
                <w:sz w:val="14"/>
                <w:szCs w:val="14"/>
                <w:color w:val="auto"/>
                <w:w w:val="97"/>
              </w:rPr>
              <w:t>as to each person whom the member proposes to nominate for election as a Director, all information relating to such person that is required to be disclosed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in solicitations of proxies for election of Directors in an election contest, or is otherwise required, in each case pursuant to Regulation 14A under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Exchange Act (including such person’s written consent to being named in the proxy statement as nominee and to serving as director if elected);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0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 (b) below;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0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Person with respect to the Company’s securities; (B) a description of any agreement, arrangement or understanding in connection with the nomination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between or among such member and any Member Associated Person, any of their respective affiliates or associates, and any others (including their names)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acting as a “group” (as such term is used in Rule I3d-5(b) under the Exchange Act) with any of the foregoing; (C) a description of any agreement,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arrangement or understanding (including, regardless of the form of settlement, any derivative, long or short positions, profit interests, options, warrants,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convertible securities, stock appreciation or similar rights, hedging transactions, and borrowed or loaned securities) that has been entered into as of the date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of the member’s notice by, or on behalf of, such member and any Member Associated Person, the effect or intent of which is to mitigate loss to, manage risk</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or benefit from share price changes for, or increase or decrease the voting power of, such member or such Member Associated Person, with respect 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shares of the Company; (D) a representation that the member is a Holder of not less than 860,000 ordinary shares of the Company (either of record 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7"/>
              </w:rPr>
              <w:t>beneficially) entitled to vote at such meeting and that the member intends to appear in person or by proxy at the meeting to propose such nomination; (E)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representation whether the member or the Member Associated Person, if any, intends or is part of a group which intends (x) to deliver a proxy statement and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 or form of proxy to Holders of at least the percentage of the Company’s outstanding shares required to adopt the proposal and / or (y) otherwise to solicit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proxies from members in support of such proposal. If requested by the Company, the information required under clauses (A), (B) and (C) of the preceding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sentence shall be supplemented by such member and any Member Associated Person not later than ten days after the later of the record date for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meeting or the date notice of the record date is first publicly disclosed to disclose such information as of the record date.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71.2</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The Company may require any proposed nominee to furnish such other information as it may reasonably require, including the completion of any questionnaires to</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determine the eligibility of such proposed nominee to serve as a Director of the Company and the impact that such service would have on the ability of the Company to</w:t>
            </w:r>
          </w:p>
        </w:tc>
      </w:tr>
      <w:tr>
        <w:trPr>
          <w:trHeight w:val="162"/>
        </w:trPr>
        <w:tc>
          <w:tcPr>
            <w:tcW w:w="520" w:type="dxa"/>
            <w:vAlign w:val="bottom"/>
          </w:tcPr>
          <w:p>
            <w:pPr>
              <w:spacing w:after="0"/>
              <w:rPr>
                <w:sz w:val="14"/>
                <w:szCs w:val="14"/>
                <w:color w:val="auto"/>
              </w:rPr>
            </w:pP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satisfy the requirements of laws, rules, regulations and listing standards applicable to the Company or its Directors.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71.3</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w w:val="96"/>
              </w:rPr>
              <w:t>The chairman of the meeting shall have the power and duty to determine whether a nomination to be brought before the meeting was made or proposed in accordance with</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the procedures set forth in this article, and if any proposed nomination is not in compliance with this article, to declare that such defective nomination shall be disregarded.</w:t>
            </w:r>
          </w:p>
        </w:tc>
      </w:tr>
    </w:tbl>
    <w:p>
      <w:pPr>
        <w:ind w:left="980" w:right="40"/>
        <w:spacing w:after="0" w:line="231" w:lineRule="auto"/>
        <w:rPr>
          <w:sz w:val="20"/>
          <w:szCs w:val="20"/>
          <w:color w:val="auto"/>
        </w:rPr>
      </w:pPr>
      <w:r>
        <w:rPr>
          <w:rFonts w:ascii="Arial" w:cs="Arial" w:eastAsia="Arial" w:hAnsi="Arial"/>
          <w:sz w:val="14"/>
          <w:szCs w:val="14"/>
          <w:color w:val="auto"/>
        </w:rPr>
        <w:t>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230" w:lineRule="exact"/>
        <w:rPr>
          <w:sz w:val="20"/>
          <w:szCs w:val="20"/>
          <w:color w:val="auto"/>
        </w:rPr>
      </w:pPr>
    </w:p>
    <w:p>
      <w:pPr>
        <w:ind w:left="980" w:right="40" w:hanging="776"/>
        <w:spacing w:after="0" w:line="224" w:lineRule="auto"/>
        <w:tabs>
          <w:tab w:leader="none" w:pos="9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232" w:lineRule="exact"/>
        <w:rPr>
          <w:rFonts w:ascii="Arial" w:cs="Arial" w:eastAsia="Arial" w:hAnsi="Arial"/>
          <w:sz w:val="14"/>
          <w:szCs w:val="14"/>
          <w:color w:val="auto"/>
        </w:rPr>
      </w:pPr>
    </w:p>
    <w:p>
      <w:pPr>
        <w:ind w:left="980" w:right="100" w:hanging="776"/>
        <w:spacing w:after="0" w:line="224" w:lineRule="auto"/>
        <w:tabs>
          <w:tab w:leader="none" w:pos="9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 addition, if the member intends to solicit proxies from the members of the Company, such member shall notify the Company of this intent in accordance with Rule 14a-4 and / or Rule 14a-8 under the Exchange Act or any successor rules.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Voting, proxies and corporate representatives</w:t>
      </w:r>
    </w:p>
    <w:p>
      <w:pPr>
        <w:spacing w:after="0" w:line="247" w:lineRule="exact"/>
        <w:rPr>
          <w:sz w:val="20"/>
          <w:szCs w:val="20"/>
          <w:color w:val="auto"/>
        </w:rPr>
      </w:pPr>
    </w:p>
    <w:p>
      <w:pPr>
        <w:ind w:left="980" w:right="36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Except where a greater majority is required by the Acts or these articles, any question, business or resolution proposed at any general meeting shall be decided by an Ordinary Resolution.</w:t>
      </w:r>
    </w:p>
    <w:p>
      <w:pPr>
        <w:spacing w:after="0" w:line="230" w:lineRule="exact"/>
        <w:rPr>
          <w:rFonts w:ascii="Arial" w:cs="Arial" w:eastAsia="Arial" w:hAnsi="Arial"/>
          <w:sz w:val="14"/>
          <w:szCs w:val="14"/>
          <w:color w:val="auto"/>
        </w:rPr>
      </w:pPr>
    </w:p>
    <w:p>
      <w:pPr>
        <w:ind w:left="980" w:right="22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230" w:lineRule="exact"/>
        <w:rPr>
          <w:rFonts w:ascii="Arial" w:cs="Arial" w:eastAsia="Arial" w:hAnsi="Arial"/>
          <w:sz w:val="14"/>
          <w:szCs w:val="14"/>
          <w:color w:val="auto"/>
        </w:rPr>
      </w:pPr>
    </w:p>
    <w:p>
      <w:pPr>
        <w:ind w:left="980" w:right="340" w:hanging="776"/>
        <w:spacing w:after="0" w:line="231" w:lineRule="auto"/>
        <w:tabs>
          <w:tab w:leader="none" w:pos="9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At any general meeting a resolution put to the vote of the meeting shall be decided on a show of hands unless a poll is (before or on the declaration of the result of the show of hands) demanded by:</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76.1</w:t>
            </w:r>
          </w:p>
        </w:tc>
        <w:tc>
          <w:tcPr>
            <w:tcW w:w="10500" w:type="dxa"/>
            <w:vAlign w:val="bottom"/>
          </w:tcPr>
          <w:p>
            <w:pPr>
              <w:ind w:left="260"/>
              <w:spacing w:after="0"/>
              <w:rPr>
                <w:sz w:val="20"/>
                <w:szCs w:val="20"/>
                <w:color w:val="auto"/>
              </w:rPr>
            </w:pPr>
            <w:r>
              <w:rPr>
                <w:rFonts w:ascii="Arial" w:cs="Arial" w:eastAsia="Arial" w:hAnsi="Arial"/>
                <w:sz w:val="14"/>
                <w:szCs w:val="14"/>
                <w:color w:val="auto"/>
              </w:rPr>
              <w:t>the chairman of the meeting;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76.2</w:t>
            </w:r>
          </w:p>
        </w:tc>
        <w:tc>
          <w:tcPr>
            <w:tcW w:w="10500" w:type="dxa"/>
            <w:vAlign w:val="bottom"/>
          </w:tcPr>
          <w:p>
            <w:pPr>
              <w:ind w:left="260"/>
              <w:spacing w:after="0"/>
              <w:rPr>
                <w:sz w:val="20"/>
                <w:szCs w:val="20"/>
                <w:color w:val="auto"/>
              </w:rPr>
            </w:pPr>
            <w:r>
              <w:rPr>
                <w:rFonts w:ascii="Arial" w:cs="Arial" w:eastAsia="Arial" w:hAnsi="Arial"/>
                <w:sz w:val="14"/>
                <w:szCs w:val="14"/>
                <w:color w:val="auto"/>
              </w:rPr>
              <w:t>by at least three members present in person or represented by proxy; or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by any member or members present in person or represented by proxy and representing not less than one-tenth of the total voting rights of all the members having the right</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to vote at the meeting;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76.4</w:t>
            </w:r>
          </w:p>
        </w:tc>
        <w:tc>
          <w:tcPr>
            <w:tcW w:w="10300" w:type="dxa"/>
            <w:vAlign w:val="bottom"/>
          </w:tcPr>
          <w:p>
            <w:pPr>
              <w:ind w:left="260"/>
              <w:spacing w:after="0"/>
              <w:rPr>
                <w:sz w:val="20"/>
                <w:szCs w:val="20"/>
                <w:color w:val="auto"/>
              </w:rPr>
            </w:pPr>
            <w:r>
              <w:rPr>
                <w:rFonts w:ascii="Arial" w:cs="Arial" w:eastAsia="Arial" w:hAnsi="Arial"/>
                <w:sz w:val="14"/>
                <w:szCs w:val="14"/>
                <w:color w:val="auto"/>
                <w:w w:val="96"/>
              </w:rPr>
              <w:t>by a member or members holding shares in the Company conferring the right to vote at the meeting being shares on which an aggregate sum has been paid up equal to</w:t>
            </w:r>
          </w:p>
        </w:tc>
      </w:tr>
      <w:tr>
        <w:trPr>
          <w:trHeight w:val="162"/>
        </w:trPr>
        <w:tc>
          <w:tcPr>
            <w:tcW w:w="520" w:type="dxa"/>
            <w:vAlign w:val="bottom"/>
          </w:tcPr>
          <w:p>
            <w:pPr>
              <w:spacing w:after="0"/>
              <w:rPr>
                <w:sz w:val="14"/>
                <w:szCs w:val="14"/>
                <w:color w:val="auto"/>
              </w:rPr>
            </w:pPr>
          </w:p>
        </w:tc>
        <w:tc>
          <w:tcPr>
            <w:tcW w:w="10300" w:type="dxa"/>
            <w:vAlign w:val="bottom"/>
          </w:tcPr>
          <w:p>
            <w:pPr>
              <w:ind w:left="260"/>
              <w:spacing w:after="0"/>
              <w:rPr>
                <w:sz w:val="20"/>
                <w:szCs w:val="20"/>
                <w:color w:val="auto"/>
              </w:rPr>
            </w:pPr>
            <w:r>
              <w:rPr>
                <w:rFonts w:ascii="Arial" w:cs="Arial" w:eastAsia="Arial" w:hAnsi="Arial"/>
                <w:sz w:val="14"/>
                <w:szCs w:val="14"/>
                <w:color w:val="auto"/>
              </w:rPr>
              <w:t>not less than one-tenth of the total sum paid up on all the shares conferring that right.</w:t>
            </w:r>
          </w:p>
        </w:tc>
      </w:tr>
    </w:tbl>
    <w:p>
      <w:pPr>
        <w:spacing w:after="0" w:line="208" w:lineRule="exact"/>
        <w:rPr>
          <w:sz w:val="20"/>
          <w:szCs w:val="20"/>
          <w:color w:val="auto"/>
        </w:rPr>
      </w:pPr>
    </w:p>
    <w:p>
      <w:pPr>
        <w:jc w:val="both"/>
        <w:ind w:left="980" w:right="20"/>
        <w:spacing w:after="0" w:line="250" w:lineRule="auto"/>
        <w:rPr>
          <w:sz w:val="20"/>
          <w:szCs w:val="20"/>
          <w:color w:val="auto"/>
        </w:rPr>
      </w:pPr>
      <w:r>
        <w:rPr>
          <w:rFonts w:ascii="Arial" w:cs="Arial" w:eastAsia="Arial" w:hAnsi="Arial"/>
          <w:sz w:val="14"/>
          <w:szCs w:val="14"/>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demand for a poll may be withdrawn.</w:t>
      </w:r>
    </w:p>
    <w:p>
      <w:pPr>
        <w:spacing w:after="0" w:line="239" w:lineRule="exact"/>
        <w:rPr>
          <w:sz w:val="20"/>
          <w:szCs w:val="20"/>
          <w:color w:val="auto"/>
        </w:rPr>
      </w:pPr>
    </w:p>
    <w:p>
      <w:pPr>
        <w:ind w:left="980" w:right="260" w:hanging="776"/>
        <w:spacing w:after="0" w:line="231" w:lineRule="auto"/>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230" w:lineRule="exact"/>
        <w:rPr>
          <w:rFonts w:ascii="Arial" w:cs="Arial" w:eastAsia="Arial" w:hAnsi="Arial"/>
          <w:sz w:val="14"/>
          <w:szCs w:val="14"/>
          <w:color w:val="auto"/>
        </w:rPr>
      </w:pPr>
    </w:p>
    <w:p>
      <w:pPr>
        <w:jc w:val="both"/>
        <w:ind w:left="980" w:right="160" w:hanging="776"/>
        <w:spacing w:after="0" w:line="300" w:lineRule="auto"/>
        <w:tabs>
          <w:tab w:leader="none" w:pos="9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95" w:lineRule="exact"/>
        <w:rPr>
          <w:rFonts w:ascii="Arial" w:cs="Arial" w:eastAsia="Arial" w:hAnsi="Arial"/>
          <w:sz w:val="12"/>
          <w:szCs w:val="12"/>
          <w:color w:val="auto"/>
        </w:rPr>
      </w:pPr>
    </w:p>
    <w:p>
      <w:pPr>
        <w:ind w:left="980" w:right="320" w:hanging="776"/>
        <w:spacing w:after="0" w:line="231" w:lineRule="auto"/>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230"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232"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 member shall be entitled to vote at any general meeting unless any calls or other sums immediately payable by him in respect of shares in the Company have been paid.</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 Holder entitled to more than one vote on a poll need not use all his votes or cast all the votes he uses in the same way.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If:</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84.1</w:t>
            </w:r>
          </w:p>
        </w:tc>
        <w:tc>
          <w:tcPr>
            <w:tcW w:w="10400" w:type="dxa"/>
            <w:vAlign w:val="bottom"/>
          </w:tcPr>
          <w:p>
            <w:pPr>
              <w:ind w:left="260"/>
              <w:spacing w:after="0"/>
              <w:rPr>
                <w:sz w:val="20"/>
                <w:szCs w:val="20"/>
                <w:color w:val="auto"/>
              </w:rPr>
            </w:pPr>
            <w:r>
              <w:rPr>
                <w:rFonts w:ascii="Arial" w:cs="Arial" w:eastAsia="Arial" w:hAnsi="Arial"/>
                <w:sz w:val="14"/>
                <w:szCs w:val="14"/>
                <w:color w:val="auto"/>
              </w:rPr>
              <w:t>any objection shall be raised as to the qualification of any voter;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have been counted which ought not to have been counted or which might have been rejected;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84.3</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are not counted which out to have been counted,</w:t>
            </w:r>
          </w:p>
        </w:tc>
      </w:tr>
      <w:tr>
        <w:trPr>
          <w:trHeight w:val="370"/>
        </w:trPr>
        <w:tc>
          <w:tcPr>
            <w:tcW w:w="5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the objection or error shall not vitiate the decision of the meeting or adjourned meeting on any resolution unless the same is raised or pointed out at the meeting</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as the case may be, the adjourned meeting at which the vote objected to is given or tendered or at which the error occurs. Any objection or error shall be</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referred to the chairman of the meeting and shall only vitiate the decision of the meeting on any resolution if the chairman decides that the same may have</w:t>
            </w:r>
          </w:p>
        </w:tc>
      </w:tr>
      <w:tr>
        <w:trPr>
          <w:trHeight w:val="17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affected the decision of the meeting. The decision of the chairman on such matters shall be final and conclusive.</w:t>
            </w:r>
          </w:p>
        </w:tc>
      </w:tr>
    </w:tbl>
    <w:p>
      <w:pPr>
        <w:spacing w:after="0" w:line="227" w:lineRule="exact"/>
        <w:rPr>
          <w:sz w:val="20"/>
          <w:szCs w:val="20"/>
          <w:color w:val="auto"/>
        </w:rPr>
      </w:pPr>
    </w:p>
    <w:p>
      <w:pPr>
        <w:ind w:left="980" w:hanging="776"/>
        <w:spacing w:after="0"/>
        <w:tabs>
          <w:tab w:leader="none" w:pos="9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Votes may be given either personally or by proxy.</w:t>
      </w:r>
    </w:p>
    <w:p>
      <w:pPr>
        <w:spacing w:after="0" w:line="230" w:lineRule="exact"/>
        <w:rPr>
          <w:rFonts w:ascii="Arial" w:cs="Arial" w:eastAsia="Arial" w:hAnsi="Arial"/>
          <w:sz w:val="14"/>
          <w:szCs w:val="14"/>
          <w:color w:val="auto"/>
        </w:rPr>
      </w:pPr>
    </w:p>
    <w:p>
      <w:pPr>
        <w:spacing w:after="0"/>
        <w:tabs>
          <w:tab w:leader="none" w:pos="0" w:val="left"/>
        </w:tabs>
        <w:numPr>
          <w:ilvl w:val="0"/>
          <w:numId w:val="134"/>
        </w:numPr>
        <w:rPr>
          <w:rFonts w:ascii="Arial" w:cs="Arial" w:eastAsia="Arial" w:hAnsi="Arial"/>
          <w:sz w:val="14"/>
          <w:szCs w:val="14"/>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Every member entitled to attend and vote at a general meeting may appoint a proxy to attend, speak and vote on his behalf and may appoint more than one proxy to</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7"/>
              </w:rPr>
              <w:t>attend, speak and vote at the same meeting. The appointment of a proxy shall be in any form which the Directors may approve and, if required by the Company, shall be</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rPr>
              <w:t>signed by or on behalf of the appointor. In relation to written proxies, a body corporate may sign a form of proxy under its common seal or under the hand of a duly</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authorised officer thereof or in such other manner as the Directors may approve. A proxy need not be a member of the Company. The appointment of a proxy in electronic</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other form shall only be effective in such manner as the Directors may approve.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86.2</w:t>
            </w:r>
          </w:p>
        </w:tc>
        <w:tc>
          <w:tcPr>
            <w:tcW w:w="10400" w:type="dxa"/>
            <w:vAlign w:val="bottom"/>
          </w:tcPr>
          <w:p>
            <w:pPr>
              <w:ind w:left="260"/>
              <w:spacing w:after="0"/>
              <w:rPr>
                <w:sz w:val="20"/>
                <w:szCs w:val="20"/>
                <w:color w:val="auto"/>
              </w:rPr>
            </w:pPr>
            <w:r>
              <w:rPr>
                <w:rFonts w:ascii="Arial" w:cs="Arial" w:eastAsia="Arial" w:hAnsi="Arial"/>
                <w:sz w:val="14"/>
                <w:szCs w:val="14"/>
                <w:color w:val="auto"/>
              </w:rPr>
              <w:t>Without limiting the foregoing, the Directors may from time to time permit appointments of a proxy to be made by means of a telephonic, an electronic or internet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communication or facility and may in a similar manner permit supplements to, or amendments or revocations of, any such telephonic, electronic or internet communication</w:t>
            </w:r>
          </w:p>
        </w:tc>
      </w:tr>
    </w:tbl>
    <w:p>
      <w:pPr>
        <w:ind w:left="980" w:right="120"/>
        <w:spacing w:after="0" w:line="279" w:lineRule="auto"/>
        <w:rPr>
          <w:sz w:val="20"/>
          <w:szCs w:val="20"/>
          <w:color w:val="auto"/>
        </w:rPr>
      </w:pPr>
      <w:r>
        <w:rPr>
          <w:rFonts w:ascii="Arial" w:cs="Arial" w:eastAsia="Arial" w:hAnsi="Arial"/>
          <w:sz w:val="12"/>
          <w:szCs w:val="12"/>
          <w:color w:val="auto"/>
        </w:rPr>
        <w:t>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208" w:lineRule="exact"/>
        <w:rPr>
          <w:sz w:val="20"/>
          <w:szCs w:val="20"/>
          <w:color w:val="auto"/>
        </w:rPr>
      </w:pPr>
    </w:p>
    <w:p>
      <w:pPr>
        <w:ind w:left="980" w:hanging="776"/>
        <w:spacing w:after="0" w:line="226" w:lineRule="auto"/>
        <w:tabs>
          <w:tab w:leader="none" w:pos="9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A-17</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80" w:hanging="776"/>
        <w:spacing w:after="0" w:line="231"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230" w:lineRule="exact"/>
        <w:rPr>
          <w:rFonts w:ascii="Arial" w:cs="Arial" w:eastAsia="Arial" w:hAnsi="Arial"/>
          <w:sz w:val="14"/>
          <w:szCs w:val="14"/>
          <w:color w:val="auto"/>
        </w:rPr>
      </w:pPr>
    </w:p>
    <w:p>
      <w:pPr>
        <w:ind w:left="980" w:hanging="776"/>
        <w:spacing w:after="0" w:line="224"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231" w:lineRule="exact"/>
        <w:rPr>
          <w:rFonts w:ascii="Arial" w:cs="Arial" w:eastAsia="Arial" w:hAnsi="Arial"/>
          <w:sz w:val="14"/>
          <w:szCs w:val="14"/>
          <w:color w:val="auto"/>
        </w:rPr>
      </w:pPr>
    </w:p>
    <w:p>
      <w:pPr>
        <w:ind w:left="980" w:right="60" w:hanging="776"/>
        <w:spacing w:after="0" w:line="224"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231" w:lineRule="exact"/>
        <w:rPr>
          <w:rFonts w:ascii="Arial" w:cs="Arial" w:eastAsia="Arial" w:hAnsi="Arial"/>
          <w:sz w:val="14"/>
          <w:szCs w:val="14"/>
          <w:color w:val="auto"/>
        </w:rPr>
      </w:pPr>
    </w:p>
    <w:p>
      <w:pPr>
        <w:ind w:left="980" w:right="360" w:hanging="776"/>
        <w:spacing w:after="0" w:line="228" w:lineRule="auto"/>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instrument appointing a proxy shall be deemed to confer authority to demand or join in demanding a poll.</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Directors</w:t>
      </w:r>
    </w:p>
    <w:p>
      <w:pPr>
        <w:spacing w:after="0" w:line="247" w:lineRule="exact"/>
        <w:rPr>
          <w:sz w:val="20"/>
          <w:szCs w:val="20"/>
          <w:color w:val="auto"/>
        </w:rPr>
      </w:pPr>
    </w:p>
    <w:p>
      <w:pPr>
        <w:ind w:left="980" w:hanging="776"/>
        <w:spacing w:after="0" w:line="224"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232" w:lineRule="exact"/>
        <w:rPr>
          <w:rFonts w:ascii="Arial" w:cs="Arial" w:eastAsia="Arial" w:hAnsi="Arial"/>
          <w:sz w:val="14"/>
          <w:szCs w:val="14"/>
          <w:color w:val="auto"/>
        </w:rPr>
      </w:pPr>
    </w:p>
    <w:p>
      <w:pPr>
        <w:ind w:left="980" w:right="20" w:hanging="776"/>
        <w:spacing w:after="0" w:line="279" w:lineRule="auto"/>
        <w:tabs>
          <w:tab w:leader="none" w:pos="9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No shareholding qualification for Directors shall be required. A Director who is not a member of the Company shall nevertheless be entitled to attend and speak at general meetings.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Borrowing powers</w:t>
      </w:r>
    </w:p>
    <w:p>
      <w:pPr>
        <w:spacing w:after="0" w:line="247" w:lineRule="exact"/>
        <w:rPr>
          <w:sz w:val="20"/>
          <w:szCs w:val="20"/>
          <w:color w:val="auto"/>
        </w:rPr>
      </w:pPr>
    </w:p>
    <w:p>
      <w:pPr>
        <w:ind w:left="980" w:right="20" w:hanging="776"/>
        <w:spacing w:after="0" w:line="228" w:lineRule="auto"/>
        <w:tabs>
          <w:tab w:leader="none" w:pos="9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Powers and duties of the Directors</w:t>
      </w:r>
    </w:p>
    <w:p>
      <w:pPr>
        <w:spacing w:after="0" w:line="247" w:lineRule="exact"/>
        <w:rPr>
          <w:sz w:val="20"/>
          <w:szCs w:val="20"/>
          <w:color w:val="auto"/>
        </w:rPr>
      </w:pPr>
    </w:p>
    <w:p>
      <w:pPr>
        <w:ind w:left="980" w:right="140" w:hanging="776"/>
        <w:spacing w:after="0" w:line="225" w:lineRule="auto"/>
        <w:tabs>
          <w:tab w:leader="none" w:pos="9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231" w:lineRule="exact"/>
        <w:rPr>
          <w:rFonts w:ascii="Arial" w:cs="Arial" w:eastAsia="Arial" w:hAnsi="Arial"/>
          <w:sz w:val="14"/>
          <w:szCs w:val="14"/>
          <w:color w:val="auto"/>
        </w:rPr>
      </w:pPr>
    </w:p>
    <w:p>
      <w:pPr>
        <w:ind w:left="980" w:right="60" w:hanging="776"/>
        <w:spacing w:after="0" w:line="231" w:lineRule="auto"/>
        <w:tabs>
          <w:tab w:leader="none" w:pos="9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Directors may from time to time and at any time by power of attorney or otherwise (including by a duly passed resolution) appoint any company, firm or person or body of persons, whether nominated directly or indirectly by the Directors, to be the attorney, attorneys, representative or agent of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A-18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0"/>
        <w:spacing w:after="0" w:line="226" w:lineRule="auto"/>
        <w:rPr>
          <w:sz w:val="20"/>
          <w:szCs w:val="20"/>
          <w:color w:val="auto"/>
        </w:rPr>
      </w:pPr>
      <w:r>
        <w:rPr>
          <w:rFonts w:ascii="Arial" w:cs="Arial" w:eastAsia="Arial" w:hAnsi="Arial"/>
          <w:sz w:val="14"/>
          <w:szCs w:val="14"/>
          <w:color w:val="auto"/>
        </w:rPr>
        <w:t>such purposes and with such powers, authorities and discretions (not exceeding those vested in or exercisable by the Directors under these articles) and for such period and subject to such conditions as they may think fit, and any such power of attorney or resolutions may contain such provisions for the protection of persons dealing with any such attorney, representative or agent as the Directors may think fit, and may also authorise any such attorney, representative or agent to delegate all or any of the powers, authorities and discretions vested in him.</w:t>
      </w:r>
    </w:p>
    <w:p>
      <w:pPr>
        <w:spacing w:after="0" w:line="231" w:lineRule="exact"/>
        <w:rPr>
          <w:sz w:val="20"/>
          <w:szCs w:val="20"/>
          <w:color w:val="auto"/>
        </w:rPr>
      </w:pPr>
    </w:p>
    <w:p>
      <w:pPr>
        <w:ind w:left="980" w:right="360" w:hanging="776"/>
        <w:spacing w:after="0" w:line="231"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Company may exercise the powers conferred by section 41 of the Act with regard to having an official seal for use abroad and such powers shall be vested in the Directors.</w:t>
      </w:r>
    </w:p>
    <w:p>
      <w:pPr>
        <w:spacing w:after="0" w:line="230" w:lineRule="exact"/>
        <w:rPr>
          <w:rFonts w:ascii="Arial" w:cs="Arial" w:eastAsia="Arial" w:hAnsi="Arial"/>
          <w:sz w:val="14"/>
          <w:szCs w:val="14"/>
          <w:color w:val="auto"/>
        </w:rPr>
      </w:pPr>
    </w:p>
    <w:p>
      <w:pPr>
        <w:ind w:left="980" w:right="440" w:hanging="776"/>
        <w:spacing w:after="0" w:line="231" w:lineRule="auto"/>
        <w:tabs>
          <w:tab w:leader="none" w:pos="9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104.</w:t>
      </w:r>
    </w:p>
    <w:p>
      <w:pPr>
        <w:spacing w:after="0" w:line="231" w:lineRule="exact"/>
        <w:rPr>
          <w:sz w:val="20"/>
          <w:szCs w:val="20"/>
          <w:color w:val="auto"/>
        </w:rPr>
      </w:pPr>
    </w:p>
    <w:p>
      <w:pPr>
        <w:ind w:left="980" w:right="120" w:hanging="769"/>
        <w:spacing w:after="0" w:line="272" w:lineRule="auto"/>
        <w:tabs>
          <w:tab w:leader="none" w:pos="960" w:val="left"/>
        </w:tabs>
        <w:rPr>
          <w:sz w:val="20"/>
          <w:szCs w:val="20"/>
          <w:color w:val="auto"/>
        </w:rPr>
      </w:pPr>
      <w:r>
        <w:rPr>
          <w:rFonts w:ascii="Arial" w:cs="Arial" w:eastAsia="Arial" w:hAnsi="Arial"/>
          <w:sz w:val="14"/>
          <w:szCs w:val="14"/>
          <w:color w:val="auto"/>
        </w:rPr>
        <w:t>104.1</w:t>
      </w:r>
      <w:r>
        <w:rPr>
          <w:sz w:val="20"/>
          <w:szCs w:val="20"/>
          <w:color w:val="auto"/>
        </w:rPr>
        <w:tab/>
      </w:r>
      <w:r>
        <w:rPr>
          <w:rFonts w:ascii="Arial" w:cs="Arial" w:eastAsia="Arial" w:hAnsi="Arial"/>
          <w:sz w:val="12"/>
          <w:szCs w:val="12"/>
          <w:color w:val="auto"/>
        </w:rPr>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212"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104.2</w:t>
      </w:r>
      <w:r>
        <w:rPr>
          <w:sz w:val="20"/>
          <w:szCs w:val="20"/>
          <w:color w:val="auto"/>
        </w:rPr>
        <w:tab/>
      </w:r>
      <w:r>
        <w:rPr>
          <w:rFonts w:ascii="Arial" w:cs="Arial" w:eastAsia="Arial" w:hAnsi="Arial"/>
          <w:sz w:val="14"/>
          <w:szCs w:val="14"/>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104.3</w:t>
      </w:r>
      <w:r>
        <w:rPr>
          <w:sz w:val="20"/>
          <w:szCs w:val="20"/>
          <w:color w:val="auto"/>
        </w:rPr>
        <w:tab/>
      </w:r>
      <w:r>
        <w:rPr>
          <w:rFonts w:ascii="Arial" w:cs="Arial" w:eastAsia="Arial" w:hAnsi="Arial"/>
          <w:sz w:val="12"/>
          <w:szCs w:val="12"/>
          <w:color w:val="auto"/>
        </w:rPr>
        <w:t>For the purposes of this article, an interest of a person who is the spouse or a minor child of a Director shall be treated as an interest of the Director.</w:t>
      </w:r>
    </w:p>
    <w:p>
      <w:pPr>
        <w:spacing w:after="0" w:line="231" w:lineRule="exact"/>
        <w:rPr>
          <w:sz w:val="20"/>
          <w:szCs w:val="20"/>
          <w:color w:val="auto"/>
        </w:rPr>
      </w:pPr>
    </w:p>
    <w:p>
      <w:pPr>
        <w:ind w:left="980" w:right="660" w:hanging="769"/>
        <w:spacing w:after="0" w:line="231" w:lineRule="auto"/>
        <w:tabs>
          <w:tab w:leader="none" w:pos="960" w:val="left"/>
        </w:tabs>
        <w:rPr>
          <w:sz w:val="20"/>
          <w:szCs w:val="20"/>
          <w:color w:val="auto"/>
        </w:rPr>
      </w:pPr>
      <w:r>
        <w:rPr>
          <w:rFonts w:ascii="Arial" w:cs="Arial" w:eastAsia="Arial" w:hAnsi="Arial"/>
          <w:sz w:val="14"/>
          <w:szCs w:val="14"/>
          <w:color w:val="auto"/>
        </w:rPr>
        <w:t>104.4</w:t>
      </w:r>
      <w:r>
        <w:rPr>
          <w:sz w:val="20"/>
          <w:szCs w:val="20"/>
          <w:color w:val="auto"/>
        </w:rPr>
        <w:tab/>
      </w:r>
      <w:r>
        <w:rPr>
          <w:rFonts w:ascii="Arial" w:cs="Arial" w:eastAsia="Arial" w:hAnsi="Arial"/>
          <w:sz w:val="14"/>
          <w:szCs w:val="14"/>
          <w:color w:val="auto"/>
        </w:rPr>
        <w:t>The Company by Ordinary Resolution may suspend or relax the provisions of this article to any extent or ratify any transaction not duly authorised by reason of a contravention of this article.</w:t>
      </w:r>
    </w:p>
    <w:p>
      <w:pPr>
        <w:spacing w:after="0" w:line="230" w:lineRule="exact"/>
        <w:rPr>
          <w:sz w:val="20"/>
          <w:szCs w:val="20"/>
          <w:color w:val="auto"/>
        </w:rPr>
      </w:pPr>
    </w:p>
    <w:p>
      <w:pPr>
        <w:ind w:left="980" w:right="20" w:hanging="776"/>
        <w:spacing w:after="0" w:line="266" w:lineRule="auto"/>
        <w:tabs>
          <w:tab w:leader="none" w:pos="9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216" w:lineRule="exact"/>
        <w:rPr>
          <w:rFonts w:ascii="Arial" w:cs="Arial" w:eastAsia="Arial" w:hAnsi="Arial"/>
          <w:sz w:val="12"/>
          <w:szCs w:val="12"/>
          <w:color w:val="auto"/>
        </w:rPr>
      </w:pPr>
    </w:p>
    <w:p>
      <w:pPr>
        <w:ind w:left="980" w:hanging="776"/>
        <w:spacing w:after="0" w:line="231" w:lineRule="auto"/>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So long as, where it is necessary, a Director declares the nature of his interest at the first opportunity at a meeting of the Board or by writing to the Directors, a Director shall not by</w:t>
      </w:r>
    </w:p>
    <w:p>
      <w:pPr>
        <w:spacing w:after="0" w:line="208" w:lineRule="exact"/>
        <w:rPr>
          <w:rFonts w:ascii="Arial" w:cs="Arial" w:eastAsia="Arial" w:hAnsi="Arial"/>
          <w:sz w:val="14"/>
          <w:szCs w:val="14"/>
          <w:color w:val="auto"/>
        </w:rPr>
      </w:pPr>
    </w:p>
    <w:p>
      <w:pPr>
        <w:ind w:left="980" w:right="60"/>
        <w:spacing w:after="0" w:line="250" w:lineRule="auto"/>
        <w:rPr>
          <w:rFonts w:ascii="Arial" w:cs="Arial" w:eastAsia="Arial" w:hAnsi="Arial"/>
          <w:sz w:val="14"/>
          <w:szCs w:val="14"/>
          <w:color w:val="auto"/>
        </w:rPr>
      </w:pPr>
      <w:r>
        <w:rPr>
          <w:rFonts w:ascii="Arial" w:cs="Arial" w:eastAsia="Arial" w:hAnsi="Arial"/>
          <w:sz w:val="14"/>
          <w:szCs w:val="14"/>
          <w:color w:val="auto"/>
        </w:rPr>
        <w:t>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22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the maximum extent permitted from time to time under the laws of Ireland, the Company renounces any interest or expectancy of the Company in, or in being offered an opportunity to participate in, 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231"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230" w:lineRule="exact"/>
        <w:rPr>
          <w:rFonts w:ascii="Arial" w:cs="Arial" w:eastAsia="Arial" w:hAnsi="Arial"/>
          <w:sz w:val="14"/>
          <w:szCs w:val="14"/>
          <w:color w:val="auto"/>
        </w:rPr>
      </w:pPr>
    </w:p>
    <w:p>
      <w:pPr>
        <w:ind w:left="980" w:right="40" w:hanging="776"/>
        <w:spacing w:after="0" w:line="300" w:lineRule="auto"/>
        <w:tabs>
          <w:tab w:leader="none" w:pos="9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95" w:lineRule="exact"/>
        <w:rPr>
          <w:rFonts w:ascii="Arial" w:cs="Arial" w:eastAsia="Arial" w:hAnsi="Arial"/>
          <w:sz w:val="12"/>
          <w:szCs w:val="12"/>
          <w:color w:val="auto"/>
        </w:rPr>
      </w:pPr>
    </w:p>
    <w:p>
      <w:pPr>
        <w:ind w:left="980" w:hanging="776"/>
        <w:spacing w:after="0"/>
        <w:tabs>
          <w:tab w:leader="none" w:pos="9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Directors shall cause minutes to be made in books provided for the purpose: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color w:val="auto"/>
        </w:rPr>
        <w:t>of all appointments of officers made by the Directors;</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2"/>
          <w:szCs w:val="12"/>
          <w:color w:val="auto"/>
        </w:rPr>
        <w:t>of the names of the Directors present at each meeting of the Directors and of any committee of the Directors; and</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111.3</w:t>
      </w:r>
      <w:r>
        <w:rPr>
          <w:sz w:val="20"/>
          <w:szCs w:val="20"/>
          <w:color w:val="auto"/>
        </w:rPr>
        <w:tab/>
      </w:r>
      <w:r>
        <w:rPr>
          <w:rFonts w:ascii="Arial" w:cs="Arial" w:eastAsia="Arial" w:hAnsi="Arial"/>
          <w:sz w:val="12"/>
          <w:szCs w:val="12"/>
          <w:color w:val="auto"/>
        </w:rPr>
        <w:t>of all resolutions and proceedings at all meetings of the Company and of the Directors and of committees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A-19</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3" w:lineRule="auto"/>
        <w:tabs>
          <w:tab w:leader="none" w:pos="9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Disqualification of Directors</w:t>
      </w:r>
    </w:p>
    <w:p>
      <w:pPr>
        <w:spacing w:after="0" w:line="247" w:lineRule="exact"/>
        <w:rPr>
          <w:sz w:val="20"/>
          <w:szCs w:val="20"/>
          <w:color w:val="auto"/>
        </w:rPr>
      </w:pPr>
    </w:p>
    <w:p>
      <w:pPr>
        <w:ind w:left="980" w:hanging="776"/>
        <w:spacing w:after="0"/>
        <w:tabs>
          <w:tab w:leader="none" w:pos="9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office of a Director shall be vacated ipso facto if the Director: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2"/>
          <w:szCs w:val="12"/>
          <w:color w:val="auto"/>
        </w:rPr>
        <w:t>is restricted or disqualified to act as a Director under the provisions of Part VII of the 1990 Act;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113.2</w:t>
      </w:r>
      <w:r>
        <w:rPr>
          <w:sz w:val="20"/>
          <w:szCs w:val="20"/>
          <w:color w:val="auto"/>
        </w:rPr>
        <w:tab/>
      </w:r>
      <w:r>
        <w:rPr>
          <w:rFonts w:ascii="Arial" w:cs="Arial" w:eastAsia="Arial" w:hAnsi="Arial"/>
          <w:sz w:val="12"/>
          <w:szCs w:val="12"/>
          <w:color w:val="auto"/>
        </w:rPr>
        <w:t>resigns his office by notice in writing to the Company or in writing offers to resign and the Directors resolve to accept such offer;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113.3</w:t>
      </w:r>
      <w:r>
        <w:rPr>
          <w:sz w:val="20"/>
          <w:szCs w:val="20"/>
          <w:color w:val="auto"/>
        </w:rPr>
        <w:tab/>
      </w:r>
      <w:r>
        <w:rPr>
          <w:rFonts w:ascii="Arial" w:cs="Arial" w:eastAsia="Arial" w:hAnsi="Arial"/>
          <w:sz w:val="12"/>
          <w:szCs w:val="12"/>
          <w:color w:val="auto"/>
        </w:rPr>
        <w:t>is removed from office under article 120.</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Appointment, retirement and removal of Directors</w:t>
      </w:r>
    </w:p>
    <w:p>
      <w:pPr>
        <w:spacing w:after="0" w:line="247" w:lineRule="exact"/>
        <w:rPr>
          <w:sz w:val="20"/>
          <w:szCs w:val="20"/>
          <w:color w:val="auto"/>
        </w:rPr>
      </w:pPr>
    </w:p>
    <w:p>
      <w:pPr>
        <w:ind w:left="980" w:hanging="776"/>
        <w:spacing w:after="0"/>
        <w:tabs>
          <w:tab w:leader="none" w:pos="9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At each annual general meeting of the Company, all the Directors shall retire from office and be re-eligible for re-election.</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Upon the resignation or termination of office of any Director, if a new Director shall be appointed to the Board he will be designated to fill the vacancy arising.</w:t>
      </w:r>
    </w:p>
    <w:p>
      <w:pPr>
        <w:spacing w:after="0" w:line="230" w:lineRule="exact"/>
        <w:rPr>
          <w:rFonts w:ascii="Arial" w:cs="Arial" w:eastAsia="Arial" w:hAnsi="Arial"/>
          <w:sz w:val="14"/>
          <w:szCs w:val="14"/>
          <w:color w:val="auto"/>
        </w:rPr>
      </w:pPr>
    </w:p>
    <w:p>
      <w:pPr>
        <w:spacing w:after="0"/>
        <w:tabs>
          <w:tab w:leader="none" w:pos="0" w:val="left"/>
        </w:tabs>
        <w:numPr>
          <w:ilvl w:val="0"/>
          <w:numId w:val="144"/>
        </w:numPr>
        <w:rPr>
          <w:rFonts w:ascii="Arial" w:cs="Arial" w:eastAsia="Arial" w:hAnsi="Arial"/>
          <w:sz w:val="14"/>
          <w:szCs w:val="14"/>
          <w:color w:val="auto"/>
        </w:rPr>
      </w:pPr>
    </w:p>
    <w:p>
      <w:pPr>
        <w:spacing w:after="0" w:line="231" w:lineRule="exact"/>
        <w:rPr>
          <w:sz w:val="20"/>
          <w:szCs w:val="20"/>
          <w:color w:val="auto"/>
        </w:rPr>
      </w:pPr>
    </w:p>
    <w:p>
      <w:pPr>
        <w:ind w:left="980" w:right="140" w:hanging="769"/>
        <w:spacing w:after="0" w:line="231" w:lineRule="auto"/>
        <w:tabs>
          <w:tab w:leader="none" w:pos="960" w:val="left"/>
        </w:tabs>
        <w:rPr>
          <w:sz w:val="20"/>
          <w:szCs w:val="20"/>
          <w:color w:val="auto"/>
        </w:rPr>
      </w:pPr>
      <w:r>
        <w:rPr>
          <w:rFonts w:ascii="Arial" w:cs="Arial" w:eastAsia="Arial" w:hAnsi="Arial"/>
          <w:sz w:val="14"/>
          <w:szCs w:val="14"/>
          <w:color w:val="auto"/>
        </w:rPr>
        <w:t>116.1</w:t>
      </w:r>
      <w:r>
        <w:rPr>
          <w:sz w:val="20"/>
          <w:szCs w:val="20"/>
          <w:color w:val="auto"/>
        </w:rPr>
        <w:tab/>
      </w:r>
      <w:r>
        <w:rPr>
          <w:rFonts w:ascii="Arial" w:cs="Arial" w:eastAsia="Arial" w:hAnsi="Arial"/>
          <w:sz w:val="14"/>
          <w:szCs w:val="14"/>
          <w:color w:val="auto"/>
        </w:rPr>
        <w:t>No person shall be appointed a Director, unless nominated in accordance with the provisions of this article 116. Nominations of persons for appointment as Directors may be made:</w:t>
      </w:r>
    </w:p>
    <w:p>
      <w:pPr>
        <w:spacing w:after="0" w:line="230" w:lineRule="exact"/>
        <w:rPr>
          <w:sz w:val="20"/>
          <w:szCs w:val="20"/>
          <w:color w:val="auto"/>
        </w:rPr>
      </w:pPr>
    </w:p>
    <w:p>
      <w:pPr>
        <w:ind w:left="1860" w:hanging="886"/>
        <w:spacing w:after="0"/>
        <w:tabs>
          <w:tab w:leader="none" w:pos="18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by the affirmative vote of two-thirds of the Board; or</w:t>
      </w:r>
    </w:p>
    <w:p>
      <w:pPr>
        <w:spacing w:after="0" w:line="230" w:lineRule="exact"/>
        <w:rPr>
          <w:rFonts w:ascii="Arial" w:cs="Arial" w:eastAsia="Arial" w:hAnsi="Arial"/>
          <w:sz w:val="14"/>
          <w:szCs w:val="14"/>
          <w:color w:val="auto"/>
        </w:rPr>
      </w:pPr>
    </w:p>
    <w:p>
      <w:pPr>
        <w:ind w:left="1860" w:right="300" w:hanging="886"/>
        <w:spacing w:after="0" w:line="228" w:lineRule="auto"/>
        <w:tabs>
          <w:tab w:leader="none" w:pos="18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229" w:lineRule="exact"/>
        <w:rPr>
          <w:rFonts w:ascii="Arial" w:cs="Arial" w:eastAsia="Arial" w:hAnsi="Arial"/>
          <w:sz w:val="14"/>
          <w:szCs w:val="14"/>
          <w:color w:val="auto"/>
        </w:rPr>
      </w:pPr>
    </w:p>
    <w:p>
      <w:pPr>
        <w:ind w:left="1860" w:right="40" w:hanging="886"/>
        <w:spacing w:after="0" w:line="226" w:lineRule="auto"/>
        <w:tabs>
          <w:tab w:leader="none" w:pos="18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230" w:lineRule="exact"/>
        <w:rPr>
          <w:rFonts w:ascii="Arial" w:cs="Arial" w:eastAsia="Arial" w:hAnsi="Arial"/>
          <w:sz w:val="14"/>
          <w:szCs w:val="14"/>
          <w:color w:val="auto"/>
        </w:rPr>
      </w:pPr>
    </w:p>
    <w:p>
      <w:pPr>
        <w:ind w:left="1860" w:right="60" w:hanging="886"/>
        <w:spacing w:after="0" w:line="231" w:lineRule="auto"/>
        <w:tabs>
          <w:tab w:leader="none" w:pos="18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by Holders of any class or series of shares in the Company then in issue having special rights to nominate or appoint Directors in accordance with the terms of issue of such class or series, but only to the extent provided in such terms of issue,</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(sub-clauses (b), (c) and (d) being the exclusive means for a member to make nominations of persons for election to the Board).</w:t>
      </w:r>
    </w:p>
    <w:p>
      <w:pPr>
        <w:spacing w:after="0" w:line="239"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116.2</w:t>
      </w:r>
      <w:r>
        <w:rPr>
          <w:sz w:val="20"/>
          <w:szCs w:val="20"/>
          <w:color w:val="auto"/>
        </w:rPr>
        <w:tab/>
      </w:r>
      <w:r>
        <w:rPr>
          <w:rFonts w:ascii="Arial" w:cs="Arial" w:eastAsia="Arial" w:hAnsi="Arial"/>
          <w:sz w:val="14"/>
          <w:szCs w:val="14"/>
          <w:color w:val="auto"/>
        </w:rPr>
        <w:t>For nominations of persons for election as Directors at an extraordinary general meeting to be in proper written form, a member’s notice must comply with the requirements outlined in articles 70 and 71.</w:t>
      </w:r>
    </w:p>
    <w:p>
      <w:pPr>
        <w:spacing w:after="0" w:line="230" w:lineRule="exact"/>
        <w:rPr>
          <w:sz w:val="20"/>
          <w:szCs w:val="20"/>
          <w:color w:val="auto"/>
        </w:rPr>
      </w:pPr>
    </w:p>
    <w:p>
      <w:pPr>
        <w:ind w:left="980" w:right="400" w:hanging="769"/>
        <w:spacing w:after="0" w:line="228" w:lineRule="auto"/>
        <w:tabs>
          <w:tab w:leader="none" w:pos="960" w:val="left"/>
        </w:tabs>
        <w:rPr>
          <w:sz w:val="20"/>
          <w:szCs w:val="20"/>
          <w:color w:val="auto"/>
        </w:rPr>
      </w:pPr>
      <w:r>
        <w:rPr>
          <w:rFonts w:ascii="Arial" w:cs="Arial" w:eastAsia="Arial" w:hAnsi="Arial"/>
          <w:sz w:val="14"/>
          <w:szCs w:val="14"/>
          <w:color w:val="auto"/>
        </w:rPr>
        <w:t>116.3</w:t>
      </w:r>
      <w:r>
        <w:rPr>
          <w:sz w:val="20"/>
          <w:szCs w:val="20"/>
          <w:color w:val="auto"/>
        </w:rPr>
        <w:tab/>
      </w:r>
      <w:r>
        <w:rPr>
          <w:rFonts w:ascii="Arial" w:cs="Arial" w:eastAsia="Arial" w:hAnsi="Arial"/>
          <w:sz w:val="14"/>
          <w:szCs w:val="14"/>
          <w:color w:val="auto"/>
        </w:rPr>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230" w:lineRule="exact"/>
        <w:rPr>
          <w:sz w:val="20"/>
          <w:szCs w:val="20"/>
          <w:color w:val="auto"/>
        </w:rPr>
      </w:pPr>
    </w:p>
    <w:p>
      <w:pPr>
        <w:ind w:left="980" w:hanging="776"/>
        <w:spacing w:after="0"/>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 retiring Director shall be eligible to be nominated for re-election at an annual general meeting.</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a Director stands for re-election, he shall be deemed to have been re-elected, unless at such meeting the Ordinary Resolution for the re-election of such Director has been defeated.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or reduce the maximum number of Directors.</w:t>
      </w:r>
    </w:p>
    <w:p>
      <w:pPr>
        <w:spacing w:after="0" w:line="230" w:lineRule="exact"/>
        <w:rPr>
          <w:rFonts w:ascii="Arial" w:cs="Arial" w:eastAsia="Arial" w:hAnsi="Arial"/>
          <w:sz w:val="14"/>
          <w:szCs w:val="14"/>
          <w:color w:val="auto"/>
        </w:rPr>
      </w:pPr>
    </w:p>
    <w:p>
      <w:pPr>
        <w:ind w:left="980" w:right="100" w:hanging="776"/>
        <w:spacing w:after="0" w:line="228" w:lineRule="auto"/>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229" w:lineRule="exact"/>
        <w:rPr>
          <w:rFonts w:ascii="Arial" w:cs="Arial" w:eastAsia="Arial" w:hAnsi="Arial"/>
          <w:sz w:val="14"/>
          <w:szCs w:val="14"/>
          <w:color w:val="auto"/>
        </w:rPr>
      </w:pPr>
    </w:p>
    <w:p>
      <w:pPr>
        <w:ind w:left="980" w:right="120" w:hanging="776"/>
        <w:spacing w:after="0" w:line="231" w:lineRule="auto"/>
        <w:tabs>
          <w:tab w:leader="none" w:pos="9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2"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776"/>
        <w:spacing w:after="0" w:line="228" w:lineRule="auto"/>
        <w:tabs>
          <w:tab w:leader="none" w:pos="9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Officers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123.</w:t>
      </w:r>
    </w:p>
    <w:p>
      <w:pPr>
        <w:spacing w:after="0" w:line="231" w:lineRule="exact"/>
        <w:rPr>
          <w:sz w:val="20"/>
          <w:szCs w:val="20"/>
          <w:color w:val="auto"/>
        </w:rPr>
      </w:pPr>
    </w:p>
    <w:p>
      <w:pPr>
        <w:ind w:left="980" w:right="40" w:hanging="769"/>
        <w:spacing w:after="0" w:line="228" w:lineRule="auto"/>
        <w:tabs>
          <w:tab w:leader="none" w:pos="960" w:val="left"/>
        </w:tabs>
        <w:rPr>
          <w:sz w:val="20"/>
          <w:szCs w:val="20"/>
          <w:color w:val="auto"/>
        </w:rPr>
      </w:pPr>
      <w:r>
        <w:rPr>
          <w:rFonts w:ascii="Arial" w:cs="Arial" w:eastAsia="Arial" w:hAnsi="Arial"/>
          <w:sz w:val="14"/>
          <w:szCs w:val="14"/>
          <w:color w:val="auto"/>
        </w:rPr>
        <w:t>123.1</w:t>
      </w:r>
      <w:r>
        <w:rPr>
          <w:sz w:val="20"/>
          <w:szCs w:val="20"/>
          <w:color w:val="auto"/>
        </w:rPr>
        <w:tab/>
      </w:r>
      <w:r>
        <w:rPr>
          <w:rFonts w:ascii="Arial" w:cs="Arial" w:eastAsia="Arial" w:hAnsi="Arial"/>
          <w:sz w:val="14"/>
          <w:szCs w:val="14"/>
          <w:color w:val="auto"/>
        </w:rPr>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230" w:lineRule="exact"/>
        <w:rPr>
          <w:sz w:val="20"/>
          <w:szCs w:val="20"/>
          <w:color w:val="auto"/>
        </w:rPr>
      </w:pPr>
    </w:p>
    <w:p>
      <w:pPr>
        <w:ind w:left="980" w:right="180" w:hanging="769"/>
        <w:spacing w:after="0" w:line="225" w:lineRule="auto"/>
        <w:tabs>
          <w:tab w:leader="none" w:pos="960" w:val="left"/>
        </w:tabs>
        <w:rPr>
          <w:sz w:val="20"/>
          <w:szCs w:val="20"/>
          <w:color w:val="auto"/>
        </w:rPr>
      </w:pPr>
      <w:r>
        <w:rPr>
          <w:rFonts w:ascii="Arial" w:cs="Arial" w:eastAsia="Arial" w:hAnsi="Arial"/>
          <w:sz w:val="14"/>
          <w:szCs w:val="14"/>
          <w:color w:val="auto"/>
        </w:rPr>
        <w:t>123.2</w:t>
      </w:r>
      <w:r>
        <w:rPr>
          <w:sz w:val="20"/>
          <w:szCs w:val="20"/>
          <w:color w:val="auto"/>
        </w:rPr>
        <w:tab/>
      </w:r>
      <w:r>
        <w:rPr>
          <w:rFonts w:ascii="Arial" w:cs="Arial" w:eastAsia="Arial" w:hAnsi="Arial"/>
          <w:sz w:val="14"/>
          <w:szCs w:val="14"/>
          <w:color w:val="auto"/>
        </w:rPr>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123.3</w:t>
      </w:r>
      <w:r>
        <w:rPr>
          <w:sz w:val="20"/>
          <w:szCs w:val="20"/>
          <w:color w:val="auto"/>
        </w:rPr>
        <w:tab/>
      </w:r>
      <w:r>
        <w:rPr>
          <w:rFonts w:ascii="Arial" w:cs="Arial" w:eastAsia="Arial" w:hAnsi="Arial"/>
          <w:sz w:val="14"/>
          <w:szCs w:val="14"/>
          <w:color w:val="auto"/>
        </w:rPr>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230" w:lineRule="exact"/>
        <w:rPr>
          <w:sz w:val="20"/>
          <w:szCs w:val="20"/>
          <w:color w:val="auto"/>
        </w:rPr>
      </w:pPr>
    </w:p>
    <w:p>
      <w:pPr>
        <w:ind w:left="980" w:right="100" w:hanging="769"/>
        <w:spacing w:after="0" w:line="225" w:lineRule="auto"/>
        <w:tabs>
          <w:tab w:leader="none" w:pos="960" w:val="left"/>
        </w:tabs>
        <w:rPr>
          <w:sz w:val="20"/>
          <w:szCs w:val="20"/>
          <w:color w:val="auto"/>
        </w:rPr>
      </w:pPr>
      <w:r>
        <w:rPr>
          <w:rFonts w:ascii="Arial" w:cs="Arial" w:eastAsia="Arial" w:hAnsi="Arial"/>
          <w:sz w:val="14"/>
          <w:szCs w:val="14"/>
          <w:color w:val="auto"/>
        </w:rPr>
        <w:t>123.4</w:t>
      </w:r>
      <w:r>
        <w:rPr>
          <w:sz w:val="20"/>
          <w:szCs w:val="20"/>
          <w:color w:val="auto"/>
        </w:rPr>
        <w:tab/>
      </w:r>
      <w:r>
        <w:rPr>
          <w:rFonts w:ascii="Arial" w:cs="Arial" w:eastAsia="Arial" w:hAnsi="Arial"/>
          <w:sz w:val="14"/>
          <w:szCs w:val="14"/>
          <w:color w:val="auto"/>
        </w:rPr>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123.5</w:t>
      </w:r>
      <w:r>
        <w:rPr>
          <w:sz w:val="20"/>
          <w:szCs w:val="20"/>
          <w:color w:val="auto"/>
        </w:rPr>
        <w:tab/>
      </w:r>
      <w:r>
        <w:rPr>
          <w:rFonts w:ascii="Arial" w:cs="Arial" w:eastAsia="Arial" w:hAnsi="Arial"/>
          <w:sz w:val="14"/>
          <w:szCs w:val="14"/>
          <w:color w:val="auto"/>
        </w:rPr>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230" w:lineRule="exact"/>
        <w:rPr>
          <w:sz w:val="20"/>
          <w:szCs w:val="20"/>
          <w:color w:val="auto"/>
        </w:rPr>
      </w:pPr>
    </w:p>
    <w:p>
      <w:pPr>
        <w:ind w:left="980" w:right="40" w:hanging="776"/>
        <w:spacing w:after="0" w:line="231" w:lineRule="auto"/>
        <w:tabs>
          <w:tab w:leader="none" w:pos="9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230" w:lineRule="exact"/>
        <w:rPr>
          <w:sz w:val="20"/>
          <w:szCs w:val="20"/>
          <w:color w:val="auto"/>
        </w:rPr>
      </w:pPr>
    </w:p>
    <w:p>
      <w:pPr>
        <w:ind w:left="980" w:right="160" w:hanging="769"/>
        <w:spacing w:after="0" w:line="231" w:lineRule="auto"/>
        <w:tabs>
          <w:tab w:leader="none" w:pos="960" w:val="left"/>
        </w:tabs>
        <w:rPr>
          <w:sz w:val="20"/>
          <w:szCs w:val="20"/>
          <w:color w:val="auto"/>
        </w:rPr>
      </w:pPr>
      <w:r>
        <w:rPr>
          <w:rFonts w:ascii="Arial" w:cs="Arial" w:eastAsia="Arial" w:hAnsi="Arial"/>
          <w:sz w:val="14"/>
          <w:szCs w:val="14"/>
          <w:color w:val="auto"/>
        </w:rPr>
        <w:t>125.1</w:t>
      </w:r>
      <w:r>
        <w:rPr>
          <w:sz w:val="20"/>
          <w:szCs w:val="20"/>
          <w:color w:val="auto"/>
        </w:rPr>
        <w:tab/>
      </w:r>
      <w:r>
        <w:rPr>
          <w:rFonts w:ascii="Arial" w:cs="Arial" w:eastAsia="Arial" w:hAnsi="Arial"/>
          <w:sz w:val="14"/>
          <w:szCs w:val="14"/>
          <w:color w:val="auto"/>
        </w:rPr>
        <w:t>It shall be the duty of the Secretary to make and keep records of the votes, doings and proceedings of all meetings of the members and Board of the Company, and of its committees, and to authenticate records of the Company.</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125.2</w:t>
      </w:r>
      <w:r>
        <w:rPr>
          <w:sz w:val="20"/>
          <w:szCs w:val="20"/>
          <w:color w:val="auto"/>
        </w:rPr>
        <w:tab/>
      </w:r>
      <w:r>
        <w:rPr>
          <w:rFonts w:ascii="Arial" w:cs="Arial" w:eastAsia="Arial" w:hAnsi="Arial"/>
          <w:sz w:val="14"/>
          <w:szCs w:val="14"/>
          <w:color w:val="auto"/>
        </w:rPr>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Proceedings of Directors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126.</w:t>
      </w:r>
    </w:p>
    <w:p>
      <w:pPr>
        <w:spacing w:after="0" w:line="231" w:lineRule="exact"/>
        <w:rPr>
          <w:sz w:val="20"/>
          <w:szCs w:val="20"/>
          <w:color w:val="auto"/>
        </w:rPr>
      </w:pPr>
    </w:p>
    <w:p>
      <w:pPr>
        <w:ind w:left="980" w:right="460" w:hanging="769"/>
        <w:spacing w:after="0" w:line="228" w:lineRule="auto"/>
        <w:tabs>
          <w:tab w:leader="none" w:pos="960" w:val="left"/>
        </w:tabs>
        <w:rPr>
          <w:sz w:val="20"/>
          <w:szCs w:val="20"/>
          <w:color w:val="auto"/>
        </w:rPr>
      </w:pPr>
      <w:r>
        <w:rPr>
          <w:rFonts w:ascii="Arial" w:cs="Arial" w:eastAsia="Arial" w:hAnsi="Arial"/>
          <w:sz w:val="14"/>
          <w:szCs w:val="14"/>
          <w:color w:val="auto"/>
        </w:rPr>
        <w:t>126.1</w:t>
      </w:r>
      <w:r>
        <w:rPr>
          <w:sz w:val="20"/>
          <w:szCs w:val="20"/>
          <w:color w:val="auto"/>
        </w:rPr>
        <w:tab/>
      </w:r>
      <w:r>
        <w:rPr>
          <w:rFonts w:ascii="Arial" w:cs="Arial" w:eastAsia="Arial" w:hAnsi="Arial"/>
          <w:sz w:val="14"/>
          <w:szCs w:val="14"/>
          <w:color w:val="auto"/>
        </w:rPr>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230" w:lineRule="exact"/>
        <w:rPr>
          <w:sz w:val="20"/>
          <w:szCs w:val="20"/>
          <w:color w:val="auto"/>
        </w:rPr>
      </w:pPr>
    </w:p>
    <w:p>
      <w:pPr>
        <w:jc w:val="both"/>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126.2</w:t>
      </w:r>
      <w:r>
        <w:rPr>
          <w:sz w:val="20"/>
          <w:szCs w:val="20"/>
          <w:color w:val="auto"/>
        </w:rPr>
        <w:tab/>
      </w:r>
      <w:r>
        <w:rPr>
          <w:rFonts w:ascii="Arial" w:cs="Arial" w:eastAsia="Arial" w:hAnsi="Arial"/>
          <w:sz w:val="14"/>
          <w:szCs w:val="14"/>
          <w:color w:val="auto"/>
        </w:rPr>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230" w:lineRule="exact"/>
        <w:rPr>
          <w:sz w:val="20"/>
          <w:szCs w:val="20"/>
          <w:color w:val="auto"/>
        </w:rPr>
      </w:pPr>
    </w:p>
    <w:p>
      <w:pPr>
        <w:ind w:left="980" w:right="60" w:hanging="769"/>
        <w:spacing w:after="0" w:line="272" w:lineRule="auto"/>
        <w:tabs>
          <w:tab w:leader="none" w:pos="960" w:val="left"/>
        </w:tabs>
        <w:rPr>
          <w:sz w:val="20"/>
          <w:szCs w:val="20"/>
          <w:color w:val="auto"/>
        </w:rPr>
      </w:pPr>
      <w:r>
        <w:rPr>
          <w:rFonts w:ascii="Arial" w:cs="Arial" w:eastAsia="Arial" w:hAnsi="Arial"/>
          <w:sz w:val="14"/>
          <w:szCs w:val="14"/>
          <w:color w:val="auto"/>
        </w:rPr>
        <w:t>126.3</w:t>
      </w:r>
      <w:r>
        <w:rPr>
          <w:sz w:val="20"/>
          <w:szCs w:val="20"/>
          <w:color w:val="auto"/>
        </w:rPr>
        <w:tab/>
      </w:r>
      <w:r>
        <w:rPr>
          <w:rFonts w:ascii="Arial" w:cs="Arial" w:eastAsia="Arial" w:hAnsi="Arial"/>
          <w:sz w:val="12"/>
          <w:szCs w:val="12"/>
          <w:color w:val="auto"/>
        </w:rPr>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212" w:lineRule="exact"/>
        <w:rPr>
          <w:sz w:val="20"/>
          <w:szCs w:val="20"/>
          <w:color w:val="auto"/>
        </w:rPr>
      </w:pPr>
    </w:p>
    <w:p>
      <w:pPr>
        <w:ind w:left="980" w:hanging="776"/>
        <w:spacing w:after="0"/>
        <w:tabs>
          <w:tab w:leader="none" w:pos="98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Chairman or any two Directors may, and the Secretary shall on the requisition of the Chairman or any two Directors, at any time summon a meeting of the Directors.</w:t>
      </w:r>
    </w:p>
    <w:p>
      <w:pPr>
        <w:spacing w:after="0" w:line="253" w:lineRule="exact"/>
        <w:rPr>
          <w:rFonts w:ascii="Arial" w:cs="Arial" w:eastAsia="Arial" w:hAnsi="Arial"/>
          <w:sz w:val="12"/>
          <w:szCs w:val="12"/>
          <w:color w:val="auto"/>
        </w:rPr>
      </w:pPr>
    </w:p>
    <w:p>
      <w:pPr>
        <w:ind w:left="980" w:hanging="776"/>
        <w:spacing w:after="0" w:line="228" w:lineRule="auto"/>
        <w:tabs>
          <w:tab w:leader="none" w:pos="9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229" w:lineRule="exact"/>
        <w:rPr>
          <w:rFonts w:ascii="Arial" w:cs="Arial" w:eastAsia="Arial" w:hAnsi="Arial"/>
          <w:sz w:val="14"/>
          <w:szCs w:val="14"/>
          <w:color w:val="auto"/>
        </w:rPr>
      </w:pPr>
    </w:p>
    <w:p>
      <w:pPr>
        <w:ind w:left="980" w:right="40" w:hanging="776"/>
        <w:spacing w:after="0" w:line="228" w:lineRule="auto"/>
        <w:tabs>
          <w:tab w:leader="none" w:pos="9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A-21</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79" w:lineRule="auto"/>
        <w:rPr>
          <w:sz w:val="20"/>
          <w:szCs w:val="20"/>
          <w:color w:val="auto"/>
        </w:rPr>
      </w:pPr>
      <w:r>
        <w:rPr>
          <w:rFonts w:ascii="Arial" w:cs="Arial" w:eastAsia="Arial" w:hAnsi="Arial"/>
          <w:sz w:val="12"/>
          <w:szCs w:val="12"/>
          <w:color w:val="auto"/>
        </w:rPr>
        <w:t>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208" w:lineRule="exact"/>
        <w:rPr>
          <w:sz w:val="20"/>
          <w:szCs w:val="20"/>
          <w:color w:val="auto"/>
        </w:rPr>
      </w:pPr>
    </w:p>
    <w:p>
      <w:pPr>
        <w:ind w:left="980" w:right="620" w:hanging="776"/>
        <w:spacing w:after="0" w:line="231" w:lineRule="auto"/>
        <w:tabs>
          <w:tab w:leader="none" w:pos="9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29" w:lineRule="exact"/>
        <w:rPr>
          <w:rFonts w:ascii="Arial" w:cs="Arial" w:eastAsia="Arial" w:hAnsi="Arial"/>
          <w:sz w:val="14"/>
          <w:szCs w:val="14"/>
          <w:color w:val="auto"/>
        </w:rPr>
      </w:pPr>
    </w:p>
    <w:p>
      <w:pPr>
        <w:ind w:left="980" w:right="100" w:hanging="776"/>
        <w:spacing w:after="0" w:line="272" w:lineRule="auto"/>
        <w:tabs>
          <w:tab w:leader="none" w:pos="98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211" w:lineRule="exact"/>
        <w:rPr>
          <w:rFonts w:ascii="Arial" w:cs="Arial" w:eastAsia="Arial" w:hAnsi="Arial"/>
          <w:sz w:val="12"/>
          <w:szCs w:val="12"/>
          <w:color w:val="auto"/>
        </w:rPr>
      </w:pPr>
    </w:p>
    <w:p>
      <w:pPr>
        <w:ind w:left="980" w:right="80" w:hanging="776"/>
        <w:spacing w:after="0" w:line="224" w:lineRule="auto"/>
        <w:tabs>
          <w:tab w:leader="none" w:pos="9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Rights plan</w:t>
      </w:r>
    </w:p>
    <w:p>
      <w:pPr>
        <w:spacing w:after="0" w:line="247" w:lineRule="exact"/>
        <w:rPr>
          <w:sz w:val="20"/>
          <w:szCs w:val="20"/>
          <w:color w:val="auto"/>
        </w:rPr>
      </w:pPr>
    </w:p>
    <w:p>
      <w:pPr>
        <w:ind w:left="980" w:right="60" w:hanging="776"/>
        <w:spacing w:after="0" w:line="228" w:lineRule="auto"/>
        <w:tabs>
          <w:tab w:leader="none" w:pos="9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seal</w:t>
      </w:r>
    </w:p>
    <w:p>
      <w:pPr>
        <w:spacing w:after="0" w:line="247" w:lineRule="exact"/>
        <w:rPr>
          <w:sz w:val="20"/>
          <w:szCs w:val="20"/>
          <w:color w:val="auto"/>
        </w:rPr>
      </w:pPr>
    </w:p>
    <w:p>
      <w:pPr>
        <w:ind w:left="980" w:hanging="776"/>
        <w:spacing w:after="0" w:line="228" w:lineRule="auto"/>
        <w:tabs>
          <w:tab w:leader="none" w:pos="9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229" w:lineRule="exact"/>
        <w:rPr>
          <w:rFonts w:ascii="Arial" w:cs="Arial" w:eastAsia="Arial" w:hAnsi="Arial"/>
          <w:sz w:val="14"/>
          <w:szCs w:val="14"/>
          <w:color w:val="auto"/>
        </w:rPr>
      </w:pPr>
    </w:p>
    <w:p>
      <w:pPr>
        <w:jc w:val="both"/>
        <w:ind w:left="980" w:right="80" w:hanging="776"/>
        <w:spacing w:after="0" w:line="258" w:lineRule="auto"/>
        <w:tabs>
          <w:tab w:leader="none" w:pos="9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2"/>
          <w:szCs w:val="12"/>
          <w:b w:val="1"/>
          <w:bCs w:val="1"/>
          <w:color w:val="auto"/>
        </w:rPr>
        <w:t>Authorised Person</w:t>
      </w:r>
      <w:r>
        <w:rPr>
          <w:rFonts w:ascii="Arial" w:cs="Arial" w:eastAsia="Arial" w:hAnsi="Arial"/>
          <w:sz w:val="12"/>
          <w:szCs w:val="12"/>
          <w:color w:val="auto"/>
        </w:rPr>
        <w:t>” means</w:t>
      </w:r>
    </w:p>
    <w:p>
      <w:pPr>
        <w:ind w:left="980" w:right="100"/>
        <w:spacing w:after="0" w:line="231" w:lineRule="auto"/>
        <w:rPr>
          <w:rFonts w:ascii="Arial" w:cs="Arial" w:eastAsia="Arial" w:hAnsi="Arial"/>
          <w:sz w:val="12"/>
          <w:szCs w:val="12"/>
          <w:color w:val="auto"/>
        </w:rPr>
      </w:pPr>
      <w:r>
        <w:rPr>
          <w:rFonts w:ascii="Arial" w:cs="Arial" w:eastAsia="Arial" w:hAnsi="Arial"/>
          <w:sz w:val="14"/>
          <w:szCs w:val="14"/>
          <w:color w:val="auto"/>
        </w:rPr>
        <w:t>(i)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Dividends and reserves</w:t>
      </w:r>
    </w:p>
    <w:p>
      <w:pPr>
        <w:spacing w:after="0" w:line="152" w:lineRule="exact"/>
        <w:rPr>
          <w:sz w:val="20"/>
          <w:szCs w:val="20"/>
          <w:color w:val="auto"/>
        </w:rPr>
      </w:pPr>
    </w:p>
    <w:p>
      <w:pPr>
        <w:ind w:left="980" w:hanging="776"/>
        <w:spacing w:after="0"/>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Company in general meeting may declare dividends, but no dividends shall exceed the amount recommended by the Directors.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Directors may from time to time declare payment to the members of such interim dividends to the extent that the declaration of such dividends appears to the Directors to be justified by the profits of the Company.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No dividend or interim dividend shall be paid otherwise than in accordance with the provisions of Part IV of the 1983 Act.</w:t>
      </w:r>
    </w:p>
    <w:p>
      <w:pPr>
        <w:spacing w:after="0" w:line="230" w:lineRule="exact"/>
        <w:rPr>
          <w:rFonts w:ascii="Arial" w:cs="Arial" w:eastAsia="Arial" w:hAnsi="Arial"/>
          <w:sz w:val="14"/>
          <w:szCs w:val="14"/>
          <w:color w:val="auto"/>
        </w:rPr>
      </w:pPr>
    </w:p>
    <w:p>
      <w:pPr>
        <w:ind w:left="980" w:right="80" w:hanging="776"/>
        <w:spacing w:after="0" w:line="226"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230" w:lineRule="exact"/>
        <w:rPr>
          <w:rFonts w:ascii="Arial" w:cs="Arial" w:eastAsia="Arial" w:hAnsi="Arial"/>
          <w:sz w:val="14"/>
          <w:szCs w:val="14"/>
          <w:color w:val="auto"/>
        </w:rPr>
      </w:pPr>
    </w:p>
    <w:p>
      <w:pPr>
        <w:ind w:left="980" w:right="320" w:hanging="776"/>
        <w:spacing w:after="0" w:line="231"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230" w:lineRule="exact"/>
        <w:rPr>
          <w:rFonts w:ascii="Arial" w:cs="Arial" w:eastAsia="Arial" w:hAnsi="Arial"/>
          <w:sz w:val="14"/>
          <w:szCs w:val="14"/>
          <w:color w:val="auto"/>
        </w:rPr>
      </w:pPr>
    </w:p>
    <w:p>
      <w:pPr>
        <w:ind w:left="980" w:right="560" w:hanging="776"/>
        <w:spacing w:after="0" w:line="231"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Directors may deduct from any dividend payable to any member all sums of money (if any) immediately payable by him to the Company on account of calls or otherwise in relation to the shares of the Company.</w:t>
      </w:r>
    </w:p>
    <w:p>
      <w:pPr>
        <w:spacing w:after="0" w:line="230"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64" w:lineRule="auto"/>
        <w:tabs>
          <w:tab w:leader="none" w:pos="9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369" w:lineRule="exact"/>
        <w:rPr>
          <w:rFonts w:ascii="Arial" w:cs="Arial" w:eastAsia="Arial" w:hAnsi="Arial"/>
          <w:sz w:val="12"/>
          <w:szCs w:val="12"/>
          <w:color w:val="auto"/>
        </w:rPr>
      </w:pPr>
    </w:p>
    <w:p>
      <w:pPr>
        <w:ind w:left="980" w:right="520" w:hanging="776"/>
        <w:spacing w:after="0" w:line="231" w:lineRule="auto"/>
        <w:tabs>
          <w:tab w:leader="none" w:pos="9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No dividend or other monies payable by the Company on or in respect of any share shall bear interest against the Company, unless the terms of issue of that share expressly provide otherwise.</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Accounts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147.</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147.1</w:t>
      </w:r>
      <w:r>
        <w:rPr>
          <w:sz w:val="20"/>
          <w:szCs w:val="20"/>
          <w:color w:val="auto"/>
        </w:rPr>
        <w:tab/>
      </w:r>
      <w:r>
        <w:rPr>
          <w:rFonts w:ascii="Arial" w:cs="Arial" w:eastAsia="Arial" w:hAnsi="Arial"/>
          <w:sz w:val="12"/>
          <w:szCs w:val="12"/>
          <w:color w:val="auto"/>
        </w:rPr>
        <w:t>The Directors shall cause to be kept proper books of account, whether in the form of documents, electronic form or otherwise, that:</w:t>
      </w:r>
    </w:p>
    <w:p>
      <w:pPr>
        <w:spacing w:after="0" w:line="231" w:lineRule="exact"/>
        <w:rPr>
          <w:sz w:val="20"/>
          <w:szCs w:val="20"/>
          <w:color w:val="auto"/>
        </w:rPr>
      </w:pPr>
    </w:p>
    <w:p>
      <w:pPr>
        <w:ind w:left="1860" w:hanging="886"/>
        <w:spacing w:after="0"/>
        <w:tabs>
          <w:tab w:leader="none" w:pos="18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correctly record and explain the transactions of the Company;</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will at any time enable the financial position of the Company to be determined with reasonable accuracy;</w:t>
      </w:r>
    </w:p>
    <w:p>
      <w:pPr>
        <w:spacing w:after="0" w:line="230" w:lineRule="exact"/>
        <w:rPr>
          <w:rFonts w:ascii="Arial" w:cs="Arial" w:eastAsia="Arial" w:hAnsi="Arial"/>
          <w:sz w:val="14"/>
          <w:szCs w:val="14"/>
          <w:color w:val="auto"/>
        </w:rPr>
      </w:pPr>
    </w:p>
    <w:p>
      <w:pPr>
        <w:ind w:left="1860" w:right="300" w:hanging="886"/>
        <w:spacing w:after="0" w:line="231" w:lineRule="auto"/>
        <w:tabs>
          <w:tab w:leader="none" w:pos="18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will enable the Directors to ensure that any balance sheet, profit and loss account or income and expenditure account of the Company complies with the requirements of the Acts;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will enable the accounts of the Company to be readily and properly audited.</w:t>
      </w:r>
    </w:p>
    <w:p>
      <w:pPr>
        <w:spacing w:after="0" w:line="209" w:lineRule="exact"/>
        <w:rPr>
          <w:sz w:val="20"/>
          <w:szCs w:val="20"/>
          <w:color w:val="auto"/>
        </w:rPr>
      </w:pPr>
    </w:p>
    <w:p>
      <w:pPr>
        <w:jc w:val="both"/>
        <w:ind w:left="980" w:right="160"/>
        <w:spacing w:after="0" w:line="250" w:lineRule="auto"/>
        <w:rPr>
          <w:sz w:val="20"/>
          <w:szCs w:val="20"/>
          <w:color w:val="auto"/>
        </w:rPr>
      </w:pPr>
      <w:r>
        <w:rPr>
          <w:rFonts w:ascii="Arial" w:cs="Arial" w:eastAsia="Arial" w:hAnsi="Arial"/>
          <w:sz w:val="14"/>
          <w:szCs w:val="14"/>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99" w:lineRule="exact"/>
        <w:rPr>
          <w:sz w:val="20"/>
          <w:szCs w:val="20"/>
          <w:color w:val="auto"/>
        </w:rPr>
      </w:pPr>
    </w:p>
    <w:p>
      <w:pPr>
        <w:ind w:left="980" w:right="100"/>
        <w:spacing w:after="0" w:line="250" w:lineRule="auto"/>
        <w:rPr>
          <w:sz w:val="20"/>
          <w:szCs w:val="20"/>
          <w:color w:val="auto"/>
        </w:rPr>
      </w:pPr>
      <w:r>
        <w:rPr>
          <w:rFonts w:ascii="Arial" w:cs="Arial" w:eastAsia="Arial" w:hAnsi="Arial"/>
          <w:sz w:val="14"/>
          <w:szCs w:val="14"/>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221"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147.2</w:t>
      </w:r>
      <w:r>
        <w:rPr>
          <w:sz w:val="20"/>
          <w:szCs w:val="20"/>
          <w:color w:val="auto"/>
        </w:rPr>
        <w:tab/>
      </w:r>
      <w:r>
        <w:rPr>
          <w:rFonts w:ascii="Arial" w:cs="Arial" w:eastAsia="Arial" w:hAnsi="Arial"/>
          <w:sz w:val="14"/>
          <w:szCs w:val="14"/>
          <w:color w:val="auto"/>
        </w:rPr>
        <w:t>The books of account shall be kept at the Office or, subject to the provisions of the Acts, at such other place as the Directors think fit and shall be open at all reasonable times to the inspection of the Directors.</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147.3</w:t>
      </w:r>
      <w:r>
        <w:rPr>
          <w:sz w:val="20"/>
          <w:szCs w:val="20"/>
          <w:color w:val="auto"/>
        </w:rPr>
        <w:tab/>
      </w:r>
      <w:r>
        <w:rPr>
          <w:rFonts w:ascii="Arial" w:cs="Arial" w:eastAsia="Arial" w:hAnsi="Arial"/>
          <w:sz w:val="14"/>
          <w:szCs w:val="14"/>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30" w:lineRule="exact"/>
        <w:rPr>
          <w:sz w:val="20"/>
          <w:szCs w:val="20"/>
          <w:color w:val="auto"/>
        </w:rPr>
      </w:pPr>
    </w:p>
    <w:p>
      <w:pPr>
        <w:ind w:left="980" w:right="60" w:hanging="769"/>
        <w:spacing w:after="0" w:line="225" w:lineRule="auto"/>
        <w:tabs>
          <w:tab w:leader="none" w:pos="960" w:val="left"/>
        </w:tabs>
        <w:rPr>
          <w:sz w:val="20"/>
          <w:szCs w:val="20"/>
          <w:color w:val="auto"/>
        </w:rPr>
      </w:pPr>
      <w:r>
        <w:rPr>
          <w:rFonts w:ascii="Arial" w:cs="Arial" w:eastAsia="Arial" w:hAnsi="Arial"/>
          <w:sz w:val="14"/>
          <w:szCs w:val="14"/>
          <w:color w:val="auto"/>
        </w:rPr>
        <w:t>147.4</w:t>
      </w:r>
      <w:r>
        <w:rPr>
          <w:sz w:val="20"/>
          <w:szCs w:val="20"/>
          <w:color w:val="auto"/>
        </w:rPr>
        <w:tab/>
      </w:r>
      <w:r>
        <w:rPr>
          <w:rFonts w:ascii="Arial" w:cs="Arial" w:eastAsia="Arial" w:hAnsi="Arial"/>
          <w:sz w:val="14"/>
          <w:szCs w:val="14"/>
          <w:color w:val="auto"/>
        </w:rPr>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Capitalization of profits</w:t>
      </w:r>
    </w:p>
    <w:p>
      <w:pPr>
        <w:spacing w:after="0" w:line="247" w:lineRule="exact"/>
        <w:rPr>
          <w:sz w:val="20"/>
          <w:szCs w:val="20"/>
          <w:color w:val="auto"/>
        </w:rPr>
      </w:pPr>
    </w:p>
    <w:p>
      <w:pPr>
        <w:ind w:left="980" w:hanging="776"/>
        <w:spacing w:after="0" w:line="223" w:lineRule="auto"/>
        <w:tabs>
          <w:tab w:leader="none" w:pos="9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Amendment of articles</w:t>
      </w:r>
    </w:p>
    <w:p>
      <w:pPr>
        <w:spacing w:after="0" w:line="247" w:lineRule="exact"/>
        <w:rPr>
          <w:sz w:val="20"/>
          <w:szCs w:val="20"/>
          <w:color w:val="auto"/>
        </w:rPr>
      </w:pPr>
    </w:p>
    <w:p>
      <w:pPr>
        <w:ind w:left="980" w:hanging="776"/>
        <w:spacing w:after="0"/>
        <w:tabs>
          <w:tab w:leader="none" w:pos="9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Subject to the provisions of the Acts, the Company may by Special Resolution alter or add to its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A-23</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Audit</w:t>
      </w:r>
    </w:p>
    <w:p>
      <w:pPr>
        <w:spacing w:after="0" w:line="247" w:lineRule="exact"/>
        <w:rPr>
          <w:sz w:val="20"/>
          <w:szCs w:val="20"/>
          <w:color w:val="auto"/>
        </w:rPr>
      </w:pPr>
    </w:p>
    <w:p>
      <w:pPr>
        <w:ind w:left="980" w:hanging="776"/>
        <w:spacing w:after="0"/>
        <w:tabs>
          <w:tab w:leader="none" w:pos="9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Auditors shall be appointed and their duties regulated in accordance with sections 160 to 163 of the Act or any statutory amendment thereof.</w:t>
      </w:r>
    </w:p>
    <w:p>
      <w:pPr>
        <w:spacing w:after="0" w:line="187" w:lineRule="exact"/>
        <w:rPr>
          <w:rFonts w:ascii="Arial" w:cs="Arial" w:eastAsia="Arial" w:hAnsi="Arial"/>
          <w:sz w:val="14"/>
          <w:szCs w:val="14"/>
          <w:color w:val="auto"/>
        </w:rPr>
      </w:pPr>
    </w:p>
    <w:p>
      <w:pPr>
        <w:ind w:left="5280"/>
        <w:spacing w:after="0"/>
        <w:rPr>
          <w:rFonts w:ascii="Arial" w:cs="Arial" w:eastAsia="Arial" w:hAnsi="Arial"/>
          <w:sz w:val="14"/>
          <w:szCs w:val="14"/>
          <w:color w:val="auto"/>
        </w:rPr>
      </w:pPr>
      <w:r>
        <w:rPr>
          <w:rFonts w:ascii="Arial" w:cs="Arial" w:eastAsia="Arial" w:hAnsi="Arial"/>
          <w:sz w:val="14"/>
          <w:szCs w:val="14"/>
          <w:b w:val="1"/>
          <w:bCs w:val="1"/>
          <w:color w:val="auto"/>
        </w:rPr>
        <w:t>Record Dates</w:t>
      </w:r>
    </w:p>
    <w:p>
      <w:pPr>
        <w:spacing w:after="0" w:line="246" w:lineRule="exact"/>
        <w:rPr>
          <w:rFonts w:ascii="Arial" w:cs="Arial" w:eastAsia="Arial" w:hAnsi="Arial"/>
          <w:sz w:val="14"/>
          <w:szCs w:val="14"/>
          <w:color w:val="auto"/>
        </w:rPr>
      </w:pPr>
    </w:p>
    <w:p>
      <w:pPr>
        <w:ind w:left="980" w:right="40" w:hanging="776"/>
        <w:spacing w:after="0" w:line="225" w:lineRule="auto"/>
        <w:tabs>
          <w:tab w:leader="none" w:pos="9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Save as provided in article 152 relating to meetings of the member 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231"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Notices</w:t>
      </w:r>
    </w:p>
    <w:p>
      <w:pPr>
        <w:spacing w:after="0" w:line="247" w:lineRule="exact"/>
        <w:rPr>
          <w:sz w:val="20"/>
          <w:szCs w:val="20"/>
          <w:color w:val="auto"/>
        </w:rPr>
      </w:pPr>
    </w:p>
    <w:p>
      <w:pPr>
        <w:ind w:left="980" w:hanging="776"/>
        <w:spacing w:after="0"/>
        <w:tabs>
          <w:tab w:leader="none" w:pos="9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Any notice to be given, served, sent or delivered pursuant to these articles shall be in writing (whether in electronic form or otherwise).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153.1</w:t>
      </w:r>
      <w:r>
        <w:rPr>
          <w:sz w:val="20"/>
          <w:szCs w:val="20"/>
          <w:color w:val="auto"/>
        </w:rPr>
        <w:tab/>
      </w:r>
      <w:r>
        <w:rPr>
          <w:rFonts w:ascii="Arial" w:cs="Arial" w:eastAsia="Arial" w:hAnsi="Arial"/>
          <w:sz w:val="12"/>
          <w:szCs w:val="12"/>
          <w:color w:val="auto"/>
        </w:rPr>
        <w:t>A notice or document to be given, served, sent or delivered in pursuance of these articles may be given to, served on or delivered to any member by the Company:</w:t>
      </w:r>
    </w:p>
    <w:p>
      <w:pPr>
        <w:spacing w:after="0" w:line="231" w:lineRule="exact"/>
        <w:rPr>
          <w:sz w:val="20"/>
          <w:szCs w:val="20"/>
          <w:color w:val="auto"/>
        </w:rPr>
      </w:pPr>
    </w:p>
    <w:p>
      <w:pPr>
        <w:ind w:left="1860" w:hanging="886"/>
        <w:spacing w:after="0"/>
        <w:tabs>
          <w:tab w:leader="none" w:pos="18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by handing same to him or his authorised agent;</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by leaving the same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by sending the same by the post in a pre-paid cover addressed to him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by sending the same by courier in a pre-paid cover addressed to him at his registered address; or</w:t>
      </w:r>
    </w:p>
    <w:p>
      <w:pPr>
        <w:spacing w:after="0" w:line="230" w:lineRule="exact"/>
        <w:rPr>
          <w:rFonts w:ascii="Arial" w:cs="Arial" w:eastAsia="Arial" w:hAnsi="Arial"/>
          <w:sz w:val="14"/>
          <w:szCs w:val="14"/>
          <w:color w:val="auto"/>
        </w:rPr>
      </w:pPr>
    </w:p>
    <w:p>
      <w:pPr>
        <w:jc w:val="both"/>
        <w:ind w:left="1860" w:right="40" w:hanging="886"/>
        <w:spacing w:after="0" w:line="228" w:lineRule="auto"/>
        <w:tabs>
          <w:tab w:leader="none" w:pos="18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230" w:lineRule="exact"/>
        <w:rPr>
          <w:sz w:val="20"/>
          <w:szCs w:val="20"/>
          <w:color w:val="auto"/>
        </w:rPr>
      </w:pPr>
    </w:p>
    <w:p>
      <w:pPr>
        <w:jc w:val="both"/>
        <w:ind w:left="980" w:right="220" w:hanging="769"/>
        <w:spacing w:after="0" w:line="231" w:lineRule="auto"/>
        <w:tabs>
          <w:tab w:leader="none" w:pos="960" w:val="left"/>
        </w:tabs>
        <w:rPr>
          <w:sz w:val="20"/>
          <w:szCs w:val="20"/>
          <w:color w:val="auto"/>
        </w:rPr>
      </w:pPr>
      <w:r>
        <w:rPr>
          <w:rFonts w:ascii="Arial" w:cs="Arial" w:eastAsia="Arial" w:hAnsi="Arial"/>
          <w:sz w:val="14"/>
          <w:szCs w:val="14"/>
          <w:color w:val="auto"/>
        </w:rPr>
        <w:t>153.2</w:t>
      </w:r>
      <w:r>
        <w:rPr>
          <w:sz w:val="20"/>
          <w:szCs w:val="20"/>
          <w:color w:val="auto"/>
        </w:rPr>
        <w:tab/>
      </w:r>
      <w:r>
        <w:rPr>
          <w:rFonts w:ascii="Arial" w:cs="Arial" w:eastAsia="Arial" w:hAnsi="Arial"/>
          <w:sz w:val="14"/>
          <w:szCs w:val="14"/>
          <w:color w:val="auto"/>
        </w:rPr>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230"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153.3</w:t>
      </w:r>
      <w:r>
        <w:rPr>
          <w:sz w:val="20"/>
          <w:szCs w:val="20"/>
          <w:color w:val="auto"/>
        </w:rPr>
        <w:tab/>
      </w:r>
      <w:r>
        <w:rPr>
          <w:rFonts w:ascii="Arial" w:cs="Arial" w:eastAsia="Arial" w:hAnsi="Arial"/>
          <w:sz w:val="14"/>
          <w:szCs w:val="14"/>
          <w:color w:val="auto"/>
        </w:rPr>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153.4</w:t>
      </w:r>
      <w:r>
        <w:rPr>
          <w:sz w:val="20"/>
          <w:szCs w:val="20"/>
          <w:color w:val="auto"/>
        </w:rPr>
        <w:tab/>
      </w:r>
      <w:r>
        <w:rPr>
          <w:rFonts w:ascii="Arial" w:cs="Arial" w:eastAsia="Arial" w:hAnsi="Arial"/>
          <w:sz w:val="14"/>
          <w:szCs w:val="14"/>
          <w:color w:val="auto"/>
        </w:rPr>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230"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153.5</w:t>
      </w:r>
      <w:r>
        <w:rPr>
          <w:sz w:val="20"/>
          <w:szCs w:val="20"/>
          <w:color w:val="auto"/>
        </w:rPr>
        <w:tab/>
      </w:r>
      <w:r>
        <w:rPr>
          <w:rFonts w:ascii="Arial" w:cs="Arial" w:eastAsia="Arial" w:hAnsi="Arial"/>
          <w:sz w:val="14"/>
          <w:szCs w:val="14"/>
          <w:color w:val="auto"/>
        </w:rPr>
        <w:t>Where a notice or document is given, served or delivered pursuant to article 153.1(e) of this article, the giving, service or delivery thereof shall be deemed to have been effected immediately upon receipt of transmittal confirmation.</w:t>
      </w:r>
    </w:p>
    <w:p>
      <w:pPr>
        <w:spacing w:after="0" w:line="230" w:lineRule="exact"/>
        <w:rPr>
          <w:sz w:val="20"/>
          <w:szCs w:val="20"/>
          <w:color w:val="auto"/>
        </w:rPr>
      </w:pPr>
    </w:p>
    <w:p>
      <w:pPr>
        <w:ind w:left="980" w:right="20" w:hanging="769"/>
        <w:spacing w:after="0" w:line="226" w:lineRule="auto"/>
        <w:tabs>
          <w:tab w:leader="none" w:pos="960" w:val="left"/>
        </w:tabs>
        <w:rPr>
          <w:sz w:val="20"/>
          <w:szCs w:val="20"/>
          <w:color w:val="auto"/>
        </w:rPr>
      </w:pPr>
      <w:r>
        <w:rPr>
          <w:rFonts w:ascii="Arial" w:cs="Arial" w:eastAsia="Arial" w:hAnsi="Arial"/>
          <w:sz w:val="14"/>
          <w:szCs w:val="14"/>
          <w:color w:val="auto"/>
        </w:rPr>
        <w:t>153.6</w:t>
      </w:r>
      <w:r>
        <w:rPr>
          <w:sz w:val="20"/>
          <w:szCs w:val="20"/>
          <w:color w:val="auto"/>
        </w:rPr>
        <w:tab/>
      </w:r>
      <w:r>
        <w:rPr>
          <w:rFonts w:ascii="Arial" w:cs="Arial" w:eastAsia="Arial" w:hAnsi="Arial"/>
          <w:sz w:val="14"/>
          <w:szCs w:val="14"/>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153.7</w:t>
      </w:r>
      <w:r>
        <w:rPr>
          <w:sz w:val="20"/>
          <w:szCs w:val="20"/>
          <w:color w:val="auto"/>
        </w:rPr>
        <w:tab/>
      </w:r>
      <w:r>
        <w:rPr>
          <w:rFonts w:ascii="Arial" w:cs="Arial" w:eastAsia="Arial" w:hAnsi="Arial"/>
          <w:sz w:val="14"/>
          <w:szCs w:val="14"/>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230" w:lineRule="exact"/>
        <w:rPr>
          <w:sz w:val="20"/>
          <w:szCs w:val="20"/>
          <w:color w:val="auto"/>
        </w:rPr>
      </w:pPr>
    </w:p>
    <w:p>
      <w:pPr>
        <w:ind w:left="980" w:hanging="769"/>
        <w:spacing w:after="0" w:line="224" w:lineRule="auto"/>
        <w:tabs>
          <w:tab w:leader="none" w:pos="960" w:val="left"/>
        </w:tabs>
        <w:rPr>
          <w:sz w:val="20"/>
          <w:szCs w:val="20"/>
          <w:color w:val="auto"/>
        </w:rPr>
      </w:pPr>
      <w:r>
        <w:rPr>
          <w:rFonts w:ascii="Arial" w:cs="Arial" w:eastAsia="Arial" w:hAnsi="Arial"/>
          <w:sz w:val="14"/>
          <w:szCs w:val="14"/>
          <w:color w:val="auto"/>
        </w:rPr>
        <w:t>153.8</w:t>
      </w:r>
      <w:r>
        <w:rPr>
          <w:sz w:val="20"/>
          <w:szCs w:val="20"/>
          <w:color w:val="auto"/>
        </w:rPr>
        <w:tab/>
      </w:r>
      <w:r>
        <w:rPr>
          <w:rFonts w:ascii="Arial" w:cs="Arial" w:eastAsia="Arial" w:hAnsi="Arial"/>
          <w:sz w:val="14"/>
          <w:szCs w:val="14"/>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231" w:lineRule="exact"/>
        <w:rPr>
          <w:sz w:val="20"/>
          <w:szCs w:val="20"/>
          <w:color w:val="auto"/>
        </w:rPr>
      </w:pPr>
    </w:p>
    <w:p>
      <w:pPr>
        <w:ind w:left="980" w:right="560" w:hanging="769"/>
        <w:spacing w:after="0" w:line="300" w:lineRule="auto"/>
        <w:tabs>
          <w:tab w:leader="none" w:pos="960" w:val="left"/>
        </w:tabs>
        <w:rPr>
          <w:sz w:val="20"/>
          <w:szCs w:val="20"/>
          <w:color w:val="auto"/>
        </w:rPr>
      </w:pPr>
      <w:r>
        <w:rPr>
          <w:rFonts w:ascii="Arial" w:cs="Arial" w:eastAsia="Arial" w:hAnsi="Arial"/>
          <w:sz w:val="14"/>
          <w:szCs w:val="14"/>
          <w:color w:val="auto"/>
        </w:rPr>
        <w:t>153.9</w:t>
      </w:r>
      <w:r>
        <w:rPr>
          <w:sz w:val="20"/>
          <w:szCs w:val="20"/>
          <w:color w:val="auto"/>
        </w:rPr>
        <w:tab/>
      </w:r>
      <w:r>
        <w:rPr>
          <w:rFonts w:ascii="Arial" w:cs="Arial" w:eastAsia="Arial" w:hAnsi="Arial"/>
          <w:sz w:val="12"/>
          <w:szCs w:val="12"/>
          <w:color w:val="auto"/>
        </w:rPr>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spacing w:after="0" w:line="231" w:lineRule="auto"/>
        <w:rPr>
          <w:sz w:val="20"/>
          <w:szCs w:val="20"/>
          <w:color w:val="auto"/>
        </w:rPr>
      </w:pPr>
      <w:r>
        <w:rPr>
          <w:rFonts w:ascii="Arial" w:cs="Arial" w:eastAsia="Arial" w:hAnsi="Arial"/>
          <w:sz w:val="14"/>
          <w:szCs w:val="14"/>
          <w:color w:val="auto"/>
        </w:rPr>
        <w:t>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230" w:lineRule="exact"/>
        <w:rPr>
          <w:sz w:val="20"/>
          <w:szCs w:val="20"/>
          <w:color w:val="auto"/>
        </w:rPr>
      </w:pPr>
    </w:p>
    <w:p>
      <w:pPr>
        <w:ind w:left="980" w:right="20" w:hanging="776"/>
        <w:spacing w:after="0" w:line="231" w:lineRule="auto"/>
        <w:tabs>
          <w:tab w:leader="none" w:pos="98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155.</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155.1</w:t>
      </w:r>
      <w:r>
        <w:rPr>
          <w:sz w:val="20"/>
          <w:szCs w:val="20"/>
          <w:color w:val="auto"/>
        </w:rPr>
        <w:tab/>
      </w:r>
      <w:r>
        <w:rPr>
          <w:rFonts w:ascii="Arial" w:cs="Arial" w:eastAsia="Arial" w:hAnsi="Arial"/>
          <w:sz w:val="14"/>
          <w:szCs w:val="14"/>
          <w:color w:val="auto"/>
        </w:rPr>
        <w:t>Every person who becomes entitled to a share shall before his name is entered in the Register in respect of the share, be bound by any notice in respect of that share which has been duly given to a person from whom he derives his title.</w:t>
      </w:r>
    </w:p>
    <w:p>
      <w:pPr>
        <w:spacing w:after="0" w:line="230" w:lineRule="exact"/>
        <w:rPr>
          <w:sz w:val="20"/>
          <w:szCs w:val="20"/>
          <w:color w:val="auto"/>
        </w:rPr>
      </w:pPr>
    </w:p>
    <w:p>
      <w:pPr>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155.2</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230" w:lineRule="exact"/>
        <w:rPr>
          <w:sz w:val="20"/>
          <w:szCs w:val="20"/>
          <w:color w:val="auto"/>
        </w:rPr>
      </w:pPr>
    </w:p>
    <w:p>
      <w:pPr>
        <w:ind w:left="980" w:right="60" w:hanging="776"/>
        <w:spacing w:after="0" w:line="231" w:lineRule="auto"/>
        <w:tabs>
          <w:tab w:leader="none" w:pos="9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signature (whether electronic signature, an advanced electronic signature or otherwise) to any notice to be given by the Company may be written (in electronic form or otherwise) or printed.</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Winding up</w:t>
      </w:r>
    </w:p>
    <w:p>
      <w:pPr>
        <w:spacing w:after="0" w:line="247" w:lineRule="exact"/>
        <w:rPr>
          <w:sz w:val="20"/>
          <w:szCs w:val="20"/>
          <w:color w:val="auto"/>
        </w:rPr>
      </w:pPr>
    </w:p>
    <w:p>
      <w:pPr>
        <w:ind w:left="980" w:right="80" w:hanging="776"/>
        <w:spacing w:after="0" w:line="266" w:lineRule="auto"/>
        <w:tabs>
          <w:tab w:leader="none" w:pos="9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158.</w:t>
      </w:r>
    </w:p>
    <w:p>
      <w:pPr>
        <w:spacing w:after="0" w:line="231"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158.1</w:t>
      </w:r>
      <w:r>
        <w:rPr>
          <w:sz w:val="20"/>
          <w:szCs w:val="20"/>
          <w:color w:val="auto"/>
        </w:rPr>
        <w:tab/>
      </w:r>
      <w:r>
        <w:rPr>
          <w:rFonts w:ascii="Arial" w:cs="Arial" w:eastAsia="Arial" w:hAnsi="Arial"/>
          <w:sz w:val="14"/>
          <w:szCs w:val="14"/>
          <w:color w:val="auto"/>
        </w:rPr>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31" w:lineRule="exact"/>
        <w:rPr>
          <w:sz w:val="20"/>
          <w:szCs w:val="20"/>
          <w:color w:val="auto"/>
        </w:rPr>
      </w:pPr>
    </w:p>
    <w:p>
      <w:pPr>
        <w:ind w:left="980" w:right="340" w:hanging="769"/>
        <w:spacing w:after="0" w:line="231" w:lineRule="auto"/>
        <w:tabs>
          <w:tab w:leader="none" w:pos="960" w:val="left"/>
        </w:tabs>
        <w:rPr>
          <w:sz w:val="20"/>
          <w:szCs w:val="20"/>
          <w:color w:val="auto"/>
        </w:rPr>
      </w:pPr>
      <w:r>
        <w:rPr>
          <w:rFonts w:ascii="Arial" w:cs="Arial" w:eastAsia="Arial" w:hAnsi="Arial"/>
          <w:sz w:val="14"/>
          <w:szCs w:val="14"/>
          <w:color w:val="auto"/>
        </w:rPr>
        <w:t>158.2</w:t>
      </w:r>
      <w:r>
        <w:rPr>
          <w:sz w:val="20"/>
          <w:szCs w:val="20"/>
          <w:color w:val="auto"/>
        </w:rPr>
        <w:tab/>
      </w:r>
      <w:r>
        <w:rPr>
          <w:rFonts w:ascii="Arial" w:cs="Arial" w:eastAsia="Arial" w:hAnsi="Arial"/>
          <w:sz w:val="14"/>
          <w:szCs w:val="14"/>
          <w:color w:val="auto"/>
        </w:rPr>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30" w:lineRule="exact"/>
        <w:rPr>
          <w:sz w:val="20"/>
          <w:szCs w:val="20"/>
          <w:color w:val="auto"/>
        </w:rPr>
      </w:pPr>
    </w:p>
    <w:p>
      <w:pPr>
        <w:ind w:left="980" w:right="20" w:hanging="776"/>
        <w:spacing w:after="0" w:line="225" w:lineRule="auto"/>
        <w:tabs>
          <w:tab w:leader="none" w:pos="9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Limitation on liability</w:t>
      </w:r>
    </w:p>
    <w:p>
      <w:pPr>
        <w:spacing w:after="0" w:line="247" w:lineRule="exact"/>
        <w:rPr>
          <w:sz w:val="20"/>
          <w:szCs w:val="20"/>
          <w:color w:val="auto"/>
        </w:rPr>
      </w:pPr>
    </w:p>
    <w:p>
      <w:pPr>
        <w:ind w:left="980" w:right="160" w:hanging="776"/>
        <w:spacing w:after="0" w:line="231" w:lineRule="auto"/>
        <w:tabs>
          <w:tab w:leader="none" w:pos="98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Indemnity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161.</w:t>
      </w:r>
    </w:p>
    <w:p>
      <w:pPr>
        <w:spacing w:after="0" w:line="231" w:lineRule="exact"/>
        <w:rPr>
          <w:sz w:val="20"/>
          <w:szCs w:val="20"/>
          <w:color w:val="auto"/>
        </w:rPr>
      </w:pPr>
    </w:p>
    <w:p>
      <w:pPr>
        <w:ind w:left="980" w:right="100" w:hanging="769"/>
        <w:spacing w:after="0" w:line="224" w:lineRule="auto"/>
        <w:tabs>
          <w:tab w:leader="none" w:pos="960" w:val="left"/>
        </w:tabs>
        <w:rPr>
          <w:sz w:val="20"/>
          <w:szCs w:val="20"/>
          <w:color w:val="auto"/>
        </w:rPr>
      </w:pPr>
      <w:r>
        <w:rPr>
          <w:rFonts w:ascii="Arial" w:cs="Arial" w:eastAsia="Arial" w:hAnsi="Arial"/>
          <w:sz w:val="14"/>
          <w:szCs w:val="14"/>
          <w:color w:val="auto"/>
        </w:rPr>
        <w:t>161.1</w:t>
      </w:r>
      <w:r>
        <w:rPr>
          <w:sz w:val="20"/>
          <w:szCs w:val="20"/>
          <w:color w:val="auto"/>
        </w:rPr>
        <w:tab/>
      </w:r>
      <w:r>
        <w:rPr>
          <w:rFonts w:ascii="Arial" w:cs="Arial" w:eastAsia="Arial" w:hAnsi="Arial"/>
          <w:sz w:val="14"/>
          <w:szCs w:val="14"/>
          <w:color w:val="auto"/>
        </w:rPr>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33"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161.2</w:t>
      </w:r>
      <w:r>
        <w:rPr>
          <w:sz w:val="20"/>
          <w:szCs w:val="20"/>
          <w:color w:val="auto"/>
        </w:rPr>
        <w:tab/>
      </w:r>
      <w:r>
        <w:rPr>
          <w:rFonts w:ascii="Arial" w:cs="Arial" w:eastAsia="Arial" w:hAnsi="Arial"/>
          <w:sz w:val="14"/>
          <w:szCs w:val="14"/>
          <w:color w:val="auto"/>
        </w:rPr>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230" w:lineRule="exact"/>
        <w:rPr>
          <w:sz w:val="20"/>
          <w:szCs w:val="20"/>
          <w:color w:val="auto"/>
        </w:rPr>
      </w:pPr>
    </w:p>
    <w:p>
      <w:pPr>
        <w:ind w:left="980" w:right="20" w:hanging="769"/>
        <w:spacing w:after="0" w:line="225" w:lineRule="auto"/>
        <w:tabs>
          <w:tab w:leader="none" w:pos="960" w:val="left"/>
        </w:tabs>
        <w:rPr>
          <w:sz w:val="20"/>
          <w:szCs w:val="20"/>
          <w:color w:val="auto"/>
        </w:rPr>
      </w:pPr>
      <w:r>
        <w:rPr>
          <w:rFonts w:ascii="Arial" w:cs="Arial" w:eastAsia="Arial" w:hAnsi="Arial"/>
          <w:sz w:val="14"/>
          <w:szCs w:val="14"/>
          <w:color w:val="auto"/>
        </w:rPr>
        <w:t>161.3</w:t>
      </w:r>
      <w:r>
        <w:rPr>
          <w:sz w:val="20"/>
          <w:szCs w:val="20"/>
          <w:color w:val="auto"/>
        </w:rPr>
        <w:tab/>
      </w:r>
      <w:r>
        <w:rPr>
          <w:rFonts w:ascii="Arial" w:cs="Arial" w:eastAsia="Arial" w:hAnsi="Arial"/>
          <w:sz w:val="14"/>
          <w:szCs w:val="14"/>
          <w:color w:val="auto"/>
        </w:rPr>
        <w:t>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4"/>
          <w:szCs w:val="14"/>
          <w:b w:val="1"/>
          <w:bCs w:val="1"/>
          <w:color w:val="auto"/>
        </w:rPr>
        <w:t>Covered Person</w:t>
      </w:r>
      <w:r>
        <w:rPr>
          <w:rFonts w:ascii="Arial" w:cs="Arial" w:eastAsia="Arial" w:hAnsi="Arial"/>
          <w:sz w:val="14"/>
          <w:szCs w:val="14"/>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A-25</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980"/>
        <w:spacing w:after="0" w:line="230" w:lineRule="auto"/>
        <w:rPr>
          <w:sz w:val="20"/>
          <w:szCs w:val="20"/>
          <w:color w:val="auto"/>
        </w:rPr>
      </w:pPr>
      <w:r>
        <w:rPr>
          <w:rFonts w:ascii="Arial" w:cs="Arial" w:eastAsia="Arial" w:hAnsi="Arial"/>
          <w:sz w:val="14"/>
          <w:szCs w:val="14"/>
          <w:color w:val="auto"/>
        </w:rPr>
        <w:t>be made a party, or is otherwise involved (a “</w:t>
      </w:r>
      <w:r>
        <w:rPr>
          <w:rFonts w:ascii="Arial" w:cs="Arial" w:eastAsia="Arial" w:hAnsi="Arial"/>
          <w:sz w:val="14"/>
          <w:szCs w:val="14"/>
          <w:b w:val="1"/>
          <w:bCs w:val="1"/>
          <w:color w:val="auto"/>
        </w:rPr>
        <w:t>proceeding</w:t>
      </w:r>
      <w:r>
        <w:rPr>
          <w:rFonts w:ascii="Arial" w:cs="Arial" w:eastAsia="Arial" w:hAnsi="Arial"/>
          <w:sz w:val="14"/>
          <w:szCs w:val="14"/>
          <w:color w:val="auto"/>
        </w:rPr>
        <w:t>”), by reason of the fact that he or she is or was a Covered Person; provided, however, that this provision shall not indemnify any Covered Person against any liability arising out of (a) 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230" w:lineRule="exact"/>
        <w:rPr>
          <w:sz w:val="20"/>
          <w:szCs w:val="20"/>
          <w:color w:val="auto"/>
        </w:rPr>
      </w:pPr>
    </w:p>
    <w:p>
      <w:pPr>
        <w:ind w:left="980" w:right="60" w:hanging="769"/>
        <w:spacing w:after="0" w:line="224" w:lineRule="auto"/>
        <w:tabs>
          <w:tab w:leader="none" w:pos="960" w:val="left"/>
        </w:tabs>
        <w:rPr>
          <w:sz w:val="20"/>
          <w:szCs w:val="20"/>
          <w:color w:val="auto"/>
        </w:rPr>
      </w:pPr>
      <w:r>
        <w:rPr>
          <w:rFonts w:ascii="Arial" w:cs="Arial" w:eastAsia="Arial" w:hAnsi="Arial"/>
          <w:sz w:val="14"/>
          <w:szCs w:val="14"/>
          <w:color w:val="auto"/>
        </w:rPr>
        <w:t>161.4</w:t>
      </w:r>
      <w:r>
        <w:rPr>
          <w:sz w:val="20"/>
          <w:szCs w:val="20"/>
          <w:color w:val="auto"/>
        </w:rPr>
        <w:tab/>
      </w:r>
      <w:r>
        <w:rPr>
          <w:rFonts w:ascii="Arial" w:cs="Arial" w:eastAsia="Arial" w:hAnsi="Arial"/>
          <w:sz w:val="14"/>
          <w:szCs w:val="14"/>
          <w:color w:val="auto"/>
        </w:rPr>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229" w:lineRule="exact"/>
        <w:rPr>
          <w:sz w:val="20"/>
          <w:szCs w:val="20"/>
          <w:color w:val="auto"/>
        </w:rPr>
      </w:pPr>
    </w:p>
    <w:p>
      <w:pPr>
        <w:ind w:left="980" w:hanging="769"/>
        <w:spacing w:after="0" w:line="224" w:lineRule="auto"/>
        <w:tabs>
          <w:tab w:leader="none" w:pos="960" w:val="left"/>
        </w:tabs>
        <w:rPr>
          <w:sz w:val="20"/>
          <w:szCs w:val="20"/>
          <w:color w:val="auto"/>
        </w:rPr>
      </w:pPr>
      <w:r>
        <w:rPr>
          <w:rFonts w:ascii="Arial" w:cs="Arial" w:eastAsia="Arial" w:hAnsi="Arial"/>
          <w:sz w:val="14"/>
          <w:szCs w:val="14"/>
          <w:color w:val="auto"/>
        </w:rPr>
        <w:t>161.5</w:t>
      </w:r>
      <w:r>
        <w:rPr>
          <w:sz w:val="20"/>
          <w:szCs w:val="20"/>
          <w:color w:val="auto"/>
        </w:rPr>
        <w:tab/>
      </w:r>
      <w:r>
        <w:rPr>
          <w:rFonts w:ascii="Arial" w:cs="Arial" w:eastAsia="Arial" w:hAnsi="Arial"/>
          <w:sz w:val="14"/>
          <w:szCs w:val="14"/>
          <w:color w:val="auto"/>
        </w:rPr>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233" w:lineRule="exact"/>
        <w:rPr>
          <w:sz w:val="20"/>
          <w:szCs w:val="20"/>
          <w:color w:val="auto"/>
        </w:rPr>
      </w:pPr>
    </w:p>
    <w:p>
      <w:pPr>
        <w:jc w:val="both"/>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161.6</w:t>
      </w:r>
      <w:r>
        <w:rPr>
          <w:sz w:val="20"/>
          <w:szCs w:val="20"/>
          <w:color w:val="auto"/>
        </w:rPr>
        <w:tab/>
      </w:r>
      <w:r>
        <w:rPr>
          <w:rFonts w:ascii="Arial" w:cs="Arial" w:eastAsia="Arial" w:hAnsi="Arial"/>
          <w:sz w:val="14"/>
          <w:szCs w:val="14"/>
          <w:color w:val="auto"/>
        </w:rPr>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230" w:lineRule="exact"/>
        <w:rPr>
          <w:sz w:val="20"/>
          <w:szCs w:val="20"/>
          <w:color w:val="auto"/>
        </w:rPr>
      </w:pPr>
    </w:p>
    <w:p>
      <w:pPr>
        <w:ind w:left="980" w:right="180" w:hanging="769"/>
        <w:spacing w:after="0" w:line="264" w:lineRule="auto"/>
        <w:tabs>
          <w:tab w:leader="none" w:pos="960" w:val="left"/>
        </w:tabs>
        <w:rPr>
          <w:sz w:val="20"/>
          <w:szCs w:val="20"/>
          <w:color w:val="auto"/>
        </w:rPr>
      </w:pPr>
      <w:r>
        <w:rPr>
          <w:rFonts w:ascii="Arial" w:cs="Arial" w:eastAsia="Arial" w:hAnsi="Arial"/>
          <w:sz w:val="14"/>
          <w:szCs w:val="14"/>
          <w:color w:val="auto"/>
        </w:rPr>
        <w:t>161.7</w:t>
      </w:r>
      <w:r>
        <w:rPr>
          <w:sz w:val="20"/>
          <w:szCs w:val="20"/>
          <w:color w:val="auto"/>
        </w:rPr>
        <w:tab/>
      </w:r>
      <w:r>
        <w:rPr>
          <w:rFonts w:ascii="Arial" w:cs="Arial" w:eastAsia="Arial" w:hAnsi="Arial"/>
          <w:sz w:val="12"/>
          <w:szCs w:val="12"/>
          <w:color w:val="auto"/>
        </w:rPr>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Untraced Holders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162.</w:t>
      </w:r>
    </w:p>
    <w:p>
      <w:pPr>
        <w:spacing w:after="0" w:line="231" w:lineRule="exact"/>
        <w:rPr>
          <w:sz w:val="20"/>
          <w:szCs w:val="20"/>
          <w:color w:val="auto"/>
        </w:rPr>
      </w:pPr>
    </w:p>
    <w:p>
      <w:pPr>
        <w:ind w:left="980" w:right="420" w:hanging="769"/>
        <w:spacing w:after="0" w:line="231" w:lineRule="auto"/>
        <w:tabs>
          <w:tab w:leader="none" w:pos="960" w:val="left"/>
        </w:tabs>
        <w:rPr>
          <w:sz w:val="20"/>
          <w:szCs w:val="20"/>
          <w:color w:val="auto"/>
        </w:rPr>
      </w:pPr>
      <w:r>
        <w:rPr>
          <w:rFonts w:ascii="Arial" w:cs="Arial" w:eastAsia="Arial" w:hAnsi="Arial"/>
          <w:sz w:val="14"/>
          <w:szCs w:val="14"/>
          <w:color w:val="auto"/>
        </w:rPr>
        <w:t>162.1</w:t>
      </w:r>
      <w:r>
        <w:rPr>
          <w:sz w:val="20"/>
          <w:szCs w:val="20"/>
          <w:color w:val="auto"/>
        </w:rPr>
        <w:tab/>
      </w:r>
      <w:r>
        <w:rPr>
          <w:rFonts w:ascii="Arial" w:cs="Arial" w:eastAsia="Arial" w:hAnsi="Arial"/>
          <w:sz w:val="14"/>
          <w:szCs w:val="14"/>
          <w:color w:val="auto"/>
        </w:rPr>
        <w:t>The Company shall be entitled to sell at the best price reasonably obtainable any share of a member or any share to which a person is entitled by transmission if and provided that:</w:t>
      </w:r>
    </w:p>
    <w:p>
      <w:pPr>
        <w:spacing w:after="0" w:line="230" w:lineRule="exact"/>
        <w:rPr>
          <w:sz w:val="20"/>
          <w:szCs w:val="20"/>
          <w:color w:val="auto"/>
        </w:rPr>
      </w:pPr>
    </w:p>
    <w:p>
      <w:pPr>
        <w:ind w:left="1860" w:hanging="886"/>
        <w:spacing w:after="0" w:line="226" w:lineRule="auto"/>
        <w:tabs>
          <w:tab w:leader="none" w:pos="18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230" w:lineRule="exact"/>
        <w:rPr>
          <w:rFonts w:ascii="Arial" w:cs="Arial" w:eastAsia="Arial" w:hAnsi="Arial"/>
          <w:sz w:val="14"/>
          <w:szCs w:val="14"/>
          <w:color w:val="auto"/>
        </w:rPr>
      </w:pPr>
    </w:p>
    <w:p>
      <w:pPr>
        <w:ind w:left="1860" w:right="100" w:hanging="886"/>
        <w:spacing w:after="0" w:line="300" w:lineRule="auto"/>
        <w:tabs>
          <w:tab w:leader="none" w:pos="186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95" w:lineRule="exact"/>
        <w:rPr>
          <w:rFonts w:ascii="Arial" w:cs="Arial" w:eastAsia="Arial" w:hAnsi="Arial"/>
          <w:sz w:val="12"/>
          <w:szCs w:val="12"/>
          <w:color w:val="auto"/>
        </w:rPr>
      </w:pPr>
    </w:p>
    <w:p>
      <w:pPr>
        <w:ind w:left="1860" w:right="20" w:hanging="886"/>
        <w:spacing w:after="0" w:line="231" w:lineRule="auto"/>
        <w:tabs>
          <w:tab w:leader="none" w:pos="18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if so required by the rules of any securities exchange upon which the shares in question are listed, notice has been given to that exchange of the Company’s intention to make such sale.</w:t>
      </w:r>
    </w:p>
    <w:p>
      <w:pPr>
        <w:spacing w:after="0" w:line="230"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162.2</w:t>
      </w:r>
      <w:r>
        <w:rPr>
          <w:sz w:val="20"/>
          <w:szCs w:val="20"/>
          <w:color w:val="auto"/>
        </w:rPr>
        <w:tab/>
      </w:r>
      <w:r>
        <w:rPr>
          <w:rFonts w:ascii="Arial" w:cs="Arial" w:eastAsia="Arial" w:hAnsi="Arial"/>
          <w:sz w:val="14"/>
          <w:szCs w:val="14"/>
          <w:color w:val="auto"/>
        </w:rPr>
        <w:t>To the extent necessary in order to comply with any laws or regulations to which the Company is subject in relation to escheatment, abandonment of property or other similar or analogous laws or regulations (“</w:t>
      </w:r>
      <w:r>
        <w:rPr>
          <w:rFonts w:ascii="Arial" w:cs="Arial" w:eastAsia="Arial" w:hAnsi="Arial"/>
          <w:sz w:val="14"/>
          <w:szCs w:val="14"/>
          <w:b w:val="1"/>
          <w:bCs w:val="1"/>
          <w:color w:val="auto"/>
        </w:rPr>
        <w:t>Applicable Escheatment Laws</w:t>
      </w:r>
      <w:r>
        <w:rPr>
          <w:rFonts w:ascii="Arial" w:cs="Arial" w:eastAsia="Arial" w:hAnsi="Arial"/>
          <w:sz w:val="14"/>
          <w:szCs w:val="14"/>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231" w:lineRule="exact"/>
        <w:rPr>
          <w:sz w:val="20"/>
          <w:szCs w:val="20"/>
          <w:color w:val="auto"/>
        </w:rPr>
      </w:pPr>
    </w:p>
    <w:p>
      <w:pPr>
        <w:ind w:left="980" w:right="560" w:hanging="769"/>
        <w:spacing w:after="0" w:line="231" w:lineRule="auto"/>
        <w:tabs>
          <w:tab w:leader="none" w:pos="960" w:val="left"/>
        </w:tabs>
        <w:rPr>
          <w:sz w:val="20"/>
          <w:szCs w:val="20"/>
          <w:color w:val="auto"/>
        </w:rPr>
      </w:pPr>
      <w:r>
        <w:rPr>
          <w:rFonts w:ascii="Arial" w:cs="Arial" w:eastAsia="Arial" w:hAnsi="Arial"/>
          <w:sz w:val="14"/>
          <w:szCs w:val="14"/>
          <w:color w:val="auto"/>
        </w:rPr>
        <w:t>162.3</w:t>
      </w:r>
      <w:r>
        <w:rPr>
          <w:sz w:val="20"/>
          <w:szCs w:val="20"/>
          <w:color w:val="auto"/>
        </w:rPr>
        <w:tab/>
      </w:r>
      <w:r>
        <w:rPr>
          <w:rFonts w:ascii="Arial" w:cs="Arial" w:eastAsia="Arial" w:hAnsi="Arial"/>
          <w:sz w:val="14"/>
          <w:szCs w:val="14"/>
          <w:color w:val="auto"/>
        </w:rPr>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162.4</w:t>
      </w:r>
      <w:r>
        <w:rPr>
          <w:sz w:val="20"/>
          <w:szCs w:val="20"/>
          <w:color w:val="auto"/>
        </w:rPr>
        <w:tab/>
      </w:r>
      <w:r>
        <w:rPr>
          <w:rFonts w:ascii="Arial" w:cs="Arial" w:eastAsia="Arial" w:hAnsi="Arial"/>
          <w:sz w:val="14"/>
          <w:szCs w:val="14"/>
          <w:color w:val="auto"/>
        </w:rPr>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A-26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162.5</w:t>
      </w:r>
      <w:r>
        <w:rPr>
          <w:sz w:val="20"/>
          <w:szCs w:val="20"/>
          <w:color w:val="auto"/>
        </w:rPr>
        <w:tab/>
      </w:r>
      <w:r>
        <w:rPr>
          <w:rFonts w:ascii="Arial" w:cs="Arial" w:eastAsia="Arial" w:hAnsi="Arial"/>
          <w:sz w:val="14"/>
          <w:szCs w:val="14"/>
          <w:color w:val="auto"/>
        </w:rPr>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230" w:lineRule="exact"/>
        <w:rPr>
          <w:sz w:val="20"/>
          <w:szCs w:val="20"/>
          <w:color w:val="auto"/>
        </w:rPr>
      </w:pPr>
    </w:p>
    <w:p>
      <w:pPr>
        <w:ind w:left="980" w:right="220" w:hanging="769"/>
        <w:spacing w:after="0" w:line="224" w:lineRule="auto"/>
        <w:tabs>
          <w:tab w:leader="none" w:pos="960" w:val="left"/>
        </w:tabs>
        <w:rPr>
          <w:sz w:val="20"/>
          <w:szCs w:val="20"/>
          <w:color w:val="auto"/>
        </w:rPr>
      </w:pPr>
      <w:r>
        <w:rPr>
          <w:rFonts w:ascii="Arial" w:cs="Arial" w:eastAsia="Arial" w:hAnsi="Arial"/>
          <w:sz w:val="14"/>
          <w:szCs w:val="14"/>
          <w:color w:val="auto"/>
        </w:rPr>
        <w:t>162.6</w:t>
      </w:r>
      <w:r>
        <w:rPr>
          <w:sz w:val="20"/>
          <w:szCs w:val="20"/>
          <w:color w:val="auto"/>
        </w:rPr>
        <w:tab/>
      </w:r>
      <w:r>
        <w:rPr>
          <w:rFonts w:ascii="Arial" w:cs="Arial" w:eastAsia="Arial" w:hAnsi="Arial"/>
          <w:sz w:val="14"/>
          <w:szCs w:val="14"/>
          <w:color w:val="auto"/>
        </w:rPr>
        <w:t>The net proceeds of sale shall belong to the Company which shall be obliged to account to the former member or person entitled by transmission for an amount equal to such proceeds and shall enter the name of such former member or person entitled by 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Destruction of documents</w:t>
      </w:r>
    </w:p>
    <w:p>
      <w:pPr>
        <w:spacing w:after="0" w:line="247" w:lineRule="exact"/>
        <w:rPr>
          <w:sz w:val="20"/>
          <w:szCs w:val="20"/>
          <w:color w:val="auto"/>
        </w:rPr>
      </w:pPr>
    </w:p>
    <w:p>
      <w:pPr>
        <w:ind w:left="980" w:hanging="776"/>
        <w:spacing w:after="0"/>
        <w:tabs>
          <w:tab w:leader="none" w:pos="98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Company may destroy:</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163.1</w:t>
      </w:r>
      <w:r>
        <w:rPr>
          <w:sz w:val="20"/>
          <w:szCs w:val="20"/>
          <w:color w:val="auto"/>
        </w:rPr>
        <w:tab/>
      </w:r>
      <w:r>
        <w:rPr>
          <w:rFonts w:ascii="Arial" w:cs="Arial" w:eastAsia="Arial" w:hAnsi="Arial"/>
          <w:sz w:val="14"/>
          <w:szCs w:val="14"/>
          <w:color w:val="auto"/>
        </w:rPr>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23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163.2</w:t>
      </w:r>
      <w:r>
        <w:rPr>
          <w:sz w:val="20"/>
          <w:szCs w:val="20"/>
          <w:color w:val="auto"/>
        </w:rPr>
        <w:tab/>
      </w:r>
      <w:r>
        <w:rPr>
          <w:rFonts w:ascii="Arial" w:cs="Arial" w:eastAsia="Arial" w:hAnsi="Arial"/>
          <w:sz w:val="12"/>
          <w:szCs w:val="12"/>
          <w:color w:val="auto"/>
        </w:rPr>
        <w:t>any instrument of transfer of shares which has been registered, at any time after the expiry of six years from the date of registration;</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163.3</w:t>
      </w:r>
      <w:r>
        <w:rPr>
          <w:sz w:val="20"/>
          <w:szCs w:val="20"/>
          <w:color w:val="auto"/>
        </w:rPr>
        <w:tab/>
      </w:r>
      <w:r>
        <w:rPr>
          <w:rFonts w:ascii="Arial" w:cs="Arial" w:eastAsia="Arial" w:hAnsi="Arial"/>
          <w:sz w:val="12"/>
          <w:szCs w:val="12"/>
          <w:color w:val="auto"/>
        </w:rPr>
        <w:t>all share certificates which have been cancelled at any time after the expiration of one year from the date of cancellation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163.4</w:t>
      </w:r>
      <w:r>
        <w:rPr>
          <w:sz w:val="20"/>
          <w:szCs w:val="20"/>
          <w:color w:val="auto"/>
        </w:rPr>
        <w:tab/>
      </w:r>
      <w:r>
        <w:rPr>
          <w:rFonts w:ascii="Arial" w:cs="Arial" w:eastAsia="Arial" w:hAnsi="Arial"/>
          <w:sz w:val="12"/>
          <w:szCs w:val="12"/>
          <w:color w:val="auto"/>
        </w:rPr>
        <w:t>all paid dividend warrants and cheques at any time after the expiration of one year from the date of actual payment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163.5</w:t>
      </w:r>
      <w:r>
        <w:rPr>
          <w:sz w:val="20"/>
          <w:szCs w:val="20"/>
          <w:color w:val="auto"/>
        </w:rPr>
        <w:tab/>
      </w:r>
      <w:r>
        <w:rPr>
          <w:rFonts w:ascii="Arial" w:cs="Arial" w:eastAsia="Arial" w:hAnsi="Arial"/>
          <w:sz w:val="12"/>
          <w:szCs w:val="12"/>
          <w:color w:val="auto"/>
        </w:rPr>
        <w:t>all instruments of proxy which have been used for the purpose of a poll at any time after the expiration of one year from the date of such use;</w:t>
      </w:r>
    </w:p>
    <w:p>
      <w:pPr>
        <w:spacing w:after="0" w:line="231" w:lineRule="exact"/>
        <w:rPr>
          <w:sz w:val="20"/>
          <w:szCs w:val="20"/>
          <w:color w:val="auto"/>
        </w:rPr>
      </w:pPr>
    </w:p>
    <w:p>
      <w:pPr>
        <w:ind w:left="980" w:right="40" w:hanging="769"/>
        <w:spacing w:after="0" w:line="231" w:lineRule="auto"/>
        <w:tabs>
          <w:tab w:leader="none" w:pos="960" w:val="left"/>
        </w:tabs>
        <w:rPr>
          <w:sz w:val="20"/>
          <w:szCs w:val="20"/>
          <w:color w:val="auto"/>
        </w:rPr>
      </w:pPr>
      <w:r>
        <w:rPr>
          <w:rFonts w:ascii="Arial" w:cs="Arial" w:eastAsia="Arial" w:hAnsi="Arial"/>
          <w:sz w:val="14"/>
          <w:szCs w:val="14"/>
          <w:color w:val="auto"/>
        </w:rPr>
        <w:t>163.6</w:t>
      </w:r>
      <w:r>
        <w:rPr>
          <w:sz w:val="20"/>
          <w:szCs w:val="20"/>
          <w:color w:val="auto"/>
        </w:rPr>
        <w:tab/>
      </w:r>
      <w:r>
        <w:rPr>
          <w:rFonts w:ascii="Arial" w:cs="Arial" w:eastAsia="Arial" w:hAnsi="Arial"/>
          <w:sz w:val="14"/>
          <w:szCs w:val="14"/>
          <w:color w:val="auto"/>
        </w:rPr>
        <w:t>all instruments of proxy which have not been used for the purpose of a poll at any time after one month from the end of the meeting to which the instrument of proxy relates and at which no poll was demanded; and</w:t>
      </w:r>
    </w:p>
    <w:p>
      <w:pPr>
        <w:spacing w:after="0" w:line="230" w:lineRule="exact"/>
        <w:rPr>
          <w:sz w:val="20"/>
          <w:szCs w:val="20"/>
          <w:color w:val="auto"/>
        </w:rPr>
      </w:pPr>
    </w:p>
    <w:p>
      <w:pPr>
        <w:ind w:left="980" w:right="40" w:hanging="769"/>
        <w:spacing w:after="0" w:line="272" w:lineRule="auto"/>
        <w:tabs>
          <w:tab w:leader="none" w:pos="960" w:val="left"/>
        </w:tabs>
        <w:rPr>
          <w:sz w:val="20"/>
          <w:szCs w:val="20"/>
          <w:color w:val="auto"/>
        </w:rPr>
      </w:pPr>
      <w:r>
        <w:rPr>
          <w:rFonts w:ascii="Arial" w:cs="Arial" w:eastAsia="Arial" w:hAnsi="Arial"/>
          <w:sz w:val="14"/>
          <w:szCs w:val="14"/>
          <w:color w:val="auto"/>
        </w:rPr>
        <w:t>163.7</w:t>
      </w:r>
      <w:r>
        <w:rPr>
          <w:sz w:val="20"/>
          <w:szCs w:val="20"/>
          <w:color w:val="auto"/>
        </w:rPr>
        <w:tab/>
      </w:r>
      <w:r>
        <w:rPr>
          <w:rFonts w:ascii="Arial" w:cs="Arial" w:eastAsia="Arial" w:hAnsi="Arial"/>
          <w:sz w:val="12"/>
          <w:szCs w:val="12"/>
          <w:color w:val="auto"/>
        </w:rPr>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12" w:lineRule="exact"/>
        <w:rPr>
          <w:sz w:val="20"/>
          <w:szCs w:val="20"/>
          <w:color w:val="auto"/>
        </w:rPr>
      </w:pPr>
    </w:p>
    <w:p>
      <w:pPr>
        <w:ind w:left="1860" w:right="320" w:hanging="886"/>
        <w:spacing w:after="0" w:line="231" w:lineRule="auto"/>
        <w:tabs>
          <w:tab w:leader="none" w:pos="18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foregoing provisions of this article shall apply only to the destruction of a document in good faith and without express notice to the Company that the preservation of such document was relevant to a claim;</w:t>
      </w:r>
    </w:p>
    <w:p>
      <w:pPr>
        <w:spacing w:after="0" w:line="230" w:lineRule="exact"/>
        <w:rPr>
          <w:rFonts w:ascii="Arial" w:cs="Arial" w:eastAsia="Arial" w:hAnsi="Arial"/>
          <w:sz w:val="14"/>
          <w:szCs w:val="14"/>
          <w:color w:val="auto"/>
        </w:rPr>
      </w:pPr>
    </w:p>
    <w:p>
      <w:pPr>
        <w:ind w:left="1860" w:right="280" w:hanging="886"/>
        <w:spacing w:after="0" w:line="231" w:lineRule="auto"/>
        <w:tabs>
          <w:tab w:leader="none" w:pos="18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references in this article to the destruction of any document include references to its disposal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A-27</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2680"/>
        <w:spacing w:after="0" w:line="245" w:lineRule="auto"/>
        <w:rPr>
          <w:sz w:val="20"/>
          <w:szCs w:val="20"/>
          <w:color w:val="auto"/>
        </w:rPr>
      </w:pPr>
      <w:r>
        <w:rPr>
          <w:rFonts w:ascii="Arial" w:cs="Arial" w:eastAsia="Arial" w:hAnsi="Arial"/>
          <w:sz w:val="47"/>
          <w:szCs w:val="47"/>
          <w:b w:val="1"/>
          <w:bCs w:val="1"/>
          <w:color w:val="C3002F"/>
        </w:rPr>
        <w:t>ANNEX B – AMENDED MEMORANDUM AND ARTICLES OF ASSOCIATION (AUTHORIZED SHARE INCREASE)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COMPANIES ACTS 1963 TO 2013</w:t>
      </w:r>
    </w:p>
    <w:p>
      <w:pPr>
        <w:spacing w:after="0" w:line="13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 PUBLIC COMPANY LIMITED BY SHARES</w:t>
      </w:r>
    </w:p>
    <w:p>
      <w:pPr>
        <w:spacing w:after="0" w:line="13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MEMORANDUM OF ASSOCIATION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-of-</w:t>
      </w:r>
    </w:p>
    <w:p>
      <w:pPr>
        <w:spacing w:after="0" w:line="136"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WEATHERFORD INTERNATIONAL PUBLIC LIMITED COMPANY</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(Adopted on 3 March 2014 and amended by special resolutions passed on 31 March 2014, 27 May 2014, and 29 May 2014)</w:t>
      </w:r>
    </w:p>
    <w:p>
      <w:pPr>
        <w:spacing w:after="0" w:line="341" w:lineRule="exact"/>
        <w:rPr>
          <w:sz w:val="20"/>
          <w:szCs w:val="20"/>
          <w:color w:val="auto"/>
        </w:rPr>
      </w:pPr>
    </w:p>
    <w:p>
      <w:pPr>
        <w:ind w:left="980" w:hanging="776"/>
        <w:spacing w:after="0"/>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name of the company is Weatherford International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Company is to be a public limited company.</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980" w:hanging="776"/>
        <w:spacing w:after="0"/>
        <w:tabs>
          <w:tab w:leader="none" w:pos="9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objects for which the Company is established 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3.1</w:t>
            </w:r>
          </w:p>
        </w:tc>
        <w:tc>
          <w:tcPr>
            <w:tcW w:w="82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(a)</w:t>
            </w:r>
          </w:p>
        </w:tc>
        <w:tc>
          <w:tcPr>
            <w:tcW w:w="9640" w:type="dxa"/>
            <w:vAlign w:val="bottom"/>
          </w:tcPr>
          <w:p>
            <w:pPr>
              <w:ind w:left="360"/>
              <w:spacing w:after="0"/>
              <w:rPr>
                <w:sz w:val="20"/>
                <w:szCs w:val="20"/>
                <w:color w:val="auto"/>
              </w:rPr>
            </w:pPr>
            <w:r>
              <w:rPr>
                <w:rFonts w:ascii="Arial" w:cs="Arial" w:eastAsia="Arial" w:hAnsi="Arial"/>
                <w:sz w:val="14"/>
                <w:szCs w:val="14"/>
                <w:color w:val="auto"/>
                <w:w w:val="99"/>
              </w:rPr>
              <w:t>To carry on the business of a holding company and to co-ordinate the administration, finances and activities of any subsidiary companies or associated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companies, to do all lawful acts and things whatever that are necessary or convenient in carrying on the business of such a holding company and in</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particular to carry on, in all branches and business locations, the business of a management services company, to act as managers and to direct or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6"/>
              </w:rPr>
              <w:t>co-ordinate the management of other companies or of the business, property and estates of any company or person and to undertake and carry out all such</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services in connection therewith as may be deemed expedient by the board of directors of the Company and to exercise its powers as a shareholder,</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whether direct or indirect, of other companies.</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(b)</w:t>
            </w:r>
          </w:p>
        </w:tc>
        <w:tc>
          <w:tcPr>
            <w:tcW w:w="9640" w:type="dxa"/>
            <w:vAlign w:val="bottom"/>
          </w:tcPr>
          <w:p>
            <w:pPr>
              <w:ind w:left="360"/>
              <w:spacing w:after="0"/>
              <w:rPr>
                <w:sz w:val="20"/>
                <w:szCs w:val="20"/>
                <w:color w:val="auto"/>
              </w:rPr>
            </w:pPr>
            <w:r>
              <w:rPr>
                <w:rFonts w:ascii="Arial" w:cs="Arial" w:eastAsia="Arial" w:hAnsi="Arial"/>
                <w:sz w:val="14"/>
                <w:szCs w:val="14"/>
                <w:color w:val="auto"/>
                <w:w w:val="98"/>
              </w:rPr>
              <w:t>To acquire, hold, administer, control, sell and transfer equity securities in entities in Ireland and abroad, either directly or indirectly, in particular in entities</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9"/>
              </w:rPr>
              <w:t>which are active in the fields of providing services, financing, licensing, leasing, manufacturing and all other activities with respect to the acquisition and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production of natural energy and to do all things usually dealt in by persons carrying on the above mentioned businesses or likely to be required in</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connection with any of the said businesses.</w:t>
            </w:r>
          </w:p>
        </w:tc>
      </w:tr>
      <w:tr>
        <w:trPr>
          <w:trHeight w:val="392"/>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(c)</w:t>
            </w:r>
          </w:p>
        </w:tc>
        <w:tc>
          <w:tcPr>
            <w:tcW w:w="9640" w:type="dxa"/>
            <w:vAlign w:val="bottom"/>
          </w:tcPr>
          <w:p>
            <w:pPr>
              <w:ind w:left="360"/>
              <w:spacing w:after="0"/>
              <w:rPr>
                <w:sz w:val="20"/>
                <w:szCs w:val="20"/>
                <w:color w:val="auto"/>
              </w:rPr>
            </w:pPr>
            <w:r>
              <w:rPr>
                <w:rFonts w:ascii="Arial" w:cs="Arial" w:eastAsia="Arial" w:hAnsi="Arial"/>
                <w:sz w:val="14"/>
                <w:szCs w:val="14"/>
                <w:color w:val="auto"/>
              </w:rPr>
              <w:t>To engage in any commercial, financial or other activities which are, directly or indirectly, related to the purpose or objects of the Company.</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(d)</w:t>
            </w:r>
          </w:p>
        </w:tc>
        <w:tc>
          <w:tcPr>
            <w:tcW w:w="9640" w:type="dxa"/>
            <w:vAlign w:val="bottom"/>
          </w:tcPr>
          <w:p>
            <w:pPr>
              <w:ind w:left="360"/>
              <w:spacing w:after="0"/>
              <w:rPr>
                <w:sz w:val="20"/>
                <w:szCs w:val="20"/>
                <w:color w:val="auto"/>
              </w:rPr>
            </w:pPr>
            <w:r>
              <w:rPr>
                <w:rFonts w:ascii="Arial" w:cs="Arial" w:eastAsia="Arial" w:hAnsi="Arial"/>
                <w:sz w:val="14"/>
                <w:szCs w:val="14"/>
                <w:color w:val="auto"/>
                <w:w w:val="99"/>
              </w:rPr>
              <w:t>To generally engage in all types of transactions and take all measures that appear appropriate to promote, whether directly or indirectly, the purpose or</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w w:val="97"/>
              </w:rPr>
              <w:t>objects of the Company and/or the general interest of the Company or the group of companies to which the Company belongs, or that are related thereto.</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(e)</w:t>
            </w:r>
          </w:p>
        </w:tc>
        <w:tc>
          <w:tcPr>
            <w:tcW w:w="9640" w:type="dxa"/>
            <w:vAlign w:val="bottom"/>
          </w:tcPr>
          <w:p>
            <w:pPr>
              <w:ind w:left="360"/>
              <w:spacing w:after="0"/>
              <w:rPr>
                <w:sz w:val="20"/>
                <w:szCs w:val="20"/>
                <w:color w:val="auto"/>
              </w:rPr>
            </w:pPr>
            <w:r>
              <w:rPr>
                <w:rFonts w:ascii="Arial" w:cs="Arial" w:eastAsia="Arial" w:hAnsi="Arial"/>
                <w:sz w:val="14"/>
                <w:szCs w:val="14"/>
                <w:color w:val="auto"/>
                <w:w w:val="96"/>
              </w:rPr>
              <w:t>To participate in the financing, including by means of the providing of guarantees, support, security and sureties of any kind, of other entities of the group of</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companies to which the Company belongs in the general interest of such group.</w:t>
            </w:r>
          </w:p>
        </w:tc>
      </w:tr>
      <w:tr>
        <w:trPr>
          <w:trHeight w:val="378"/>
        </w:trPr>
        <w:tc>
          <w:tcPr>
            <w:tcW w:w="48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(f)</w:t>
            </w:r>
          </w:p>
        </w:tc>
        <w:tc>
          <w:tcPr>
            <w:tcW w:w="9640" w:type="dxa"/>
            <w:vAlign w:val="bottom"/>
          </w:tcPr>
          <w:p>
            <w:pPr>
              <w:ind w:left="360"/>
              <w:spacing w:after="0"/>
              <w:rPr>
                <w:sz w:val="20"/>
                <w:szCs w:val="20"/>
                <w:color w:val="auto"/>
              </w:rPr>
            </w:pPr>
            <w:r>
              <w:rPr>
                <w:rFonts w:ascii="Arial" w:cs="Arial" w:eastAsia="Arial" w:hAnsi="Arial"/>
                <w:sz w:val="14"/>
                <w:szCs w:val="14"/>
                <w:color w:val="auto"/>
                <w:w w:val="97"/>
              </w:rPr>
              <w:t>To take-over all assets and liabilities of Weatherford International Ltd., a joint-stock corporation organized under the laws of Switzerland (“WIL Swiss”), by</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7"/>
              </w:rPr>
              <w:t>way of an international (cross-border) merger without liquidation of WIL Swiss in compliance with, inter alia, Art. 3 et seq. Swiss Act on Merger, Demerger,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w w:val="97"/>
              </w:rPr>
              <w:t>Transformation and Transfer of Assets and Art. 163b and Art. 163c Swiss Private International Law Act and also applicable laws of Ireland, and to do and</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take all such things, measures, acts and actions (including, but not limited to, entering into agreements, contracts, deeds and other documents or</w:t>
            </w:r>
          </w:p>
        </w:tc>
      </w:tr>
      <w:tr>
        <w:trPr>
          <w:trHeight w:val="149"/>
        </w:trPr>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40" w:type="dxa"/>
            <w:vAlign w:val="bottom"/>
          </w:tcPr>
          <w:p>
            <w:pPr>
              <w:ind w:left="360"/>
              <w:spacing w:after="0" w:line="149" w:lineRule="exact"/>
              <w:rPr>
                <w:sz w:val="20"/>
                <w:szCs w:val="20"/>
                <w:color w:val="auto"/>
              </w:rPr>
            </w:pPr>
            <w:r>
              <w:rPr>
                <w:rFonts w:ascii="Arial" w:cs="Arial" w:eastAsia="Arial" w:hAnsi="Arial"/>
                <w:sz w:val="14"/>
                <w:szCs w:val="14"/>
                <w:color w:val="auto"/>
              </w:rPr>
              <w:t>instruments and giving undertakings, covenants, representations, warranties, indemnities, guarantees and other commitments and promises) as the</w:t>
            </w:r>
          </w:p>
        </w:tc>
      </w:tr>
      <w:tr>
        <w:trPr>
          <w:trHeight w:val="162"/>
        </w:trPr>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40" w:type="dxa"/>
            <w:vAlign w:val="bottom"/>
          </w:tcPr>
          <w:p>
            <w:pPr>
              <w:ind w:left="360"/>
              <w:spacing w:after="0"/>
              <w:rPr>
                <w:sz w:val="20"/>
                <w:szCs w:val="20"/>
                <w:color w:val="auto"/>
              </w:rPr>
            </w:pPr>
            <w:r>
              <w:rPr>
                <w:rFonts w:ascii="Arial" w:cs="Arial" w:eastAsia="Arial" w:hAnsi="Arial"/>
                <w:sz w:val="14"/>
                <w:szCs w:val="14"/>
                <w:color w:val="auto"/>
              </w:rPr>
              <w:t>Company considers may be necessary or required in connection therewith, or conducive or incidental thereto.</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3.2</w:t>
            </w: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w w:val="97"/>
              </w:rPr>
              <w:t>To acquire shares, stocks, debentures, debenture stock, indentures, notes, loan notes, loan stock, bonds, obligations and other securities of any description, by original</w:t>
            </w:r>
          </w:p>
        </w:tc>
      </w:tr>
      <w:tr>
        <w:trPr>
          <w:trHeight w:val="149"/>
        </w:trPr>
        <w:tc>
          <w:tcPr>
            <w:tcW w:w="480" w:type="dxa"/>
            <w:vAlign w:val="bottom"/>
          </w:tcPr>
          <w:p>
            <w:pPr>
              <w:spacing w:after="0"/>
              <w:rPr>
                <w:sz w:val="12"/>
                <w:szCs w:val="12"/>
                <w:color w:val="auto"/>
              </w:rPr>
            </w:pPr>
          </w:p>
        </w:tc>
        <w:tc>
          <w:tcPr>
            <w:tcW w:w="104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8"/>
              </w:rPr>
              <w:t>subscription, tender, purchase, exchange or otherwise and to subscribe for the same either conditionally or otherwise, and to guarantee the subscription thereof and to</w:t>
            </w:r>
          </w:p>
        </w:tc>
      </w:tr>
      <w:tr>
        <w:trPr>
          <w:trHeight w:val="162"/>
        </w:trPr>
        <w:tc>
          <w:tcPr>
            <w:tcW w:w="480" w:type="dxa"/>
            <w:vAlign w:val="bottom"/>
          </w:tcPr>
          <w:p>
            <w:pPr>
              <w:spacing w:after="0"/>
              <w:rPr>
                <w:sz w:val="14"/>
                <w:szCs w:val="14"/>
                <w:color w:val="auto"/>
              </w:rPr>
            </w:pP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rPr>
              <w:t>exercise and enforce all rights and powers conferred by or incidental to the ownership thereof.</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3.3</w:t>
            </w: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rPr>
              <w:t>To facilitate, effect, and encourage the creation, issue or conversion of, and to offer for public or private subscription, tender, purchase or exchange, shares, stocks,</w:t>
            </w:r>
          </w:p>
        </w:tc>
      </w:tr>
      <w:tr>
        <w:trPr>
          <w:trHeight w:val="149"/>
        </w:trPr>
        <w:tc>
          <w:tcPr>
            <w:tcW w:w="480" w:type="dxa"/>
            <w:vAlign w:val="bottom"/>
          </w:tcPr>
          <w:p>
            <w:pPr>
              <w:spacing w:after="0"/>
              <w:rPr>
                <w:sz w:val="12"/>
                <w:szCs w:val="12"/>
                <w:color w:val="auto"/>
              </w:rPr>
            </w:pPr>
          </w:p>
        </w:tc>
        <w:tc>
          <w:tcPr>
            <w:tcW w:w="104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7"/>
              </w:rPr>
              <w:t>debentures, debenture stock, indentures, notes, loan notes, loan stock, bonds, obligations and other securities of any description of the Company, of any member of the</w:t>
            </w:r>
          </w:p>
        </w:tc>
      </w:tr>
      <w:tr>
        <w:trPr>
          <w:trHeight w:val="149"/>
        </w:trPr>
        <w:tc>
          <w:tcPr>
            <w:tcW w:w="480" w:type="dxa"/>
            <w:vAlign w:val="bottom"/>
          </w:tcPr>
          <w:p>
            <w:pPr>
              <w:spacing w:after="0"/>
              <w:rPr>
                <w:sz w:val="12"/>
                <w:szCs w:val="12"/>
                <w:color w:val="auto"/>
              </w:rPr>
            </w:pPr>
          </w:p>
        </w:tc>
        <w:tc>
          <w:tcPr>
            <w:tcW w:w="104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8"/>
              </w:rPr>
              <w:t>group to which the Company belongs or of any other person and to act as trustees in connection with any such securities and to take part in the conversion of business</w:t>
            </w:r>
          </w:p>
        </w:tc>
      </w:tr>
      <w:tr>
        <w:trPr>
          <w:trHeight w:val="162"/>
        </w:trPr>
        <w:tc>
          <w:tcPr>
            <w:tcW w:w="480" w:type="dxa"/>
            <w:vAlign w:val="bottom"/>
          </w:tcPr>
          <w:p>
            <w:pPr>
              <w:spacing w:after="0"/>
              <w:rPr>
                <w:sz w:val="14"/>
                <w:szCs w:val="14"/>
                <w:color w:val="auto"/>
              </w:rPr>
            </w:pPr>
          </w:p>
        </w:tc>
        <w:tc>
          <w:tcPr>
            <w:tcW w:w="10460" w:type="dxa"/>
            <w:vAlign w:val="bottom"/>
            <w:gridSpan w:val="2"/>
          </w:tcPr>
          <w:p>
            <w:pPr>
              <w:ind w:left="300"/>
              <w:spacing w:after="0"/>
              <w:rPr>
                <w:sz w:val="20"/>
                <w:szCs w:val="20"/>
                <w:color w:val="auto"/>
              </w:rPr>
            </w:pPr>
            <w:r>
              <w:rPr>
                <w:rFonts w:ascii="Arial" w:cs="Arial" w:eastAsia="Arial" w:hAnsi="Arial"/>
                <w:sz w:val="14"/>
                <w:szCs w:val="14"/>
                <w:color w:val="auto"/>
              </w:rPr>
              <w:t>concerns and undertakings into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auto"/>
              </w:rPr>
              <w:t>3.4</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purchase or by any other means acquire any freehold, leasehold or other property and real estate and in particular lands, tenements and hereditaments of any tenure,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whether subject or not to any charges or encumbrances, for any estate or interest whatever, and any rights, privileges or easements over or in respect of any property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real estate, and any buildings, factories, mills, works, wharves, roads, rigs, machinery, engines, plant, live and dead stock, barges, vessels or things, and any real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personal property or rights whatsoever which may be necessary for, or may conveniently be used with, or may enhance the value or property of the Company, and to hold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or to sell, let, alienate, mortgage, charge or otherwise deal with all or any such freehold, leasehold, or other property and real estate, lands, tenements or hereditaments,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rights, privileges or easements.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establish and contribute to any scheme (including any share option scheme or similar scheme) for the purchase of shares in the Company to be held for the benefit of</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the Company’s directors, employees and consultants and to lend or otherwise provide money to such schemes or the directors, employees and consultants of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Company or any of its subsidiaries or associated companies to enable them to purchase shares of the Company, in each case subject to applicable law.</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3.6</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sell, lease, exchange, grant, convey, transfer or otherwise dispose of any or all of the property and real estate, investments or assets of the Company of whatever nature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or tenure for such price, consideration, sum or other return whether equal to or less than the market value thereof and whether by way of gift or otherwise as the Directors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shall deem fit and to grant any fee farm grant or lease or to enter into any agreement for letting or hire of any such property or asset for a rent or return equal to or less than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market or rack rent therefor or at no rent and subject to or free from covenants and restrictions as the Directors shall deem appropriate.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3.7</w:t>
            </w:r>
          </w:p>
        </w:tc>
        <w:tc>
          <w:tcPr>
            <w:tcW w:w="10500" w:type="dxa"/>
            <w:vAlign w:val="bottom"/>
          </w:tcPr>
          <w:p>
            <w:pPr>
              <w:ind w:left="260"/>
              <w:spacing w:after="0"/>
              <w:rPr>
                <w:sz w:val="20"/>
                <w:szCs w:val="20"/>
                <w:color w:val="auto"/>
              </w:rPr>
            </w:pPr>
            <w:r>
              <w:rPr>
                <w:rFonts w:ascii="Arial" w:cs="Arial" w:eastAsia="Arial" w:hAnsi="Arial"/>
                <w:sz w:val="14"/>
                <w:szCs w:val="14"/>
                <w:color w:val="auto"/>
              </w:rPr>
              <w:t>To acquire and undertake the whole or any part of the business, good-will and assets of any person, firm or company carrying on or proposing to carry on any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businesses which this Company is authorised to carry on, and as part of the consideration for such acquisition to undertake all or any of the liabilities of such person, firm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company, or to acquire an interest in, amalgamate with, or enter into any arrangement for sharing profits, or for co-operation, or for limiting competition or for mutual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assistance with any such person, firm or company and to give or accept by way of consideration for any of the acts or things aforesaid or property acquired, any shares,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stocks, debentures, debenture stock, indentures, notes, loan notes, loan stock, bonds, obligations and other securities of any description that may be agreed upon, and 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hold and retain or sell, mortgage or deal with any shares, stocks, debentures, debenture stock, indentures, notes, loan notes, loan stock, bonds, obligations and other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securities of any description so received.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3.8</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apply for, register, purchase, acquire, sell, lease, hold, use, administer, control, license or otherwise deal with any patents, brevets d’invention, copyrights, trademarks,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licences, technical and industrial know-how, concessions and the like conferring any exclusive or non-exclusive or limited rights to use or any secret or other inventing</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information as to any invention which may seem capable of being used for any of the purposes of the Company or the acquisition of which may seem calculated directly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indirectly to benefit the Company, and to use, exercise, develop or grant licences in respect of or otherwise turn to account the property, rights or information so acquired.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3.9</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enter into partnership or into any arrangement for sharing profits, union of interests, co-operation, joint venture, reciprocal concession or otherwise with any person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company carrying on or engaged in or about to carry on or engage in any business or transaction which the Company is authorised to carry on or engage in or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business or transaction capable of being conducted so as to, directly or indirectly, benefit the Company.</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3.10</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incorporate or cause to be incorporated any one or more subsidiaries (within the meaning of section 155 of the Companies Act 1963, as amended) for the purpose of</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carrying on any business.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3.11</w:t>
            </w:r>
          </w:p>
        </w:tc>
        <w:tc>
          <w:tcPr>
            <w:tcW w:w="10500" w:type="dxa"/>
            <w:vAlign w:val="bottom"/>
          </w:tcPr>
          <w:p>
            <w:pPr>
              <w:ind w:left="260"/>
              <w:spacing w:after="0"/>
              <w:rPr>
                <w:sz w:val="20"/>
                <w:szCs w:val="20"/>
                <w:color w:val="auto"/>
              </w:rPr>
            </w:pPr>
            <w:r>
              <w:rPr>
                <w:rFonts w:ascii="Arial" w:cs="Arial" w:eastAsia="Arial" w:hAnsi="Arial"/>
                <w:sz w:val="14"/>
                <w:szCs w:val="14"/>
                <w:color w:val="auto"/>
              </w:rPr>
              <w:t>To invest and deal with the moneys of the Company not immediately required upon such securities and in such manner as may from time to time be determined.</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3.12</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lend money to and guarantee the performance of the contracts or obligations of any company, firm or person, and the repayment of the capital and principal of,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dividends, interest or premiums payable on, any stock, shares and securities of any company, whether having objects similar to those of this Company or not, and to give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all kinds of indemnities.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enter into, invest or engage in, acquire, hold or dispose of any financial instruments or risk management instruments, whether or not of a type currently in existence,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exchange, interest rate or commodity or index linked transactions (whether in connection with or incidental to any other contract, undertaking or business entered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into or carried on by the Company or whether as an independent object or activity), including securities in respect of which the return or redemption amount is calculated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reference to any index, price or rate, monetary and financial instruments of all kinds, futures contracts, swaps and hedges (including credit default, interest rate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currency swaps and hedges of any kind whatsoever), options contracts, contracts for differences, commodities (including bullion and other precious metals), forward rate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agreements, debentures, debenture stock, warrants, commercial paper, promissory notes, mortgage backed securities, asset backed securities, dealings in foreign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currency, spot and forward rate exchange contracts, caps, floors, collars, and any other foreign exchange, interest rate or commodity or index linked arrangements,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such other instruments whether for the purpose of making a profit or avoiding a loss or managing a currency or interest rate exposure or any other purpose and to enter into</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any contract for and to exercise and enforce all rights and powers conferred by or incidental, directly or indirectly, to such transactions or the termination of any such</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transactions.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3.14</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guarantee, support or secure, whether by personal covenant or by mortgaging or charging all or any part of the undertaking, property and assets (both present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future) and uncalled capital of the Company, or by both such methods, the performance of the obligations of, and the repayment or payment of the principal amounts of and</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premiums, interest and dividends on any securities of, any person, firm or company including (without prejudice to the generality of the foregoing) any company which is for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the time being the Company’s holding company as defined by section 155 of the Companies Act 1963, as amended, or a subsidiary as therein defined of any such holding</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company or otherwise associated with the Company in business.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borrow or raise finance or secure the payment of money in such manner as the Company shall think fit, and in particular by the provision of a guarantee or by the issue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of shares, stocks, debentures, debenture stock, notes, loan notes, loan stock, bonds, obligations and other securities of all kinds, either perpetual or terminable and either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redeemable or otherwise and to secure the repayment of any money borrowed, raised or owing by trust deed, mortgage, charge, or lien upon the whole or any part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Company’s property or assets (whether present or future) including its uncalled capital, and also by a similar trust deed, mortgage, charge or lien to secure and guarantee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performance by the Company of any obligation or liability it may undertake.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3.16</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carry on the business of financing and re-financing whether asset based or not (including financing and re-financing of financial assets), including managing financial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assets with or without security in whatever currency including financing or re-financing by way of loan, acceptance credits, commercial paper, euro medium term bonds,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euro bonds, asset-backed securities, securitisation, synthetic securitisation, collateralised debt obligations, bank placements, leasing, hire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purchase, credit sale, conditional sale, factoring, forfeiting, invoice discounting, note issue facilities, project financing, bond issuances, participation and syndications,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assignment, novation, factoring, discounting, participation, sub-participation, derivative contracts, securities/stock lending contracts, repurchase agreements or other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appropriate methods of finance and to discount mortgage receivables, loan receivables and lease rentals for persons wherever situated in any currency whatsoever, and to</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do all of the foregoing as principal, agent or broker.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3.17</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To draw, make, accept, endorse, discount, execute, negotiate and issue promissory notes, bills of exchange, bills of lading, warrants, indentures, debentures and other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negotiable or transferable instruments.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3.18</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subscribe for, take, purchase or otherwise acquire, hold, sell and transfer shares, stocks, debentures, debenture stock, indentures, notes, loan notes, loan stock, bonds,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obligations and other securities of any description of, or other interests in, any other company or person.</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3.19</w:t>
            </w:r>
          </w:p>
        </w:tc>
        <w:tc>
          <w:tcPr>
            <w:tcW w:w="10500" w:type="dxa"/>
            <w:vAlign w:val="bottom"/>
          </w:tcPr>
          <w:p>
            <w:pPr>
              <w:ind w:left="260"/>
              <w:spacing w:after="0"/>
              <w:rPr>
                <w:sz w:val="20"/>
                <w:szCs w:val="20"/>
                <w:color w:val="auto"/>
              </w:rPr>
            </w:pPr>
            <w:r>
              <w:rPr>
                <w:rFonts w:ascii="Arial" w:cs="Arial" w:eastAsia="Arial" w:hAnsi="Arial"/>
                <w:sz w:val="14"/>
                <w:szCs w:val="14"/>
                <w:color w:val="auto"/>
              </w:rPr>
              <w:t>To hold in trust as trustees or as nominees and to deal with, manage and turn to account, any real or personal property of any kind, and in particular shares, stocks,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debentures, debenture stock, indentures, notes, loan notes, loan stock, bonds, obligations and other securities of any description, policies, book debts, claims and choses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in actions, lands, buildings, hereditaments, business concerns and undertakings, mortgages, charges, annuities, patents, licences, and any interest in real or personal</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property, and any claims against such property or against any person or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3.20</w:t>
            </w:r>
          </w:p>
        </w:tc>
        <w:tc>
          <w:tcPr>
            <w:tcW w:w="10500" w:type="dxa"/>
            <w:vAlign w:val="bottom"/>
          </w:tcPr>
          <w:p>
            <w:pPr>
              <w:ind w:left="260"/>
              <w:spacing w:after="0"/>
              <w:rPr>
                <w:sz w:val="20"/>
                <w:szCs w:val="20"/>
                <w:color w:val="auto"/>
              </w:rPr>
            </w:pPr>
            <w:r>
              <w:rPr>
                <w:rFonts w:ascii="Arial" w:cs="Arial" w:eastAsia="Arial" w:hAnsi="Arial"/>
                <w:sz w:val="14"/>
                <w:szCs w:val="14"/>
                <w:color w:val="auto"/>
              </w:rPr>
              <w:t>To constitute any trusts with a view to the issue of preferred and, deferred or other special stocks or securities based on or representing any shares, stocks and other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assets specifically appropriated for the purpose of any such trust and to settle and regulate and if thought fit to undertake and execute any such trusts and to issue dispose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of or hold any such preferred, deferred or other special stocks or securities.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3.21</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give any guarantee in relation to the payment of any debentures, debenture stock, indentures, notes, loan notes, loan stock, bonds, obligations or other securities of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description and to guarantee the payment of interest thereon or of dividends on any stocks or shares of any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3.22</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construct, erect and maintain buildings, houses, flats, shops and all other works, erections, and things of any description whatsoever either upon the lands acquired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the Company or upon other lands and to hold, retain as investments or to sell, let, alienate, mortgage, charge or deal with all or any of the same and generally to alter,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develop and improve the lands and other property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provide for the welfare of persons in the employment of or holding office under or formerly in the employment of or holding office under the Company including Directors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and ex-Directors of the Company or any of its subsidiary or associated companies and the wives, widows and families, dependents or connections of such persons by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9"/>
              </w:rPr>
              <w:t>grants of money, pensions or other payments and by forming and contributing to pension, provident or benefit funds or profit sharing or co-partnership schemes for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benefit of such persons and to form, subscribe to or otherwise aid charitable, benevolent, religious, scientific, national or other institutions, exhibitions or objects which shall</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have any moral or other claims to support or aid by the Company by reason of the locality of its operation or otherwise.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3.24</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remunerate by cash payments or allotment of shares or securities of the Company credited as fully paid up or otherwise any person or company for services rendered or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to be rendered to the Company or any member of the group to which the Company belongs, whether in the course of employment with the Company or any group company</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or the conduct or the management of the business of the Company or any group company or in placing or assisting to place or guaranteeing the placing of any of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shares or other securities of the Company’s, or any group company’s capital, or any debentures or other securities of the Company or any group company or in or about the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formation or promotion of the Company or any group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enter into and carry into effect any arrangement for joint working in business or for sharing of profits or for amalgamation with any other company or association or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partnership or person carrying on any business within the objects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3.26</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distribute in specie or as otherwise may be resolved all or any portion of the assets of the Company among its members and in particular the shares, debentures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other securities of any other company belonging to this Company or of which this Company may have the power of disposing.</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3.27</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vest any real or personal property, rights or interest acquired or belonging to the Company in any person or company on behalf of or for the benefit of the Company, and</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with or without any declared trust in favour of the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3.28</w:t>
            </w:r>
          </w:p>
        </w:tc>
        <w:tc>
          <w:tcPr>
            <w:tcW w:w="10500" w:type="dxa"/>
            <w:vAlign w:val="bottom"/>
          </w:tcPr>
          <w:p>
            <w:pPr>
              <w:ind w:left="260"/>
              <w:spacing w:after="0"/>
              <w:rPr>
                <w:sz w:val="20"/>
                <w:szCs w:val="20"/>
                <w:color w:val="auto"/>
              </w:rPr>
            </w:pPr>
            <w:r>
              <w:rPr>
                <w:rFonts w:ascii="Arial" w:cs="Arial" w:eastAsia="Arial" w:hAnsi="Arial"/>
                <w:sz w:val="14"/>
                <w:szCs w:val="14"/>
                <w:color w:val="auto"/>
              </w:rPr>
              <w:t>To transact or carry on any business which may seem to be capable of being conveniently carried on in connection with any of these objects or calculated directly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indirectly to enhance the value of or facilitate the realisation of or render profitable any of the Company’s property or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3.29</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accept stock or shares in or indentures, debentures, mortgages or securities of any other company in payment or part payment for any services rendered or for any sale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made to or debt owing from any such company, whether such shares shall be wholly or partly paid up.</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3.30</w:t>
            </w:r>
          </w:p>
        </w:tc>
        <w:tc>
          <w:tcPr>
            <w:tcW w:w="10500" w:type="dxa"/>
            <w:vAlign w:val="bottom"/>
          </w:tcPr>
          <w:p>
            <w:pPr>
              <w:ind w:left="260"/>
              <w:spacing w:after="0"/>
              <w:rPr>
                <w:sz w:val="20"/>
                <w:szCs w:val="20"/>
                <w:color w:val="auto"/>
              </w:rPr>
            </w:pPr>
            <w:r>
              <w:rPr>
                <w:rFonts w:ascii="Arial" w:cs="Arial" w:eastAsia="Arial" w:hAnsi="Arial"/>
                <w:sz w:val="14"/>
                <w:szCs w:val="14"/>
                <w:color w:val="auto"/>
                <w:w w:val="99"/>
              </w:rPr>
              <w:t>To pay all costs, charges and expenses incurred or sustained in or about the promotion and establishment of the Company or which the Company shall consider to be</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preliminary thereto and to issue shares as fully or in part paid up, and to pay out of the funds of the Company all brokerage and charges incidental thereto.</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3.31</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To procure the Company to be registered or recognized in Ireland or in any foreign country or in any colony or dependency of any such foreign country or that the central</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management and control and/or place of effective management of the Company be located in any country, and to establish branches offices, places of business or</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subsidiaries in Ireland or any such foreign country or in any colony or dependency of any such foreign country.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3.32</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do all or any of the matters hereby authorised in any part of the world or in conjunction with or as trustee or agent for any other company or person or by or through any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factors, trustees or agents.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To make gifts or grant bonuses to the Directors or any other persons who are or have been in the employment of the Company including substitute and alternate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B-3</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3.34</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6"/>
              </w:rPr>
              <w:t>To do all such other things that the Company may consider incidental or conducive to the attainment of the above objects or as are capable of being conveniently carried on</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in connection therewith.</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3.35</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carry on any business which the Company may lawfully engage in and to do all such things incidental or conducive to the business of the Company.</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3.36</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make or receive gifts by way of capital contribution or otherwise.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3.37</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reduce its share capital in any manner permitted by law.</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3.38</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To the extent permitted by law, to give whether directly or indirectly, any kind of financial assistance for the purpose of, or in connection with, the purchase of, or</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subscription for, shares, stocks, debentures, debenture stock, indentures, notes, loan notes, loan stock, bonds, obligations and other securities of any description of the</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Company or of any body corporate which is at any given time the Company’s holding company.</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3.39</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To do and take all such things, measures, acts and actions (including, but not limited to, entering into agreements, contracts, deeds and other documents or instruments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giving undertakings, covenants, representations, warranties, indemnities and other commitments and promises) as the Company considers may be necessary or</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required in connection with, or incidental or conducive to, attainment of the above objects, or any of them.</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3.40</w:t>
            </w: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w w:val="98"/>
              </w:rPr>
              <w:t>The objects set forth in any sub-clause of this clause shall be regarded as independent objects and shall not, except, where the context expressly so requires, be in any</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way limited or restricted by reference to or inference from the terms of any other sub-clause, or by the name of the Company. None of such sub-clauses or the objects</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9"/>
              </w:rPr>
              <w:t>therein specified or the powers thereby conferred shall be deemed subsidiary or auxiliary merely to the objects mentioned in the first sub-clause of this clause, but the</w:t>
            </w:r>
          </w:p>
        </w:tc>
      </w:tr>
      <w:tr>
        <w:trPr>
          <w:trHeight w:val="149"/>
        </w:trPr>
        <w:tc>
          <w:tcPr>
            <w:tcW w:w="520" w:type="dxa"/>
            <w:vAlign w:val="bottom"/>
          </w:tcPr>
          <w:p>
            <w:pPr>
              <w:spacing w:after="0"/>
              <w:rPr>
                <w:sz w:val="12"/>
                <w:szCs w:val="12"/>
                <w:color w:val="auto"/>
              </w:rPr>
            </w:pPr>
          </w:p>
        </w:tc>
        <w:tc>
          <w:tcPr>
            <w:tcW w:w="105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Company shall have full power to exercise all or any of the powers conferred by any part of this clause in any part of the world notwithstanding that the business, property</w:t>
            </w:r>
          </w:p>
        </w:tc>
      </w:tr>
      <w:tr>
        <w:trPr>
          <w:trHeight w:val="162"/>
        </w:trPr>
        <w:tc>
          <w:tcPr>
            <w:tcW w:w="520" w:type="dxa"/>
            <w:vAlign w:val="bottom"/>
          </w:tcPr>
          <w:p>
            <w:pPr>
              <w:spacing w:after="0"/>
              <w:rPr>
                <w:sz w:val="14"/>
                <w:szCs w:val="14"/>
                <w:color w:val="auto"/>
              </w:rPr>
            </w:pPr>
          </w:p>
        </w:tc>
        <w:tc>
          <w:tcPr>
            <w:tcW w:w="10500" w:type="dxa"/>
            <w:vAlign w:val="bottom"/>
            <w:gridSpan w:val="2"/>
          </w:tcPr>
          <w:p>
            <w:pPr>
              <w:ind w:left="260"/>
              <w:spacing w:after="0"/>
              <w:rPr>
                <w:sz w:val="20"/>
                <w:szCs w:val="20"/>
                <w:color w:val="auto"/>
              </w:rPr>
            </w:pPr>
            <w:r>
              <w:rPr>
                <w:rFonts w:ascii="Arial" w:cs="Arial" w:eastAsia="Arial" w:hAnsi="Arial"/>
                <w:sz w:val="14"/>
                <w:szCs w:val="14"/>
                <w:color w:val="auto"/>
              </w:rPr>
              <w:t>or acts proposed to be transacted, acquired or performed do not fall within the objects of the first sub-clause of this clause.</w:t>
            </w:r>
          </w:p>
        </w:tc>
      </w:tr>
      <w:tr>
        <w:trPr>
          <w:trHeight w:val="378"/>
        </w:trPr>
        <w:tc>
          <w:tcPr>
            <w:tcW w:w="52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NOTE:</w:t>
            </w:r>
          </w:p>
        </w:tc>
        <w:tc>
          <w:tcPr>
            <w:tcW w:w="9600" w:type="dxa"/>
            <w:vAlign w:val="bottom"/>
          </w:tcPr>
          <w:p>
            <w:pPr>
              <w:ind w:left="240"/>
              <w:spacing w:after="0"/>
              <w:rPr>
                <w:sz w:val="20"/>
                <w:szCs w:val="20"/>
                <w:color w:val="auto"/>
              </w:rPr>
            </w:pPr>
            <w:r>
              <w:rPr>
                <w:rFonts w:ascii="Arial" w:cs="Arial" w:eastAsia="Arial" w:hAnsi="Arial"/>
                <w:sz w:val="14"/>
                <w:szCs w:val="14"/>
                <w:color w:val="auto"/>
                <w:w w:val="97"/>
              </w:rPr>
              <w:t>It is hereby declared that the word “company” in this clause, except where used in reference to this Company shall be deemed to include any partnership or</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7"/>
              </w:rPr>
              <w:t>other body of persons whether incorporated or not incorporated and whether domiciled in Ireland or elsewhere and the intention is that the objects specified</w:t>
            </w:r>
          </w:p>
        </w:tc>
      </w:tr>
      <w:tr>
        <w:trPr>
          <w:trHeight w:val="149"/>
        </w:trPr>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ind w:left="240"/>
              <w:spacing w:after="0" w:line="149" w:lineRule="exact"/>
              <w:rPr>
                <w:sz w:val="20"/>
                <w:szCs w:val="20"/>
                <w:color w:val="auto"/>
              </w:rPr>
            </w:pPr>
            <w:r>
              <w:rPr>
                <w:rFonts w:ascii="Arial" w:cs="Arial" w:eastAsia="Arial" w:hAnsi="Arial"/>
                <w:sz w:val="14"/>
                <w:szCs w:val="14"/>
                <w:color w:val="auto"/>
                <w:w w:val="98"/>
              </w:rPr>
              <w:t>in each paragraph of this clause shall except where otherwise expressed in such paragraph be in no way limited or restricted by reference to or inference</w:t>
            </w:r>
          </w:p>
        </w:tc>
      </w:tr>
      <w:tr>
        <w:trPr>
          <w:trHeight w:val="16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0" w:type="dxa"/>
            <w:vAlign w:val="bottom"/>
          </w:tcPr>
          <w:p>
            <w:pPr>
              <w:ind w:left="240"/>
              <w:spacing w:after="0"/>
              <w:rPr>
                <w:sz w:val="20"/>
                <w:szCs w:val="20"/>
                <w:color w:val="auto"/>
              </w:rPr>
            </w:pPr>
            <w:r>
              <w:rPr>
                <w:rFonts w:ascii="Arial" w:cs="Arial" w:eastAsia="Arial" w:hAnsi="Arial"/>
                <w:sz w:val="14"/>
                <w:szCs w:val="14"/>
                <w:color w:val="auto"/>
              </w:rPr>
              <w:t>from the terms of any other paragraph.</w:t>
            </w:r>
          </w:p>
        </w:tc>
      </w:tr>
    </w:tbl>
    <w:p>
      <w:pPr>
        <w:spacing w:after="0" w:line="229" w:lineRule="exact"/>
        <w:rPr>
          <w:sz w:val="20"/>
          <w:szCs w:val="20"/>
          <w:color w:val="auto"/>
        </w:rPr>
      </w:pPr>
    </w:p>
    <w:p>
      <w:pPr>
        <w:ind w:left="980" w:hanging="776"/>
        <w:spacing w:after="0"/>
        <w:tabs>
          <w:tab w:leader="none" w:pos="9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liability of the members is limited.</w:t>
      </w:r>
    </w:p>
    <w:p>
      <w:pPr>
        <w:spacing w:after="0" w:line="220" w:lineRule="exact"/>
        <w:rPr>
          <w:rFonts w:ascii="Arial" w:cs="Arial" w:eastAsia="Arial" w:hAnsi="Arial"/>
          <w:sz w:val="14"/>
          <w:szCs w:val="14"/>
          <w:color w:val="auto"/>
        </w:rPr>
      </w:pPr>
    </w:p>
    <w:p>
      <w:pPr>
        <w:ind w:left="980" w:right="160" w:hanging="776"/>
        <w:spacing w:after="0" w:line="239" w:lineRule="auto"/>
        <w:tabs>
          <w:tab w:leader="none" w:pos="9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share capital of the Company is €40,000 and US$101,700 divided into 40,000 deferred ordinary shares of €1.00 each, and 101,700,000 ordinary shares of US$0.001 each.</w:t>
      </w:r>
    </w:p>
    <w:p>
      <w:pPr>
        <w:spacing w:after="0" w:line="229"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10" w:lineRule="exact"/>
        <w:rPr>
          <w:sz w:val="20"/>
          <w:szCs w:val="20"/>
          <w:color w:val="auto"/>
        </w:rPr>
      </w:pPr>
    </w:p>
    <w:p>
      <w:pPr>
        <w:ind w:left="200" w:right="60"/>
        <w:spacing w:after="0" w:line="258" w:lineRule="auto"/>
        <w:rPr>
          <w:sz w:val="20"/>
          <w:szCs w:val="20"/>
          <w:color w:val="auto"/>
        </w:rPr>
      </w:pPr>
      <w:r>
        <w:rPr>
          <w:rFonts w:ascii="Arial" w:cs="Arial" w:eastAsia="Arial" w:hAnsi="Arial"/>
          <w:sz w:val="14"/>
          <w:szCs w:val="14"/>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96" w:lineRule="exact"/>
        <w:rPr>
          <w:sz w:val="20"/>
          <w:szCs w:val="20"/>
          <w:color w:val="auto"/>
        </w:rPr>
      </w:pPr>
    </w:p>
    <w:tbl>
      <w:tblPr>
        <w:tblLayout w:type="fixed"/>
        <w:tblInd w:w="230" w:type="dxa"/>
        <w:tblCellMar>
          <w:top w:w="0" w:type="dxa"/>
          <w:left w:w="0" w:type="dxa"/>
          <w:bottom w:w="0" w:type="dxa"/>
          <w:right w:w="0" w:type="dxa"/>
        </w:tblCellMar>
      </w:tblPr>
      <w:tr>
        <w:trPr>
          <w:trHeight w:val="240"/>
        </w:trPr>
        <w:tc>
          <w:tcPr>
            <w:tcW w:w="4560" w:type="dxa"/>
            <w:vAlign w:val="bottom"/>
            <w:tcBorders>
              <w:top w:val="single" w:sz="8" w:color="auto"/>
              <w:left w:val="single" w:sz="8" w:color="auto"/>
            </w:tcBorders>
            <w:vMerge w:val="restart"/>
            <w:shd w:val="clear" w:color="auto" w:fill="BFBFBF"/>
          </w:tcPr>
          <w:p>
            <w:pPr>
              <w:ind w:left="220"/>
              <w:spacing w:after="0"/>
              <w:rPr>
                <w:sz w:val="20"/>
                <w:szCs w:val="20"/>
                <w:color w:val="auto"/>
              </w:rPr>
            </w:pPr>
            <w:r>
              <w:rPr>
                <w:rFonts w:ascii="Arial" w:cs="Arial" w:eastAsia="Arial" w:hAnsi="Arial"/>
                <w:sz w:val="14"/>
                <w:szCs w:val="14"/>
                <w:b w:val="1"/>
                <w:bCs w:val="1"/>
                <w:color w:val="auto"/>
              </w:rPr>
              <w:t>Names, Addresses and Descriptions of Subscribers</w:t>
            </w:r>
          </w:p>
        </w:tc>
        <w:tc>
          <w:tcPr>
            <w:tcW w:w="3480" w:type="dxa"/>
            <w:vAlign w:val="bottom"/>
            <w:tcBorders>
              <w:top w:val="single" w:sz="8" w:color="auto"/>
              <w:right w:val="single" w:sz="8" w:color="auto"/>
            </w:tcBorders>
            <w:shd w:val="clear" w:color="auto" w:fill="BFBFBF"/>
          </w:tcPr>
          <w:p>
            <w:pPr>
              <w:spacing w:after="0"/>
              <w:rPr>
                <w:sz w:val="20"/>
                <w:szCs w:val="20"/>
                <w:color w:val="auto"/>
              </w:rPr>
            </w:pPr>
          </w:p>
        </w:tc>
        <w:tc>
          <w:tcPr>
            <w:tcW w:w="30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4"/>
                <w:szCs w:val="14"/>
                <w:b w:val="1"/>
                <w:bCs w:val="1"/>
                <w:color w:val="auto"/>
              </w:rPr>
              <w:t>Number of Shares Taken by each</w:t>
            </w:r>
          </w:p>
        </w:tc>
        <w:tc>
          <w:tcPr>
            <w:tcW w:w="0" w:type="dxa"/>
            <w:vAlign w:val="bottom"/>
          </w:tcPr>
          <w:p>
            <w:pPr>
              <w:spacing w:after="0"/>
              <w:rPr>
                <w:sz w:val="1"/>
                <w:szCs w:val="1"/>
                <w:color w:val="auto"/>
              </w:rPr>
            </w:pPr>
          </w:p>
        </w:tc>
      </w:tr>
      <w:tr>
        <w:trPr>
          <w:trHeight w:val="97"/>
        </w:trPr>
        <w:tc>
          <w:tcPr>
            <w:tcW w:w="4560" w:type="dxa"/>
            <w:vAlign w:val="bottom"/>
            <w:tcBorders>
              <w:left w:val="single" w:sz="8" w:color="auto"/>
            </w:tcBorders>
            <w:vMerge w:val="continue"/>
            <w:shd w:val="clear" w:color="auto" w:fill="BFBFBF"/>
          </w:tcPr>
          <w:p>
            <w:pPr>
              <w:spacing w:after="0"/>
              <w:rPr>
                <w:sz w:val="8"/>
                <w:szCs w:val="8"/>
                <w:color w:val="auto"/>
              </w:rPr>
            </w:pPr>
          </w:p>
        </w:tc>
        <w:tc>
          <w:tcPr>
            <w:tcW w:w="3480" w:type="dxa"/>
            <w:vAlign w:val="bottom"/>
            <w:tcBorders>
              <w:right w:val="single" w:sz="8" w:color="auto"/>
            </w:tcBorders>
            <w:shd w:val="clear" w:color="auto" w:fill="BFBFBF"/>
          </w:tcPr>
          <w:p>
            <w:pPr>
              <w:spacing w:after="0"/>
              <w:rPr>
                <w:sz w:val="8"/>
                <w:szCs w:val="8"/>
                <w:color w:val="auto"/>
              </w:rPr>
            </w:pPr>
          </w:p>
        </w:tc>
        <w:tc>
          <w:tcPr>
            <w:tcW w:w="3000" w:type="dxa"/>
            <w:vAlign w:val="bottom"/>
            <w:tcBorders>
              <w:right w:val="single" w:sz="8" w:color="auto"/>
            </w:tcBorders>
            <w:vMerge w:val="restart"/>
            <w:shd w:val="clear" w:color="auto" w:fill="BFBFBF"/>
          </w:tcPr>
          <w:p>
            <w:pPr>
              <w:ind w:left="100"/>
              <w:spacing w:after="0"/>
              <w:rPr>
                <w:sz w:val="20"/>
                <w:szCs w:val="20"/>
                <w:color w:val="auto"/>
              </w:rPr>
            </w:pPr>
            <w:r>
              <w:rPr>
                <w:rFonts w:ascii="Arial" w:cs="Arial" w:eastAsia="Arial" w:hAnsi="Arial"/>
                <w:sz w:val="14"/>
                <w:szCs w:val="14"/>
                <w:b w:val="1"/>
                <w:bCs w:val="1"/>
                <w:color w:val="auto"/>
              </w:rPr>
              <w:t>Subscriber</w:t>
            </w:r>
          </w:p>
        </w:tc>
        <w:tc>
          <w:tcPr>
            <w:tcW w:w="0" w:type="dxa"/>
            <w:vAlign w:val="bottom"/>
          </w:tcPr>
          <w:p>
            <w:pPr>
              <w:spacing w:after="0"/>
              <w:rPr>
                <w:sz w:val="1"/>
                <w:szCs w:val="1"/>
                <w:color w:val="auto"/>
              </w:rPr>
            </w:pPr>
          </w:p>
        </w:tc>
      </w:tr>
      <w:tr>
        <w:trPr>
          <w:trHeight w:val="81"/>
        </w:trPr>
        <w:tc>
          <w:tcPr>
            <w:tcW w:w="4560" w:type="dxa"/>
            <w:vAlign w:val="bottom"/>
            <w:tcBorders>
              <w:left w:val="single" w:sz="8" w:color="auto"/>
              <w:bottom w:val="single" w:sz="8" w:color="auto"/>
            </w:tcBorders>
            <w:shd w:val="clear" w:color="auto" w:fill="BFBFBF"/>
          </w:tcPr>
          <w:p>
            <w:pPr>
              <w:spacing w:after="0"/>
              <w:rPr>
                <w:sz w:val="7"/>
                <w:szCs w:val="7"/>
                <w:color w:val="auto"/>
              </w:rPr>
            </w:pPr>
          </w:p>
        </w:tc>
        <w:tc>
          <w:tcPr>
            <w:tcW w:w="3480" w:type="dxa"/>
            <w:vAlign w:val="bottom"/>
            <w:tcBorders>
              <w:bottom w:val="single" w:sz="8" w:color="auto"/>
              <w:right w:val="single" w:sz="8" w:color="auto"/>
            </w:tcBorders>
            <w:shd w:val="clear" w:color="auto" w:fill="BFBFBF"/>
          </w:tcPr>
          <w:p>
            <w:pPr>
              <w:spacing w:after="0"/>
              <w:rPr>
                <w:sz w:val="7"/>
                <w:szCs w:val="7"/>
                <w:color w:val="auto"/>
              </w:rPr>
            </w:pPr>
          </w:p>
        </w:tc>
        <w:tc>
          <w:tcPr>
            <w:tcW w:w="30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560" w:type="dxa"/>
            <w:vAlign w:val="bottom"/>
            <w:tcBorders>
              <w:left w:val="single" w:sz="8" w:color="auto"/>
            </w:tcBorders>
          </w:tcPr>
          <w:p>
            <w:pPr>
              <w:ind w:left="200"/>
              <w:spacing w:after="0"/>
              <w:rPr>
                <w:sz w:val="20"/>
                <w:szCs w:val="20"/>
                <w:color w:val="auto"/>
              </w:rPr>
            </w:pPr>
            <w:r>
              <w:rPr>
                <w:rFonts w:ascii="Arial" w:cs="Arial" w:eastAsia="Arial" w:hAnsi="Arial"/>
                <w:sz w:val="14"/>
                <w:szCs w:val="14"/>
                <w:color w:val="auto"/>
              </w:rPr>
              <w:t>Alejandro Cestero</w:t>
            </w:r>
          </w:p>
        </w:tc>
        <w:tc>
          <w:tcPr>
            <w:tcW w:w="3480" w:type="dxa"/>
            <w:vAlign w:val="bottom"/>
            <w:tcBorders>
              <w:right w:val="single" w:sz="8" w:color="auto"/>
            </w:tcBorders>
          </w:tcPr>
          <w:p>
            <w:pPr>
              <w:spacing w:after="0"/>
              <w:rPr>
                <w:sz w:val="22"/>
                <w:szCs w:val="22"/>
                <w:color w:val="auto"/>
              </w:rPr>
            </w:pPr>
          </w:p>
        </w:tc>
        <w:tc>
          <w:tcPr>
            <w:tcW w:w="30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1 (One)</w:t>
            </w:r>
          </w:p>
        </w:tc>
        <w:tc>
          <w:tcPr>
            <w:tcW w:w="0" w:type="dxa"/>
            <w:vAlign w:val="bottom"/>
          </w:tcPr>
          <w:p>
            <w:pPr>
              <w:spacing w:after="0"/>
              <w:rPr>
                <w:sz w:val="1"/>
                <w:szCs w:val="1"/>
                <w:color w:val="auto"/>
              </w:rPr>
            </w:pPr>
          </w:p>
        </w:tc>
      </w:tr>
      <w:tr>
        <w:trPr>
          <w:trHeight w:val="133"/>
        </w:trPr>
        <w:tc>
          <w:tcPr>
            <w:tcW w:w="4560" w:type="dxa"/>
            <w:vAlign w:val="bottom"/>
            <w:tcBorders>
              <w:left w:val="single" w:sz="8" w:color="auto"/>
            </w:tcBorders>
          </w:tcPr>
          <w:p>
            <w:pPr>
              <w:ind w:left="220"/>
              <w:spacing w:after="0" w:line="133" w:lineRule="exact"/>
              <w:rPr>
                <w:sz w:val="20"/>
                <w:szCs w:val="20"/>
                <w:color w:val="auto"/>
              </w:rPr>
            </w:pPr>
            <w:r>
              <w:rPr>
                <w:rFonts w:ascii="Arial" w:cs="Arial" w:eastAsia="Arial" w:hAnsi="Arial"/>
                <w:sz w:val="14"/>
                <w:szCs w:val="14"/>
                <w:color w:val="auto"/>
              </w:rPr>
              <w:t>For and on behalf of</w:t>
            </w:r>
          </w:p>
        </w:tc>
        <w:tc>
          <w:tcPr>
            <w:tcW w:w="348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WEATHERFORD INTERNATIONAL LTD.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Alpenstrasse 15, Zug 6300</w:t>
            </w:r>
          </w:p>
        </w:tc>
        <w:tc>
          <w:tcPr>
            <w:tcW w:w="348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Switzerland</w:t>
            </w:r>
          </w:p>
        </w:tc>
        <w:tc>
          <w:tcPr>
            <w:tcW w:w="348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Body Corporate</w:t>
            </w:r>
          </w:p>
        </w:tc>
        <w:tc>
          <w:tcPr>
            <w:tcW w:w="348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560" w:type="dxa"/>
            <w:vAlign w:val="bottom"/>
            <w:tcBorders>
              <w:left w:val="single" w:sz="8" w:color="auto"/>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c>
          <w:tcPr>
            <w:tcW w:w="3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Total shares taken</w:t>
            </w:r>
          </w:p>
        </w:tc>
        <w:tc>
          <w:tcPr>
            <w:tcW w:w="648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1 (One)</w:t>
            </w:r>
          </w:p>
        </w:tc>
        <w:tc>
          <w:tcPr>
            <w:tcW w:w="0" w:type="dxa"/>
            <w:vAlign w:val="bottom"/>
          </w:tcPr>
          <w:p>
            <w:pPr>
              <w:spacing w:after="0"/>
              <w:rPr>
                <w:sz w:val="1"/>
                <w:szCs w:val="1"/>
                <w:color w:val="auto"/>
              </w:rPr>
            </w:pPr>
          </w:p>
        </w:tc>
      </w:tr>
      <w:tr>
        <w:trPr>
          <w:trHeight w:val="122"/>
        </w:trPr>
        <w:tc>
          <w:tcPr>
            <w:tcW w:w="4560" w:type="dxa"/>
            <w:vAlign w:val="bottom"/>
            <w:tcBorders>
              <w:left w:val="single" w:sz="8" w:color="auto"/>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Dated 27 day of February 2014</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b w:val="1"/>
                <w:bCs w:val="1"/>
                <w:color w:val="auto"/>
              </w:rPr>
              <w:t>Witness to the above signatures:</w:t>
            </w:r>
          </w:p>
        </w:tc>
        <w:tc>
          <w:tcPr>
            <w:tcW w:w="3480" w:type="dxa"/>
            <w:vAlign w:val="bottom"/>
          </w:tcPr>
          <w:p>
            <w:pPr>
              <w:spacing w:after="0"/>
              <w:rPr>
                <w:sz w:val="23"/>
                <w:szCs w:val="23"/>
                <w:color w:val="auto"/>
              </w:rPr>
            </w:pPr>
          </w:p>
        </w:tc>
        <w:tc>
          <w:tcPr>
            <w:tcW w:w="3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7"/>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Name: Coralie Brunet</w:t>
            </w:r>
          </w:p>
        </w:tc>
        <w:tc>
          <w:tcPr>
            <w:tcW w:w="3480" w:type="dxa"/>
            <w:vAlign w:val="bottom"/>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00"/>
              <w:spacing w:after="0" w:line="149" w:lineRule="exact"/>
              <w:rPr>
                <w:sz w:val="20"/>
                <w:szCs w:val="20"/>
                <w:color w:val="auto"/>
              </w:rPr>
            </w:pPr>
            <w:r>
              <w:rPr>
                <w:rFonts w:ascii="Arial" w:cs="Arial" w:eastAsia="Arial" w:hAnsi="Arial"/>
                <w:sz w:val="14"/>
                <w:szCs w:val="14"/>
                <w:color w:val="auto"/>
              </w:rPr>
              <w:t>Address: 4-6 Rue Jean François Bartholon, 1204,</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Borders>
              <w:left w:val="single" w:sz="8" w:color="auto"/>
            </w:tcBorders>
          </w:tcPr>
          <w:p>
            <w:pPr>
              <w:ind w:left="220"/>
              <w:spacing w:after="0" w:line="149" w:lineRule="exact"/>
              <w:rPr>
                <w:sz w:val="20"/>
                <w:szCs w:val="20"/>
                <w:color w:val="auto"/>
              </w:rPr>
            </w:pPr>
            <w:r>
              <w:rPr>
                <w:rFonts w:ascii="Arial" w:cs="Arial" w:eastAsia="Arial" w:hAnsi="Arial"/>
                <w:sz w:val="14"/>
                <w:szCs w:val="14"/>
                <w:color w:val="auto"/>
              </w:rPr>
              <w:t>Geneva, Switzerland</w:t>
            </w:r>
          </w:p>
        </w:tc>
        <w:tc>
          <w:tcPr>
            <w:tcW w:w="3480" w:type="dxa"/>
            <w:vAlign w:val="bottom"/>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tcBorders>
          </w:tcPr>
          <w:p>
            <w:pPr>
              <w:ind w:left="220"/>
              <w:spacing w:after="0"/>
              <w:rPr>
                <w:sz w:val="20"/>
                <w:szCs w:val="20"/>
                <w:color w:val="auto"/>
              </w:rPr>
            </w:pPr>
            <w:r>
              <w:rPr>
                <w:rFonts w:ascii="Arial" w:cs="Arial" w:eastAsia="Arial" w:hAnsi="Arial"/>
                <w:sz w:val="14"/>
                <w:szCs w:val="14"/>
                <w:color w:val="auto"/>
              </w:rPr>
              <w:t>Occupation: Office Manager</w:t>
            </w:r>
          </w:p>
        </w:tc>
        <w:tc>
          <w:tcPr>
            <w:tcW w:w="34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560" w:type="dxa"/>
            <w:vAlign w:val="bottom"/>
            <w:tcBorders>
              <w:left w:val="single" w:sz="8" w:color="auto"/>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60" w:type="dxa"/>
            <w:vAlign w:val="bottom"/>
            <w:tcBorders>
              <w:bottom w:val="single" w:sz="8" w:color="666666"/>
            </w:tcBorders>
          </w:tcPr>
          <w:p>
            <w:pPr>
              <w:spacing w:after="0"/>
              <w:rPr>
                <w:sz w:val="14"/>
                <w:szCs w:val="14"/>
                <w:color w:val="auto"/>
              </w:rPr>
            </w:pPr>
          </w:p>
        </w:tc>
        <w:tc>
          <w:tcPr>
            <w:tcW w:w="3480" w:type="dxa"/>
            <w:vAlign w:val="bottom"/>
            <w:tcBorders>
              <w:bottom w:val="single" w:sz="8" w:color="666666"/>
            </w:tcBorders>
          </w:tcPr>
          <w:p>
            <w:pPr>
              <w:spacing w:after="0"/>
              <w:rPr>
                <w:sz w:val="14"/>
                <w:szCs w:val="14"/>
                <w:color w:val="auto"/>
              </w:rPr>
            </w:pPr>
          </w:p>
        </w:tc>
        <w:tc>
          <w:tcPr>
            <w:tcW w:w="300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COMPANIES ACTS 1963 TO 2013</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A PUBLIC COMPANY LIMITED BY SHARES</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ARTICLES OF ASSOCIATION</w:t>
            </w:r>
          </w:p>
        </w:tc>
      </w:tr>
      <w:tr>
        <w:trPr>
          <w:trHeight w:val="284"/>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7"/>
              </w:rPr>
              <w:t>-of-</w:t>
            </w:r>
          </w:p>
        </w:tc>
      </w:tr>
      <w:tr>
        <w:trPr>
          <w:trHeight w:val="267"/>
        </w:trPr>
        <w:tc>
          <w:tcPr>
            <w:tcW w:w="7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5"/>
              </w:rPr>
              <w:t>WEATHERFORD INTERNATIONAL PUBLIC LIMITED COMPANY</w:t>
            </w:r>
          </w:p>
        </w:tc>
      </w:tr>
      <w:tr>
        <w:trPr>
          <w:trHeight w:val="178"/>
        </w:trPr>
        <w:tc>
          <w:tcPr>
            <w:tcW w:w="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80" w:type="dxa"/>
            <w:vAlign w:val="bottom"/>
          </w:tcPr>
          <w:p>
            <w:pPr>
              <w:jc w:val="center"/>
              <w:ind w:right="2172"/>
              <w:spacing w:after="0"/>
              <w:rPr>
                <w:sz w:val="20"/>
                <w:szCs w:val="20"/>
                <w:color w:val="auto"/>
              </w:rPr>
            </w:pPr>
            <w:r>
              <w:rPr>
                <w:rFonts w:ascii="Arial" w:cs="Arial" w:eastAsia="Arial" w:hAnsi="Arial"/>
                <w:sz w:val="14"/>
                <w:szCs w:val="14"/>
                <w:b w:val="1"/>
                <w:bCs w:val="1"/>
                <w:color w:val="auto"/>
                <w:w w:val="96"/>
              </w:rPr>
              <w:t>(the “Company”)</w:t>
            </w:r>
          </w:p>
        </w:tc>
      </w:tr>
      <w:tr>
        <w:trPr>
          <w:trHeight w:val="297"/>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(Adopted by special resolution passed on 29 May 2014)</w:t>
            </w:r>
          </w:p>
        </w:tc>
      </w:tr>
      <w:tr>
        <w:trPr>
          <w:trHeight w:val="284"/>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80" w:type="dxa"/>
            <w:vAlign w:val="bottom"/>
          </w:tcPr>
          <w:p>
            <w:pPr>
              <w:jc w:val="center"/>
              <w:ind w:right="2192"/>
              <w:spacing w:after="0"/>
              <w:rPr>
                <w:sz w:val="20"/>
                <w:szCs w:val="20"/>
                <w:color w:val="auto"/>
              </w:rPr>
            </w:pPr>
            <w:r>
              <w:rPr>
                <w:rFonts w:ascii="Arial" w:cs="Arial" w:eastAsia="Arial" w:hAnsi="Arial"/>
                <w:sz w:val="14"/>
                <w:szCs w:val="14"/>
                <w:b w:val="1"/>
                <w:bCs w:val="1"/>
                <w:color w:val="auto"/>
                <w:w w:val="96"/>
              </w:rPr>
              <w:t>Preliminary</w:t>
            </w:r>
          </w:p>
        </w:tc>
      </w:tr>
      <w:tr>
        <w:trPr>
          <w:trHeight w:val="297"/>
        </w:trPr>
        <w:tc>
          <w:tcPr>
            <w:tcW w:w="740" w:type="dxa"/>
            <w:vAlign w:val="bottom"/>
          </w:tcPr>
          <w:p>
            <w:pPr>
              <w:spacing w:after="0"/>
              <w:rPr>
                <w:sz w:val="20"/>
                <w:szCs w:val="20"/>
                <w:color w:val="auto"/>
              </w:rPr>
            </w:pPr>
            <w:r>
              <w:rPr>
                <w:rFonts w:ascii="Arial" w:cs="Arial" w:eastAsia="Arial" w:hAnsi="Arial"/>
                <w:sz w:val="14"/>
                <w:szCs w:val="14"/>
                <w:color w:val="auto"/>
              </w:rPr>
              <w:t>1.</w:t>
            </w:r>
          </w:p>
        </w:tc>
        <w:tc>
          <w:tcPr>
            <w:tcW w:w="10240" w:type="dxa"/>
            <w:vAlign w:val="bottom"/>
            <w:gridSpan w:val="2"/>
          </w:tcPr>
          <w:p>
            <w:pPr>
              <w:ind w:left="40"/>
              <w:spacing w:after="0"/>
              <w:rPr>
                <w:sz w:val="20"/>
                <w:szCs w:val="20"/>
                <w:color w:val="auto"/>
              </w:rPr>
            </w:pPr>
            <w:r>
              <w:rPr>
                <w:rFonts w:ascii="Arial" w:cs="Arial" w:eastAsia="Arial" w:hAnsi="Arial"/>
                <w:sz w:val="14"/>
                <w:szCs w:val="14"/>
                <w:color w:val="auto"/>
              </w:rPr>
              <w:t>The regulations contained in Table A in the First Schedule to the Companies Act 1963 shall not apply to the Company.</w:t>
            </w: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2.</w:t>
            </w:r>
          </w:p>
        </w:tc>
        <w:tc>
          <w:tcPr>
            <w:tcW w:w="156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2.1</w:t>
            </w:r>
          </w:p>
        </w:tc>
        <w:tc>
          <w:tcPr>
            <w:tcW w:w="1560" w:type="dxa"/>
            <w:vAlign w:val="bottom"/>
          </w:tcPr>
          <w:p>
            <w:pPr>
              <w:ind w:left="40"/>
              <w:spacing w:after="0"/>
              <w:rPr>
                <w:sz w:val="20"/>
                <w:szCs w:val="20"/>
                <w:color w:val="auto"/>
              </w:rPr>
            </w:pPr>
            <w:r>
              <w:rPr>
                <w:rFonts w:ascii="Arial" w:cs="Arial" w:eastAsia="Arial" w:hAnsi="Arial"/>
                <w:sz w:val="14"/>
                <w:szCs w:val="14"/>
                <w:color w:val="auto"/>
              </w:rPr>
              <w:t>In these articles:</w:t>
            </w:r>
          </w:p>
        </w:tc>
        <w:tc>
          <w:tcPr>
            <w:tcW w:w="8680" w:type="dxa"/>
            <w:vAlign w:val="bottom"/>
          </w:tcPr>
          <w:p>
            <w:pPr>
              <w:spacing w:after="0"/>
              <w:rPr>
                <w:sz w:val="24"/>
                <w:szCs w:val="24"/>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1983 Act</w:t>
            </w:r>
            <w:r>
              <w:rPr>
                <w:rFonts w:ascii="Arial" w:cs="Arial" w:eastAsia="Arial" w:hAnsi="Arial"/>
                <w:sz w:val="14"/>
                <w:szCs w:val="14"/>
                <w:color w:val="auto"/>
              </w:rPr>
              <w:t>”</w:t>
            </w:r>
          </w:p>
        </w:tc>
        <w:tc>
          <w:tcPr>
            <w:tcW w:w="156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the Companies (Amendment) Act 1983.</w:t>
            </w:r>
          </w:p>
        </w:tc>
      </w:tr>
      <w:tr>
        <w:trPr>
          <w:trHeight w:val="284"/>
        </w:trPr>
        <w:tc>
          <w:tcPr>
            <w:tcW w:w="740" w:type="dxa"/>
            <w:vAlign w:val="bottom"/>
          </w:tcPr>
          <w:p>
            <w:pPr>
              <w:spacing w:after="0"/>
              <w:rPr>
                <w:sz w:val="20"/>
                <w:szCs w:val="20"/>
                <w:color w:val="auto"/>
              </w:rPr>
            </w:pPr>
            <w:r>
              <w:rPr>
                <w:rFonts w:ascii="Arial" w:cs="Arial" w:eastAsia="Arial" w:hAnsi="Arial"/>
                <w:sz w:val="14"/>
                <w:szCs w:val="14"/>
                <w:b w:val="1"/>
                <w:bCs w:val="1"/>
                <w:color w:val="auto"/>
              </w:rPr>
              <w:t>“1990 Act”</w:t>
            </w:r>
          </w:p>
        </w:tc>
        <w:tc>
          <w:tcPr>
            <w:tcW w:w="156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1990.</w:t>
            </w:r>
          </w:p>
        </w:tc>
      </w:tr>
      <w:tr>
        <w:trPr>
          <w:trHeight w:val="284"/>
        </w:trPr>
        <w:tc>
          <w:tcPr>
            <w:tcW w:w="740" w:type="dxa"/>
            <w:vAlign w:val="bottom"/>
          </w:tcPr>
          <w:p>
            <w:pPr>
              <w:spacing w:after="0"/>
              <w:rPr>
                <w:sz w:val="20"/>
                <w:szCs w:val="20"/>
                <w:color w:val="auto"/>
              </w:rPr>
            </w:pPr>
            <w:r>
              <w:rPr>
                <w:rFonts w:ascii="Arial" w:cs="Arial" w:eastAsia="Arial" w:hAnsi="Arial"/>
                <w:sz w:val="14"/>
                <w:szCs w:val="14"/>
                <w:b w:val="1"/>
                <w:bCs w:val="1"/>
                <w:color w:val="auto"/>
              </w:rPr>
              <w:t>“Act”</w:t>
            </w:r>
          </w:p>
        </w:tc>
        <w:tc>
          <w:tcPr>
            <w:tcW w:w="1560" w:type="dxa"/>
            <w:vAlign w:val="bottom"/>
          </w:tcPr>
          <w:p>
            <w:pPr>
              <w:spacing w:after="0"/>
              <w:rPr>
                <w:sz w:val="24"/>
                <w:szCs w:val="2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Companies Act 1963.</w:t>
            </w:r>
          </w:p>
        </w:tc>
      </w:tr>
      <w:tr>
        <w:trPr>
          <w:trHeight w:val="270"/>
        </w:trPr>
        <w:tc>
          <w:tcPr>
            <w:tcW w:w="740" w:type="dxa"/>
            <w:vAlign w:val="bottom"/>
          </w:tcPr>
          <w:p>
            <w:pPr>
              <w:spacing w:after="0"/>
              <w:rPr>
                <w:sz w:val="20"/>
                <w:szCs w:val="20"/>
                <w:color w:val="auto"/>
              </w:rPr>
            </w:pPr>
            <w:r>
              <w:rPr>
                <w:rFonts w:ascii="Arial" w:cs="Arial" w:eastAsia="Arial" w:hAnsi="Arial"/>
                <w:sz w:val="14"/>
                <w:szCs w:val="14"/>
                <w:b w:val="1"/>
                <w:bCs w:val="1"/>
                <w:color w:val="auto"/>
              </w:rPr>
              <w:t>“Acts”</w:t>
            </w:r>
          </w:p>
        </w:tc>
        <w:tc>
          <w:tcPr>
            <w:tcW w:w="156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means the Companies Acts 1963 to 2013, and all statutory instruments which are to be read as one with, or construed, or to be read together</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with such Acts.</w:t>
            </w:r>
          </w:p>
        </w:tc>
      </w:tr>
      <w:tr>
        <w:trPr>
          <w:trHeight w:val="270"/>
        </w:trPr>
        <w:tc>
          <w:tcPr>
            <w:tcW w:w="74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1560" w:type="dxa"/>
            <w:vAlign w:val="bottom"/>
          </w:tcPr>
          <w:p>
            <w:pPr>
              <w:spacing w:after="0"/>
              <w:rPr>
                <w:sz w:val="23"/>
                <w:szCs w:val="23"/>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includes any number or address used for the purposes of communication, including by way of electronic mail or other electronic</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communication.</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“Adoption Date”</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3.3.</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“Applicable Escheatment Laws”</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162.2.</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“Approved Nominee”</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 person holding shares or rights or interests in shares in the Company on a nominee basis who has been determined by the</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Company to be an “Approved Nominee”.</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“Assistant Secretary”</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any person appointed by the Secretary or the Board from time to time to assist the Secretary.</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“Auditor” or “Auditors”</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auditor or auditors at any given time of the Company.</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“Clear Days”</w:t>
            </w:r>
          </w:p>
        </w:tc>
        <w:tc>
          <w:tcPr>
            <w:tcW w:w="8680" w:type="dxa"/>
            <w:vAlign w:val="bottom"/>
          </w:tcPr>
          <w:p>
            <w:pPr>
              <w:ind w:left="240"/>
              <w:spacing w:after="0"/>
              <w:rPr>
                <w:sz w:val="20"/>
                <w:szCs w:val="20"/>
                <w:color w:val="auto"/>
              </w:rPr>
            </w:pPr>
            <w:r>
              <w:rPr>
                <w:rFonts w:ascii="Arial" w:cs="Arial" w:eastAsia="Arial" w:hAnsi="Arial"/>
                <w:sz w:val="14"/>
                <w:szCs w:val="14"/>
                <w:color w:val="auto"/>
                <w:w w:val="99"/>
              </w:rPr>
              <w:t>in relation to the period of notice to be given under these articles, that period excluding the day when the notice is given or deemed to be</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given and the day of the event for which it is given or on which it is to take effect.</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“Covered Person”</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set out in article 161.</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“electronic communication”</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“electronic signature”</w:t>
            </w:r>
          </w:p>
        </w:tc>
        <w:tc>
          <w:tcPr>
            <w:tcW w:w="8680" w:type="dxa"/>
            <w:vAlign w:val="bottom"/>
          </w:tcPr>
          <w:p>
            <w:pPr>
              <w:ind w:left="240"/>
              <w:spacing w:after="0"/>
              <w:rPr>
                <w:sz w:val="20"/>
                <w:szCs w:val="20"/>
                <w:color w:val="auto"/>
              </w:rPr>
            </w:pPr>
            <w:r>
              <w:rPr>
                <w:rFonts w:ascii="Arial" w:cs="Arial" w:eastAsia="Arial" w:hAnsi="Arial"/>
                <w:sz w:val="14"/>
                <w:szCs w:val="14"/>
                <w:color w:val="auto"/>
              </w:rPr>
              <w:t>has the meaning given to those words in the Electronic Commerce Act 2000.</w:t>
            </w:r>
          </w:p>
        </w:tc>
      </w:tr>
      <w:tr>
        <w:trPr>
          <w:trHeight w:val="25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“Euro Deferred Shares” or</w:t>
            </w: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euro deferred shares of nominal value €1.00 per share (or such other nominal value as may result from any reorganisation of capital)</w:t>
            </w: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“deferred ordinary shares”</w:t>
            </w:r>
          </w:p>
        </w:tc>
        <w:tc>
          <w:tcPr>
            <w:tcW w:w="8680" w:type="dxa"/>
            <w:vAlign w:val="bottom"/>
          </w:tcPr>
          <w:p>
            <w:pPr>
              <w:ind w:left="240"/>
              <w:spacing w:after="0"/>
              <w:rPr>
                <w:sz w:val="20"/>
                <w:szCs w:val="20"/>
                <w:color w:val="auto"/>
              </w:rPr>
            </w:pPr>
            <w:r>
              <w:rPr>
                <w:rFonts w:ascii="Arial" w:cs="Arial" w:eastAsia="Arial" w:hAnsi="Arial"/>
                <w:sz w:val="14"/>
                <w:szCs w:val="14"/>
                <w:color w:val="auto"/>
              </w:rPr>
              <w:t>in 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“Exchange Act”</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the United States Securities Exchange Act of 1934, as amended from time to time.</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“Member Associated Person”</w:t>
            </w: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of any member means (A) any person controlling, directly or indirectly, or acting as a “group” (as such term is used in Rule 13d-5(b) under the</w:t>
            </w:r>
          </w:p>
        </w:tc>
      </w:tr>
      <w:tr>
        <w:trPr>
          <w:trHeight w:val="149"/>
        </w:trPr>
        <w:tc>
          <w:tcPr>
            <w:tcW w:w="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80" w:type="dxa"/>
            <w:vAlign w:val="bottom"/>
          </w:tcPr>
          <w:p>
            <w:pPr>
              <w:ind w:left="240"/>
              <w:spacing w:after="0" w:line="149" w:lineRule="exact"/>
              <w:rPr>
                <w:sz w:val="20"/>
                <w:szCs w:val="20"/>
                <w:color w:val="auto"/>
              </w:rPr>
            </w:pPr>
            <w:r>
              <w:rPr>
                <w:rFonts w:ascii="Arial" w:cs="Arial" w:eastAsia="Arial" w:hAnsi="Arial"/>
                <w:sz w:val="14"/>
                <w:szCs w:val="14"/>
                <w:color w:val="auto"/>
                <w:w w:val="97"/>
              </w:rPr>
              <w:t>Exchange Act) with, such member, (B) any beneficial owner of shares of the Company owned of record or beneficially by such member and</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(C) any person controlling, controlled by or under common control with such Member Associated Person.</w:t>
            </w:r>
          </w:p>
        </w:tc>
      </w:tr>
      <w:tr>
        <w:trPr>
          <w:trHeight w:val="254"/>
        </w:trPr>
        <w:tc>
          <w:tcPr>
            <w:tcW w:w="740" w:type="dxa"/>
            <w:vAlign w:val="bottom"/>
          </w:tcPr>
          <w:p>
            <w:pPr>
              <w:spacing w:after="0"/>
              <w:rPr>
                <w:sz w:val="20"/>
                <w:szCs w:val="20"/>
                <w:color w:val="auto"/>
              </w:rPr>
            </w:pPr>
            <w:r>
              <w:rPr>
                <w:rFonts w:ascii="Arial" w:cs="Arial" w:eastAsia="Arial" w:hAnsi="Arial"/>
                <w:sz w:val="14"/>
                <w:szCs w:val="14"/>
                <w:b w:val="1"/>
                <w:bCs w:val="1"/>
                <w:color w:val="auto"/>
              </w:rPr>
              <w:t>“Merger”</w:t>
            </w:r>
          </w:p>
        </w:tc>
        <w:tc>
          <w:tcPr>
            <w:tcW w:w="1560" w:type="dxa"/>
            <w:vAlign w:val="bottom"/>
          </w:tcPr>
          <w:p>
            <w:pPr>
              <w:spacing w:after="0"/>
              <w:rPr>
                <w:sz w:val="22"/>
                <w:szCs w:val="22"/>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means the merger of Weatherford International Ltd. (“</w:t>
            </w:r>
            <w:r>
              <w:rPr>
                <w:rFonts w:ascii="Arial" w:cs="Arial" w:eastAsia="Arial" w:hAnsi="Arial"/>
                <w:sz w:val="14"/>
                <w:szCs w:val="14"/>
                <w:b w:val="1"/>
                <w:bCs w:val="1"/>
                <w:color w:val="auto"/>
                <w:w w:val="97"/>
              </w:rPr>
              <w:t>Weatherford Switzerland</w:t>
            </w:r>
            <w:r>
              <w:rPr>
                <w:rFonts w:ascii="Arial" w:cs="Arial" w:eastAsia="Arial" w:hAnsi="Arial"/>
                <w:sz w:val="14"/>
                <w:szCs w:val="14"/>
                <w:color w:val="auto"/>
                <w:w w:val="97"/>
              </w:rPr>
              <w:t>”) and the Company, pursuant to a merger agreement dated</w:t>
            </w:r>
          </w:p>
        </w:tc>
      </w:tr>
      <w:tr>
        <w:trPr>
          <w:trHeight w:val="165"/>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as of April 2, 2014 made between Weatherford Switzerland and the Company (the “</w:t>
            </w:r>
            <w:r>
              <w:rPr>
                <w:rFonts w:ascii="Arial" w:cs="Arial" w:eastAsia="Arial" w:hAnsi="Arial"/>
                <w:sz w:val="14"/>
                <w:szCs w:val="14"/>
                <w:b w:val="1"/>
                <w:bCs w:val="1"/>
                <w:color w:val="auto"/>
                <w:w w:val="97"/>
              </w:rPr>
              <w:t>Merger Agreement</w:t>
            </w:r>
            <w:r>
              <w:rPr>
                <w:rFonts w:ascii="Arial" w:cs="Arial" w:eastAsia="Arial" w:hAnsi="Arial"/>
                <w:sz w:val="14"/>
                <w:szCs w:val="14"/>
                <w:color w:val="auto"/>
                <w:w w:val="97"/>
              </w:rPr>
              <w:t>”), by way of an international (cross-</w:t>
            </w:r>
          </w:p>
        </w:tc>
      </w:tr>
      <w:tr>
        <w:trPr>
          <w:trHeight w:val="149"/>
        </w:trPr>
        <w:tc>
          <w:tcPr>
            <w:tcW w:w="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80" w:type="dxa"/>
            <w:vAlign w:val="bottom"/>
          </w:tcPr>
          <w:p>
            <w:pPr>
              <w:ind w:left="240"/>
              <w:spacing w:after="0" w:line="149" w:lineRule="exact"/>
              <w:rPr>
                <w:sz w:val="20"/>
                <w:szCs w:val="20"/>
                <w:color w:val="auto"/>
              </w:rPr>
            </w:pPr>
            <w:r>
              <w:rPr>
                <w:rFonts w:ascii="Arial" w:cs="Arial" w:eastAsia="Arial" w:hAnsi="Arial"/>
                <w:sz w:val="14"/>
                <w:szCs w:val="14"/>
                <w:color w:val="auto"/>
                <w:w w:val="98"/>
              </w:rPr>
              <w:t>border) merger without liquidation of Weatherford Switzerland in compliance with, inter alia, Art. 3 et seq. Swiss Act on Merger, Demerger,</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w w:val="97"/>
              </w:rPr>
              <w:t>Transformation and Transfer of Assets and Art. 163b, 163c and 164 Swiss Private International Law Act and also applicable laws of Ireland.</w:t>
            </w: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“Ordinary Resolution”</w:t>
            </w:r>
          </w:p>
        </w:tc>
        <w:tc>
          <w:tcPr>
            <w:tcW w:w="8680" w:type="dxa"/>
            <w:vAlign w:val="bottom"/>
          </w:tcPr>
          <w:p>
            <w:pPr>
              <w:ind w:left="240"/>
              <w:spacing w:after="0"/>
              <w:rPr>
                <w:sz w:val="20"/>
                <w:szCs w:val="20"/>
                <w:color w:val="auto"/>
              </w:rPr>
            </w:pPr>
            <w:r>
              <w:rPr>
                <w:rFonts w:ascii="Arial" w:cs="Arial" w:eastAsia="Arial" w:hAnsi="Arial"/>
                <w:sz w:val="14"/>
                <w:szCs w:val="14"/>
                <w:color w:val="auto"/>
                <w:w w:val="98"/>
              </w:rPr>
              <w:t>means a resolution of the Company’s members passed by a simple majority of the votes cast by such members as, being entitled to do so,</w:t>
            </w:r>
          </w:p>
        </w:tc>
      </w:tr>
      <w:tr>
        <w:trPr>
          <w:trHeight w:val="162"/>
        </w:trPr>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voting in person, or by proxy, at a general meeting of the Company.</w:t>
            </w:r>
          </w:p>
        </w:tc>
      </w:tr>
      <w:tr>
        <w:trPr>
          <w:trHeight w:val="25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“Ordinary Shares” or “ordinary</w:t>
            </w:r>
          </w:p>
        </w:tc>
        <w:tc>
          <w:tcPr>
            <w:tcW w:w="8680" w:type="dxa"/>
            <w:vAlign w:val="bottom"/>
          </w:tcPr>
          <w:p>
            <w:pPr>
              <w:ind w:left="240"/>
              <w:spacing w:after="0"/>
              <w:rPr>
                <w:sz w:val="20"/>
                <w:szCs w:val="20"/>
                <w:color w:val="auto"/>
              </w:rPr>
            </w:pPr>
            <w:r>
              <w:rPr>
                <w:rFonts w:ascii="Arial" w:cs="Arial" w:eastAsia="Arial" w:hAnsi="Arial"/>
                <w:sz w:val="14"/>
                <w:szCs w:val="14"/>
                <w:color w:val="auto"/>
                <w:w w:val="96"/>
              </w:rPr>
              <w:t>means ordinary shares of nominal value US$0.001 per share (or such other nominal value as may result from any reorganisation of capital) in</w:t>
            </w:r>
          </w:p>
        </w:tc>
      </w:tr>
      <w:tr>
        <w:trPr>
          <w:trHeight w:val="178"/>
        </w:trPr>
        <w:tc>
          <w:tcPr>
            <w:tcW w:w="74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spacing w:after="0"/>
              <w:rPr>
                <w:sz w:val="15"/>
                <w:szCs w:val="15"/>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the capital of the Company, having the rights and being subject to the limitations set out in these articles.</w:t>
            </w:r>
          </w:p>
        </w:tc>
      </w:tr>
      <w:tr>
        <w:trPr>
          <w:trHeight w:val="28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“Redeemable Shares”</w:t>
            </w:r>
          </w:p>
        </w:tc>
        <w:tc>
          <w:tcPr>
            <w:tcW w:w="8680" w:type="dxa"/>
            <w:vAlign w:val="bottom"/>
          </w:tcPr>
          <w:p>
            <w:pPr>
              <w:ind w:left="240"/>
              <w:spacing w:after="0"/>
              <w:rPr>
                <w:sz w:val="20"/>
                <w:szCs w:val="20"/>
                <w:color w:val="auto"/>
              </w:rPr>
            </w:pPr>
            <w:r>
              <w:rPr>
                <w:rFonts w:ascii="Arial" w:cs="Arial" w:eastAsia="Arial" w:hAnsi="Arial"/>
                <w:sz w:val="14"/>
                <w:szCs w:val="14"/>
                <w:color w:val="auto"/>
              </w:rPr>
              <w:t>means redeemable shares in accordance with section 206 of the 1990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B-5</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“Register”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“Section 81 Notice”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w:t>
      </w:r>
    </w:p>
    <w:p>
      <w:pPr>
        <w:spacing w:after="0" w:line="123" w:lineRule="exact"/>
        <w:rPr>
          <w:sz w:val="20"/>
          <w:szCs w:val="20"/>
          <w:color w:val="auto"/>
        </w:rPr>
      </w:pPr>
    </w:p>
    <w:p>
      <w:pPr>
        <w:ind w:left="200"/>
        <w:spacing w:after="0" w:line="247" w:lineRule="auto"/>
        <w:rPr>
          <w:sz w:val="20"/>
          <w:szCs w:val="20"/>
          <w:color w:val="auto"/>
        </w:rPr>
      </w:pPr>
      <w:r>
        <w:rPr>
          <w:rFonts w:ascii="Arial" w:cs="Arial" w:eastAsia="Arial" w:hAnsi="Arial"/>
          <w:sz w:val="14"/>
          <w:szCs w:val="14"/>
          <w:b w:val="1"/>
          <w:bCs w:val="1"/>
          <w:color w:val="auto"/>
        </w:rPr>
        <w:t>“Shareholder” or “the Holder” or “member”</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“Special Resolution”</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Company”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Directors” or “the Board”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Office”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seal”</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Secretary”</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State”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“these articles”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 of members to be kept as required in accordance with section 116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-641350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shall mean a notice given to a member in accordance with section 81 of the 1990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“Share” and “share” mean, unless specified otherwise or the context otherwise requires, any share in the capital of the Company.</w:t>
      </w:r>
    </w:p>
    <w:p>
      <w:pPr>
        <w:spacing w:after="0" w:line="12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means in relation to any share, the person whose name is entered in the Register as the holder of the share or, where the context permits, the persons whose names are entered in the Register as the joint holders of shares.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a special resolution of the Company’s members within the meaning of section 141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company whose name appears in the heading to these articles.</w:t>
      </w:r>
    </w:p>
    <w:p>
      <w:pPr>
        <w:spacing w:after="0" w:line="123"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means the directors from time to time and for the time being of the Company or the directors present at a meeting of the board of directors and includes any person occupying the position of director by whatever name called.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means the registered office from time to time and for the time being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common seal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any person appointed to perform the duties of the secretary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means the state of Ireland.</w:t>
      </w:r>
    </w:p>
    <w:p>
      <w:pPr>
        <w:spacing w:after="0" w:line="123"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means the articles of association of which this article forms part, as the same may be amended from time to time and for the time being in force.</w:t>
      </w:r>
    </w:p>
    <w:p>
      <w:pPr>
        <w:spacing w:after="0" w:line="200" w:lineRule="exact"/>
        <w:rPr>
          <w:sz w:val="20"/>
          <w:szCs w:val="20"/>
          <w:color w:val="auto"/>
        </w:rPr>
      </w:pPr>
    </w:p>
    <w:p>
      <w:pPr>
        <w:sectPr>
          <w:pgSz w:w="11900" w:h="16838" w:orient="portrait"/>
          <w:cols w:equalWidth="0" w:num="2">
            <w:col w:w="2320" w:space="420"/>
            <w:col w:w="8480"/>
          </w:cols>
          <w:pgMar w:left="240" w:top="459" w:right="439" w:bottom="1440" w:gutter="0" w:footer="0" w:header="0"/>
        </w:sectPr>
      </w:pP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2.2</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6"/>
              </w:rPr>
              <w:t>Expressions in these articles referring to writing shall be construed, unless the contrary intention appears, as including references to printing, lithography, photography and</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6"/>
              </w:rPr>
              <w:t>any other modes of representing or reproducing words in a visible form except as provided in these articles and / or where it constitutes writing in electronic form sent to the</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Company, and the Company has agreed to its receipt in such form. Expressions in these articles referring to execution of any document shall include any mode of</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7"/>
              </w:rPr>
              <w:t>execution whether under seal or under hand or any mode of electronic signature as shall be approved by the Directors. Expressions in these articles referring to receipt or</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issuance of any electronic communications shall, be limited to receipt or issuance in such manner as the Company has approved or as set out in these articles.</w:t>
            </w:r>
          </w:p>
        </w:tc>
      </w:tr>
      <w:tr>
        <w:trPr>
          <w:trHeight w:val="149"/>
        </w:trPr>
        <w:tc>
          <w:tcPr>
            <w:tcW w:w="480" w:type="dxa"/>
            <w:vAlign w:val="bottom"/>
          </w:tcPr>
          <w:p>
            <w:pPr>
              <w:spacing w:after="0"/>
              <w:rPr>
                <w:sz w:val="12"/>
                <w:szCs w:val="12"/>
                <w:color w:val="auto"/>
              </w:rPr>
            </w:pPr>
          </w:p>
        </w:tc>
        <w:tc>
          <w:tcPr>
            <w:tcW w:w="10520" w:type="dxa"/>
            <w:vAlign w:val="bottom"/>
            <w:gridSpan w:val="3"/>
          </w:tcPr>
          <w:p>
            <w:pPr>
              <w:ind w:left="300"/>
              <w:spacing w:after="0" w:line="149" w:lineRule="exact"/>
              <w:rPr>
                <w:sz w:val="20"/>
                <w:szCs w:val="20"/>
                <w:color w:val="auto"/>
              </w:rPr>
            </w:pPr>
            <w:r>
              <w:rPr>
                <w:rFonts w:ascii="Arial" w:cs="Arial" w:eastAsia="Arial" w:hAnsi="Arial"/>
                <w:sz w:val="14"/>
                <w:szCs w:val="14"/>
                <w:color w:val="auto"/>
                <w:w w:val="98"/>
              </w:rPr>
              <w:t>Notwithstanding the foregoing, all written communication by the Company and the Directors may for the purposes of these articles, to the extent permitted by law, be in</w:t>
            </w:r>
          </w:p>
        </w:tc>
      </w:tr>
      <w:tr>
        <w:trPr>
          <w:trHeight w:val="162"/>
        </w:trPr>
        <w:tc>
          <w:tcPr>
            <w:tcW w:w="48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electronic form.</w:t>
            </w:r>
          </w:p>
        </w:tc>
        <w:tc>
          <w:tcPr>
            <w:tcW w:w="8840" w:type="dxa"/>
            <w:vAlign w:val="bottom"/>
          </w:tcPr>
          <w:p>
            <w:pPr>
              <w:spacing w:after="0"/>
              <w:rPr>
                <w:sz w:val="14"/>
                <w:szCs w:val="1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2.3</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7"/>
              </w:rPr>
              <w:t>Unless the contrary intention appears, words or expressions contained in these articles shall bear the same meaning as in the Acts or in any statutory modification thereof</w:t>
            </w:r>
          </w:p>
        </w:tc>
      </w:tr>
      <w:tr>
        <w:trPr>
          <w:trHeight w:val="162"/>
        </w:trPr>
        <w:tc>
          <w:tcPr>
            <w:tcW w:w="480" w:type="dxa"/>
            <w:vAlign w:val="bottom"/>
          </w:tcPr>
          <w:p>
            <w:pPr>
              <w:spacing w:after="0"/>
              <w:rPr>
                <w:sz w:val="14"/>
                <w:szCs w:val="14"/>
                <w:color w:val="auto"/>
              </w:rPr>
            </w:pP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in force at the date at which these articles become binding on the Company.</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2.4</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References herein to any enactment shall mean such enactment as the same may be amended and may be from time to time and for the time being in force.</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2.5</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6"/>
              </w:rPr>
              <w:t>The masculine gender shall include the feminine and neuter, and vice versa, and the singular number shall include the plural, and vice versa, and words importing persons</w:t>
            </w:r>
          </w:p>
        </w:tc>
      </w:tr>
      <w:tr>
        <w:trPr>
          <w:trHeight w:val="162"/>
        </w:trPr>
        <w:tc>
          <w:tcPr>
            <w:tcW w:w="480" w:type="dxa"/>
            <w:vAlign w:val="bottom"/>
          </w:tcPr>
          <w:p>
            <w:pPr>
              <w:spacing w:after="0"/>
              <w:rPr>
                <w:sz w:val="14"/>
                <w:szCs w:val="14"/>
                <w:color w:val="auto"/>
              </w:rPr>
            </w:pP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shall include firms or companies.</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2.6</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Reference to US$, USD, or dollars shall mean the currency of the United States of America and to €, euro, EUR or cent shall mean the currency of Ireland.</w:t>
            </w:r>
          </w:p>
        </w:tc>
      </w:tr>
      <w:tr>
        <w:trPr>
          <w:trHeight w:val="36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40" w:type="dxa"/>
            <w:vAlign w:val="bottom"/>
          </w:tcPr>
          <w:p>
            <w:pPr>
              <w:ind w:left="2200"/>
              <w:spacing w:after="0"/>
              <w:rPr>
                <w:sz w:val="20"/>
                <w:szCs w:val="20"/>
                <w:color w:val="auto"/>
              </w:rPr>
            </w:pPr>
            <w:r>
              <w:rPr>
                <w:rFonts w:ascii="Arial" w:cs="Arial" w:eastAsia="Arial" w:hAnsi="Arial"/>
                <w:sz w:val="14"/>
                <w:szCs w:val="14"/>
                <w:b w:val="1"/>
                <w:bCs w:val="1"/>
                <w:color w:val="auto"/>
              </w:rPr>
              <w:t>Share capital and variation of rights</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40" w:type="dxa"/>
            <w:vAlign w:val="bottom"/>
          </w:tcPr>
          <w:p>
            <w:pPr>
              <w:spacing w:after="0"/>
              <w:rPr>
                <w:sz w:val="24"/>
                <w:szCs w:val="2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3.1</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w w:val="97"/>
              </w:rPr>
              <w:t>The share capital of the Company is €40,000 and US$101,700 divided into 40,000 deferred ordinary shares of €1.00 each, and 101,700,000 ordinary shares of US$0.001</w:t>
            </w:r>
          </w:p>
        </w:tc>
      </w:tr>
      <w:tr>
        <w:trPr>
          <w:trHeight w:val="162"/>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each.</w:t>
            </w:r>
          </w:p>
        </w:tc>
        <w:tc>
          <w:tcPr>
            <w:tcW w:w="780" w:type="dxa"/>
            <w:vAlign w:val="bottom"/>
          </w:tcPr>
          <w:p>
            <w:pPr>
              <w:spacing w:after="0"/>
              <w:rPr>
                <w:sz w:val="14"/>
                <w:szCs w:val="14"/>
                <w:color w:val="auto"/>
              </w:rPr>
            </w:pPr>
          </w:p>
        </w:tc>
        <w:tc>
          <w:tcPr>
            <w:tcW w:w="8840" w:type="dxa"/>
            <w:vAlign w:val="bottom"/>
          </w:tcPr>
          <w:p>
            <w:pPr>
              <w:spacing w:after="0"/>
              <w:rPr>
                <w:sz w:val="14"/>
                <w:szCs w:val="14"/>
                <w:color w:val="auto"/>
              </w:rPr>
            </w:pP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3.2</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ordinary shares shall be as follows:</w:t>
            </w:r>
          </w:p>
        </w:tc>
      </w:tr>
      <w:tr>
        <w:trPr>
          <w:trHeight w:val="378"/>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subject to the right of the Company to set record dates for the purposes of determining the identity of members entitled to notice of and / or to vote at a</w:t>
            </w:r>
          </w:p>
        </w:tc>
      </w:tr>
      <w:tr>
        <w:trPr>
          <w:trHeight w:val="14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meeting, the right to attend and speak at any general meeting of the Company and to exercise one vote per ordinary share held at any general</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meeting of the Company;</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the right to participate pro rata in all dividends declared by the Company; and</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(c)</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the right, in the event of the Company’s winding up, to participate pro rata in the total assets of the Company.</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3.3</w:t>
            </w:r>
          </w:p>
        </w:tc>
        <w:tc>
          <w:tcPr>
            <w:tcW w:w="10520" w:type="dxa"/>
            <w:vAlign w:val="bottom"/>
            <w:gridSpan w:val="3"/>
          </w:tcPr>
          <w:p>
            <w:pPr>
              <w:ind w:left="300"/>
              <w:spacing w:after="0"/>
              <w:rPr>
                <w:sz w:val="20"/>
                <w:szCs w:val="20"/>
                <w:color w:val="auto"/>
              </w:rPr>
            </w:pPr>
            <w:r>
              <w:rPr>
                <w:rFonts w:ascii="Arial" w:cs="Arial" w:eastAsia="Arial" w:hAnsi="Arial"/>
                <w:sz w:val="14"/>
                <w:szCs w:val="14"/>
                <w:color w:val="auto"/>
              </w:rPr>
              <w:t>The rights and restrictions attaching to the Euro Deferred Shares shall be as follows:</w:t>
            </w:r>
          </w:p>
        </w:tc>
      </w:tr>
      <w:tr>
        <w:trPr>
          <w:trHeight w:val="378"/>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(a)</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w w:val="99"/>
              </w:rPr>
              <w:t xml:space="preserve">The Euro Deferred Shares shall rank </w:t>
            </w:r>
            <w:r>
              <w:rPr>
                <w:rFonts w:ascii="Arial" w:cs="Arial" w:eastAsia="Arial" w:hAnsi="Arial"/>
                <w:sz w:val="14"/>
                <w:szCs w:val="14"/>
                <w:i w:val="1"/>
                <w:iCs w:val="1"/>
                <w:color w:val="auto"/>
                <w:w w:val="99"/>
              </w:rPr>
              <w:t>pari passu</w:t>
            </w:r>
            <w:r>
              <w:rPr>
                <w:rFonts w:ascii="Arial" w:cs="Arial" w:eastAsia="Arial" w:hAnsi="Arial"/>
                <w:sz w:val="14"/>
                <w:szCs w:val="14"/>
                <w:color w:val="auto"/>
                <w:w w:val="99"/>
              </w:rPr>
              <w:t xml:space="preserve"> with, and have the same rights, and be subject to the same restrictions, as the ordinary shares until the</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effective time of the Merger (as provided for in the Merger Agreement).</w:t>
            </w:r>
          </w:p>
        </w:tc>
      </w:tr>
      <w:tr>
        <w:trPr>
          <w:trHeight w:val="392"/>
        </w:trPr>
        <w:tc>
          <w:tcPr>
            <w:tcW w:w="48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(b)</w:t>
            </w:r>
          </w:p>
        </w:tc>
        <w:tc>
          <w:tcPr>
            <w:tcW w:w="9620" w:type="dxa"/>
            <w:vAlign w:val="bottom"/>
            <w:gridSpan w:val="2"/>
          </w:tcPr>
          <w:p>
            <w:pPr>
              <w:ind w:left="280"/>
              <w:spacing w:after="0"/>
              <w:rPr>
                <w:sz w:val="20"/>
                <w:szCs w:val="20"/>
                <w:color w:val="auto"/>
              </w:rPr>
            </w:pPr>
            <w:r>
              <w:rPr>
                <w:rFonts w:ascii="Arial" w:cs="Arial" w:eastAsia="Arial" w:hAnsi="Arial"/>
                <w:sz w:val="14"/>
                <w:szCs w:val="14"/>
                <w:color w:val="auto"/>
              </w:rPr>
              <w:t>From the effective time of the Merger (as provided for in the Merger Agreement):</w:t>
            </w:r>
          </w:p>
        </w:tc>
      </w:tr>
      <w:tr>
        <w:trPr>
          <w:trHeight w:val="378"/>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auto"/>
              </w:rPr>
              <w:t>(i)</w:t>
            </w:r>
          </w:p>
        </w:tc>
        <w:tc>
          <w:tcPr>
            <w:tcW w:w="8840" w:type="dxa"/>
            <w:vAlign w:val="bottom"/>
          </w:tcPr>
          <w:p>
            <w:pPr>
              <w:ind w:left="360"/>
              <w:spacing w:after="0"/>
              <w:rPr>
                <w:sz w:val="20"/>
                <w:szCs w:val="20"/>
                <w:color w:val="auto"/>
              </w:rPr>
            </w:pPr>
            <w:r>
              <w:rPr>
                <w:rFonts w:ascii="Arial" w:cs="Arial" w:eastAsia="Arial" w:hAnsi="Arial"/>
                <w:sz w:val="14"/>
                <w:szCs w:val="14"/>
                <w:color w:val="auto"/>
                <w:w w:val="97"/>
              </w:rPr>
              <w:t>the holders of the Euro Deferred Shares shall not be entitled to receive any dividend or distribution and shall not be entitled to receive notice</w:t>
            </w:r>
          </w:p>
        </w:tc>
      </w:t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40" w:type="dxa"/>
            <w:vAlign w:val="bottom"/>
          </w:tcPr>
          <w:p>
            <w:pPr>
              <w:ind w:left="360"/>
              <w:spacing w:after="0"/>
              <w:rPr>
                <w:sz w:val="20"/>
                <w:szCs w:val="20"/>
                <w:color w:val="auto"/>
              </w:rPr>
            </w:pPr>
            <w:r>
              <w:rPr>
                <w:rFonts w:ascii="Arial" w:cs="Arial" w:eastAsia="Arial" w:hAnsi="Arial"/>
                <w:sz w:val="14"/>
                <w:szCs w:val="14"/>
                <w:color w:val="auto"/>
              </w:rPr>
              <w:t>of, nor to attend, speak or vote at any meeting of some or all of the members of the Company;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7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720" w:right="60" w:hanging="868"/>
        <w:spacing w:after="0" w:line="226" w:lineRule="auto"/>
        <w:tabs>
          <w:tab w:leader="none" w:pos="272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214" w:lineRule="exact"/>
        <w:rPr>
          <w:rFonts w:ascii="Arial" w:cs="Arial" w:eastAsia="Arial" w:hAnsi="Arial"/>
          <w:sz w:val="14"/>
          <w:szCs w:val="14"/>
          <w:color w:val="auto"/>
        </w:rPr>
      </w:pPr>
    </w:p>
    <w:p>
      <w:pPr>
        <w:ind w:left="1860" w:right="560" w:hanging="886"/>
        <w:spacing w:after="0" w:line="247" w:lineRule="auto"/>
        <w:tabs>
          <w:tab w:leader="none" w:pos="186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special resolution passed on the date of adoption of these articles (the “</w:t>
      </w:r>
      <w:r>
        <w:rPr>
          <w:rFonts w:ascii="Arial" w:cs="Arial" w:eastAsia="Arial" w:hAnsi="Arial"/>
          <w:sz w:val="14"/>
          <w:szCs w:val="14"/>
          <w:b w:val="1"/>
          <w:bCs w:val="1"/>
          <w:color w:val="auto"/>
        </w:rPr>
        <w:t>Adoption Date</w:t>
      </w:r>
      <w:r>
        <w:rPr>
          <w:rFonts w:ascii="Arial" w:cs="Arial" w:eastAsia="Arial" w:hAnsi="Arial"/>
          <w:sz w:val="14"/>
          <w:szCs w:val="14"/>
          <w:color w:val="auto"/>
        </w:rPr>
        <w:t>”) shall be deemed to confer irrevocable authority on the Company at any time after the Adoption Date:</w:t>
      </w:r>
    </w:p>
    <w:p>
      <w:pPr>
        <w:spacing w:after="0" w:line="224" w:lineRule="exact"/>
        <w:rPr>
          <w:rFonts w:ascii="Arial" w:cs="Arial" w:eastAsia="Arial" w:hAnsi="Arial"/>
          <w:sz w:val="14"/>
          <w:szCs w:val="14"/>
          <w:color w:val="auto"/>
        </w:rPr>
      </w:pPr>
    </w:p>
    <w:p>
      <w:pPr>
        <w:ind w:left="2720" w:right="180" w:hanging="868"/>
        <w:spacing w:after="0" w:line="231" w:lineRule="auto"/>
        <w:tabs>
          <w:tab w:leader="none" w:pos="272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to acquire all or any of the fully paid Euro Deferred Shares otherwise than for valuable consideration in accordance with section 41(2) of the 1983 Act and without obtaining the sanction of the holders thereof;</w:t>
      </w:r>
    </w:p>
    <w:p>
      <w:pPr>
        <w:spacing w:after="0" w:line="230" w:lineRule="exact"/>
        <w:rPr>
          <w:sz w:val="20"/>
          <w:szCs w:val="20"/>
          <w:color w:val="auto"/>
        </w:rPr>
      </w:pPr>
    </w:p>
    <w:p>
      <w:pPr>
        <w:ind w:left="2720" w:right="100" w:hanging="868"/>
        <w:spacing w:after="0" w:line="228" w:lineRule="auto"/>
        <w:tabs>
          <w:tab w:leader="none" w:pos="272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229" w:lineRule="exact"/>
        <w:rPr>
          <w:rFonts w:ascii="Arial" w:cs="Arial" w:eastAsia="Arial" w:hAnsi="Arial"/>
          <w:sz w:val="14"/>
          <w:szCs w:val="14"/>
          <w:color w:val="auto"/>
        </w:rPr>
      </w:pPr>
    </w:p>
    <w:p>
      <w:pPr>
        <w:ind w:left="2720" w:hanging="868"/>
        <w:spacing w:after="0"/>
        <w:tabs>
          <w:tab w:leader="none" w:pos="272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to cancel any acquired Euro Deferred Shares; and</w:t>
      </w:r>
    </w:p>
    <w:p>
      <w:pPr>
        <w:spacing w:after="0" w:line="230" w:lineRule="exact"/>
        <w:rPr>
          <w:rFonts w:ascii="Arial" w:cs="Arial" w:eastAsia="Arial" w:hAnsi="Arial"/>
          <w:sz w:val="14"/>
          <w:szCs w:val="14"/>
          <w:color w:val="auto"/>
        </w:rPr>
      </w:pPr>
    </w:p>
    <w:p>
      <w:pPr>
        <w:ind w:left="2720" w:hanging="868"/>
        <w:spacing w:after="0"/>
        <w:tabs>
          <w:tab w:leader="none" w:pos="2720" w:val="left"/>
        </w:tabs>
        <w:numPr>
          <w:ilvl w:val="1"/>
          <w:numId w:val="173"/>
        </w:numPr>
        <w:rPr>
          <w:rFonts w:ascii="Arial" w:cs="Arial" w:eastAsia="Arial" w:hAnsi="Arial"/>
          <w:sz w:val="14"/>
          <w:szCs w:val="14"/>
          <w:color w:val="auto"/>
        </w:rPr>
      </w:pPr>
      <w:r>
        <w:rPr>
          <w:rFonts w:ascii="Arial" w:cs="Arial" w:eastAsia="Arial" w:hAnsi="Arial"/>
          <w:sz w:val="14"/>
          <w:szCs w:val="14"/>
          <w:color w:val="auto"/>
        </w:rPr>
        <w:t>pending such acquisition and/or transfer and/or cancellation to retain the certificate (if any) for such Euro Deferred Shares.</w:t>
      </w:r>
    </w:p>
    <w:p>
      <w:pPr>
        <w:spacing w:after="0" w:line="230" w:lineRule="exact"/>
        <w:rPr>
          <w:rFonts w:ascii="Arial" w:cs="Arial" w:eastAsia="Arial" w:hAnsi="Arial"/>
          <w:sz w:val="14"/>
          <w:szCs w:val="14"/>
          <w:color w:val="auto"/>
        </w:rPr>
      </w:pPr>
    </w:p>
    <w:p>
      <w:pPr>
        <w:ind w:left="1860" w:right="120" w:hanging="886"/>
        <w:spacing w:after="0" w:line="225" w:lineRule="auto"/>
        <w:tabs>
          <w:tab w:leader="none" w:pos="186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231" w:lineRule="exact"/>
        <w:rPr>
          <w:rFonts w:ascii="Arial" w:cs="Arial" w:eastAsia="Arial" w:hAnsi="Arial"/>
          <w:sz w:val="14"/>
          <w:szCs w:val="14"/>
          <w:color w:val="auto"/>
        </w:rPr>
      </w:pPr>
    </w:p>
    <w:p>
      <w:pPr>
        <w:ind w:left="1860" w:right="20" w:hanging="886"/>
        <w:spacing w:after="0" w:line="225" w:lineRule="auto"/>
        <w:tabs>
          <w:tab w:leader="none" w:pos="186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3.4</w:t>
      </w:r>
    </w:p>
    <w:p>
      <w:pPr>
        <w:spacing w:after="0" w:line="231" w:lineRule="exact"/>
        <w:rPr>
          <w:sz w:val="20"/>
          <w:szCs w:val="20"/>
          <w:color w:val="auto"/>
        </w:rPr>
      </w:pPr>
    </w:p>
    <w:p>
      <w:pPr>
        <w:ind w:left="1860" w:right="120" w:hanging="886"/>
        <w:spacing w:after="0" w:line="226" w:lineRule="auto"/>
        <w:tabs>
          <w:tab w:leader="none" w:pos="1860" w:val="left"/>
        </w:tabs>
        <w:numPr>
          <w:ilvl w:val="1"/>
          <w:numId w:val="175"/>
        </w:numPr>
        <w:rPr>
          <w:rFonts w:ascii="Arial" w:cs="Arial" w:eastAsia="Arial" w:hAnsi="Arial"/>
          <w:sz w:val="14"/>
          <w:szCs w:val="14"/>
          <w:color w:val="auto"/>
        </w:rPr>
      </w:pPr>
      <w:r>
        <w:rPr>
          <w:rFonts w:ascii="Arial" w:cs="Arial" w:eastAsia="Arial" w:hAnsi="Arial"/>
          <w:sz w:val="14"/>
          <w:szCs w:val="14"/>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230" w:lineRule="exact"/>
        <w:rPr>
          <w:rFonts w:ascii="Arial" w:cs="Arial" w:eastAsia="Arial" w:hAnsi="Arial"/>
          <w:sz w:val="14"/>
          <w:szCs w:val="14"/>
          <w:color w:val="auto"/>
        </w:rPr>
      </w:pPr>
    </w:p>
    <w:p>
      <w:pPr>
        <w:ind w:left="1860" w:right="40" w:hanging="886"/>
        <w:spacing w:after="0" w:line="226" w:lineRule="auto"/>
        <w:tabs>
          <w:tab w:leader="none" w:pos="1860" w:val="left"/>
        </w:tabs>
        <w:numPr>
          <w:ilvl w:val="1"/>
          <w:numId w:val="175"/>
        </w:numPr>
        <w:rPr>
          <w:rFonts w:ascii="Arial" w:cs="Arial" w:eastAsia="Arial" w:hAnsi="Arial"/>
          <w:sz w:val="14"/>
          <w:szCs w:val="14"/>
          <w:color w:val="auto"/>
        </w:rPr>
      </w:pPr>
      <w:r>
        <w:rPr>
          <w:rFonts w:ascii="Arial" w:cs="Arial" w:eastAsia="Arial" w:hAnsi="Arial"/>
          <w:sz w:val="14"/>
          <w:szCs w:val="14"/>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and/or the relevant provision(s) of the Acts, and not a redemption of shares.</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Subject to the provisions of Part XI of the 1990 Act and the other provisions of this article, the Company may:</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4.1</w:t>
            </w:r>
          </w:p>
        </w:tc>
        <w:tc>
          <w:tcPr>
            <w:tcW w:w="10400" w:type="dxa"/>
            <w:vAlign w:val="bottom"/>
          </w:tcPr>
          <w:p>
            <w:pPr>
              <w:ind w:left="300"/>
              <w:spacing w:after="0"/>
              <w:rPr>
                <w:sz w:val="20"/>
                <w:szCs w:val="20"/>
                <w:color w:val="auto"/>
              </w:rPr>
            </w:pPr>
            <w:r>
              <w:rPr>
                <w:rFonts w:ascii="Arial" w:cs="Arial" w:eastAsia="Arial" w:hAnsi="Arial"/>
                <w:sz w:val="14"/>
                <w:szCs w:val="14"/>
                <w:color w:val="auto"/>
                <w:w w:val="98"/>
              </w:rPr>
              <w:t>pursuant to section 207 of the 1990 Act, issue any shares of the Company which are to be redeemed or are liable to be redeemed at the option of the Company or the</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w w:val="97"/>
              </w:rPr>
              <w:t>member on such terms and in such manner as may be determined by the Company in general meeting (by Special Resolution) on the recommendation of the Directors;</w:t>
            </w:r>
          </w:p>
        </w:tc>
      </w:tr>
      <w:tr>
        <w:trPr>
          <w:trHeight w:val="378"/>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4.2</w:t>
            </w:r>
          </w:p>
        </w:tc>
        <w:tc>
          <w:tcPr>
            <w:tcW w:w="10400" w:type="dxa"/>
            <w:vAlign w:val="bottom"/>
          </w:tcPr>
          <w:p>
            <w:pPr>
              <w:ind w:left="300"/>
              <w:spacing w:after="0"/>
              <w:rPr>
                <w:sz w:val="20"/>
                <w:szCs w:val="20"/>
                <w:color w:val="auto"/>
              </w:rPr>
            </w:pPr>
            <w:r>
              <w:rPr>
                <w:rFonts w:ascii="Arial" w:cs="Arial" w:eastAsia="Arial" w:hAnsi="Arial"/>
                <w:sz w:val="14"/>
                <w:szCs w:val="14"/>
                <w:color w:val="auto"/>
                <w:w w:val="96"/>
              </w:rPr>
              <w:t>subject to and in accordance with the provisions of the Acts and without prejudice to any relevant special rights attached to any class of shares pursuant to section 211 of</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the 1990 Act, purchase any of its own shares (including any Redeemable Shares and without any obligation to purchase on any pro rata basis as between members or</w:t>
            </w:r>
          </w:p>
        </w:tc>
      </w:tr>
      <w:tr>
        <w:trPr>
          <w:trHeight w:val="149"/>
        </w:trPr>
        <w:tc>
          <w:tcPr>
            <w:tcW w:w="480" w:type="dxa"/>
            <w:vAlign w:val="bottom"/>
          </w:tcPr>
          <w:p>
            <w:pPr>
              <w:spacing w:after="0"/>
              <w:rPr>
                <w:sz w:val="12"/>
                <w:szCs w:val="12"/>
                <w:color w:val="auto"/>
              </w:rPr>
            </w:pPr>
          </w:p>
        </w:tc>
        <w:tc>
          <w:tcPr>
            <w:tcW w:w="10400" w:type="dxa"/>
            <w:vAlign w:val="bottom"/>
          </w:tcPr>
          <w:p>
            <w:pPr>
              <w:ind w:left="300"/>
              <w:spacing w:after="0" w:line="149" w:lineRule="exact"/>
              <w:rPr>
                <w:sz w:val="20"/>
                <w:szCs w:val="20"/>
                <w:color w:val="auto"/>
              </w:rPr>
            </w:pPr>
            <w:r>
              <w:rPr>
                <w:rFonts w:ascii="Arial" w:cs="Arial" w:eastAsia="Arial" w:hAnsi="Arial"/>
                <w:sz w:val="14"/>
                <w:szCs w:val="14"/>
                <w:color w:val="auto"/>
                <w:w w:val="97"/>
              </w:rPr>
              <w:t>members of the same class) and may cancel any shares so purchased or hold them as treasury shares (as defined in section 209 of the 1990 Act) and may reissue any</w:t>
            </w:r>
          </w:p>
        </w:tc>
      </w:tr>
      <w:tr>
        <w:trPr>
          <w:trHeight w:val="162"/>
        </w:trPr>
        <w:tc>
          <w:tcPr>
            <w:tcW w:w="480" w:type="dxa"/>
            <w:vAlign w:val="bottom"/>
          </w:tcPr>
          <w:p>
            <w:pPr>
              <w:spacing w:after="0"/>
              <w:rPr>
                <w:sz w:val="14"/>
                <w:szCs w:val="14"/>
                <w:color w:val="auto"/>
              </w:rPr>
            </w:pPr>
          </w:p>
        </w:tc>
        <w:tc>
          <w:tcPr>
            <w:tcW w:w="10400" w:type="dxa"/>
            <w:vAlign w:val="bottom"/>
          </w:tcPr>
          <w:p>
            <w:pPr>
              <w:ind w:left="300"/>
              <w:spacing w:after="0"/>
              <w:rPr>
                <w:sz w:val="20"/>
                <w:szCs w:val="20"/>
                <w:color w:val="auto"/>
              </w:rPr>
            </w:pPr>
            <w:r>
              <w:rPr>
                <w:rFonts w:ascii="Arial" w:cs="Arial" w:eastAsia="Arial" w:hAnsi="Arial"/>
                <w:sz w:val="14"/>
                <w:szCs w:val="14"/>
                <w:color w:val="auto"/>
              </w:rPr>
              <w:t>such shares as shares of any class or classes; or</w:t>
            </w:r>
          </w:p>
        </w:tc>
      </w:tr>
      <w:tr>
        <w:trPr>
          <w:trHeight w:val="392"/>
        </w:trPr>
        <w:tc>
          <w:tcPr>
            <w:tcW w:w="480" w:type="dxa"/>
            <w:vAlign w:val="bottom"/>
          </w:tcPr>
          <w:p>
            <w:pPr>
              <w:jc w:val="right"/>
              <w:ind w:right="212"/>
              <w:spacing w:after="0"/>
              <w:rPr>
                <w:sz w:val="20"/>
                <w:szCs w:val="20"/>
                <w:color w:val="auto"/>
              </w:rPr>
            </w:pPr>
            <w:r>
              <w:rPr>
                <w:rFonts w:ascii="Arial" w:cs="Arial" w:eastAsia="Arial" w:hAnsi="Arial"/>
                <w:sz w:val="14"/>
                <w:szCs w:val="14"/>
                <w:color w:val="auto"/>
                <w:w w:val="92"/>
              </w:rPr>
              <w:t>4.3</w:t>
            </w:r>
          </w:p>
        </w:tc>
        <w:tc>
          <w:tcPr>
            <w:tcW w:w="10400" w:type="dxa"/>
            <w:vAlign w:val="bottom"/>
          </w:tcPr>
          <w:p>
            <w:pPr>
              <w:ind w:left="300"/>
              <w:spacing w:after="0"/>
              <w:rPr>
                <w:sz w:val="20"/>
                <w:szCs w:val="20"/>
                <w:color w:val="auto"/>
              </w:rPr>
            </w:pPr>
            <w:r>
              <w:rPr>
                <w:rFonts w:ascii="Arial" w:cs="Arial" w:eastAsia="Arial" w:hAnsi="Arial"/>
                <w:sz w:val="14"/>
                <w:szCs w:val="14"/>
                <w:color w:val="auto"/>
              </w:rPr>
              <w:t>pursuant to section 210 of the 1990 Act, convert any of its shares into Redeemable Shares.</w:t>
            </w:r>
          </w:p>
        </w:tc>
      </w:tr>
    </w:tbl>
    <w:p>
      <w:pPr>
        <w:spacing w:after="0" w:line="229" w:lineRule="exact"/>
        <w:rPr>
          <w:sz w:val="20"/>
          <w:szCs w:val="20"/>
          <w:color w:val="auto"/>
        </w:rPr>
      </w:pPr>
    </w:p>
    <w:p>
      <w:pPr>
        <w:ind w:left="980" w:right="80" w:hanging="776"/>
        <w:spacing w:after="0" w:line="228"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229" w:lineRule="exact"/>
        <w:rPr>
          <w:rFonts w:ascii="Arial" w:cs="Arial" w:eastAsia="Arial" w:hAnsi="Arial"/>
          <w:sz w:val="14"/>
          <w:szCs w:val="14"/>
          <w:color w:val="auto"/>
        </w:rPr>
      </w:pPr>
    </w:p>
    <w:p>
      <w:pPr>
        <w:ind w:left="980" w:right="100" w:hanging="776"/>
        <w:spacing w:after="0" w:line="226"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B-7</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Arial" w:cs="Arial" w:eastAsia="Arial" w:hAnsi="Arial"/>
                <w:sz w:val="14"/>
                <w:szCs w:val="14"/>
                <w:color w:val="auto"/>
              </w:rPr>
              <w:t>8.</w:t>
            </w:r>
          </w:p>
        </w:tc>
        <w:tc>
          <w:tcPr>
            <w:tcW w:w="10540" w:type="dxa"/>
            <w:vAlign w:val="bottom"/>
          </w:tcPr>
          <w:p>
            <w:pPr>
              <w:spacing w:after="0"/>
              <w:rPr>
                <w:sz w:val="14"/>
                <w:szCs w:val="14"/>
                <w:color w:val="auto"/>
              </w:rPr>
            </w:pP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8.1</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the provisions of these articles relating to new shares, the unissued shares of the Company shall be at the disposal of the Directors, and they may (subject to the</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provisions of the Acts) allot, grant options over or otherwise dispose of them to such persons, on such terms and conditions and at such times as they may consider to be in</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7"/>
              </w:rPr>
              <w:t>the best interests of the Company and its members, but so that no share shall be issued at a discount save in accordance with sections 26(5) and 28 of the 1983 Act, and</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so that, in the case of shares offered to the public for subscription, the amount payable on application on each share shall not be less than one-quarter of the nominal</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amount of the share and the whole of any premium thereon.</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8.2</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Subject to any requirement to obtain the approval of members under any laws, regulations or the rules of any stock exchange to which the Company is subject, the Board is</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authorised, from time to time, in its discretion, to grant such persons, for such periods and upon such terms as the Board deems advisable, options to purchase or</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subscribe for such number of shares of any class or classes or of any series of any class as the Board may deem advisable, and to cause warrants or other appropriate</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instruments evidencing such options to be issued.</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8.3</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for the purposes of section 20 of the 1983 Act, generally and unconditionally authorised to exercise all powers of the Company to allot and issue relevant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rPr>
              <w:t>securities (as defined by the said section 20) up to the amount of Company’s authorised share capital and to allot and issue any shares purchased by the Company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9"/>
              </w:rPr>
              <w:t>pursuant to the provisions of Part XI of the 1990 Act and held as treasury shares and this authority shall expire five years from the date of adoption of these articles of</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association.</w:t>
            </w:r>
          </w:p>
        </w:tc>
      </w:tr>
      <w:tr>
        <w:trPr>
          <w:trHeight w:val="378"/>
        </w:trPr>
        <w:tc>
          <w:tcPr>
            <w:tcW w:w="480" w:type="dxa"/>
            <w:vAlign w:val="bottom"/>
          </w:tcPr>
          <w:p>
            <w:pPr>
              <w:spacing w:after="0"/>
              <w:rPr>
                <w:sz w:val="20"/>
                <w:szCs w:val="20"/>
                <w:color w:val="auto"/>
              </w:rPr>
            </w:pPr>
            <w:r>
              <w:rPr>
                <w:rFonts w:ascii="Arial" w:cs="Arial" w:eastAsia="Arial" w:hAnsi="Arial"/>
                <w:sz w:val="14"/>
                <w:szCs w:val="14"/>
                <w:color w:val="auto"/>
              </w:rPr>
              <w:t>8.4</w:t>
            </w:r>
          </w:p>
        </w:tc>
        <w:tc>
          <w:tcPr>
            <w:tcW w:w="10540" w:type="dxa"/>
            <w:vAlign w:val="bottom"/>
          </w:tcPr>
          <w:p>
            <w:pPr>
              <w:ind w:left="300"/>
              <w:spacing w:after="0"/>
              <w:rPr>
                <w:sz w:val="20"/>
                <w:szCs w:val="20"/>
                <w:color w:val="auto"/>
              </w:rPr>
            </w:pPr>
            <w:r>
              <w:rPr>
                <w:rFonts w:ascii="Arial" w:cs="Arial" w:eastAsia="Arial" w:hAnsi="Arial"/>
                <w:sz w:val="14"/>
                <w:szCs w:val="14"/>
                <w:color w:val="auto"/>
                <w:w w:val="96"/>
              </w:rPr>
              <w:t>The Directors are hereby empowered pursuant to sections 23 and 24(1) of the 1983 Act to allot equity securities within the meaning of the said section 23 for cash pursuant</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8"/>
              </w:rPr>
              <w:t>to the authority conferred by article 8.3 as if section 23(1) of the said 1983 Act did not apply to any such allotment. The Company may before the expiry of such authority</w:t>
            </w:r>
          </w:p>
        </w:tc>
      </w:tr>
      <w:tr>
        <w:trPr>
          <w:trHeight w:val="149"/>
        </w:trPr>
        <w:tc>
          <w:tcPr>
            <w:tcW w:w="480" w:type="dxa"/>
            <w:vAlign w:val="bottom"/>
          </w:tcPr>
          <w:p>
            <w:pPr>
              <w:spacing w:after="0"/>
              <w:rPr>
                <w:sz w:val="12"/>
                <w:szCs w:val="12"/>
                <w:color w:val="auto"/>
              </w:rPr>
            </w:pPr>
          </w:p>
        </w:tc>
        <w:tc>
          <w:tcPr>
            <w:tcW w:w="10540" w:type="dxa"/>
            <w:vAlign w:val="bottom"/>
          </w:tcPr>
          <w:p>
            <w:pPr>
              <w:ind w:left="300"/>
              <w:spacing w:after="0" w:line="149" w:lineRule="exact"/>
              <w:rPr>
                <w:sz w:val="20"/>
                <w:szCs w:val="20"/>
                <w:color w:val="auto"/>
              </w:rPr>
            </w:pPr>
            <w:r>
              <w:rPr>
                <w:rFonts w:ascii="Arial" w:cs="Arial" w:eastAsia="Arial" w:hAnsi="Arial"/>
                <w:sz w:val="14"/>
                <w:szCs w:val="14"/>
                <w:color w:val="auto"/>
                <w:w w:val="96"/>
              </w:rPr>
              <w:t>make an offer or agreement which would or might require equity securities to be allotted after such expiry and the Directors may allot equity securities in pursuance of such</w:t>
            </w:r>
          </w:p>
        </w:tc>
      </w:tr>
      <w:tr>
        <w:trPr>
          <w:trHeight w:val="162"/>
        </w:trPr>
        <w:tc>
          <w:tcPr>
            <w:tcW w:w="480" w:type="dxa"/>
            <w:vAlign w:val="bottom"/>
          </w:tcPr>
          <w:p>
            <w:pPr>
              <w:spacing w:after="0"/>
              <w:rPr>
                <w:sz w:val="14"/>
                <w:szCs w:val="14"/>
                <w:color w:val="auto"/>
              </w:rPr>
            </w:pPr>
          </w:p>
        </w:tc>
        <w:tc>
          <w:tcPr>
            <w:tcW w:w="10540" w:type="dxa"/>
            <w:vAlign w:val="bottom"/>
          </w:tcPr>
          <w:p>
            <w:pPr>
              <w:ind w:left="300"/>
              <w:spacing w:after="0"/>
              <w:rPr>
                <w:sz w:val="20"/>
                <w:szCs w:val="20"/>
                <w:color w:val="auto"/>
              </w:rPr>
            </w:pPr>
            <w:r>
              <w:rPr>
                <w:rFonts w:ascii="Arial" w:cs="Arial" w:eastAsia="Arial" w:hAnsi="Arial"/>
                <w:sz w:val="14"/>
                <w:szCs w:val="14"/>
                <w:color w:val="auto"/>
              </w:rPr>
              <w:t>an offer or agreement as if the power conferred by this paragraph had not expired.</w:t>
            </w:r>
          </w:p>
        </w:tc>
      </w:tr>
      <w:tr>
        <w:trPr>
          <w:trHeight w:val="392"/>
        </w:trPr>
        <w:tc>
          <w:tcPr>
            <w:tcW w:w="480" w:type="dxa"/>
            <w:vAlign w:val="bottom"/>
          </w:tcPr>
          <w:p>
            <w:pPr>
              <w:spacing w:after="0"/>
              <w:rPr>
                <w:sz w:val="20"/>
                <w:szCs w:val="20"/>
                <w:color w:val="auto"/>
              </w:rPr>
            </w:pPr>
            <w:r>
              <w:rPr>
                <w:rFonts w:ascii="Arial" w:cs="Arial" w:eastAsia="Arial" w:hAnsi="Arial"/>
                <w:sz w:val="14"/>
                <w:szCs w:val="14"/>
                <w:color w:val="auto"/>
              </w:rPr>
              <w:t>8.5</w:t>
            </w:r>
          </w:p>
        </w:tc>
        <w:tc>
          <w:tcPr>
            <w:tcW w:w="10540" w:type="dxa"/>
            <w:vAlign w:val="bottom"/>
          </w:tcPr>
          <w:p>
            <w:pPr>
              <w:ind w:left="300"/>
              <w:spacing w:after="0"/>
              <w:rPr>
                <w:sz w:val="20"/>
                <w:szCs w:val="20"/>
                <w:color w:val="auto"/>
              </w:rPr>
            </w:pPr>
            <w:r>
              <w:rPr>
                <w:rFonts w:ascii="Arial" w:cs="Arial" w:eastAsia="Arial" w:hAnsi="Arial"/>
                <w:sz w:val="14"/>
                <w:szCs w:val="14"/>
                <w:color w:val="auto"/>
              </w:rPr>
              <w:t>Nothing in these articles shall preclude the Directors from recognising a renunciation of the allotment of any shares by any allottee in favour of some other person.</w:t>
            </w:r>
          </w:p>
        </w:tc>
      </w:tr>
    </w:tbl>
    <w:p>
      <w:pPr>
        <w:spacing w:after="0" w:line="229" w:lineRule="exact"/>
        <w:rPr>
          <w:sz w:val="20"/>
          <w:szCs w:val="20"/>
          <w:color w:val="auto"/>
        </w:rPr>
      </w:pPr>
    </w:p>
    <w:p>
      <w:pPr>
        <w:ind w:left="980" w:right="40" w:hanging="776"/>
        <w:spacing w:after="0" w:line="226" w:lineRule="auto"/>
        <w:tabs>
          <w:tab w:leader="none" w:pos="9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3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231" w:lineRule="exact"/>
        <w:rPr>
          <w:rFonts w:ascii="Arial" w:cs="Arial" w:eastAsia="Arial" w:hAnsi="Arial"/>
          <w:sz w:val="14"/>
          <w:szCs w:val="14"/>
          <w:color w:val="auto"/>
        </w:rPr>
      </w:pPr>
    </w:p>
    <w:p>
      <w:pPr>
        <w:ind w:left="980" w:right="180" w:hanging="776"/>
        <w:spacing w:after="0" w:line="228" w:lineRule="auto"/>
        <w:tabs>
          <w:tab w:leader="none" w:pos="9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229"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Disclosure of beneficial ownership</w:t>
      </w:r>
    </w:p>
    <w:p>
      <w:pPr>
        <w:spacing w:after="0" w:line="247" w:lineRule="exact"/>
        <w:rPr>
          <w:sz w:val="20"/>
          <w:szCs w:val="20"/>
          <w:color w:val="auto"/>
        </w:rPr>
      </w:pPr>
    </w:p>
    <w:p>
      <w:pPr>
        <w:ind w:left="980" w:hanging="776"/>
        <w:spacing w:after="0"/>
        <w:tabs>
          <w:tab w:leader="none" w:pos="9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If at any time the Directors are satisfied that any member, or any other person appearing to be interested in shares held by such member:</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13.1</w:t>
            </w: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w w:val="99"/>
              </w:rPr>
              <w:t>(x) has been duly served with a Section 81 Notice and is in default for the prescribed period (as defined in article 13.6(b)) in supplying to the Company the information</w:t>
            </w:r>
          </w:p>
        </w:tc>
      </w:tr>
      <w:tr>
        <w:trPr>
          <w:trHeight w:val="133"/>
        </w:trPr>
        <w:tc>
          <w:tcPr>
            <w:tcW w:w="520" w:type="dxa"/>
            <w:vAlign w:val="bottom"/>
          </w:tcPr>
          <w:p>
            <w:pPr>
              <w:spacing w:after="0"/>
              <w:rPr>
                <w:sz w:val="11"/>
                <w:szCs w:val="11"/>
                <w:color w:val="auto"/>
              </w:rPr>
            </w:pPr>
          </w:p>
        </w:tc>
        <w:tc>
          <w:tcPr>
            <w:tcW w:w="10500" w:type="dxa"/>
            <w:vAlign w:val="bottom"/>
            <w:gridSpan w:val="4"/>
          </w:tcPr>
          <w:p>
            <w:pPr>
              <w:ind w:left="260"/>
              <w:spacing w:after="0" w:line="133" w:lineRule="exact"/>
              <w:rPr>
                <w:sz w:val="20"/>
                <w:szCs w:val="20"/>
                <w:color w:val="auto"/>
              </w:rPr>
            </w:pPr>
            <w:r>
              <w:rPr>
                <w:rFonts w:ascii="Arial" w:cs="Arial" w:eastAsia="Arial" w:hAnsi="Arial"/>
                <w:sz w:val="14"/>
                <w:szCs w:val="14"/>
                <w:color w:val="auto"/>
                <w:w w:val="98"/>
              </w:rPr>
              <w:t>thereby required; or (y) in purported compliance with such a notice, has made a statement which is false or inadequate in a material particular, then the Directors may, in</w:t>
            </w:r>
          </w:p>
        </w:tc>
      </w:tr>
      <w:tr>
        <w:trPr>
          <w:trHeight w:val="178"/>
        </w:trPr>
        <w:tc>
          <w:tcPr>
            <w:tcW w:w="520" w:type="dxa"/>
            <w:vAlign w:val="bottom"/>
          </w:tcPr>
          <w:p>
            <w:pPr>
              <w:spacing w:after="0"/>
              <w:rPr>
                <w:sz w:val="15"/>
                <w:szCs w:val="15"/>
                <w:color w:val="auto"/>
              </w:rPr>
            </w:pPr>
          </w:p>
        </w:tc>
        <w:tc>
          <w:tcPr>
            <w:tcW w:w="10500" w:type="dxa"/>
            <w:vAlign w:val="bottom"/>
            <w:gridSpan w:val="4"/>
          </w:tcPr>
          <w:p>
            <w:pPr>
              <w:ind w:left="260"/>
              <w:spacing w:after="0"/>
              <w:rPr>
                <w:sz w:val="20"/>
                <w:szCs w:val="20"/>
                <w:color w:val="auto"/>
              </w:rPr>
            </w:pPr>
            <w:r>
              <w:rPr>
                <w:rFonts w:ascii="Arial" w:cs="Arial" w:eastAsia="Arial" w:hAnsi="Arial"/>
                <w:sz w:val="14"/>
                <w:szCs w:val="14"/>
                <w:color w:val="auto"/>
              </w:rPr>
              <w:t>their absolute discretion at any time thereafter by notice (a “</w:t>
            </w:r>
            <w:r>
              <w:rPr>
                <w:rFonts w:ascii="Arial" w:cs="Arial" w:eastAsia="Arial" w:hAnsi="Arial"/>
                <w:sz w:val="14"/>
                <w:szCs w:val="14"/>
                <w:b w:val="1"/>
                <w:bCs w:val="1"/>
                <w:color w:val="auto"/>
              </w:rPr>
              <w:t>direction notice</w:t>
            </w:r>
            <w:r>
              <w:rPr>
                <w:rFonts w:ascii="Arial" w:cs="Arial" w:eastAsia="Arial" w:hAnsi="Arial"/>
                <w:sz w:val="14"/>
                <w:szCs w:val="14"/>
                <w:color w:val="auto"/>
              </w:rPr>
              <w:t>”) to such member direct that:</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9"/>
              </w:rPr>
              <w:t>in respect of the shares in relation to which the default occurred (the “</w:t>
            </w:r>
            <w:r>
              <w:rPr>
                <w:rFonts w:ascii="Arial" w:cs="Arial" w:eastAsia="Arial" w:hAnsi="Arial"/>
                <w:sz w:val="14"/>
                <w:szCs w:val="14"/>
                <w:b w:val="1"/>
                <w:bCs w:val="1"/>
                <w:color w:val="auto"/>
                <w:w w:val="99"/>
              </w:rPr>
              <w:t>default shares</w:t>
            </w:r>
            <w:r>
              <w:rPr>
                <w:rFonts w:ascii="Arial" w:cs="Arial" w:eastAsia="Arial" w:hAnsi="Arial"/>
                <w:sz w:val="14"/>
                <w:szCs w:val="14"/>
                <w:color w:val="auto"/>
                <w:w w:val="99"/>
              </w:rPr>
              <w:t>”) the member shall not be entitled to attend or to vote at a general</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meeting either personally or by proxy or to exercise any other right conferred by membership in relation to meetings of the Company;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w w:val="98"/>
              </w:rPr>
              <w:t>where the nominal value of the default shares represents at least 0.25 per cent of the nominal value of the issued shares of the class concerned, then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3"/>
          </w:tcPr>
          <w:p>
            <w:pPr>
              <w:ind w:left="360"/>
              <w:spacing w:after="0"/>
              <w:rPr>
                <w:sz w:val="20"/>
                <w:szCs w:val="20"/>
                <w:color w:val="auto"/>
              </w:rPr>
            </w:pPr>
            <w:r>
              <w:rPr>
                <w:rFonts w:ascii="Arial" w:cs="Arial" w:eastAsia="Arial" w:hAnsi="Arial"/>
                <w:sz w:val="14"/>
                <w:szCs w:val="14"/>
                <w:color w:val="auto"/>
              </w:rPr>
              <w:t>direction notice may additionally direct that:</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except in a liquidation of the Company, no payment shall be made of any sums due from the Company on the default shares, whether in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4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7"/>
              </w:rPr>
              <w:t>respect of capital or dividend or otherwise, and the Company shall not have any liability to pay interest on any such payment when it is finally</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paid to the member;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other distribution shall be made on the default shares; and /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no transfer of any of the default shares held by such member shall be registered unless:</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(1)</w:t>
            </w:r>
          </w:p>
        </w:tc>
        <w:tc>
          <w:tcPr>
            <w:tcW w:w="7960" w:type="dxa"/>
            <w:vAlign w:val="bottom"/>
          </w:tcPr>
          <w:p>
            <w:pPr>
              <w:ind w:left="340"/>
              <w:spacing w:after="0"/>
              <w:rPr>
                <w:sz w:val="20"/>
                <w:szCs w:val="20"/>
                <w:color w:val="auto"/>
              </w:rPr>
            </w:pPr>
            <w:r>
              <w:rPr>
                <w:rFonts w:ascii="Arial" w:cs="Arial" w:eastAsia="Arial" w:hAnsi="Arial"/>
                <w:sz w:val="14"/>
                <w:szCs w:val="14"/>
                <w:color w:val="auto"/>
              </w:rPr>
              <w:t>the member is not himself in default as regards supplying the information requested and the transfer when presented for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w w:val="96"/>
              </w:rPr>
              <w:t>registration is accompanied by a certificate by the member in such form as the Directors may in their absolute discretion require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960" w:type="dxa"/>
            <w:vAlign w:val="bottom"/>
          </w:tcPr>
          <w:p>
            <w:pPr>
              <w:ind w:left="340"/>
              <w:spacing w:after="0" w:line="149" w:lineRule="exact"/>
              <w:rPr>
                <w:sz w:val="20"/>
                <w:szCs w:val="20"/>
                <w:color w:val="auto"/>
              </w:rPr>
            </w:pPr>
            <w:r>
              <w:rPr>
                <w:rFonts w:ascii="Arial" w:cs="Arial" w:eastAsia="Arial" w:hAnsi="Arial"/>
                <w:sz w:val="14"/>
                <w:szCs w:val="14"/>
                <w:color w:val="auto"/>
              </w:rPr>
              <w:t>to the effect that after due and careful enquiry the member is satisfied that no person in default as regards supplying such</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960" w:type="dxa"/>
            <w:vAlign w:val="bottom"/>
          </w:tcPr>
          <w:p>
            <w:pPr>
              <w:ind w:left="340"/>
              <w:spacing w:after="0"/>
              <w:rPr>
                <w:sz w:val="20"/>
                <w:szCs w:val="20"/>
                <w:color w:val="auto"/>
              </w:rPr>
            </w:pPr>
            <w:r>
              <w:rPr>
                <w:rFonts w:ascii="Arial" w:cs="Arial" w:eastAsia="Arial" w:hAnsi="Arial"/>
                <w:sz w:val="14"/>
                <w:szCs w:val="14"/>
                <w:color w:val="auto"/>
              </w:rPr>
              <w:t>information is interested in any of the shares the subject of the transfer;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(2)</w:t>
            </w:r>
          </w:p>
        </w:tc>
        <w:tc>
          <w:tcPr>
            <w:tcW w:w="7960" w:type="dxa"/>
            <w:vAlign w:val="bottom"/>
          </w:tcPr>
          <w:p>
            <w:pPr>
              <w:ind w:left="340"/>
              <w:spacing w:after="0"/>
              <w:rPr>
                <w:sz w:val="20"/>
                <w:szCs w:val="20"/>
                <w:color w:val="auto"/>
              </w:rPr>
            </w:pPr>
            <w:r>
              <w:rPr>
                <w:rFonts w:ascii="Arial" w:cs="Arial" w:eastAsia="Arial" w:hAnsi="Arial"/>
                <w:sz w:val="14"/>
                <w:szCs w:val="14"/>
                <w:color w:val="auto"/>
              </w:rPr>
              <w:t>the transfer is an approved transfer (as defined in article 13.6(c));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B-8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80" w:right="180"/>
        <w:spacing w:after="0" w:line="258" w:lineRule="auto"/>
        <w:rPr>
          <w:sz w:val="20"/>
          <w:szCs w:val="20"/>
          <w:color w:val="auto"/>
        </w:rPr>
      </w:pPr>
      <w:r>
        <w:rPr>
          <w:rFonts w:ascii="Arial" w:cs="Arial" w:eastAsia="Arial" w:hAnsi="Arial"/>
          <w:sz w:val="14"/>
          <w:szCs w:val="14"/>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13.2</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w w:val="96"/>
              </w:rPr>
              <w:t>Where any person appearing to be interested in the default shares has been duly served with a direction notice or copy thereof and the default shares which are the subject</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of such direction notice are held by an Approved Nominee, the provisions of this article shall be treated as applying only to such default shares held by the Approved</w:t>
            </w:r>
          </w:p>
        </w:tc>
      </w:tr>
      <w:tr>
        <w:trPr>
          <w:trHeight w:val="162"/>
        </w:trPr>
        <w:tc>
          <w:tcPr>
            <w:tcW w:w="520" w:type="dxa"/>
            <w:vAlign w:val="bottom"/>
          </w:tcPr>
          <w:p>
            <w:pPr>
              <w:spacing w:after="0"/>
              <w:rPr>
                <w:sz w:val="14"/>
                <w:szCs w:val="14"/>
                <w:color w:val="auto"/>
              </w:rPr>
            </w:pP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Nominee and not (insofar as such person’s apparent interest is concerned) to any other shares held by the Approved Nominee.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13.3</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Where the member upon whom a Section 81 Notice is served is an Approved Nominee acting in its capacity as such, the obligations of the Approved Nominee as a</w:t>
            </w:r>
          </w:p>
        </w:tc>
      </w:tr>
      <w:tr>
        <w:trPr>
          <w:trHeight w:val="149"/>
        </w:trPr>
        <w:tc>
          <w:tcPr>
            <w:tcW w:w="520" w:type="dxa"/>
            <w:vAlign w:val="bottom"/>
          </w:tcPr>
          <w:p>
            <w:pPr>
              <w:spacing w:after="0"/>
              <w:rPr>
                <w:sz w:val="12"/>
                <w:szCs w:val="12"/>
                <w:color w:val="auto"/>
              </w:rPr>
            </w:pPr>
          </w:p>
        </w:tc>
        <w:tc>
          <w:tcPr>
            <w:tcW w:w="10500" w:type="dxa"/>
            <w:vAlign w:val="bottom"/>
            <w:gridSpan w:val="3"/>
          </w:tcPr>
          <w:p>
            <w:pPr>
              <w:ind w:left="260"/>
              <w:spacing w:after="0" w:line="149" w:lineRule="exact"/>
              <w:rPr>
                <w:sz w:val="20"/>
                <w:szCs w:val="20"/>
                <w:color w:val="auto"/>
              </w:rPr>
            </w:pPr>
            <w:r>
              <w:rPr>
                <w:rFonts w:ascii="Arial" w:cs="Arial" w:eastAsia="Arial" w:hAnsi="Arial"/>
                <w:sz w:val="14"/>
                <w:szCs w:val="14"/>
                <w:color w:val="auto"/>
                <w:w w:val="97"/>
              </w:rPr>
              <w:t>member of the Company shall be limited to disclosing to the Company such information as has been recorded by it relating to any person appearing to be interested in the</w:t>
            </w:r>
          </w:p>
        </w:tc>
      </w:tr>
      <w:tr>
        <w:trPr>
          <w:trHeight w:val="162"/>
        </w:trPr>
        <w:tc>
          <w:tcPr>
            <w:tcW w:w="52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shares held by it.</w:t>
            </w:r>
          </w:p>
        </w:tc>
        <w:tc>
          <w:tcPr>
            <w:tcW w:w="8840" w:type="dxa"/>
            <w:vAlign w:val="bottom"/>
          </w:tcPr>
          <w:p>
            <w:pPr>
              <w:spacing w:after="0"/>
              <w:rPr>
                <w:sz w:val="14"/>
                <w:szCs w:val="14"/>
                <w:color w:val="auto"/>
              </w:rPr>
            </w:pP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13.4</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Any direction notice shall cease to have effect:</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in relation to any shares which are transferred by such member by means of an approved transfer; or</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when the Directors are satisfied that such member, and any other person appearing to be interested in shares held by such member, has given to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Company the information required by the relevant Section 81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13.5</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The Directors may at any time give notice cancelling a direction notice.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13.6</w:t>
            </w:r>
          </w:p>
        </w:tc>
        <w:tc>
          <w:tcPr>
            <w:tcW w:w="10500" w:type="dxa"/>
            <w:vAlign w:val="bottom"/>
            <w:gridSpan w:val="3"/>
          </w:tcPr>
          <w:p>
            <w:pPr>
              <w:ind w:left="260"/>
              <w:spacing w:after="0"/>
              <w:rPr>
                <w:sz w:val="20"/>
                <w:szCs w:val="20"/>
                <w:color w:val="auto"/>
              </w:rPr>
            </w:pPr>
            <w:r>
              <w:rPr>
                <w:rFonts w:ascii="Arial" w:cs="Arial" w:eastAsia="Arial" w:hAnsi="Arial"/>
                <w:sz w:val="14"/>
                <w:szCs w:val="14"/>
                <w:color w:val="auto"/>
              </w:rPr>
              <w:t>For the purposes of this article:</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9"/>
              </w:rPr>
              <w:t>a person shall be treated as appearing to be interested in any shares if the member holding such shares has given to the Company a Section 81 Notice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which either (a) names such person as being so interested or (b) fails to establish the identities of all those interested in the shares and (after taking into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account the said notification and any other relevant Section 81 Notice) the Company knows or has reasonable cause to believe that the person in question is</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or may be interested in the shares;</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7"/>
              </w:rPr>
              <w:t>the “</w:t>
            </w:r>
            <w:r>
              <w:rPr>
                <w:rFonts w:ascii="Arial" w:cs="Arial" w:eastAsia="Arial" w:hAnsi="Arial"/>
                <w:sz w:val="14"/>
                <w:szCs w:val="14"/>
                <w:b w:val="1"/>
                <w:bCs w:val="1"/>
                <w:color w:val="auto"/>
                <w:w w:val="97"/>
              </w:rPr>
              <w:t>prescribed period</w:t>
            </w:r>
            <w:r>
              <w:rPr>
                <w:rFonts w:ascii="Arial" w:cs="Arial" w:eastAsia="Arial" w:hAnsi="Arial"/>
                <w:sz w:val="14"/>
                <w:szCs w:val="14"/>
                <w:color w:val="auto"/>
                <w:w w:val="97"/>
              </w:rPr>
              <w:t>” is 28 days from the date of service of the said Section 81 Notice unless the nominal value of the default shares represents at least</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0.25 per cent of the nominal value of the issued shares of that class, when the prescribed period is 14 days from that date;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a transfer of shares is an approved transfer if but only if:</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w:t>
            </w:r>
          </w:p>
        </w:tc>
        <w:tc>
          <w:tcPr>
            <w:tcW w:w="8840" w:type="dxa"/>
            <w:vAlign w:val="bottom"/>
          </w:tcPr>
          <w:p>
            <w:pPr>
              <w:ind w:left="340"/>
              <w:spacing w:after="0"/>
              <w:rPr>
                <w:sz w:val="20"/>
                <w:szCs w:val="20"/>
                <w:color w:val="auto"/>
              </w:rPr>
            </w:pPr>
            <w:r>
              <w:rPr>
                <w:rFonts w:ascii="Arial" w:cs="Arial" w:eastAsia="Arial" w:hAnsi="Arial"/>
                <w:sz w:val="14"/>
                <w:szCs w:val="14"/>
                <w:color w:val="auto"/>
                <w:w w:val="98"/>
              </w:rPr>
              <w:t>it is a transfer of shares to an offeror by way or in pursuance of acceptance of an offer made to all the Holders (or all the Holders other than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w w:val="99"/>
              </w:rPr>
              <w:t>the person making the offer and his nominees) of the shares in the Company to acquire those shares or a specified proportion of them; or</w:t>
            </w:r>
          </w:p>
        </w:tc>
      </w:tr>
      <w:tr>
        <w:trPr>
          <w:trHeight w:val="378"/>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w:t>
            </w:r>
          </w:p>
        </w:tc>
        <w:tc>
          <w:tcPr>
            <w:tcW w:w="8840" w:type="dxa"/>
            <w:vAlign w:val="bottom"/>
          </w:tcPr>
          <w:p>
            <w:pPr>
              <w:ind w:left="340"/>
              <w:spacing w:after="0"/>
              <w:rPr>
                <w:sz w:val="20"/>
                <w:szCs w:val="20"/>
                <w:color w:val="auto"/>
              </w:rPr>
            </w:pPr>
            <w:r>
              <w:rPr>
                <w:rFonts w:ascii="Arial" w:cs="Arial" w:eastAsia="Arial" w:hAnsi="Arial"/>
                <w:sz w:val="14"/>
                <w:szCs w:val="14"/>
                <w:color w:val="auto"/>
                <w:w w:val="97"/>
              </w:rPr>
              <w:t>the Directors are satisfied that the transfer is made pursuant to a sale of the whole of the beneficial ownership of the shares the subject of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40" w:type="dxa"/>
            <w:vAlign w:val="bottom"/>
          </w:tcPr>
          <w:p>
            <w:pPr>
              <w:ind w:left="340"/>
              <w:spacing w:after="0"/>
              <w:rPr>
                <w:sz w:val="20"/>
                <w:szCs w:val="20"/>
                <w:color w:val="auto"/>
              </w:rPr>
            </w:pPr>
            <w:r>
              <w:rPr>
                <w:rFonts w:ascii="Arial" w:cs="Arial" w:eastAsia="Arial" w:hAnsi="Arial"/>
                <w:sz w:val="14"/>
                <w:szCs w:val="14"/>
                <w:color w:val="auto"/>
              </w:rPr>
              <w:t>transfer to a party unconnected with the member and with other persons appearing to be interested in such shares; or</w:t>
            </w:r>
          </w:p>
        </w:tc>
      </w:tr>
      <w:tr>
        <w:trPr>
          <w:trHeight w:val="39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(iii)</w:t>
            </w:r>
          </w:p>
        </w:tc>
        <w:tc>
          <w:tcPr>
            <w:tcW w:w="8840" w:type="dxa"/>
            <w:vAlign w:val="bottom"/>
          </w:tcPr>
          <w:p>
            <w:pPr>
              <w:ind w:left="340"/>
              <w:spacing w:after="0"/>
              <w:rPr>
                <w:sz w:val="20"/>
                <w:szCs w:val="20"/>
                <w:color w:val="auto"/>
              </w:rPr>
            </w:pPr>
            <w:r>
              <w:rPr>
                <w:rFonts w:ascii="Arial" w:cs="Arial" w:eastAsia="Arial" w:hAnsi="Arial"/>
                <w:sz w:val="14"/>
                <w:szCs w:val="14"/>
                <w:color w:val="auto"/>
              </w:rPr>
              <w:t>the transfer results from a sale made through a stock exchange on which the Company’s shares are normally traded;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(d)</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Nothing contained in this article shall limit the power of the Company under section 85 of the 1990 Act;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(e)</w:t>
            </w: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w w:val="96"/>
              </w:rPr>
              <w:t>For the purpose of establishing whether or not the terms of any notice served under this article shall have been complied with the decision of the Directors in</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20" w:type="dxa"/>
            <w:vAlign w:val="bottom"/>
            <w:gridSpan w:val="2"/>
          </w:tcPr>
          <w:p>
            <w:pPr>
              <w:ind w:left="360"/>
              <w:spacing w:after="0"/>
              <w:rPr>
                <w:sz w:val="20"/>
                <w:szCs w:val="20"/>
                <w:color w:val="auto"/>
              </w:rPr>
            </w:pPr>
            <w:r>
              <w:rPr>
                <w:rFonts w:ascii="Arial" w:cs="Arial" w:eastAsia="Arial" w:hAnsi="Arial"/>
                <w:sz w:val="14"/>
                <w:szCs w:val="14"/>
                <w:color w:val="auto"/>
              </w:rPr>
              <w:t>this regard shall be final and conclusive and shall bind all persons interested.</w:t>
            </w:r>
          </w:p>
        </w:tc>
      </w:tr>
    </w:tbl>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Lien</w:t>
      </w:r>
    </w:p>
    <w:p>
      <w:pPr>
        <w:spacing w:after="0" w:line="247" w:lineRule="exact"/>
        <w:rPr>
          <w:sz w:val="20"/>
          <w:szCs w:val="20"/>
          <w:color w:val="auto"/>
        </w:rPr>
      </w:pPr>
    </w:p>
    <w:p>
      <w:pPr>
        <w:ind w:left="980" w:right="60" w:hanging="776"/>
        <w:spacing w:after="0" w:line="228" w:lineRule="auto"/>
        <w:tabs>
          <w:tab w:leader="none" w:pos="9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229" w:lineRule="exact"/>
        <w:rPr>
          <w:rFonts w:ascii="Arial" w:cs="Arial" w:eastAsia="Arial" w:hAnsi="Arial"/>
          <w:sz w:val="14"/>
          <w:szCs w:val="14"/>
          <w:color w:val="auto"/>
        </w:rPr>
      </w:pPr>
    </w:p>
    <w:p>
      <w:pPr>
        <w:ind w:left="980" w:right="60" w:hanging="776"/>
        <w:spacing w:after="0" w:line="226" w:lineRule="auto"/>
        <w:tabs>
          <w:tab w:leader="none" w:pos="9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231" w:lineRule="exact"/>
        <w:rPr>
          <w:rFonts w:ascii="Arial" w:cs="Arial" w:eastAsia="Arial" w:hAnsi="Arial"/>
          <w:sz w:val="14"/>
          <w:szCs w:val="14"/>
          <w:color w:val="auto"/>
        </w:rPr>
      </w:pPr>
    </w:p>
    <w:p>
      <w:pPr>
        <w:jc w:val="both"/>
        <w:ind w:left="980" w:right="20" w:hanging="776"/>
        <w:spacing w:after="0" w:line="228" w:lineRule="auto"/>
        <w:tabs>
          <w:tab w:leader="none" w:pos="9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hanging="776"/>
        <w:spacing w:after="0" w:line="225" w:lineRule="auto"/>
        <w:tabs>
          <w:tab w:leader="none" w:pos="9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231" w:lineRule="exact"/>
        <w:rPr>
          <w:rFonts w:ascii="Arial" w:cs="Arial" w:eastAsia="Arial" w:hAnsi="Arial"/>
          <w:sz w:val="14"/>
          <w:szCs w:val="14"/>
          <w:color w:val="auto"/>
        </w:rPr>
      </w:pPr>
    </w:p>
    <w:p>
      <w:pPr>
        <w:ind w:left="1860" w:hanging="886"/>
        <w:spacing w:after="0"/>
        <w:tabs>
          <w:tab w:leader="none" w:pos="186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the death of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the non-payment of any income tax or other tax by such Holder;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81"/>
        </w:numPr>
        <w:rPr>
          <w:rFonts w:ascii="Arial" w:cs="Arial" w:eastAsia="Arial" w:hAnsi="Arial"/>
          <w:sz w:val="12"/>
          <w:szCs w:val="12"/>
          <w:color w:val="auto"/>
        </w:rPr>
      </w:pPr>
      <w:r>
        <w:rPr>
          <w:rFonts w:ascii="Arial" w:cs="Arial" w:eastAsia="Arial" w:hAnsi="Arial"/>
          <w:sz w:val="12"/>
          <w:szCs w:val="12"/>
          <w:color w:val="auto"/>
        </w:rPr>
        <w:t>the non-payment of any estate, probate, succession, death, stamp, or other duty by the executor or administrator of such Holder or by or out of his estate; or</w:t>
      </w:r>
    </w:p>
    <w:p>
      <w:pPr>
        <w:spacing w:after="0" w:line="253" w:lineRule="exact"/>
        <w:rPr>
          <w:rFonts w:ascii="Arial" w:cs="Arial" w:eastAsia="Arial" w:hAnsi="Arial"/>
          <w:sz w:val="12"/>
          <w:szCs w:val="12"/>
          <w:color w:val="auto"/>
        </w:rPr>
      </w:pPr>
    </w:p>
    <w:p>
      <w:pPr>
        <w:ind w:left="1860" w:hanging="886"/>
        <w:spacing w:after="0"/>
        <w:tabs>
          <w:tab w:leader="none" w:pos="186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any other act or thing;</w:t>
      </w:r>
    </w:p>
    <w:p>
      <w:pPr>
        <w:spacing w:after="0" w:line="209" w:lineRule="exact"/>
        <w:rPr>
          <w:rFonts w:ascii="Arial" w:cs="Arial" w:eastAsia="Arial" w:hAnsi="Arial"/>
          <w:sz w:val="14"/>
          <w:szCs w:val="14"/>
          <w:color w:val="auto"/>
        </w:rPr>
      </w:pPr>
    </w:p>
    <w:p>
      <w:pPr>
        <w:ind w:left="1860"/>
        <w:spacing w:after="0" w:line="258" w:lineRule="auto"/>
        <w:rPr>
          <w:rFonts w:ascii="Arial" w:cs="Arial" w:eastAsia="Arial" w:hAnsi="Arial"/>
          <w:sz w:val="14"/>
          <w:szCs w:val="14"/>
          <w:color w:val="auto"/>
        </w:rPr>
      </w:pPr>
      <w:r>
        <w:rPr>
          <w:rFonts w:ascii="Arial" w:cs="Arial" w:eastAsia="Arial" w:hAnsi="Arial"/>
          <w:sz w:val="14"/>
          <w:szCs w:val="14"/>
          <w:color w:val="auto"/>
        </w:rPr>
        <w:t>in every such case (except to the extent that the rights conferred upon Holders of any class of shares render the Company liable to make additional payments in respect of sums withheld on account of the foregoing):</w:t>
      </w:r>
    </w:p>
    <w:p>
      <w:pPr>
        <w:spacing w:after="0" w:line="215" w:lineRule="exact"/>
        <w:rPr>
          <w:rFonts w:ascii="Arial" w:cs="Arial" w:eastAsia="Arial" w:hAnsi="Arial"/>
          <w:sz w:val="14"/>
          <w:szCs w:val="14"/>
          <w:color w:val="auto"/>
        </w:rPr>
      </w:pPr>
    </w:p>
    <w:p>
      <w:pPr>
        <w:ind w:left="2720" w:hanging="868"/>
        <w:spacing w:after="0"/>
        <w:tabs>
          <w:tab w:leader="none" w:pos="2720" w:val="left"/>
        </w:tabs>
        <w:numPr>
          <w:ilvl w:val="2"/>
          <w:numId w:val="181"/>
        </w:numPr>
        <w:rPr>
          <w:rFonts w:ascii="Arial" w:cs="Arial" w:eastAsia="Arial" w:hAnsi="Arial"/>
          <w:sz w:val="14"/>
          <w:szCs w:val="14"/>
          <w:color w:val="auto"/>
        </w:rPr>
      </w:pPr>
      <w:r>
        <w:rPr>
          <w:rFonts w:ascii="Arial" w:cs="Arial" w:eastAsia="Arial" w:hAnsi="Arial"/>
          <w:sz w:val="14"/>
          <w:szCs w:val="14"/>
          <w:color w:val="auto"/>
        </w:rPr>
        <w:t>the Company shall be fully indemnified by such Holder or his executor or administrator from all liability;</w:t>
      </w:r>
    </w:p>
    <w:p>
      <w:pPr>
        <w:spacing w:after="0" w:line="230" w:lineRule="exact"/>
        <w:rPr>
          <w:rFonts w:ascii="Arial" w:cs="Arial" w:eastAsia="Arial" w:hAnsi="Arial"/>
          <w:sz w:val="14"/>
          <w:szCs w:val="14"/>
          <w:color w:val="auto"/>
        </w:rPr>
      </w:pPr>
    </w:p>
    <w:p>
      <w:pPr>
        <w:ind w:left="2720" w:right="100" w:hanging="868"/>
        <w:spacing w:after="0" w:line="228" w:lineRule="auto"/>
        <w:tabs>
          <w:tab w:leader="none" w:pos="2720" w:val="left"/>
        </w:tabs>
        <w:numPr>
          <w:ilvl w:val="2"/>
          <w:numId w:val="181"/>
        </w:numPr>
        <w:rPr>
          <w:rFonts w:ascii="Arial" w:cs="Arial" w:eastAsia="Arial" w:hAnsi="Arial"/>
          <w:sz w:val="14"/>
          <w:szCs w:val="14"/>
          <w:color w:val="auto"/>
        </w:rPr>
      </w:pPr>
      <w:r>
        <w:rPr>
          <w:rFonts w:ascii="Arial" w:cs="Arial" w:eastAsia="Arial" w:hAnsi="Arial"/>
          <w:sz w:val="14"/>
          <w:szCs w:val="14"/>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w:t>
      </w:r>
    </w:p>
    <w:p>
      <w:pPr>
        <w:spacing w:after="0" w:line="208" w:lineRule="exact"/>
        <w:rPr>
          <w:rFonts w:ascii="Arial" w:cs="Arial" w:eastAsia="Arial" w:hAnsi="Arial"/>
          <w:sz w:val="14"/>
          <w:szCs w:val="14"/>
          <w:color w:val="auto"/>
        </w:rPr>
      </w:pPr>
    </w:p>
    <w:p>
      <w:pPr>
        <w:ind w:left="2740" w:right="80"/>
        <w:spacing w:after="0" w:line="250" w:lineRule="auto"/>
        <w:rPr>
          <w:rFonts w:ascii="Arial" w:cs="Arial" w:eastAsia="Arial" w:hAnsi="Arial"/>
          <w:sz w:val="14"/>
          <w:szCs w:val="14"/>
          <w:color w:val="auto"/>
        </w:rPr>
      </w:pPr>
      <w:r>
        <w:rPr>
          <w:rFonts w:ascii="Arial" w:cs="Arial" w:eastAsia="Arial" w:hAnsi="Arial"/>
          <w:sz w:val="14"/>
          <w:szCs w:val="14"/>
          <w:color w:val="auto"/>
        </w:rPr>
        <w:t>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220" w:lineRule="exact"/>
        <w:rPr>
          <w:rFonts w:ascii="Arial" w:cs="Arial" w:eastAsia="Arial" w:hAnsi="Arial"/>
          <w:sz w:val="14"/>
          <w:szCs w:val="14"/>
          <w:color w:val="auto"/>
        </w:rPr>
      </w:pPr>
    </w:p>
    <w:p>
      <w:pPr>
        <w:ind w:left="2720" w:right="80" w:hanging="868"/>
        <w:spacing w:after="0" w:line="228" w:lineRule="auto"/>
        <w:tabs>
          <w:tab w:leader="none" w:pos="2720" w:val="left"/>
        </w:tabs>
        <w:numPr>
          <w:ilvl w:val="2"/>
          <w:numId w:val="181"/>
        </w:numPr>
        <w:rPr>
          <w:rFonts w:ascii="Arial" w:cs="Arial" w:eastAsia="Arial" w:hAnsi="Arial"/>
          <w:sz w:val="14"/>
          <w:szCs w:val="14"/>
          <w:color w:val="auto"/>
        </w:rPr>
      </w:pPr>
      <w:r>
        <w:rPr>
          <w:rFonts w:ascii="Arial" w:cs="Arial" w:eastAsia="Arial" w:hAnsi="Arial"/>
          <w:sz w:val="14"/>
          <w:szCs w:val="14"/>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229" w:lineRule="exact"/>
        <w:rPr>
          <w:rFonts w:ascii="Arial" w:cs="Arial" w:eastAsia="Arial" w:hAnsi="Arial"/>
          <w:sz w:val="14"/>
          <w:szCs w:val="14"/>
          <w:color w:val="auto"/>
        </w:rPr>
      </w:pPr>
    </w:p>
    <w:p>
      <w:pPr>
        <w:ind w:left="2720" w:right="20" w:hanging="868"/>
        <w:spacing w:after="0" w:line="226" w:lineRule="auto"/>
        <w:tabs>
          <w:tab w:leader="none" w:pos="2720" w:val="left"/>
        </w:tabs>
        <w:numPr>
          <w:ilvl w:val="2"/>
          <w:numId w:val="181"/>
        </w:numPr>
        <w:rPr>
          <w:rFonts w:ascii="Arial" w:cs="Arial" w:eastAsia="Arial" w:hAnsi="Arial"/>
          <w:sz w:val="14"/>
          <w:szCs w:val="14"/>
          <w:color w:val="auto"/>
        </w:rPr>
      </w:pPr>
      <w:r>
        <w:rPr>
          <w:rFonts w:ascii="Arial" w:cs="Arial" w:eastAsia="Arial" w:hAnsi="Arial"/>
          <w:sz w:val="14"/>
          <w:szCs w:val="14"/>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230" w:lineRule="exact"/>
        <w:rPr>
          <w:rFonts w:ascii="Arial" w:cs="Arial" w:eastAsia="Arial" w:hAnsi="Arial"/>
          <w:sz w:val="14"/>
          <w:szCs w:val="14"/>
          <w:color w:val="auto"/>
        </w:rPr>
      </w:pPr>
    </w:p>
    <w:p>
      <w:pPr>
        <w:ind w:left="2720" w:right="80" w:hanging="868"/>
        <w:spacing w:after="0" w:line="226" w:lineRule="auto"/>
        <w:tabs>
          <w:tab w:leader="none" w:pos="2720" w:val="left"/>
        </w:tabs>
        <w:numPr>
          <w:ilvl w:val="2"/>
          <w:numId w:val="181"/>
        </w:numPr>
        <w:rPr>
          <w:rFonts w:ascii="Arial" w:cs="Arial" w:eastAsia="Arial" w:hAnsi="Arial"/>
          <w:sz w:val="14"/>
          <w:szCs w:val="14"/>
          <w:color w:val="auto"/>
        </w:rPr>
      </w:pPr>
      <w:r>
        <w:rPr>
          <w:rFonts w:ascii="Arial" w:cs="Arial" w:eastAsia="Arial" w:hAnsi="Arial"/>
          <w:sz w:val="14"/>
          <w:szCs w:val="14"/>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Calls on shares</w:t>
      </w:r>
    </w:p>
    <w:p>
      <w:pPr>
        <w:spacing w:after="0" w:line="247" w:lineRule="exact"/>
        <w:rPr>
          <w:sz w:val="20"/>
          <w:szCs w:val="20"/>
          <w:color w:val="auto"/>
        </w:rPr>
      </w:pPr>
    </w:p>
    <w:p>
      <w:pPr>
        <w:ind w:left="980" w:right="20" w:hanging="776"/>
        <w:spacing w:after="0" w:line="226" w:lineRule="auto"/>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 call shall be deemed to have been made at the time when the resolution of the Directors authorising the call was passed and may be required to be paid by instalments.</w:t>
      </w:r>
    </w:p>
    <w:p>
      <w:pPr>
        <w:spacing w:after="0" w:line="253" w:lineRule="exact"/>
        <w:rPr>
          <w:rFonts w:ascii="Arial" w:cs="Arial" w:eastAsia="Arial" w:hAnsi="Arial"/>
          <w:sz w:val="12"/>
          <w:szCs w:val="12"/>
          <w:color w:val="auto"/>
        </w:rPr>
      </w:pPr>
    </w:p>
    <w:p>
      <w:pPr>
        <w:ind w:left="980" w:hanging="776"/>
        <w:spacing w:after="0"/>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joint Holders of a share shall be jointly and severally liable to pay all calls in respect thereof.</w:t>
      </w:r>
    </w:p>
    <w:p>
      <w:pPr>
        <w:spacing w:after="0" w:line="230" w:lineRule="exact"/>
        <w:rPr>
          <w:rFonts w:ascii="Arial" w:cs="Arial" w:eastAsia="Arial" w:hAnsi="Arial"/>
          <w:sz w:val="14"/>
          <w:szCs w:val="14"/>
          <w:color w:val="auto"/>
        </w:rPr>
      </w:pPr>
    </w:p>
    <w:p>
      <w:pPr>
        <w:ind w:left="980" w:right="20" w:hanging="776"/>
        <w:spacing w:after="0" w:line="228" w:lineRule="auto"/>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229" w:lineRule="exact"/>
        <w:rPr>
          <w:rFonts w:ascii="Arial" w:cs="Arial" w:eastAsia="Arial" w:hAnsi="Arial"/>
          <w:sz w:val="14"/>
          <w:szCs w:val="14"/>
          <w:color w:val="auto"/>
        </w:rPr>
      </w:pPr>
    </w:p>
    <w:p>
      <w:pPr>
        <w:ind w:left="980" w:right="160" w:hanging="776"/>
        <w:spacing w:after="0" w:line="226" w:lineRule="auto"/>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Directors may, on the issue of shares, differentiate between the Holders as to the amount of calls to be paid and the time of payment.</w:t>
      </w:r>
    </w:p>
    <w:p>
      <w:pPr>
        <w:spacing w:after="0" w:line="230" w:lineRule="exact"/>
        <w:rPr>
          <w:rFonts w:ascii="Arial" w:cs="Arial" w:eastAsia="Arial" w:hAnsi="Arial"/>
          <w:sz w:val="14"/>
          <w:szCs w:val="14"/>
          <w:color w:val="auto"/>
        </w:rPr>
      </w:pPr>
    </w:p>
    <w:p>
      <w:pPr>
        <w:ind w:left="980" w:right="160" w:hanging="776"/>
        <w:spacing w:after="0" w:line="279" w:lineRule="auto"/>
        <w:tabs>
          <w:tab w:leader="none" w:pos="9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97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10500" w:type="dxa"/>
            <w:vAlign w:val="bottom"/>
          </w:tcPr>
          <w:p>
            <w:pPr>
              <w:ind w:left="4400"/>
              <w:spacing w:after="0"/>
              <w:rPr>
                <w:sz w:val="20"/>
                <w:szCs w:val="20"/>
                <w:color w:val="auto"/>
              </w:rPr>
            </w:pPr>
            <w:r>
              <w:rPr>
                <w:rFonts w:ascii="Arial" w:cs="Arial" w:eastAsia="Arial" w:hAnsi="Arial"/>
                <w:sz w:val="14"/>
                <w:szCs w:val="14"/>
                <w:b w:val="1"/>
                <w:bCs w:val="1"/>
                <w:color w:val="auto"/>
              </w:rPr>
              <w:t>Transfer of Shares</w:t>
            </w: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26.</w:t>
            </w:r>
          </w:p>
        </w:tc>
        <w:tc>
          <w:tcPr>
            <w:tcW w:w="10500" w:type="dxa"/>
            <w:vAlign w:val="bottom"/>
          </w:tcPr>
          <w:p>
            <w:pPr>
              <w:spacing w:after="0"/>
              <w:rPr>
                <w:sz w:val="24"/>
                <w:szCs w:val="2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26.1</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Subject to compliance with the Acts and to any applicable restrictions contained in these articles, applicable law, including U.S. securities laws, and any agreement binding</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on such Holder as to which the Company is aware, any Holder may transfer all or any of its shares by an instrument of transfer in the usual common form or in any other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form or by any other method permissible under applicable law, as may be approved by the Directors. The instrument of transfer of any share may be executed for and on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behalf of the transferor by the Secretary, Assistant Secretary or any duly authorised delegate or attorney of the Secretary or Assistant Secretary (whether an individual, a</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corporation or other body of persons, whether corporate or not, and whether in respect of specific transfers or pursuant to a general standing authorisation) and the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Secretary or Assistant Secretary or a relevant authorised delegate shall be deemed to have been irrevocably appointed agent for the transferor of such share or shares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with full power to execute, complete and deliver in the name of and on behalf of the transferor of such share or shares all such transfers of shares held by the members in</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the share capital of the Company. Any document which records the name of the transferor, the name of the transferee, the class and number of shares agreed to be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transferred and the date of the agreement to transfer shares, shall, once executed by the transferor or the Secretary or Assistant Secretary or relevant authorised delegate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as agent for the transferor, be deemed to be a proper instrument of transfer for the purposes of section 81 of the Act. The transferor shall be deemed to remain the Holder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of the share until the name of the transferee is entered on the Register in respect thereof, and neither the title of the transferee nor the title of the transferor shall be affected</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by any irregularity or invalidity in the proceedings in reference to the sale should the Directors so determine.</w:t>
            </w:r>
          </w:p>
        </w:tc>
      </w:tr>
      <w:tr>
        <w:trPr>
          <w:trHeight w:val="370"/>
        </w:trPr>
        <w:tc>
          <w:tcPr>
            <w:tcW w:w="5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Company, at its absolute discretion, may, or may procure that a subsidiary of the Company shall, pay Irish stamp duty arising on a transfer of shares on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behalf of the transferee of such shares of the Company. If stamp duty resulting from the transfer of shares in the Company which would otherwise be payable by</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the transferee is paid by the Company or any subsidiary of the Company on behalf of the transferee, then in those circumstances, the Company shall, on its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behalf or on behalf of its subsidiary (as the case may be), be entitled to (i) seek reimbursement of the stamp duty from either the transferee or, at the Company’s</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sole discretion, the transferor; (ii) set-off the stamp duty against any dividends payable to the transferee of those shares; and (iii) claim a first and permanent lien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on the shares on which stamp duty has been paid by the Company or its subsidiary for the amount of stamp duty paid. The Company’s lien shall extend to all</w:t>
            </w:r>
          </w:p>
        </w:tc>
      </w:tr>
      <w:tr>
        <w:trPr>
          <w:trHeight w:val="17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dividends paid on those shares.</w:t>
            </w:r>
          </w:p>
        </w:tc>
      </w:tr>
      <w:tr>
        <w:trPr>
          <w:trHeight w:val="376"/>
        </w:trPr>
        <w:tc>
          <w:tcPr>
            <w:tcW w:w="520" w:type="dxa"/>
            <w:vAlign w:val="bottom"/>
          </w:tcPr>
          <w:p>
            <w:pPr>
              <w:spacing w:after="0"/>
              <w:rPr>
                <w:sz w:val="20"/>
                <w:szCs w:val="20"/>
                <w:color w:val="auto"/>
              </w:rPr>
            </w:pPr>
            <w:r>
              <w:rPr>
                <w:rFonts w:ascii="Arial" w:cs="Arial" w:eastAsia="Arial" w:hAnsi="Arial"/>
                <w:sz w:val="14"/>
                <w:szCs w:val="14"/>
                <w:color w:val="auto"/>
              </w:rPr>
              <w:t>26.2</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Notwithstanding the provisions of these articles and subject to any regulations made under section 239 of the 1990 Act, title to any shares in the Company may also be</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evidenced and transferred without a written instrument in accordance with section 239 of the 1990 Act or any regulations made thereunder. The Directors shall have power</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to permit any class of shares to be held in uncertificated form and to implement any arrangements they think fit for evidencing transfers in accordance with such regulations</w:t>
            </w: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and in particular shall, where appropriate, be entitled to disapply or modify all or part of the provisions in these articles with respect to the requirement for written</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instruments of transfer and share certificates (if any), in order to give effect to such regulations.</w:t>
            </w:r>
          </w:p>
        </w:tc>
      </w:tr>
    </w:tbl>
    <w:p>
      <w:pPr>
        <w:spacing w:after="0" w:line="229" w:lineRule="exact"/>
        <w:rPr>
          <w:sz w:val="20"/>
          <w:szCs w:val="20"/>
          <w:color w:val="auto"/>
        </w:rPr>
      </w:pPr>
    </w:p>
    <w:p>
      <w:pPr>
        <w:ind w:left="980" w:right="40" w:hanging="776"/>
        <w:spacing w:after="0" w:line="231" w:lineRule="auto"/>
        <w:tabs>
          <w:tab w:leader="none" w:pos="9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230" w:lineRule="exact"/>
        <w:rPr>
          <w:rFonts w:ascii="Arial" w:cs="Arial" w:eastAsia="Arial" w:hAnsi="Arial"/>
          <w:sz w:val="14"/>
          <w:szCs w:val="14"/>
          <w:color w:val="auto"/>
        </w:rPr>
      </w:pPr>
    </w:p>
    <w:p>
      <w:pPr>
        <w:ind w:left="980" w:hanging="776"/>
        <w:spacing w:after="0" w:line="231" w:lineRule="auto"/>
        <w:tabs>
          <w:tab w:leader="none" w:pos="98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28.1</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 instrument of transfer is duly stamped (if required by law) and lodged with the Company, at such place as the Directors shall appoint for the purpose, accompanied by</w:t>
            </w:r>
          </w:p>
        </w:tc>
      </w:tr>
      <w:tr>
        <w:trPr>
          <w:trHeight w:val="149"/>
        </w:trPr>
        <w:tc>
          <w:tcPr>
            <w:tcW w:w="520" w:type="dxa"/>
            <w:vAlign w:val="bottom"/>
          </w:tcPr>
          <w:p>
            <w:pPr>
              <w:spacing w:after="0"/>
              <w:rPr>
                <w:sz w:val="12"/>
                <w:szCs w:val="12"/>
                <w:color w:val="auto"/>
              </w:rPr>
            </w:pPr>
          </w:p>
        </w:tc>
        <w:tc>
          <w:tcPr>
            <w:tcW w:w="10460" w:type="dxa"/>
            <w:vAlign w:val="bottom"/>
          </w:tcPr>
          <w:p>
            <w:pPr>
              <w:ind w:left="260"/>
              <w:spacing w:after="0" w:line="149" w:lineRule="exact"/>
              <w:rPr>
                <w:sz w:val="20"/>
                <w:szCs w:val="20"/>
                <w:color w:val="auto"/>
              </w:rPr>
            </w:pPr>
            <w:r>
              <w:rPr>
                <w:rFonts w:ascii="Arial" w:cs="Arial" w:eastAsia="Arial" w:hAnsi="Arial"/>
                <w:sz w:val="14"/>
                <w:szCs w:val="14"/>
                <w:color w:val="auto"/>
                <w:w w:val="96"/>
              </w:rPr>
              <w:t>the certificate for the shares (if any has been issued) to which it relates, and such other evidence as the Directors may reasonably require to show the right of the transferor</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to make the transfer;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28.2</w:t>
            </w:r>
          </w:p>
        </w:tc>
        <w:tc>
          <w:tcPr>
            <w:tcW w:w="10460" w:type="dxa"/>
            <w:vAlign w:val="bottom"/>
          </w:tcPr>
          <w:p>
            <w:pPr>
              <w:ind w:left="260"/>
              <w:spacing w:after="0"/>
              <w:rPr>
                <w:sz w:val="20"/>
                <w:szCs w:val="20"/>
                <w:color w:val="auto"/>
              </w:rPr>
            </w:pPr>
            <w:r>
              <w:rPr>
                <w:rFonts w:ascii="Arial" w:cs="Arial" w:eastAsia="Arial" w:hAnsi="Arial"/>
                <w:sz w:val="14"/>
                <w:szCs w:val="14"/>
                <w:color w:val="auto"/>
              </w:rPr>
              <w:t>the instrument of transfer is in respect of only one class of share; and</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28.3</w:t>
            </w:r>
          </w:p>
        </w:tc>
        <w:tc>
          <w:tcPr>
            <w:tcW w:w="10460" w:type="dxa"/>
            <w:vAlign w:val="bottom"/>
          </w:tcPr>
          <w:p>
            <w:pPr>
              <w:ind w:left="260"/>
              <w:spacing w:after="0"/>
              <w:rPr>
                <w:sz w:val="20"/>
                <w:szCs w:val="20"/>
                <w:color w:val="auto"/>
              </w:rPr>
            </w:pPr>
            <w:r>
              <w:rPr>
                <w:rFonts w:ascii="Arial" w:cs="Arial" w:eastAsia="Arial" w:hAnsi="Arial"/>
                <w:sz w:val="14"/>
                <w:szCs w:val="14"/>
                <w:color w:val="auto"/>
                <w:w w:val="97"/>
              </w:rPr>
              <w:t>they are satisfied that all applicable consents, authorisations, permissions or approvals required to be obtained pursuant to any applicable law or agreement prior to such</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transfer have been obtained or that no such consents, authorisations, permissions or approvals are required.</w:t>
            </w:r>
          </w:p>
        </w:tc>
      </w:tr>
    </w:tbl>
    <w:p>
      <w:pPr>
        <w:spacing w:after="0" w:line="229" w:lineRule="exact"/>
        <w:rPr>
          <w:sz w:val="20"/>
          <w:szCs w:val="20"/>
          <w:color w:val="auto"/>
        </w:rPr>
      </w:pPr>
    </w:p>
    <w:p>
      <w:pPr>
        <w:ind w:left="980" w:right="120" w:hanging="776"/>
        <w:spacing w:after="0" w:line="231" w:lineRule="auto"/>
        <w:tabs>
          <w:tab w:leader="none" w:pos="9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If the Directors refuse to register a transfer they shall, within three months after the date on which the transfer was lodged with the Company, send to the transferee notice of the refusal.</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All instruments of transfer shall upon their being lodged with the Company remain the property of the Company and the Company shall be entitled to retain them.</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Transmission of Shares</w:t>
      </w:r>
    </w:p>
    <w:p>
      <w:pPr>
        <w:spacing w:after="0" w:line="152" w:lineRule="exact"/>
        <w:rPr>
          <w:sz w:val="20"/>
          <w:szCs w:val="20"/>
          <w:color w:val="auto"/>
        </w:rPr>
      </w:pPr>
    </w:p>
    <w:p>
      <w:pPr>
        <w:ind w:left="980" w:right="40" w:hanging="776"/>
        <w:spacing w:after="0" w:line="224" w:lineRule="auto"/>
        <w:tabs>
          <w:tab w:leader="none" w:pos="98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232"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B-11</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776"/>
        <w:spacing w:after="0" w:line="225" w:lineRule="auto"/>
        <w:tabs>
          <w:tab w:leader="none" w:pos="98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Forfeiture of Shares</w:t>
      </w:r>
    </w:p>
    <w:p>
      <w:pPr>
        <w:spacing w:after="0" w:line="247" w:lineRule="exact"/>
        <w:rPr>
          <w:sz w:val="20"/>
          <w:szCs w:val="20"/>
          <w:color w:val="auto"/>
        </w:rPr>
      </w:pPr>
    </w:p>
    <w:p>
      <w:pPr>
        <w:jc w:val="both"/>
        <w:ind w:left="980" w:right="120" w:hanging="776"/>
        <w:spacing w:after="0" w:line="228"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229" w:lineRule="exact"/>
        <w:rPr>
          <w:rFonts w:ascii="Arial" w:cs="Arial" w:eastAsia="Arial" w:hAnsi="Arial"/>
          <w:sz w:val="14"/>
          <w:szCs w:val="14"/>
          <w:color w:val="auto"/>
        </w:rPr>
      </w:pPr>
    </w:p>
    <w:p>
      <w:pPr>
        <w:ind w:left="980" w:right="80" w:hanging="776"/>
        <w:spacing w:after="0" w:line="228"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229" w:lineRule="exact"/>
        <w:rPr>
          <w:rFonts w:ascii="Arial" w:cs="Arial" w:eastAsia="Arial" w:hAnsi="Arial"/>
          <w:sz w:val="14"/>
          <w:szCs w:val="14"/>
          <w:color w:val="auto"/>
        </w:rPr>
      </w:pPr>
    </w:p>
    <w:p>
      <w:pPr>
        <w:ind w:left="980" w:right="480" w:hanging="776"/>
        <w:spacing w:after="0" w:line="228"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229" w:lineRule="exact"/>
        <w:rPr>
          <w:rFonts w:ascii="Arial" w:cs="Arial" w:eastAsia="Arial" w:hAnsi="Arial"/>
          <w:sz w:val="14"/>
          <w:szCs w:val="14"/>
          <w:color w:val="auto"/>
        </w:rPr>
      </w:pPr>
    </w:p>
    <w:p>
      <w:pPr>
        <w:ind w:left="980" w:right="160" w:hanging="776"/>
        <w:spacing w:after="0" w:line="231"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29"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231"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30" w:lineRule="exact"/>
        <w:rPr>
          <w:rFonts w:ascii="Arial" w:cs="Arial" w:eastAsia="Arial" w:hAnsi="Arial"/>
          <w:sz w:val="14"/>
          <w:szCs w:val="14"/>
          <w:color w:val="auto"/>
        </w:rPr>
      </w:pPr>
    </w:p>
    <w:p>
      <w:pPr>
        <w:ind w:left="980" w:right="300" w:hanging="776"/>
        <w:spacing w:after="0" w:line="231" w:lineRule="auto"/>
        <w:tabs>
          <w:tab w:leader="none" w:pos="9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Financial assistance</w:t>
      </w:r>
    </w:p>
    <w:p>
      <w:pPr>
        <w:spacing w:after="0" w:line="247" w:lineRule="exact"/>
        <w:rPr>
          <w:sz w:val="20"/>
          <w:szCs w:val="20"/>
          <w:color w:val="auto"/>
        </w:rPr>
      </w:pPr>
    </w:p>
    <w:p>
      <w:pPr>
        <w:ind w:left="980" w:right="200" w:hanging="776"/>
        <w:spacing w:after="0" w:line="231" w:lineRule="auto"/>
        <w:tabs>
          <w:tab w:leader="none" w:pos="9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Alteration of Capital</w:t>
      </w:r>
    </w:p>
    <w:p>
      <w:pPr>
        <w:spacing w:after="0" w:line="152" w:lineRule="exact"/>
        <w:rPr>
          <w:sz w:val="20"/>
          <w:szCs w:val="20"/>
          <w:color w:val="auto"/>
        </w:rPr>
      </w:pPr>
    </w:p>
    <w:p>
      <w:pPr>
        <w:ind w:left="980" w:right="80" w:hanging="776"/>
        <w:spacing w:after="0" w:line="231" w:lineRule="auto"/>
        <w:tabs>
          <w:tab w:leader="none" w:pos="9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its authorised share capital by such sum, to be divided into shares of such amount, as the resolution shall prescribe.</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Company may by Ordinary Resolution: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46.1</w:t>
            </w:r>
          </w:p>
        </w:tc>
        <w:tc>
          <w:tcPr>
            <w:tcW w:w="10460" w:type="dxa"/>
            <w:vAlign w:val="bottom"/>
          </w:tcPr>
          <w:p>
            <w:pPr>
              <w:ind w:left="260"/>
              <w:spacing w:after="0"/>
              <w:rPr>
                <w:sz w:val="20"/>
                <w:szCs w:val="20"/>
                <w:color w:val="auto"/>
              </w:rPr>
            </w:pPr>
            <w:r>
              <w:rPr>
                <w:rFonts w:ascii="Arial" w:cs="Arial" w:eastAsia="Arial" w:hAnsi="Arial"/>
                <w:sz w:val="14"/>
                <w:szCs w:val="14"/>
                <w:color w:val="auto"/>
              </w:rPr>
              <w:t>effect a reduction in its authorized but unissued share capital by cancelling unissued shares;</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46.2</w:t>
            </w:r>
          </w:p>
        </w:tc>
        <w:tc>
          <w:tcPr>
            <w:tcW w:w="10460" w:type="dxa"/>
            <w:vAlign w:val="bottom"/>
          </w:tcPr>
          <w:p>
            <w:pPr>
              <w:ind w:left="260"/>
              <w:spacing w:after="0"/>
              <w:rPr>
                <w:sz w:val="20"/>
                <w:szCs w:val="20"/>
                <w:color w:val="auto"/>
              </w:rPr>
            </w:pPr>
            <w:r>
              <w:rPr>
                <w:rFonts w:ascii="Arial" w:cs="Arial" w:eastAsia="Arial" w:hAnsi="Arial"/>
                <w:sz w:val="14"/>
                <w:szCs w:val="14"/>
                <w:color w:val="auto"/>
              </w:rPr>
              <w:t>consolidate and divide all or any of its share capital into shares of larger amount than its existing shares;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46.3</w:t>
            </w:r>
          </w:p>
        </w:tc>
        <w:tc>
          <w:tcPr>
            <w:tcW w:w="10460" w:type="dxa"/>
            <w:vAlign w:val="bottom"/>
          </w:tcPr>
          <w:p>
            <w:pPr>
              <w:ind w:left="260"/>
              <w:spacing w:after="0"/>
              <w:rPr>
                <w:sz w:val="20"/>
                <w:szCs w:val="20"/>
                <w:color w:val="auto"/>
              </w:rPr>
            </w:pPr>
            <w:r>
              <w:rPr>
                <w:rFonts w:ascii="Arial" w:cs="Arial" w:eastAsia="Arial" w:hAnsi="Arial"/>
                <w:sz w:val="14"/>
                <w:szCs w:val="14"/>
                <w:color w:val="auto"/>
                <w:w w:val="96"/>
              </w:rPr>
              <w:t>subdivide its existing shares, or any of them, into shares of smaller amount than is fixed by the memorandum of association subject, nevertheless, to section 68(1)(d) of the</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Act;</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46.4</w:t>
            </w:r>
          </w:p>
        </w:tc>
        <w:tc>
          <w:tcPr>
            <w:tcW w:w="10460" w:type="dxa"/>
            <w:vAlign w:val="bottom"/>
          </w:tcPr>
          <w:p>
            <w:pPr>
              <w:ind w:left="260"/>
              <w:spacing w:after="0"/>
              <w:rPr>
                <w:sz w:val="20"/>
                <w:szCs w:val="20"/>
                <w:color w:val="auto"/>
              </w:rPr>
            </w:pPr>
            <w:r>
              <w:rPr>
                <w:rFonts w:ascii="Arial" w:cs="Arial" w:eastAsia="Arial" w:hAnsi="Arial"/>
                <w:sz w:val="14"/>
                <w:szCs w:val="14"/>
                <w:color w:val="auto"/>
              </w:rPr>
              <w:t>make provision for the issue and allotment of shares which do not carry any voting rights;</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46.5</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cancel any shares which, at the date of the passing of the resolution, have not been taken or agreed to be taken by any person and reduce the amount of its authorised</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share capital by the amount of the shares so cancelled;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46.6</w:t>
            </w:r>
          </w:p>
        </w:tc>
        <w:tc>
          <w:tcPr>
            <w:tcW w:w="10460" w:type="dxa"/>
            <w:vAlign w:val="bottom"/>
          </w:tcPr>
          <w:p>
            <w:pPr>
              <w:ind w:left="260"/>
              <w:spacing w:after="0"/>
              <w:rPr>
                <w:sz w:val="20"/>
                <w:szCs w:val="20"/>
                <w:color w:val="auto"/>
              </w:rPr>
            </w:pPr>
            <w:r>
              <w:rPr>
                <w:rFonts w:ascii="Arial" w:cs="Arial" w:eastAsia="Arial" w:hAnsi="Arial"/>
                <w:sz w:val="14"/>
                <w:szCs w:val="14"/>
                <w:color w:val="auto"/>
              </w:rPr>
              <w:t>subject to applicable law, change the currency denomination of its share capital.</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46.7</w:t>
            </w:r>
          </w:p>
        </w:tc>
        <w:tc>
          <w:tcPr>
            <w:tcW w:w="10460" w:type="dxa"/>
            <w:vAlign w:val="bottom"/>
          </w:tcPr>
          <w:p>
            <w:pPr>
              <w:ind w:left="260"/>
              <w:spacing w:after="0"/>
              <w:rPr>
                <w:sz w:val="20"/>
                <w:szCs w:val="20"/>
                <w:color w:val="auto"/>
              </w:rPr>
            </w:pPr>
            <w:r>
              <w:rPr>
                <w:rFonts w:ascii="Arial" w:cs="Arial" w:eastAsia="Arial" w:hAnsi="Arial"/>
                <w:sz w:val="14"/>
                <w:szCs w:val="14"/>
                <w:color w:val="auto"/>
                <w:w w:val="98"/>
              </w:rPr>
              <w:t>Where any difficulty arises in regard to any division, consolidation or sub-division under this article 46, the Directors may settle the same as they think expedient and in</w:t>
            </w:r>
          </w:p>
        </w:tc>
      </w:tr>
      <w:tr>
        <w:trPr>
          <w:trHeight w:val="162"/>
        </w:trPr>
        <w:tc>
          <w:tcPr>
            <w:tcW w:w="520" w:type="dxa"/>
            <w:vAlign w:val="bottom"/>
          </w:tcPr>
          <w:p>
            <w:pPr>
              <w:spacing w:after="0"/>
              <w:rPr>
                <w:sz w:val="14"/>
                <w:szCs w:val="14"/>
                <w:color w:val="auto"/>
              </w:rPr>
            </w:pPr>
          </w:p>
        </w:tc>
        <w:tc>
          <w:tcPr>
            <w:tcW w:w="10460" w:type="dxa"/>
            <w:vAlign w:val="bottom"/>
          </w:tcPr>
          <w:p>
            <w:pPr>
              <w:ind w:left="260"/>
              <w:spacing w:after="0"/>
              <w:rPr>
                <w:sz w:val="20"/>
                <w:szCs w:val="20"/>
                <w:color w:val="auto"/>
              </w:rPr>
            </w:pPr>
            <w:r>
              <w:rPr>
                <w:rFonts w:ascii="Arial" w:cs="Arial" w:eastAsia="Arial" w:hAnsi="Arial"/>
                <w:sz w:val="14"/>
                <w:szCs w:val="14"/>
                <w:color w:val="auto"/>
              </w:rPr>
              <w:t>particular, may, on behalf of applicable Holders, arrange for the sale of the shares representing fractions and distribute the net proceeds of such sale in due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7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line="228" w:lineRule="auto"/>
        <w:rPr>
          <w:sz w:val="20"/>
          <w:szCs w:val="20"/>
          <w:color w:val="auto"/>
        </w:rPr>
      </w:pPr>
      <w:r>
        <w:rPr>
          <w:rFonts w:ascii="Arial" w:cs="Arial" w:eastAsia="Arial" w:hAnsi="Arial"/>
          <w:sz w:val="14"/>
          <w:szCs w:val="14"/>
          <w:color w:val="auto"/>
        </w:rPr>
        <w:t>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30" w:lineRule="exact"/>
        <w:rPr>
          <w:sz w:val="20"/>
          <w:szCs w:val="20"/>
          <w:color w:val="auto"/>
        </w:rPr>
      </w:pPr>
    </w:p>
    <w:p>
      <w:pPr>
        <w:ind w:left="980" w:right="140" w:hanging="776"/>
        <w:spacing w:after="0" w:line="231" w:lineRule="auto"/>
        <w:tabs>
          <w:tab w:leader="none" w:pos="9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General meetings</w:t>
      </w:r>
    </w:p>
    <w:p>
      <w:pPr>
        <w:spacing w:after="0" w:line="247" w:lineRule="exact"/>
        <w:rPr>
          <w:sz w:val="20"/>
          <w:szCs w:val="20"/>
          <w:color w:val="auto"/>
        </w:rPr>
      </w:pPr>
    </w:p>
    <w:p>
      <w:pPr>
        <w:jc w:val="both"/>
        <w:ind w:left="980" w:right="20" w:hanging="776"/>
        <w:spacing w:after="0" w:line="228" w:lineRule="auto"/>
        <w:tabs>
          <w:tab w:leader="none" w:pos="9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All general meetings other than annual general meetings shall be called extraordinary general meetings.</w:t>
      </w:r>
    </w:p>
    <w:p>
      <w:pPr>
        <w:spacing w:after="0" w:line="230" w:lineRule="exact"/>
        <w:rPr>
          <w:rFonts w:ascii="Arial" w:cs="Arial" w:eastAsia="Arial" w:hAnsi="Arial"/>
          <w:sz w:val="14"/>
          <w:szCs w:val="14"/>
          <w:color w:val="auto"/>
        </w:rPr>
      </w:pPr>
    </w:p>
    <w:p>
      <w:pPr>
        <w:ind w:left="980" w:right="20" w:hanging="776"/>
        <w:spacing w:after="0" w:line="231" w:lineRule="auto"/>
        <w:tabs>
          <w:tab w:leader="none" w:pos="9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pacing w:after="0" w:line="230"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51.1</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necessary quorum shall be two or more persons holding or representing by proxy (whether or not such Holder actually exercises his voting rights in whole, in part or at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all at the relevant general meeting) more than 50% of the total issued-voting rights of the Company’s shares, provided, however, that if the class of shares shall have only</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one Holder, one Holder present in person or by proxy shall constitute the necessary quorum;</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Holder of shares of the class present in person or by proxy may demand a poll; and</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51.3</w:t>
            </w:r>
          </w:p>
        </w:tc>
        <w:tc>
          <w:tcPr>
            <w:tcW w:w="10400" w:type="dxa"/>
            <w:vAlign w:val="bottom"/>
          </w:tcPr>
          <w:p>
            <w:pPr>
              <w:ind w:left="260"/>
              <w:spacing w:after="0"/>
              <w:rPr>
                <w:sz w:val="20"/>
                <w:szCs w:val="20"/>
                <w:color w:val="auto"/>
              </w:rPr>
            </w:pPr>
            <w:r>
              <w:rPr>
                <w:rFonts w:ascii="Arial" w:cs="Arial" w:eastAsia="Arial" w:hAnsi="Arial"/>
                <w:sz w:val="14"/>
                <w:szCs w:val="14"/>
                <w:color w:val="auto"/>
              </w:rPr>
              <w:t>on a poll, each Holder of shares of the class shall have one vote in respect of every share of the class held by him.</w:t>
            </w:r>
          </w:p>
        </w:tc>
      </w:tr>
    </w:tbl>
    <w:p>
      <w:pPr>
        <w:spacing w:after="0" w:line="229" w:lineRule="exact"/>
        <w:rPr>
          <w:sz w:val="20"/>
          <w:szCs w:val="20"/>
          <w:color w:val="auto"/>
        </w:rPr>
      </w:pPr>
    </w:p>
    <w:p>
      <w:pPr>
        <w:ind w:left="980" w:hanging="776"/>
        <w:spacing w:after="0" w:line="231" w:lineRule="auto"/>
        <w:tabs>
          <w:tab w:leader="none" w:pos="9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A Director shall be entitled, notwithstanding that he is not a member, to attend and speak at any general meeting and at any separate meeting of the Holders of any class of shares in the Company.</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20" w:type="dxa"/>
            <w:vAlign w:val="bottom"/>
            <w:vMerge w:val="restart"/>
          </w:tcPr>
          <w:p>
            <w:pPr>
              <w:spacing w:after="0"/>
              <w:rPr>
                <w:sz w:val="20"/>
                <w:szCs w:val="20"/>
                <w:color w:val="auto"/>
              </w:rPr>
            </w:pPr>
            <w:r>
              <w:rPr>
                <w:rFonts w:ascii="Arial" w:cs="Arial" w:eastAsia="Arial" w:hAnsi="Arial"/>
                <w:sz w:val="14"/>
                <w:szCs w:val="14"/>
                <w:color w:val="auto"/>
              </w:rPr>
              <w:t>53.</w:t>
            </w:r>
          </w:p>
        </w:tc>
        <w:tc>
          <w:tcPr>
            <w:tcW w:w="10500" w:type="dxa"/>
            <w:vAlign w:val="bottom"/>
          </w:tcPr>
          <w:p>
            <w:pPr>
              <w:ind w:left="4120"/>
              <w:spacing w:after="0"/>
              <w:rPr>
                <w:sz w:val="20"/>
                <w:szCs w:val="20"/>
                <w:color w:val="auto"/>
              </w:rPr>
            </w:pPr>
            <w:r>
              <w:rPr>
                <w:rFonts w:ascii="Arial" w:cs="Arial" w:eastAsia="Arial" w:hAnsi="Arial"/>
                <w:sz w:val="14"/>
                <w:szCs w:val="14"/>
                <w:b w:val="1"/>
                <w:bCs w:val="1"/>
                <w:color w:val="auto"/>
              </w:rPr>
              <w:t>Notice of General Meetings</w:t>
            </w:r>
          </w:p>
        </w:tc>
        <w:tc>
          <w:tcPr>
            <w:tcW w:w="0" w:type="dxa"/>
            <w:vAlign w:val="bottom"/>
          </w:tcPr>
          <w:p>
            <w:pPr>
              <w:spacing w:after="0"/>
              <w:rPr>
                <w:sz w:val="1"/>
                <w:szCs w:val="1"/>
                <w:color w:val="auto"/>
              </w:rPr>
            </w:pPr>
          </w:p>
        </w:tc>
      </w:tr>
      <w:tr>
        <w:trPr>
          <w:trHeight w:val="149"/>
        </w:trPr>
        <w:tc>
          <w:tcPr>
            <w:tcW w:w="520" w:type="dxa"/>
            <w:vAlign w:val="bottom"/>
            <w:vMerge w:val="continue"/>
          </w:tcPr>
          <w:p>
            <w:pPr>
              <w:spacing w:after="0"/>
              <w:rPr>
                <w:sz w:val="12"/>
                <w:szCs w:val="12"/>
                <w:color w:val="auto"/>
              </w:rPr>
            </w:pPr>
          </w:p>
        </w:tc>
        <w:tc>
          <w:tcPr>
            <w:tcW w:w="10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53.1</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Subject to the provisions of the Acts allowing a general meeting to be called by shorter notice, an annual general meeting, and an extraordinary general meeting called for</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the passing of a Special Resolution, shall be called by not less than 21 Clear Days’ notice and all other extraordinary general meetings shall be called by not less than 14</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Clear Days’ notice.</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53.2</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Notice of every general meeting shall be given in any manner permitted by these articles to all members (other than those who, under the provisions of these articles or the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terms of issue of the shares which they hold, are not entitled to receive such notice from the Company) and to each Director and to the Auditors.</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53.3</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Any notice convening a general meeting shall specify the time and place of the meeting and the general nature of the business to be conducted thereat and, in reasonable</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prominence, that a member entitled to attend and vote is entitled to appoint one or more proxies to attend, speak and vote in his place and that any proxy need not be a</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member of the Company. It shall also give particulars of any Directors who are to retire at the meeting and of any persons who are recommended by the Directors for</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rPr>
              <w:t>election or re-election as Directors at the meeting or in respect of whom notice has been duly given to the Company of the intention to propose them for election or</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7"/>
              </w:rPr>
              <w:t>re-election as Directors at the meeting; provided that the latter requirement shall only apply where the intention to propose the person has been received by the Company</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in accordance with the provisions of these articles. Subject to any restrictions imposed on any shares, the notice of the meeting shall be given to all the Holders of any class</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of shares of the Company as of the record date set by the Directors other than shares which, under the terms of these articles or the terms of allotment of such shares, are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not entitled to receive such notice from the Company, and to the Directors and the Company’s auditors.</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53.4</w:t>
            </w:r>
          </w:p>
        </w:tc>
        <w:tc>
          <w:tcPr>
            <w:tcW w:w="10500" w:type="dxa"/>
            <w:vAlign w:val="bottom"/>
          </w:tcPr>
          <w:p>
            <w:pPr>
              <w:ind w:left="260"/>
              <w:spacing w:after="0"/>
              <w:rPr>
                <w:sz w:val="20"/>
                <w:szCs w:val="20"/>
                <w:color w:val="auto"/>
              </w:rPr>
            </w:pPr>
            <w:r>
              <w:rPr>
                <w:rFonts w:ascii="Arial" w:cs="Arial" w:eastAsia="Arial" w:hAnsi="Arial"/>
                <w:sz w:val="14"/>
                <w:szCs w:val="14"/>
                <w:color w:val="auto"/>
              </w:rPr>
              <w:t>The accidental omission to give notice of a meeting to, or, in cases where instruments of proxy are sent out without the notice, the accidental omission to send such</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instrument of proxy to, or the non-receipt of notice of a meeting or instrument of proxy by, any person entitled to receive notice shall not invalidate the proceedings at the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meeting.</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53.5</w:t>
            </w:r>
          </w:p>
        </w:tc>
        <w:tc>
          <w:tcPr>
            <w:tcW w:w="10500" w:type="dxa"/>
            <w:vAlign w:val="bottom"/>
          </w:tcPr>
          <w:p>
            <w:pPr>
              <w:ind w:left="260"/>
              <w:spacing w:after="0"/>
              <w:rPr>
                <w:sz w:val="20"/>
                <w:szCs w:val="20"/>
                <w:color w:val="auto"/>
              </w:rPr>
            </w:pPr>
            <w:r>
              <w:rPr>
                <w:rFonts w:ascii="Arial" w:cs="Arial" w:eastAsia="Arial" w:hAnsi="Arial"/>
                <w:sz w:val="14"/>
                <w:szCs w:val="14"/>
                <w:color w:val="auto"/>
                <w:w w:val="97"/>
              </w:rPr>
              <w:t>A Holder of shares present, either in person or by proxy, at any meeting of the Company or of the Holders of any class of shares in the Company shall be deemed to have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received notice of the meeting and, where required, of the purposes for which it was called.</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53.6</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Upon request in writing of members holding such number of shares as is prescribed by section 132 of the Act, delivered to the Office, it shall be the duty of the Directors to</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convene a general meeting to be held within two months from the date of the deposit of the requisition in accordance with the section 132 of the Act. If such notice is not</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8"/>
              </w:rPr>
              <w:t>given within two months after the delivery of such request, the requisitionists, or any one of them representing more than one half of the total voting rights of all of them,</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may themselves convene a meeting, but any meeting so convened shall not be held after the expiration of three months from the said date and any notice of such meeting</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shall be in compliance with these articles.</w:t>
            </w:r>
          </w:p>
        </w:tc>
        <w:tc>
          <w:tcPr>
            <w:tcW w:w="0" w:type="dxa"/>
            <w:vAlign w:val="bottom"/>
          </w:tcPr>
          <w:p>
            <w:pPr>
              <w:spacing w:after="0"/>
              <w:rPr>
                <w:sz w:val="1"/>
                <w:szCs w:val="1"/>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54.</w:t>
            </w: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54.1</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The Directors may postpone a general meeting of the members (other than a meeting requisitioned by a member in accordance with section 132 of the Act or where the</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postponement of which would be contrary to the Acts or a court order pursuant to the Acts) after it has been convened, and notice of such postponement shall be served in</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500" w:type="dxa"/>
            <w:vAlign w:val="bottom"/>
          </w:tcPr>
          <w:p>
            <w:pPr>
              <w:ind w:left="260"/>
              <w:spacing w:after="0" w:line="149" w:lineRule="exact"/>
              <w:rPr>
                <w:sz w:val="20"/>
                <w:szCs w:val="20"/>
                <w:color w:val="auto"/>
              </w:rPr>
            </w:pPr>
            <w:r>
              <w:rPr>
                <w:rFonts w:ascii="Arial" w:cs="Arial" w:eastAsia="Arial" w:hAnsi="Arial"/>
                <w:sz w:val="14"/>
                <w:szCs w:val="14"/>
                <w:color w:val="auto"/>
                <w:w w:val="96"/>
              </w:rPr>
              <w:t>accordance with article 53 upon all members entitled to notice of the meeting so postponed setting out, where the meeting is postponed to a specific date, notice of the new</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meeting in accordance with article 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1"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B-13</w:t>
      </w:r>
    </w:p>
    <w:p>
      <w:pPr>
        <w:sectPr>
          <w:pgSz w:w="11900" w:h="16838" w:orient="portrait"/>
          <w:cols w:equalWidth="0" w:num="1">
            <w:col w:w="11220"/>
          </w:cols>
          <w:pgMar w:left="240" w:top="459" w:right="4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54.2</w:t>
            </w:r>
          </w:p>
        </w:tc>
        <w:tc>
          <w:tcPr>
            <w:tcW w:w="10160" w:type="dxa"/>
            <w:vAlign w:val="bottom"/>
          </w:tcPr>
          <w:p>
            <w:pPr>
              <w:ind w:left="260"/>
              <w:spacing w:after="0"/>
              <w:rPr>
                <w:sz w:val="20"/>
                <w:szCs w:val="20"/>
                <w:color w:val="auto"/>
              </w:rPr>
            </w:pPr>
            <w:r>
              <w:rPr>
                <w:rFonts w:ascii="Arial" w:cs="Arial" w:eastAsia="Arial" w:hAnsi="Arial"/>
                <w:sz w:val="14"/>
                <w:szCs w:val="14"/>
                <w:color w:val="auto"/>
                <w:w w:val="96"/>
              </w:rPr>
              <w:t>The Directors may cancel a general meeting of the members (other than a meeting requisitioned by a member in accordance with section 132 of the Act or where the</w:t>
            </w:r>
          </w:p>
        </w:tc>
      </w:tr>
      <w:tr>
        <w:trPr>
          <w:trHeight w:val="149"/>
        </w:trPr>
        <w:tc>
          <w:tcPr>
            <w:tcW w:w="520" w:type="dxa"/>
            <w:vAlign w:val="bottom"/>
          </w:tcPr>
          <w:p>
            <w:pPr>
              <w:spacing w:after="0"/>
              <w:rPr>
                <w:sz w:val="12"/>
                <w:szCs w:val="12"/>
                <w:color w:val="auto"/>
              </w:rPr>
            </w:pPr>
          </w:p>
        </w:tc>
        <w:tc>
          <w:tcPr>
            <w:tcW w:w="10160" w:type="dxa"/>
            <w:vAlign w:val="bottom"/>
          </w:tcPr>
          <w:p>
            <w:pPr>
              <w:ind w:left="260"/>
              <w:spacing w:after="0" w:line="149" w:lineRule="exact"/>
              <w:rPr>
                <w:sz w:val="20"/>
                <w:szCs w:val="20"/>
                <w:color w:val="auto"/>
              </w:rPr>
            </w:pPr>
            <w:r>
              <w:rPr>
                <w:rFonts w:ascii="Arial" w:cs="Arial" w:eastAsia="Arial" w:hAnsi="Arial"/>
                <w:sz w:val="14"/>
                <w:szCs w:val="14"/>
                <w:color w:val="auto"/>
                <w:w w:val="96"/>
              </w:rPr>
              <w:t>cancellation of which would be contrary to the Acts or a court order pursuant to the Acts) after it has been convened, and notice of such cancellation shall be served in</w:t>
            </w:r>
          </w:p>
        </w:tc>
      </w:tr>
      <w:tr>
        <w:trPr>
          <w:trHeight w:val="162"/>
        </w:trPr>
        <w:tc>
          <w:tcPr>
            <w:tcW w:w="520" w:type="dxa"/>
            <w:vAlign w:val="bottom"/>
          </w:tcPr>
          <w:p>
            <w:pPr>
              <w:spacing w:after="0"/>
              <w:rPr>
                <w:sz w:val="14"/>
                <w:szCs w:val="14"/>
                <w:color w:val="auto"/>
              </w:rPr>
            </w:pPr>
          </w:p>
        </w:tc>
        <w:tc>
          <w:tcPr>
            <w:tcW w:w="10160" w:type="dxa"/>
            <w:vAlign w:val="bottom"/>
          </w:tcPr>
          <w:p>
            <w:pPr>
              <w:ind w:left="260"/>
              <w:spacing w:after="0"/>
              <w:rPr>
                <w:sz w:val="20"/>
                <w:szCs w:val="20"/>
                <w:color w:val="auto"/>
              </w:rPr>
            </w:pPr>
            <w:r>
              <w:rPr>
                <w:rFonts w:ascii="Arial" w:cs="Arial" w:eastAsia="Arial" w:hAnsi="Arial"/>
                <w:sz w:val="14"/>
                <w:szCs w:val="14"/>
                <w:color w:val="auto"/>
              </w:rPr>
              <w:t>accordance with article 53 upon all members entitled to notice of the meeting so cancelled.</w:t>
            </w: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Proceedings at General Meetings</w:t>
      </w:r>
    </w:p>
    <w:p>
      <w:pPr>
        <w:spacing w:after="0" w:line="247" w:lineRule="exact"/>
        <w:rPr>
          <w:sz w:val="20"/>
          <w:szCs w:val="20"/>
          <w:color w:val="auto"/>
        </w:rPr>
      </w:pPr>
    </w:p>
    <w:p>
      <w:pPr>
        <w:ind w:left="980" w:right="40" w:hanging="776"/>
        <w:spacing w:after="0" w:line="225" w:lineRule="auto"/>
        <w:tabs>
          <w:tab w:leader="none" w:pos="98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231" w:lineRule="exact"/>
        <w:rPr>
          <w:rFonts w:ascii="Arial" w:cs="Arial" w:eastAsia="Arial" w:hAnsi="Arial"/>
          <w:sz w:val="14"/>
          <w:szCs w:val="14"/>
          <w:color w:val="auto"/>
        </w:rPr>
      </w:pPr>
    </w:p>
    <w:p>
      <w:pPr>
        <w:ind w:left="980" w:hanging="776"/>
        <w:spacing w:after="0" w:line="279" w:lineRule="auto"/>
        <w:tabs>
          <w:tab w:leader="none" w:pos="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229"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59.</w:t>
            </w:r>
          </w:p>
        </w:tc>
        <w:tc>
          <w:tcPr>
            <w:tcW w:w="61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59.1</w:t>
            </w:r>
          </w:p>
        </w:tc>
        <w:tc>
          <w:tcPr>
            <w:tcW w:w="6100" w:type="dxa"/>
            <w:vAlign w:val="bottom"/>
          </w:tcPr>
          <w:p>
            <w:pPr>
              <w:ind w:left="260"/>
              <w:spacing w:after="0"/>
              <w:rPr>
                <w:sz w:val="20"/>
                <w:szCs w:val="20"/>
                <w:color w:val="auto"/>
              </w:rPr>
            </w:pPr>
            <w:r>
              <w:rPr>
                <w:rFonts w:ascii="Arial" w:cs="Arial" w:eastAsia="Arial" w:hAnsi="Arial"/>
                <w:sz w:val="14"/>
                <w:szCs w:val="14"/>
                <w:color w:val="auto"/>
                <w:w w:val="96"/>
              </w:rPr>
              <w:t>Subject to the Acts, a resolution may only be put to a vote at a general meeting of the Company if:</w:t>
            </w:r>
          </w:p>
        </w:tc>
      </w:tr>
    </w:tbl>
    <w:p>
      <w:pPr>
        <w:spacing w:after="0" w:line="229" w:lineRule="exact"/>
        <w:rPr>
          <w:sz w:val="20"/>
          <w:szCs w:val="20"/>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it is specified in the notice of the meeting;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it is otherwise properly brought before the meeting by the chairman of the meeting or by or at the direction of the Board;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it is proposed at the direction of a court of competent jurisdiction; or</w:t>
      </w:r>
    </w:p>
    <w:p>
      <w:pPr>
        <w:spacing w:after="0" w:line="230" w:lineRule="exact"/>
        <w:rPr>
          <w:rFonts w:ascii="Arial" w:cs="Arial" w:eastAsia="Arial" w:hAnsi="Arial"/>
          <w:sz w:val="14"/>
          <w:szCs w:val="14"/>
          <w:color w:val="auto"/>
        </w:rPr>
      </w:pPr>
    </w:p>
    <w:p>
      <w:pPr>
        <w:ind w:left="1860" w:right="560" w:hanging="886"/>
        <w:spacing w:after="0" w:line="231" w:lineRule="auto"/>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in the case of an annual general meeting, it is proposed in accordance with articles 68 to 72;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it is proposed in accordance with article 116; or</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the chairman of the meeting in his discretion decides that the resolution may properly be regarded as within the scope of the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229" w:lineRule="exact"/>
        <w:rPr>
          <w:rFonts w:ascii="Arial" w:cs="Arial" w:eastAsia="Arial" w:hAnsi="Arial"/>
          <w:sz w:val="14"/>
          <w:szCs w:val="14"/>
          <w:color w:val="auto"/>
        </w:rPr>
      </w:pPr>
    </w:p>
    <w:p>
      <w:pPr>
        <w:ind w:left="980" w:hanging="776"/>
        <w:spacing w:after="0" w:line="300" w:lineRule="auto"/>
        <w:tabs>
          <w:tab w:leader="none" w:pos="9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95" w:lineRule="exact"/>
        <w:rPr>
          <w:rFonts w:ascii="Arial" w:cs="Arial" w:eastAsia="Arial" w:hAnsi="Arial"/>
          <w:sz w:val="12"/>
          <w:szCs w:val="12"/>
          <w:color w:val="auto"/>
        </w:rPr>
      </w:pPr>
    </w:p>
    <w:p>
      <w:pPr>
        <w:ind w:left="980" w:right="160" w:hanging="776"/>
        <w:spacing w:after="0" w:line="231"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230" w:lineRule="exact"/>
        <w:rPr>
          <w:rFonts w:ascii="Arial" w:cs="Arial" w:eastAsia="Arial" w:hAnsi="Arial"/>
          <w:sz w:val="14"/>
          <w:szCs w:val="14"/>
          <w:color w:val="auto"/>
        </w:rPr>
      </w:pPr>
    </w:p>
    <w:p>
      <w:pPr>
        <w:ind w:left="980" w:right="20" w:hanging="776"/>
        <w:spacing w:after="0" w:line="226"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230" w:lineRule="exact"/>
        <w:rPr>
          <w:rFonts w:ascii="Arial" w:cs="Arial" w:eastAsia="Arial" w:hAnsi="Arial"/>
          <w:sz w:val="14"/>
          <w:szCs w:val="14"/>
          <w:color w:val="auto"/>
        </w:rPr>
      </w:pPr>
    </w:p>
    <w:p>
      <w:pPr>
        <w:ind w:left="980" w:hanging="776"/>
        <w:spacing w:after="0" w:line="225" w:lineRule="auto"/>
        <w:tabs>
          <w:tab w:leader="none" w:pos="98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7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66.</w:t>
            </w:r>
          </w:p>
        </w:tc>
        <w:tc>
          <w:tcPr>
            <w:tcW w:w="10400" w:type="dxa"/>
            <w:vAlign w:val="bottom"/>
          </w:tcPr>
          <w:p>
            <w:pPr>
              <w:spacing w:after="0"/>
              <w:rPr>
                <w:sz w:val="14"/>
                <w:szCs w:val="14"/>
                <w:color w:val="auto"/>
              </w:rPr>
            </w:pP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The Board may make such arrangements as it considers appropriate to enable the members to participate in any general meeting by means of two-way, audio-visual</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electronic facilities, so as to permit all persons participating in the meeting to communicate with each other simultaneously and instantaneously, and participation in such a</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meeting shall constitute presence in person at such meeting.</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66.2</w:t>
            </w:r>
          </w:p>
        </w:tc>
        <w:tc>
          <w:tcPr>
            <w:tcW w:w="10400" w:type="dxa"/>
            <w:vAlign w:val="bottom"/>
          </w:tcPr>
          <w:p>
            <w:pPr>
              <w:ind w:left="260"/>
              <w:spacing w:after="0"/>
              <w:rPr>
                <w:sz w:val="20"/>
                <w:szCs w:val="20"/>
                <w:color w:val="auto"/>
              </w:rPr>
            </w:pPr>
            <w:r>
              <w:rPr>
                <w:rFonts w:ascii="Arial" w:cs="Arial" w:eastAsia="Arial" w:hAnsi="Arial"/>
                <w:sz w:val="14"/>
                <w:szCs w:val="14"/>
                <w:color w:val="auto"/>
                <w:w w:val="96"/>
              </w:rPr>
              <w:t>The Board may, and at any general meeting or meeting of a class of members, the chairman of such meeting may make any arrangement and impose any requirement as</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may be reasonable for the purpose of verifying the identity of members participating by way of electronic facilities, as described in article 66.1.</w:t>
            </w:r>
          </w:p>
        </w:tc>
      </w:tr>
    </w:tbl>
    <w:p>
      <w:pPr>
        <w:spacing w:after="0" w:line="229" w:lineRule="exact"/>
        <w:rPr>
          <w:sz w:val="20"/>
          <w:szCs w:val="20"/>
          <w:color w:val="auto"/>
        </w:rPr>
      </w:pPr>
    </w:p>
    <w:p>
      <w:pPr>
        <w:ind w:left="980" w:right="20" w:hanging="776"/>
        <w:spacing w:after="0" w:line="225" w:lineRule="auto"/>
        <w:tabs>
          <w:tab w:leader="none" w:pos="98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67.1</w:t>
            </w:r>
          </w:p>
        </w:tc>
        <w:tc>
          <w:tcPr>
            <w:tcW w:w="10360" w:type="dxa"/>
            <w:vAlign w:val="bottom"/>
          </w:tcPr>
          <w:p>
            <w:pPr>
              <w:ind w:left="260"/>
              <w:spacing w:after="0"/>
              <w:rPr>
                <w:sz w:val="20"/>
                <w:szCs w:val="20"/>
                <w:color w:val="auto"/>
              </w:rPr>
            </w:pPr>
            <w:r>
              <w:rPr>
                <w:rFonts w:ascii="Arial" w:cs="Arial" w:eastAsia="Arial" w:hAnsi="Arial"/>
                <w:sz w:val="14"/>
                <w:szCs w:val="14"/>
                <w:color w:val="auto"/>
                <w:w w:val="98"/>
              </w:rPr>
              <w:t>For the purposes of any written resolution under this article 67, the date of the resolution in writing is the date when the resolution is signed by, or on behalf of, the last</w:t>
            </w:r>
          </w:p>
        </w:tc>
      </w:tr>
      <w:tr>
        <w:trPr>
          <w:trHeight w:val="149"/>
        </w:trPr>
        <w:tc>
          <w:tcPr>
            <w:tcW w:w="520" w:type="dxa"/>
            <w:vAlign w:val="bottom"/>
          </w:tcPr>
          <w:p>
            <w:pPr>
              <w:spacing w:after="0"/>
              <w:rPr>
                <w:sz w:val="12"/>
                <w:szCs w:val="12"/>
                <w:color w:val="auto"/>
              </w:rPr>
            </w:pPr>
          </w:p>
        </w:tc>
        <w:tc>
          <w:tcPr>
            <w:tcW w:w="10360" w:type="dxa"/>
            <w:vAlign w:val="bottom"/>
          </w:tcPr>
          <w:p>
            <w:pPr>
              <w:ind w:left="260"/>
              <w:spacing w:after="0" w:line="149" w:lineRule="exact"/>
              <w:rPr>
                <w:sz w:val="20"/>
                <w:szCs w:val="20"/>
                <w:color w:val="auto"/>
              </w:rPr>
            </w:pPr>
            <w:r>
              <w:rPr>
                <w:rFonts w:ascii="Arial" w:cs="Arial" w:eastAsia="Arial" w:hAnsi="Arial"/>
                <w:sz w:val="14"/>
                <w:szCs w:val="14"/>
                <w:color w:val="auto"/>
                <w:w w:val="96"/>
              </w:rPr>
              <w:t>member to sign and any reference in any enactment to the date of passing of a resolution is, in relation to a resolution in writing made in accordance with this article 67, a</w:t>
            </w:r>
          </w:p>
        </w:tc>
      </w:tr>
      <w:tr>
        <w:trPr>
          <w:trHeight w:val="162"/>
        </w:trPr>
        <w:tc>
          <w:tcPr>
            <w:tcW w:w="520" w:type="dxa"/>
            <w:vAlign w:val="bottom"/>
          </w:tcPr>
          <w:p>
            <w:pPr>
              <w:spacing w:after="0"/>
              <w:rPr>
                <w:sz w:val="14"/>
                <w:szCs w:val="14"/>
                <w:color w:val="auto"/>
              </w:rPr>
            </w:pPr>
          </w:p>
        </w:tc>
        <w:tc>
          <w:tcPr>
            <w:tcW w:w="10360" w:type="dxa"/>
            <w:vAlign w:val="bottom"/>
          </w:tcPr>
          <w:p>
            <w:pPr>
              <w:ind w:left="260"/>
              <w:spacing w:after="0"/>
              <w:rPr>
                <w:sz w:val="20"/>
                <w:szCs w:val="20"/>
                <w:color w:val="auto"/>
              </w:rPr>
            </w:pPr>
            <w:r>
              <w:rPr>
                <w:rFonts w:ascii="Arial" w:cs="Arial" w:eastAsia="Arial" w:hAnsi="Arial"/>
                <w:sz w:val="14"/>
                <w:szCs w:val="14"/>
                <w:color w:val="auto"/>
              </w:rPr>
              <w:t>reference to such date.</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67.2</w:t>
            </w:r>
          </w:p>
        </w:tc>
        <w:tc>
          <w:tcPr>
            <w:tcW w:w="10360" w:type="dxa"/>
            <w:vAlign w:val="bottom"/>
          </w:tcPr>
          <w:p>
            <w:pPr>
              <w:ind w:left="260"/>
              <w:spacing w:after="0"/>
              <w:rPr>
                <w:sz w:val="20"/>
                <w:szCs w:val="20"/>
                <w:color w:val="auto"/>
              </w:rPr>
            </w:pPr>
            <w:r>
              <w:rPr>
                <w:rFonts w:ascii="Arial" w:cs="Arial" w:eastAsia="Arial" w:hAnsi="Arial"/>
                <w:sz w:val="14"/>
                <w:szCs w:val="14"/>
                <w:color w:val="auto"/>
              </w:rPr>
              <w:t>A resolution in writing made in accordance with this article 67 is as valid as if it had been passed by the Company in general meeting.</w:t>
            </w:r>
          </w:p>
        </w:tc>
      </w:tr>
      <w:tr>
        <w:trPr>
          <w:trHeight w:val="365"/>
        </w:trPr>
        <w:tc>
          <w:tcPr>
            <w:tcW w:w="520" w:type="dxa"/>
            <w:vAlign w:val="bottom"/>
          </w:tcPr>
          <w:p>
            <w:pPr>
              <w:spacing w:after="0"/>
              <w:rPr>
                <w:sz w:val="24"/>
                <w:szCs w:val="24"/>
                <w:color w:val="auto"/>
              </w:rPr>
            </w:pPr>
          </w:p>
        </w:tc>
        <w:tc>
          <w:tcPr>
            <w:tcW w:w="10360" w:type="dxa"/>
            <w:vAlign w:val="bottom"/>
          </w:tcPr>
          <w:p>
            <w:pPr>
              <w:ind w:left="2320"/>
              <w:spacing w:after="0"/>
              <w:rPr>
                <w:sz w:val="20"/>
                <w:szCs w:val="20"/>
                <w:color w:val="auto"/>
              </w:rPr>
            </w:pPr>
            <w:r>
              <w:rPr>
                <w:rFonts w:ascii="Arial" w:cs="Arial" w:eastAsia="Arial" w:hAnsi="Arial"/>
                <w:sz w:val="14"/>
                <w:szCs w:val="14"/>
                <w:b w:val="1"/>
                <w:bCs w:val="1"/>
                <w:color w:val="auto"/>
              </w:rPr>
              <w:t>Advance notice of member business and nominations for Annual General Meetings</w:t>
            </w:r>
          </w:p>
        </w:tc>
      </w:tr>
    </w:tbl>
    <w:p>
      <w:pPr>
        <w:spacing w:after="0" w:line="229" w:lineRule="exact"/>
        <w:rPr>
          <w:sz w:val="20"/>
          <w:szCs w:val="20"/>
          <w:color w:val="auto"/>
        </w:rPr>
      </w:pPr>
    </w:p>
    <w:p>
      <w:pPr>
        <w:ind w:left="980" w:right="220" w:hanging="776"/>
        <w:spacing w:after="0" w:line="231" w:lineRule="auto"/>
        <w:tabs>
          <w:tab w:leader="none" w:pos="98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230" w:lineRule="exact"/>
        <w:rPr>
          <w:rFonts w:ascii="Arial" w:cs="Arial" w:eastAsia="Arial" w:hAnsi="Arial"/>
          <w:sz w:val="14"/>
          <w:szCs w:val="14"/>
          <w:color w:val="auto"/>
        </w:rPr>
      </w:pPr>
    </w:p>
    <w:p>
      <w:pPr>
        <w:ind w:left="980" w:right="60" w:hanging="776"/>
        <w:spacing w:after="0" w:line="264" w:lineRule="auto"/>
        <w:tabs>
          <w:tab w:leader="none" w:pos="9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Company’s annual general meeting for the prior year (and in the case of the Company’s first annual general meeting, references to the preceding year’s annual general meeting shall be to the annual meeting of Weatherford International Ltd. in that preceding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w:t>
      </w:r>
      <w:r>
        <w:rPr>
          <w:rFonts w:ascii="Arial" w:cs="Arial" w:eastAsia="Arial" w:hAnsi="Arial"/>
          <w:sz w:val="10"/>
          <w:szCs w:val="10"/>
          <w:color w:val="auto"/>
        </w:rPr>
        <w:t>th</w:t>
      </w:r>
      <w:r>
        <w:rPr>
          <w:rFonts w:ascii="Arial" w:cs="Arial" w:eastAsia="Arial" w:hAnsi="Arial"/>
          <w:sz w:val="12"/>
          <w:szCs w:val="12"/>
          <w:color w:val="auto"/>
        </w:rPr>
        <w:t xml:space="preserve"> calendar day after the date on which public announcement or other notification to the members of the date of the contemplated annual general meeting is first made by the Company. In no event shall the public announcement of an adjournment or postponement of an annual general meeting commence a new time period (or extend any time period) for the giving of a member’s notice as described in articles 70 and 71.</w:t>
      </w:r>
    </w:p>
    <w:p>
      <w:pPr>
        <w:spacing w:after="0" w:line="369" w:lineRule="exact"/>
        <w:rPr>
          <w:rFonts w:ascii="Arial" w:cs="Arial" w:eastAsia="Arial" w:hAnsi="Arial"/>
          <w:sz w:val="12"/>
          <w:szCs w:val="12"/>
          <w:color w:val="auto"/>
        </w:rPr>
      </w:pPr>
    </w:p>
    <w:p>
      <w:pPr>
        <w:ind w:left="980" w:hanging="776"/>
        <w:spacing w:after="0"/>
        <w:tabs>
          <w:tab w:leader="none" w:pos="98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A member’s notice to the Secretary must set forth as to each matter such member proposes to bring before the meeting:</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70.1</w:t>
            </w: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a brief description of the business desired to be brought before the meeting, the text of the proposal or business (including the text of any resolutions proposed for</w:t>
            </w:r>
          </w:p>
        </w:tc>
      </w:tr>
      <w:tr>
        <w:trPr>
          <w:trHeight w:val="149"/>
        </w:trPr>
        <w:tc>
          <w:tcPr>
            <w:tcW w:w="520" w:type="dxa"/>
            <w:vAlign w:val="bottom"/>
          </w:tcPr>
          <w:p>
            <w:pPr>
              <w:spacing w:after="0"/>
              <w:rPr>
                <w:sz w:val="12"/>
                <w:szCs w:val="12"/>
                <w:color w:val="auto"/>
              </w:rPr>
            </w:pPr>
          </w:p>
        </w:tc>
        <w:tc>
          <w:tcPr>
            <w:tcW w:w="104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consideration and if such business includes a proposal to amend the articles of the Company, the text of the proposed amendment) and the reasons for conducting such</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business at the meeting;</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70.2</w:t>
            </w: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as to the member giving the notice:</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68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clauses (b) and (c) below;</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68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Person with respect to the Company’s securities; (B) a description of any agreement, arrangement or understanding in connection with the proposal of such</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business between or among such member and any Member Associated Person, any of their respective affiliates or associates, and any others (including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their names) acting as a “group” (as such term is used in Rule 13d-5(b) under the Exchange Act) with any of the foregoing; (C) a description of any</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agreement, arrangement or understanding (including, regardless of the form of settlement, any derivative, long or short positions, profit interests, options,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warrants, convertible securities, stock appreciation or similar rights, hedging transactions, and borrowed or loaned securities) that has been entered into, the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5"/>
              </w:rPr>
              <w:t>effect or intent of which is to mitigate loss to, manage risk or benefit from share price changes for, or increase or decrease the voting power of, such member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9"/>
              </w:rPr>
              <w:t>or such Member Associated Person, with respect to shares of the Company; (D) a representation that the member is a Holder of not less than 860,000</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9"/>
              </w:rPr>
              <w:t>ordinary shares of the Company (either of record or beneficially) entitled to vote at such meeting and that the member intends to appear in person or by</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8"/>
              </w:rPr>
              <w:t>proxy at the meeting to propose such business; (E) a representation whether the member or the Member Associated Person, if any, intends or is part of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group which intends (x) to deliver a proxy statement and / or form of proxy to Holders of at least the percentage of the Company’s outstanding shares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required to adopt the proposal and / or (y) otherwise to solicit proxies from members in support of such proposal. If requested by the Company, the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w w:val="96"/>
              </w:rPr>
              <w:t>information required under clauses (A), (B) and (C) of the preceding sentence shall be supplemented by such member and any Member Associated Person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Pr>
          <w:p>
            <w:pPr>
              <w:ind w:left="360"/>
              <w:spacing w:after="0" w:line="149" w:lineRule="exact"/>
              <w:rPr>
                <w:sz w:val="20"/>
                <w:szCs w:val="20"/>
                <w:color w:val="auto"/>
              </w:rPr>
            </w:pPr>
            <w:r>
              <w:rPr>
                <w:rFonts w:ascii="Arial" w:cs="Arial" w:eastAsia="Arial" w:hAnsi="Arial"/>
                <w:sz w:val="14"/>
                <w:szCs w:val="14"/>
                <w:color w:val="auto"/>
              </w:rPr>
              <w:t>not later than ten days after the later of the record date for the meeting or the date notice of the record date is first publicly disclosed to disclose such</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80" w:type="dxa"/>
            <w:vAlign w:val="bottom"/>
          </w:tcPr>
          <w:p>
            <w:pPr>
              <w:ind w:left="360"/>
              <w:spacing w:after="0"/>
              <w:rPr>
                <w:sz w:val="20"/>
                <w:szCs w:val="20"/>
                <w:color w:val="auto"/>
              </w:rPr>
            </w:pPr>
            <w:r>
              <w:rPr>
                <w:rFonts w:ascii="Arial" w:cs="Arial" w:eastAsia="Arial" w:hAnsi="Arial"/>
                <w:sz w:val="14"/>
                <w:szCs w:val="14"/>
                <w:color w:val="auto"/>
              </w:rPr>
              <w:t>information as of the record date;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680" w:type="dxa"/>
            <w:vAlign w:val="bottom"/>
          </w:tcPr>
          <w:p>
            <w:pPr>
              <w:ind w:left="360"/>
              <w:spacing w:after="0"/>
              <w:rPr>
                <w:sz w:val="20"/>
                <w:szCs w:val="20"/>
                <w:color w:val="auto"/>
              </w:rPr>
            </w:pPr>
            <w:r>
              <w:rPr>
                <w:rFonts w:ascii="Arial" w:cs="Arial" w:eastAsia="Arial" w:hAnsi="Arial"/>
                <w:sz w:val="14"/>
                <w:szCs w:val="14"/>
                <w:color w:val="auto"/>
              </w:rPr>
              <w:t>any material interest of the member or any Member Associated Person in such business.</w:t>
            </w:r>
          </w:p>
        </w:tc>
      </w:tr>
      <w:tr>
        <w:trPr>
          <w:trHeight w:val="370"/>
        </w:trPr>
        <w:tc>
          <w:tcPr>
            <w:tcW w:w="520" w:type="dxa"/>
            <w:vAlign w:val="bottom"/>
          </w:tcPr>
          <w:p>
            <w:pPr>
              <w:spacing w:after="0"/>
              <w:rPr>
                <w:sz w:val="24"/>
                <w:szCs w:val="2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The chairman of the meeting shall have the power and duty to determine whether any business proposed to be brought before the meeting was made or</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proposed in accordance with the procedures set forth in this article, and if any proposed business is not in compliance with this article, to declare that such</w:t>
            </w:r>
          </w:p>
        </w:tc>
      </w:tr>
      <w:tr>
        <w:trPr>
          <w:trHeight w:val="16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defective proposal shall be disregarded. The chairman of such meeting shall, if the facts reasonably warrant, refuse to acknowledge that a proposal that is not</w:t>
            </w:r>
          </w:p>
        </w:tc>
      </w:tr>
      <w:tr>
        <w:trPr>
          <w:trHeight w:val="172"/>
        </w:trPr>
        <w:tc>
          <w:tcPr>
            <w:tcW w:w="520" w:type="dxa"/>
            <w:vAlign w:val="bottom"/>
          </w:tcPr>
          <w:p>
            <w:pPr>
              <w:spacing w:after="0"/>
              <w:rPr>
                <w:sz w:val="14"/>
                <w:szCs w:val="14"/>
                <w:color w:val="auto"/>
              </w:rPr>
            </w:pPr>
          </w:p>
        </w:tc>
        <w:tc>
          <w:tcPr>
            <w:tcW w:w="10460" w:type="dxa"/>
            <w:vAlign w:val="bottom"/>
            <w:gridSpan w:val="2"/>
          </w:tcPr>
          <w:p>
            <w:pPr>
              <w:ind w:left="260"/>
              <w:spacing w:after="0"/>
              <w:rPr>
                <w:sz w:val="20"/>
                <w:szCs w:val="20"/>
                <w:color w:val="auto"/>
              </w:rPr>
            </w:pPr>
            <w:r>
              <w:rPr>
                <w:rFonts w:ascii="Arial" w:cs="Arial" w:eastAsia="Arial" w:hAnsi="Arial"/>
                <w:sz w:val="14"/>
                <w:szCs w:val="14"/>
                <w:color w:val="auto"/>
              </w:rPr>
              <w:t>made in compliance with the procedure specified in this article, and any such proposal not properly brought before the meeting, be considered.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B-15</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71.</w:t>
            </w:r>
          </w:p>
        </w:tc>
        <w:tc>
          <w:tcPr>
            <w:tcW w:w="78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392"/>
        </w:trPr>
        <w:tc>
          <w:tcPr>
            <w:tcW w:w="520" w:type="dxa"/>
            <w:vAlign w:val="bottom"/>
          </w:tcPr>
          <w:p>
            <w:pPr>
              <w:spacing w:after="0"/>
              <w:rPr>
                <w:sz w:val="20"/>
                <w:szCs w:val="20"/>
                <w:color w:val="auto"/>
              </w:rPr>
            </w:pPr>
            <w:r>
              <w:rPr>
                <w:rFonts w:ascii="Arial" w:cs="Arial" w:eastAsia="Arial" w:hAnsi="Arial"/>
                <w:sz w:val="14"/>
                <w:szCs w:val="14"/>
                <w:color w:val="auto"/>
              </w:rPr>
              <w:t>71.1</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A member’s notice to the Secretary must set forth:</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(a)</w:t>
            </w:r>
          </w:p>
        </w:tc>
        <w:tc>
          <w:tcPr>
            <w:tcW w:w="9700" w:type="dxa"/>
            <w:vAlign w:val="bottom"/>
          </w:tcPr>
          <w:p>
            <w:pPr>
              <w:ind w:left="360"/>
              <w:spacing w:after="0"/>
              <w:rPr>
                <w:sz w:val="20"/>
                <w:szCs w:val="20"/>
                <w:color w:val="auto"/>
              </w:rPr>
            </w:pPr>
            <w:r>
              <w:rPr>
                <w:rFonts w:ascii="Arial" w:cs="Arial" w:eastAsia="Arial" w:hAnsi="Arial"/>
                <w:sz w:val="14"/>
                <w:szCs w:val="14"/>
                <w:color w:val="auto"/>
                <w:w w:val="97"/>
              </w:rPr>
              <w:t>as to each person whom the member proposes to nominate for election as a Director, all information relating to such person that is required to be disclosed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in solicitations of proxies for election of Directors in an election contest, or is otherwise required, in each case pursuant to Regulation 14A under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Exchange Act (including such person’s written consent to being named in the proxy statement as nominee and to serving as director if elected); and</w:t>
            </w:r>
          </w:p>
        </w:tc>
      </w:tr>
      <w:tr>
        <w:trPr>
          <w:trHeight w:val="392"/>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(b)</w:t>
            </w:r>
          </w:p>
        </w:tc>
        <w:tc>
          <w:tcPr>
            <w:tcW w:w="9700" w:type="dxa"/>
            <w:vAlign w:val="bottom"/>
          </w:tcPr>
          <w:p>
            <w:pPr>
              <w:ind w:left="360"/>
              <w:spacing w:after="0"/>
              <w:rPr>
                <w:sz w:val="20"/>
                <w:szCs w:val="20"/>
                <w:color w:val="auto"/>
              </w:rPr>
            </w:pPr>
            <w:r>
              <w:rPr>
                <w:rFonts w:ascii="Arial" w:cs="Arial" w:eastAsia="Arial" w:hAnsi="Arial"/>
                <w:sz w:val="14"/>
                <w:szCs w:val="14"/>
                <w:color w:val="auto"/>
              </w:rPr>
              <w:t>the name and address, as they appear in the Register, of such member and any Member Associated Person covered by clause (b) below; and</w:t>
            </w:r>
          </w:p>
        </w:tc>
      </w:tr>
      <w:tr>
        <w:trPr>
          <w:trHeight w:val="378"/>
        </w:trPr>
        <w:tc>
          <w:tcPr>
            <w:tcW w:w="5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(c)</w:t>
            </w:r>
          </w:p>
        </w:tc>
        <w:tc>
          <w:tcPr>
            <w:tcW w:w="9700" w:type="dxa"/>
            <w:vAlign w:val="bottom"/>
          </w:tcPr>
          <w:p>
            <w:pPr>
              <w:ind w:left="360"/>
              <w:spacing w:after="0"/>
              <w:rPr>
                <w:sz w:val="20"/>
                <w:szCs w:val="20"/>
                <w:color w:val="auto"/>
              </w:rPr>
            </w:pPr>
            <w:r>
              <w:rPr>
                <w:rFonts w:ascii="Arial" w:cs="Arial" w:eastAsia="Arial" w:hAnsi="Arial"/>
                <w:sz w:val="14"/>
                <w:szCs w:val="14"/>
                <w:color w:val="auto"/>
              </w:rPr>
              <w:t>(A) the class and number of shares of the Company which are held of record or are beneficially owned by the member and by any Member Associated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Person with respect to the Company’s securities; (B) a description of any agreement, arrangement or understanding in connection with the nomination</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between or among such member and any Member Associated Person, any of their respective affiliates or associates, and any others (including their names)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acting as a “group” (as such term is used in Rule I3d-5(b) under the Exchange Act) with any of the foregoing; (C) a description of any agreement,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arrangement or understanding (including, regardless of the form of settlement, any derivative, long or short positions, profit interests, options, warrants,</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convertible securities, stock appreciation or similar rights, hedging transactions, and borrowed or loaned securities) that has been entered into as of the date</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of the member’s notice by, or on behalf of, such member and any Member Associated Person, the effect or intent of which is to mitigate loss to, manage risk</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9"/>
              </w:rPr>
              <w:t>or benefit from share price changes for, or increase or decrease the voting power of, such member or such Member Associated Person, with respect to</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shares of the Company; (D) a representation that the member is a Holder of not less than 860,000 ordinary shares of the Company (either of record or</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7"/>
              </w:rPr>
              <w:t>beneficially) entitled to vote at such meeting and that the member intends to appear in person or by proxy at the meeting to propose such nomination; (E) a</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6"/>
              </w:rPr>
              <w:t>representation whether the member or the Member Associated Person, if any, intends or is part of a group which intends (x) to deliver a proxy statement and</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 or form of proxy to Holders of at least the percentage of the Company’s outstanding shares required to adopt the proposal and / or (y) otherwise to solicit</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w w:val="98"/>
              </w:rPr>
              <w:t>proxies from members in support of such proposal. If requested by the Company, the information required under clauses (A), (B) and (C) of the preceding</w:t>
            </w:r>
          </w:p>
        </w:tc>
      </w:tr>
      <w:tr>
        <w:trPr>
          <w:trHeight w:val="149"/>
        </w:trPr>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Pr>
          <w:p>
            <w:pPr>
              <w:ind w:left="360"/>
              <w:spacing w:after="0" w:line="149" w:lineRule="exact"/>
              <w:rPr>
                <w:sz w:val="20"/>
                <w:szCs w:val="20"/>
                <w:color w:val="auto"/>
              </w:rPr>
            </w:pPr>
            <w:r>
              <w:rPr>
                <w:rFonts w:ascii="Arial" w:cs="Arial" w:eastAsia="Arial" w:hAnsi="Arial"/>
                <w:sz w:val="14"/>
                <w:szCs w:val="14"/>
                <w:color w:val="auto"/>
              </w:rPr>
              <w:t>sentence shall be supplemented by such member and any Member Associated Person not later than ten days after the later of the record date for the</w:t>
            </w:r>
          </w:p>
        </w:tc>
      </w:tr>
      <w:tr>
        <w:trPr>
          <w:trHeight w:val="162"/>
        </w:trPr>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700" w:type="dxa"/>
            <w:vAlign w:val="bottom"/>
          </w:tcPr>
          <w:p>
            <w:pPr>
              <w:ind w:left="360"/>
              <w:spacing w:after="0"/>
              <w:rPr>
                <w:sz w:val="20"/>
                <w:szCs w:val="20"/>
                <w:color w:val="auto"/>
              </w:rPr>
            </w:pPr>
            <w:r>
              <w:rPr>
                <w:rFonts w:ascii="Arial" w:cs="Arial" w:eastAsia="Arial" w:hAnsi="Arial"/>
                <w:sz w:val="14"/>
                <w:szCs w:val="14"/>
                <w:color w:val="auto"/>
              </w:rPr>
              <w:t>meeting or the date notice of the record date is first publicly disclosed to disclose such information as of the record date.</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71.2</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The Company may require any proposed nominee to furnish such other information as it may reasonably require, including the completion of any questionnaires to</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8"/>
              </w:rPr>
              <w:t>determine the eligibility of such proposed nominee to serve as a Director of the Company and the impact that such service would have on the ability of the Company to</w:t>
            </w:r>
          </w:p>
        </w:tc>
      </w:tr>
      <w:tr>
        <w:trPr>
          <w:trHeight w:val="162"/>
        </w:trPr>
        <w:tc>
          <w:tcPr>
            <w:tcW w:w="520" w:type="dxa"/>
            <w:vAlign w:val="bottom"/>
          </w:tcPr>
          <w:p>
            <w:pPr>
              <w:spacing w:after="0"/>
              <w:rPr>
                <w:sz w:val="14"/>
                <w:szCs w:val="14"/>
                <w:color w:val="auto"/>
              </w:rPr>
            </w:pP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rPr>
              <w:t>satisfy the requirements of laws, rules, regulations and listing standards applicable to the Company or its Directors.</w:t>
            </w:r>
          </w:p>
        </w:tc>
      </w:tr>
      <w:tr>
        <w:trPr>
          <w:trHeight w:val="378"/>
        </w:trPr>
        <w:tc>
          <w:tcPr>
            <w:tcW w:w="520" w:type="dxa"/>
            <w:vAlign w:val="bottom"/>
          </w:tcPr>
          <w:p>
            <w:pPr>
              <w:spacing w:after="0"/>
              <w:rPr>
                <w:sz w:val="20"/>
                <w:szCs w:val="20"/>
                <w:color w:val="auto"/>
              </w:rPr>
            </w:pPr>
            <w:r>
              <w:rPr>
                <w:rFonts w:ascii="Arial" w:cs="Arial" w:eastAsia="Arial" w:hAnsi="Arial"/>
                <w:sz w:val="14"/>
                <w:szCs w:val="14"/>
                <w:color w:val="auto"/>
              </w:rPr>
              <w:t>71.3</w:t>
            </w:r>
          </w:p>
        </w:tc>
        <w:tc>
          <w:tcPr>
            <w:tcW w:w="10480" w:type="dxa"/>
            <w:vAlign w:val="bottom"/>
            <w:gridSpan w:val="2"/>
          </w:tcPr>
          <w:p>
            <w:pPr>
              <w:ind w:left="260"/>
              <w:spacing w:after="0"/>
              <w:rPr>
                <w:sz w:val="20"/>
                <w:szCs w:val="20"/>
                <w:color w:val="auto"/>
              </w:rPr>
            </w:pPr>
            <w:r>
              <w:rPr>
                <w:rFonts w:ascii="Arial" w:cs="Arial" w:eastAsia="Arial" w:hAnsi="Arial"/>
                <w:sz w:val="14"/>
                <w:szCs w:val="14"/>
                <w:color w:val="auto"/>
                <w:w w:val="96"/>
              </w:rPr>
              <w:t>The chairman of the meeting shall have the power and duty to determine whether a nomination to be brought before the meeting was made or proposed in accordance with</w:t>
            </w:r>
          </w:p>
        </w:tc>
      </w:tr>
      <w:tr>
        <w:trPr>
          <w:trHeight w:val="149"/>
        </w:trPr>
        <w:tc>
          <w:tcPr>
            <w:tcW w:w="520" w:type="dxa"/>
            <w:vAlign w:val="bottom"/>
          </w:tcPr>
          <w:p>
            <w:pPr>
              <w:spacing w:after="0"/>
              <w:rPr>
                <w:sz w:val="12"/>
                <w:szCs w:val="12"/>
                <w:color w:val="auto"/>
              </w:rPr>
            </w:pPr>
          </w:p>
        </w:tc>
        <w:tc>
          <w:tcPr>
            <w:tcW w:w="104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the procedures set forth in this article, and if any proposed nomination is not in compliance with this article, to declare that such defective nomination shall be disregarded.</w:t>
            </w:r>
          </w:p>
        </w:tc>
      </w:tr>
    </w:tbl>
    <w:p>
      <w:pPr>
        <w:ind w:left="980" w:right="40"/>
        <w:spacing w:after="0" w:line="231" w:lineRule="auto"/>
        <w:rPr>
          <w:sz w:val="20"/>
          <w:szCs w:val="20"/>
          <w:color w:val="auto"/>
        </w:rPr>
      </w:pPr>
      <w:r>
        <w:rPr>
          <w:rFonts w:ascii="Arial" w:cs="Arial" w:eastAsia="Arial" w:hAnsi="Arial"/>
          <w:sz w:val="14"/>
          <w:szCs w:val="14"/>
          <w:color w:val="auto"/>
        </w:rPr>
        <w:t>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230" w:lineRule="exact"/>
        <w:rPr>
          <w:sz w:val="20"/>
          <w:szCs w:val="20"/>
          <w:color w:val="auto"/>
        </w:rPr>
      </w:pPr>
    </w:p>
    <w:p>
      <w:pPr>
        <w:ind w:left="980" w:right="40" w:hanging="776"/>
        <w:spacing w:after="0" w:line="224" w:lineRule="auto"/>
        <w:tabs>
          <w:tab w:leader="none" w:pos="9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232" w:lineRule="exact"/>
        <w:rPr>
          <w:rFonts w:ascii="Arial" w:cs="Arial" w:eastAsia="Arial" w:hAnsi="Arial"/>
          <w:sz w:val="14"/>
          <w:szCs w:val="14"/>
          <w:color w:val="auto"/>
        </w:rPr>
      </w:pPr>
    </w:p>
    <w:p>
      <w:pPr>
        <w:ind w:left="980" w:right="100" w:hanging="776"/>
        <w:spacing w:after="0" w:line="224" w:lineRule="auto"/>
        <w:tabs>
          <w:tab w:leader="none" w:pos="98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In addition, if the member intends to solicit proxies from the members of the Company, such member shall notify the Company of this intent in accordance with Rule 14a-4 and / or Rule 14a-8 under the Exchange Act or any successor rules.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Voting, proxies and corporate representatives</w:t>
      </w:r>
    </w:p>
    <w:p>
      <w:pPr>
        <w:spacing w:after="0" w:line="247" w:lineRule="exact"/>
        <w:rPr>
          <w:sz w:val="20"/>
          <w:szCs w:val="20"/>
          <w:color w:val="auto"/>
        </w:rPr>
      </w:pPr>
    </w:p>
    <w:p>
      <w:pPr>
        <w:ind w:left="980" w:right="36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Except where a greater majority is required by the Acts or these articles, any question, business or resolution proposed at any general meeting shall be decided by an Ordinary Resolution.</w:t>
      </w:r>
    </w:p>
    <w:p>
      <w:pPr>
        <w:spacing w:after="0" w:line="230" w:lineRule="exact"/>
        <w:rPr>
          <w:rFonts w:ascii="Arial" w:cs="Arial" w:eastAsia="Arial" w:hAnsi="Arial"/>
          <w:sz w:val="14"/>
          <w:szCs w:val="14"/>
          <w:color w:val="auto"/>
        </w:rPr>
      </w:pPr>
    </w:p>
    <w:p>
      <w:pPr>
        <w:ind w:left="980" w:right="22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230" w:lineRule="exact"/>
        <w:rPr>
          <w:rFonts w:ascii="Arial" w:cs="Arial" w:eastAsia="Arial" w:hAnsi="Arial"/>
          <w:sz w:val="14"/>
          <w:szCs w:val="14"/>
          <w:color w:val="auto"/>
        </w:rPr>
      </w:pPr>
    </w:p>
    <w:p>
      <w:pPr>
        <w:ind w:left="980" w:right="340" w:hanging="776"/>
        <w:spacing w:after="0" w:line="231" w:lineRule="auto"/>
        <w:tabs>
          <w:tab w:leader="none" w:pos="98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At any general meeting a resolution put to the vote of the meeting shall be decided on a show of hands unless a poll is (before or on the declaration of the result of the show of hands) demanded by:</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76.1</w:t>
            </w:r>
          </w:p>
        </w:tc>
        <w:tc>
          <w:tcPr>
            <w:tcW w:w="10500" w:type="dxa"/>
            <w:vAlign w:val="bottom"/>
          </w:tcPr>
          <w:p>
            <w:pPr>
              <w:ind w:left="260"/>
              <w:spacing w:after="0"/>
              <w:rPr>
                <w:sz w:val="20"/>
                <w:szCs w:val="20"/>
                <w:color w:val="auto"/>
              </w:rPr>
            </w:pPr>
            <w:r>
              <w:rPr>
                <w:rFonts w:ascii="Arial" w:cs="Arial" w:eastAsia="Arial" w:hAnsi="Arial"/>
                <w:sz w:val="14"/>
                <w:szCs w:val="14"/>
                <w:color w:val="auto"/>
              </w:rPr>
              <w:t>the chairman of the meeting;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76.2</w:t>
            </w:r>
          </w:p>
        </w:tc>
        <w:tc>
          <w:tcPr>
            <w:tcW w:w="10500" w:type="dxa"/>
            <w:vAlign w:val="bottom"/>
          </w:tcPr>
          <w:p>
            <w:pPr>
              <w:ind w:left="260"/>
              <w:spacing w:after="0"/>
              <w:rPr>
                <w:sz w:val="20"/>
                <w:szCs w:val="20"/>
                <w:color w:val="auto"/>
              </w:rPr>
            </w:pPr>
            <w:r>
              <w:rPr>
                <w:rFonts w:ascii="Arial" w:cs="Arial" w:eastAsia="Arial" w:hAnsi="Arial"/>
                <w:sz w:val="14"/>
                <w:szCs w:val="14"/>
                <w:color w:val="auto"/>
              </w:rPr>
              <w:t>by at least three members present in person or represented by proxy; or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76.3</w:t>
            </w:r>
          </w:p>
        </w:tc>
        <w:tc>
          <w:tcPr>
            <w:tcW w:w="10500" w:type="dxa"/>
            <w:vAlign w:val="bottom"/>
          </w:tcPr>
          <w:p>
            <w:pPr>
              <w:ind w:left="260"/>
              <w:spacing w:after="0"/>
              <w:rPr>
                <w:sz w:val="20"/>
                <w:szCs w:val="20"/>
                <w:color w:val="auto"/>
              </w:rPr>
            </w:pPr>
            <w:r>
              <w:rPr>
                <w:rFonts w:ascii="Arial" w:cs="Arial" w:eastAsia="Arial" w:hAnsi="Arial"/>
                <w:sz w:val="14"/>
                <w:szCs w:val="14"/>
                <w:color w:val="auto"/>
                <w:w w:val="96"/>
              </w:rPr>
              <w:t>by any member or members present in person or represented by proxy and representing not less than one-tenth of the total voting rights of all the members having the right</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to vote at the meeting; or</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76.4</w:t>
            </w:r>
          </w:p>
        </w:tc>
        <w:tc>
          <w:tcPr>
            <w:tcW w:w="10500" w:type="dxa"/>
            <w:vAlign w:val="bottom"/>
          </w:tcPr>
          <w:p>
            <w:pPr>
              <w:ind w:left="260"/>
              <w:spacing w:after="0"/>
              <w:rPr>
                <w:sz w:val="20"/>
                <w:szCs w:val="20"/>
                <w:color w:val="auto"/>
              </w:rPr>
            </w:pPr>
            <w:r>
              <w:rPr>
                <w:rFonts w:ascii="Arial" w:cs="Arial" w:eastAsia="Arial" w:hAnsi="Arial"/>
                <w:sz w:val="14"/>
                <w:szCs w:val="14"/>
                <w:color w:val="auto"/>
                <w:w w:val="98"/>
              </w:rPr>
              <w:t>by a member or members holding shares in the Company conferring the right to vote at the meeting being shares on which an aggregate sum has been paid up equal to</w:t>
            </w:r>
          </w:p>
        </w:tc>
      </w:tr>
      <w:tr>
        <w:trPr>
          <w:trHeight w:val="162"/>
        </w:trPr>
        <w:tc>
          <w:tcPr>
            <w:tcW w:w="520" w:type="dxa"/>
            <w:vAlign w:val="bottom"/>
          </w:tcPr>
          <w:p>
            <w:pPr>
              <w:spacing w:after="0"/>
              <w:rPr>
                <w:sz w:val="14"/>
                <w:szCs w:val="14"/>
                <w:color w:val="auto"/>
              </w:rPr>
            </w:pPr>
          </w:p>
        </w:tc>
        <w:tc>
          <w:tcPr>
            <w:tcW w:w="10500" w:type="dxa"/>
            <w:vAlign w:val="bottom"/>
          </w:tcPr>
          <w:p>
            <w:pPr>
              <w:ind w:left="260"/>
              <w:spacing w:after="0"/>
              <w:rPr>
                <w:sz w:val="20"/>
                <w:szCs w:val="20"/>
                <w:color w:val="auto"/>
              </w:rPr>
            </w:pPr>
            <w:r>
              <w:rPr>
                <w:rFonts w:ascii="Arial" w:cs="Arial" w:eastAsia="Arial" w:hAnsi="Arial"/>
                <w:sz w:val="14"/>
                <w:szCs w:val="14"/>
                <w:color w:val="auto"/>
              </w:rPr>
              <w:t>not less than one-tenth of the total sum paid up on all the shares conferring that right.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980" w:right="20"/>
        <w:spacing w:after="0" w:line="250" w:lineRule="auto"/>
        <w:rPr>
          <w:sz w:val="20"/>
          <w:szCs w:val="20"/>
          <w:color w:val="auto"/>
        </w:rPr>
      </w:pPr>
      <w:r>
        <w:rPr>
          <w:rFonts w:ascii="Arial" w:cs="Arial" w:eastAsia="Arial" w:hAnsi="Arial"/>
          <w:sz w:val="14"/>
          <w:szCs w:val="14"/>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demand for a poll may be withdrawn.</w:t>
      </w:r>
    </w:p>
    <w:p>
      <w:pPr>
        <w:spacing w:after="0" w:line="239" w:lineRule="exact"/>
        <w:rPr>
          <w:sz w:val="20"/>
          <w:szCs w:val="20"/>
          <w:color w:val="auto"/>
        </w:rPr>
      </w:pPr>
    </w:p>
    <w:p>
      <w:pPr>
        <w:ind w:left="980" w:right="260" w:hanging="776"/>
        <w:spacing w:after="0" w:line="231" w:lineRule="auto"/>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230" w:lineRule="exact"/>
        <w:rPr>
          <w:rFonts w:ascii="Arial" w:cs="Arial" w:eastAsia="Arial" w:hAnsi="Arial"/>
          <w:sz w:val="14"/>
          <w:szCs w:val="14"/>
          <w:color w:val="auto"/>
        </w:rPr>
      </w:pPr>
    </w:p>
    <w:p>
      <w:pPr>
        <w:jc w:val="both"/>
        <w:ind w:left="980" w:right="160" w:hanging="776"/>
        <w:spacing w:after="0" w:line="300" w:lineRule="auto"/>
        <w:tabs>
          <w:tab w:leader="none" w:pos="98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95" w:lineRule="exact"/>
        <w:rPr>
          <w:rFonts w:ascii="Arial" w:cs="Arial" w:eastAsia="Arial" w:hAnsi="Arial"/>
          <w:sz w:val="12"/>
          <w:szCs w:val="12"/>
          <w:color w:val="auto"/>
        </w:rPr>
      </w:pPr>
    </w:p>
    <w:p>
      <w:pPr>
        <w:ind w:left="980" w:right="320" w:hanging="776"/>
        <w:spacing w:after="0" w:line="231" w:lineRule="auto"/>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230"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232"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 member shall be entitled to vote at any general meeting unless any calls or other sums immediately payable by him in respect of shares in the Company have been paid.</w:t>
      </w:r>
    </w:p>
    <w:p>
      <w:pPr>
        <w:spacing w:after="0" w:line="230" w:lineRule="exact"/>
        <w:rPr>
          <w:rFonts w:ascii="Arial" w:cs="Arial" w:eastAsia="Arial" w:hAnsi="Arial"/>
          <w:sz w:val="14"/>
          <w:szCs w:val="14"/>
          <w:color w:val="auto"/>
        </w:rPr>
      </w:pPr>
    </w:p>
    <w:p>
      <w:pPr>
        <w:jc w:val="both"/>
        <w:ind w:left="980" w:right="120" w:hanging="776"/>
        <w:spacing w:after="0" w:line="228" w:lineRule="auto"/>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A Holder entitled to more than one vote on a poll need not use all his votes or cast all the votes he uses in the same way.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If:</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84.1</w:t>
            </w:r>
          </w:p>
        </w:tc>
        <w:tc>
          <w:tcPr>
            <w:tcW w:w="10400" w:type="dxa"/>
            <w:vAlign w:val="bottom"/>
          </w:tcPr>
          <w:p>
            <w:pPr>
              <w:ind w:left="260"/>
              <w:spacing w:after="0"/>
              <w:rPr>
                <w:sz w:val="20"/>
                <w:szCs w:val="20"/>
                <w:color w:val="auto"/>
              </w:rPr>
            </w:pPr>
            <w:r>
              <w:rPr>
                <w:rFonts w:ascii="Arial" w:cs="Arial" w:eastAsia="Arial" w:hAnsi="Arial"/>
                <w:sz w:val="14"/>
                <w:szCs w:val="14"/>
                <w:color w:val="auto"/>
              </w:rPr>
              <w:t>any objection shall be raised as to the qualification of any voter;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84.2</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have been counted which ought not to have been counted or which might have been rejected; or</w:t>
            </w:r>
          </w:p>
        </w:tc>
      </w:tr>
      <w:tr>
        <w:trPr>
          <w:trHeight w:val="392"/>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84.3</w:t>
            </w:r>
          </w:p>
        </w:tc>
        <w:tc>
          <w:tcPr>
            <w:tcW w:w="10400" w:type="dxa"/>
            <w:vAlign w:val="bottom"/>
          </w:tcPr>
          <w:p>
            <w:pPr>
              <w:ind w:left="260"/>
              <w:spacing w:after="0"/>
              <w:rPr>
                <w:sz w:val="20"/>
                <w:szCs w:val="20"/>
                <w:color w:val="auto"/>
              </w:rPr>
            </w:pPr>
            <w:r>
              <w:rPr>
                <w:rFonts w:ascii="Arial" w:cs="Arial" w:eastAsia="Arial" w:hAnsi="Arial"/>
                <w:sz w:val="14"/>
                <w:szCs w:val="14"/>
                <w:color w:val="auto"/>
              </w:rPr>
              <w:t>any votes are not counted which out to have been counted,</w:t>
            </w:r>
          </w:p>
        </w:tc>
      </w:tr>
      <w:tr>
        <w:trPr>
          <w:trHeight w:val="370"/>
        </w:trPr>
        <w:tc>
          <w:tcPr>
            <w:tcW w:w="52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the objection or error shall not vitiate the decision of the meeting or adjourned meeting on any resolution unless the same is raised or pointed out at the meeting</w:t>
            </w:r>
          </w:p>
        </w:tc>
      </w:tr>
    </w:tbl>
    <w:p>
      <w:pPr>
        <w:ind w:left="980" w:right="340"/>
        <w:spacing w:after="0" w:line="250" w:lineRule="auto"/>
        <w:rPr>
          <w:sz w:val="20"/>
          <w:szCs w:val="20"/>
          <w:color w:val="auto"/>
        </w:rPr>
      </w:pPr>
      <w:r>
        <w:rPr>
          <w:rFonts w:ascii="Arial" w:cs="Arial" w:eastAsia="Arial" w:hAnsi="Arial"/>
          <w:sz w:val="14"/>
          <w:szCs w:val="14"/>
          <w:color w:val="auto"/>
        </w:rPr>
        <w:t>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221" w:lineRule="exact"/>
        <w:rPr>
          <w:sz w:val="20"/>
          <w:szCs w:val="20"/>
          <w:color w:val="auto"/>
        </w:rPr>
      </w:pPr>
    </w:p>
    <w:p>
      <w:pPr>
        <w:ind w:left="980" w:hanging="776"/>
        <w:spacing w:after="0"/>
        <w:tabs>
          <w:tab w:leader="none" w:pos="9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Votes may be given either personally or by proxy.</w:t>
      </w:r>
    </w:p>
    <w:p>
      <w:pPr>
        <w:spacing w:after="0" w:line="230" w:lineRule="exact"/>
        <w:rPr>
          <w:rFonts w:ascii="Arial" w:cs="Arial" w:eastAsia="Arial" w:hAnsi="Arial"/>
          <w:sz w:val="14"/>
          <w:szCs w:val="14"/>
          <w:color w:val="auto"/>
        </w:rPr>
      </w:pPr>
    </w:p>
    <w:p>
      <w:pPr>
        <w:spacing w:after="0"/>
        <w:tabs>
          <w:tab w:leader="none" w:pos="0" w:val="left"/>
        </w:tabs>
        <w:numPr>
          <w:ilvl w:val="0"/>
          <w:numId w:val="201"/>
        </w:numPr>
        <w:rPr>
          <w:rFonts w:ascii="Arial" w:cs="Arial" w:eastAsia="Arial" w:hAnsi="Arial"/>
          <w:sz w:val="14"/>
          <w:szCs w:val="14"/>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86.1</w:t>
            </w:r>
          </w:p>
        </w:tc>
        <w:tc>
          <w:tcPr>
            <w:tcW w:w="10400" w:type="dxa"/>
            <w:vAlign w:val="bottom"/>
          </w:tcPr>
          <w:p>
            <w:pPr>
              <w:ind w:left="260"/>
              <w:spacing w:after="0"/>
              <w:rPr>
                <w:sz w:val="20"/>
                <w:szCs w:val="20"/>
                <w:color w:val="auto"/>
              </w:rPr>
            </w:pPr>
            <w:r>
              <w:rPr>
                <w:rFonts w:ascii="Arial" w:cs="Arial" w:eastAsia="Arial" w:hAnsi="Arial"/>
                <w:sz w:val="14"/>
                <w:szCs w:val="14"/>
                <w:color w:val="auto"/>
                <w:w w:val="99"/>
              </w:rPr>
              <w:t>Every member entitled to attend and vote at a general meeting may appoint a proxy to attend, speak and vote on his behalf and may appoint more than one proxy to</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7"/>
              </w:rPr>
              <w:t>attend, speak and vote at the same meeting. The appointment of a proxy shall be in any form which the Directors may approve and, if required by the Company, shall be</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rPr>
              <w:t>signed by or on behalf of the appointor. In relation to written proxies, a body corporate may sign a form of proxy under its common seal or under the hand of a duly</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authorised officer thereof or in such other manner as the Directors may approve. A proxy need not be a member of the Company. The appointment of a proxy in electronic</w:t>
            </w:r>
          </w:p>
        </w:tc>
      </w:tr>
      <w:tr>
        <w:trPr>
          <w:trHeight w:val="162"/>
        </w:trPr>
        <w:tc>
          <w:tcPr>
            <w:tcW w:w="520" w:type="dxa"/>
            <w:vAlign w:val="bottom"/>
          </w:tcPr>
          <w:p>
            <w:pPr>
              <w:spacing w:after="0"/>
              <w:rPr>
                <w:sz w:val="14"/>
                <w:szCs w:val="14"/>
                <w:color w:val="auto"/>
              </w:rPr>
            </w:pPr>
          </w:p>
        </w:tc>
        <w:tc>
          <w:tcPr>
            <w:tcW w:w="10400" w:type="dxa"/>
            <w:vAlign w:val="bottom"/>
          </w:tcPr>
          <w:p>
            <w:pPr>
              <w:ind w:left="260"/>
              <w:spacing w:after="0"/>
              <w:rPr>
                <w:sz w:val="20"/>
                <w:szCs w:val="20"/>
                <w:color w:val="auto"/>
              </w:rPr>
            </w:pPr>
            <w:r>
              <w:rPr>
                <w:rFonts w:ascii="Arial" w:cs="Arial" w:eastAsia="Arial" w:hAnsi="Arial"/>
                <w:sz w:val="14"/>
                <w:szCs w:val="14"/>
                <w:color w:val="auto"/>
              </w:rPr>
              <w:t>or other form shall only be effective in such manner as the Directors may approve.</w:t>
            </w:r>
          </w:p>
        </w:tc>
      </w:tr>
      <w:tr>
        <w:trPr>
          <w:trHeight w:val="378"/>
        </w:trPr>
        <w:tc>
          <w:tcPr>
            <w:tcW w:w="520" w:type="dxa"/>
            <w:vAlign w:val="bottom"/>
          </w:tcPr>
          <w:p>
            <w:pPr>
              <w:jc w:val="right"/>
              <w:ind w:right="192"/>
              <w:spacing w:after="0"/>
              <w:rPr>
                <w:sz w:val="20"/>
                <w:szCs w:val="20"/>
                <w:color w:val="auto"/>
              </w:rPr>
            </w:pPr>
            <w:r>
              <w:rPr>
                <w:rFonts w:ascii="Arial" w:cs="Arial" w:eastAsia="Arial" w:hAnsi="Arial"/>
                <w:sz w:val="14"/>
                <w:szCs w:val="14"/>
                <w:color w:val="auto"/>
                <w:w w:val="87"/>
              </w:rPr>
              <w:t>86.2</w:t>
            </w:r>
          </w:p>
        </w:tc>
        <w:tc>
          <w:tcPr>
            <w:tcW w:w="10400" w:type="dxa"/>
            <w:vAlign w:val="bottom"/>
          </w:tcPr>
          <w:p>
            <w:pPr>
              <w:ind w:left="260"/>
              <w:spacing w:after="0"/>
              <w:rPr>
                <w:sz w:val="20"/>
                <w:szCs w:val="20"/>
                <w:color w:val="auto"/>
              </w:rPr>
            </w:pPr>
            <w:r>
              <w:rPr>
                <w:rFonts w:ascii="Arial" w:cs="Arial" w:eastAsia="Arial" w:hAnsi="Arial"/>
                <w:sz w:val="14"/>
                <w:szCs w:val="14"/>
                <w:color w:val="auto"/>
              </w:rPr>
              <w:t>Without limiting the foregoing, the Directors may from time to time permit appointments of a proxy to be made by means of a telephonic, an electronic or internet</w:t>
            </w:r>
          </w:p>
        </w:tc>
      </w:tr>
      <w:tr>
        <w:trPr>
          <w:trHeight w:val="149"/>
        </w:trPr>
        <w:tc>
          <w:tcPr>
            <w:tcW w:w="520" w:type="dxa"/>
            <w:vAlign w:val="bottom"/>
          </w:tcPr>
          <w:p>
            <w:pPr>
              <w:spacing w:after="0"/>
              <w:rPr>
                <w:sz w:val="12"/>
                <w:szCs w:val="12"/>
                <w:color w:val="auto"/>
              </w:rPr>
            </w:pPr>
          </w:p>
        </w:tc>
        <w:tc>
          <w:tcPr>
            <w:tcW w:w="10400" w:type="dxa"/>
            <w:vAlign w:val="bottom"/>
          </w:tcPr>
          <w:p>
            <w:pPr>
              <w:ind w:left="260"/>
              <w:spacing w:after="0" w:line="149" w:lineRule="exact"/>
              <w:rPr>
                <w:sz w:val="20"/>
                <w:szCs w:val="20"/>
                <w:color w:val="auto"/>
              </w:rPr>
            </w:pPr>
            <w:r>
              <w:rPr>
                <w:rFonts w:ascii="Arial" w:cs="Arial" w:eastAsia="Arial" w:hAnsi="Arial"/>
                <w:sz w:val="14"/>
                <w:szCs w:val="14"/>
                <w:color w:val="auto"/>
                <w:w w:val="96"/>
              </w:rPr>
              <w:t>communication or facility and may in a similar manner permit supplements to, or amendments or revocations of, any such telephonic, electronic or internet communication</w:t>
            </w:r>
          </w:p>
        </w:tc>
      </w:tr>
    </w:tbl>
    <w:p>
      <w:pPr>
        <w:ind w:left="980" w:right="120"/>
        <w:spacing w:after="0" w:line="279" w:lineRule="auto"/>
        <w:rPr>
          <w:sz w:val="20"/>
          <w:szCs w:val="20"/>
          <w:color w:val="auto"/>
        </w:rPr>
      </w:pPr>
      <w:r>
        <w:rPr>
          <w:rFonts w:ascii="Arial" w:cs="Arial" w:eastAsia="Arial" w:hAnsi="Arial"/>
          <w:sz w:val="12"/>
          <w:szCs w:val="12"/>
          <w:color w:val="auto"/>
        </w:rPr>
        <w:t>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208" w:lineRule="exact"/>
        <w:rPr>
          <w:sz w:val="20"/>
          <w:szCs w:val="20"/>
          <w:color w:val="auto"/>
        </w:rPr>
      </w:pPr>
    </w:p>
    <w:p>
      <w:pPr>
        <w:ind w:left="980" w:hanging="776"/>
        <w:spacing w:after="0" w:line="226" w:lineRule="auto"/>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230" w:lineRule="exact"/>
        <w:rPr>
          <w:rFonts w:ascii="Arial" w:cs="Arial" w:eastAsia="Arial" w:hAnsi="Arial"/>
          <w:sz w:val="14"/>
          <w:szCs w:val="14"/>
          <w:color w:val="auto"/>
        </w:rPr>
      </w:pPr>
    </w:p>
    <w:p>
      <w:pPr>
        <w:ind w:left="980" w:right="480" w:hanging="776"/>
        <w:spacing w:after="0" w:line="231" w:lineRule="auto"/>
        <w:tabs>
          <w:tab w:leader="none" w:pos="9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B-17</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4"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231" w:lineRule="exact"/>
        <w:rPr>
          <w:rFonts w:ascii="Arial" w:cs="Arial" w:eastAsia="Arial" w:hAnsi="Arial"/>
          <w:sz w:val="14"/>
          <w:szCs w:val="14"/>
          <w:color w:val="auto"/>
        </w:rPr>
      </w:pPr>
    </w:p>
    <w:p>
      <w:pPr>
        <w:ind w:left="980" w:right="60" w:hanging="776"/>
        <w:spacing w:after="0" w:line="224"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231" w:lineRule="exact"/>
        <w:rPr>
          <w:rFonts w:ascii="Arial" w:cs="Arial" w:eastAsia="Arial" w:hAnsi="Arial"/>
          <w:sz w:val="14"/>
          <w:szCs w:val="14"/>
          <w:color w:val="auto"/>
        </w:rPr>
      </w:pPr>
    </w:p>
    <w:p>
      <w:pPr>
        <w:ind w:left="980" w:right="360" w:hanging="776"/>
        <w:spacing w:after="0" w:line="228" w:lineRule="auto"/>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229" w:lineRule="exact"/>
        <w:rPr>
          <w:rFonts w:ascii="Arial" w:cs="Arial" w:eastAsia="Arial" w:hAnsi="Arial"/>
          <w:sz w:val="14"/>
          <w:szCs w:val="14"/>
          <w:color w:val="auto"/>
        </w:rPr>
      </w:pPr>
    </w:p>
    <w:p>
      <w:pPr>
        <w:ind w:left="980" w:hanging="776"/>
        <w:spacing w:after="0"/>
        <w:tabs>
          <w:tab w:leader="none" w:pos="9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instrument appointing a proxy shall be deemed to confer authority to demand or join in demanding a poll.</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Directors</w:t>
      </w:r>
    </w:p>
    <w:p>
      <w:pPr>
        <w:spacing w:after="0" w:line="247" w:lineRule="exact"/>
        <w:rPr>
          <w:sz w:val="20"/>
          <w:szCs w:val="20"/>
          <w:color w:val="auto"/>
        </w:rPr>
      </w:pPr>
    </w:p>
    <w:p>
      <w:pPr>
        <w:ind w:left="980" w:hanging="776"/>
        <w:spacing w:after="0" w:line="224"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232" w:lineRule="exact"/>
        <w:rPr>
          <w:rFonts w:ascii="Arial" w:cs="Arial" w:eastAsia="Arial" w:hAnsi="Arial"/>
          <w:sz w:val="14"/>
          <w:szCs w:val="14"/>
          <w:color w:val="auto"/>
        </w:rPr>
      </w:pPr>
    </w:p>
    <w:p>
      <w:pPr>
        <w:ind w:left="980" w:right="20" w:hanging="776"/>
        <w:spacing w:after="0" w:line="279" w:lineRule="auto"/>
        <w:tabs>
          <w:tab w:leader="none" w:pos="98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207" w:lineRule="exact"/>
        <w:rPr>
          <w:rFonts w:ascii="Arial" w:cs="Arial" w:eastAsia="Arial" w:hAnsi="Arial"/>
          <w:sz w:val="12"/>
          <w:szCs w:val="12"/>
          <w:color w:val="auto"/>
        </w:rPr>
      </w:pPr>
    </w:p>
    <w:p>
      <w:pPr>
        <w:ind w:left="980" w:right="100" w:hanging="776"/>
        <w:spacing w:after="0" w:line="228"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229" w:lineRule="exact"/>
        <w:rPr>
          <w:rFonts w:ascii="Arial" w:cs="Arial" w:eastAsia="Arial" w:hAnsi="Arial"/>
          <w:sz w:val="14"/>
          <w:szCs w:val="14"/>
          <w:color w:val="auto"/>
        </w:rPr>
      </w:pPr>
    </w:p>
    <w:p>
      <w:pPr>
        <w:jc w:val="both"/>
        <w:ind w:left="980" w:right="160" w:hanging="776"/>
        <w:spacing w:after="0" w:line="228"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No shareholding qualification for Directors shall be required. A Director who is not a member of the Company shall nevertheless be entitled to attend and speak at general meetings.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Borrowing powers</w:t>
      </w:r>
    </w:p>
    <w:p>
      <w:pPr>
        <w:spacing w:after="0" w:line="247" w:lineRule="exact"/>
        <w:rPr>
          <w:sz w:val="20"/>
          <w:szCs w:val="20"/>
          <w:color w:val="auto"/>
        </w:rPr>
      </w:pPr>
    </w:p>
    <w:p>
      <w:pPr>
        <w:ind w:left="980" w:right="20" w:hanging="776"/>
        <w:spacing w:after="0" w:line="228" w:lineRule="auto"/>
        <w:tabs>
          <w:tab w:leader="none" w:pos="98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Powers and duties of the Directors</w:t>
      </w:r>
    </w:p>
    <w:p>
      <w:pPr>
        <w:spacing w:after="0" w:line="247" w:lineRule="exact"/>
        <w:rPr>
          <w:sz w:val="20"/>
          <w:szCs w:val="20"/>
          <w:color w:val="auto"/>
        </w:rPr>
      </w:pPr>
    </w:p>
    <w:p>
      <w:pPr>
        <w:ind w:left="980" w:right="140" w:hanging="776"/>
        <w:spacing w:after="0" w:line="225" w:lineRule="auto"/>
        <w:tabs>
          <w:tab w:leader="none" w:pos="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231"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Directors may from time to time and at any time by power of attorney or otherwise (including by a duly passed resolution) appoint any company, firm or person or body of persons, whether nominated directly or indirectly by the Directors, to be the attorney, attorneys, representative or agent of the Company for such purposes and with such powers, authorities and discretions (not exceeding those vested in or exercisable by the Directors under these articles) and for such period and subject to such conditions as they may think fit, and any such power of attorney or resolutions may contain such provisions for the protection of persons dealing with any such attorney, representative or agent as the Directors may think fit, and may also authorise any such attorney, representative or agent to delegate all or any of the powers, authorities and discretions vested in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B-18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hanging="776"/>
        <w:spacing w:after="0" w:line="231"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Company may exercise the powers conferred by section 41 of the Act with regard to having an official seal for use abroad and such powers shall be vested in the Directors.</w:t>
      </w:r>
    </w:p>
    <w:p>
      <w:pPr>
        <w:spacing w:after="0" w:line="230" w:lineRule="exact"/>
        <w:rPr>
          <w:rFonts w:ascii="Arial" w:cs="Arial" w:eastAsia="Arial" w:hAnsi="Arial"/>
          <w:sz w:val="14"/>
          <w:szCs w:val="14"/>
          <w:color w:val="auto"/>
        </w:rPr>
      </w:pPr>
    </w:p>
    <w:p>
      <w:pPr>
        <w:ind w:left="980" w:right="440" w:hanging="776"/>
        <w:spacing w:after="0" w:line="231" w:lineRule="auto"/>
        <w:tabs>
          <w:tab w:leader="none" w:pos="98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104.</w:t>
      </w:r>
    </w:p>
    <w:p>
      <w:pPr>
        <w:spacing w:after="0" w:line="231" w:lineRule="exact"/>
        <w:rPr>
          <w:sz w:val="20"/>
          <w:szCs w:val="20"/>
          <w:color w:val="auto"/>
        </w:rPr>
      </w:pPr>
    </w:p>
    <w:p>
      <w:pPr>
        <w:ind w:left="980" w:right="120" w:hanging="769"/>
        <w:spacing w:after="0" w:line="272" w:lineRule="auto"/>
        <w:tabs>
          <w:tab w:leader="none" w:pos="960" w:val="left"/>
        </w:tabs>
        <w:rPr>
          <w:sz w:val="20"/>
          <w:szCs w:val="20"/>
          <w:color w:val="auto"/>
        </w:rPr>
      </w:pPr>
      <w:r>
        <w:rPr>
          <w:rFonts w:ascii="Arial" w:cs="Arial" w:eastAsia="Arial" w:hAnsi="Arial"/>
          <w:sz w:val="14"/>
          <w:szCs w:val="14"/>
          <w:color w:val="auto"/>
        </w:rPr>
        <w:t>104.1</w:t>
      </w:r>
      <w:r>
        <w:rPr>
          <w:sz w:val="20"/>
          <w:szCs w:val="20"/>
          <w:color w:val="auto"/>
        </w:rPr>
        <w:tab/>
      </w:r>
      <w:r>
        <w:rPr>
          <w:rFonts w:ascii="Arial" w:cs="Arial" w:eastAsia="Arial" w:hAnsi="Arial"/>
          <w:sz w:val="12"/>
          <w:szCs w:val="12"/>
          <w:color w:val="auto"/>
        </w:rPr>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212"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104.2</w:t>
      </w:r>
      <w:r>
        <w:rPr>
          <w:sz w:val="20"/>
          <w:szCs w:val="20"/>
          <w:color w:val="auto"/>
        </w:rPr>
        <w:tab/>
      </w:r>
      <w:r>
        <w:rPr>
          <w:rFonts w:ascii="Arial" w:cs="Arial" w:eastAsia="Arial" w:hAnsi="Arial"/>
          <w:sz w:val="14"/>
          <w:szCs w:val="14"/>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104.3</w:t>
      </w:r>
      <w:r>
        <w:rPr>
          <w:sz w:val="20"/>
          <w:szCs w:val="20"/>
          <w:color w:val="auto"/>
        </w:rPr>
        <w:tab/>
      </w:r>
      <w:r>
        <w:rPr>
          <w:rFonts w:ascii="Arial" w:cs="Arial" w:eastAsia="Arial" w:hAnsi="Arial"/>
          <w:sz w:val="12"/>
          <w:szCs w:val="12"/>
          <w:color w:val="auto"/>
        </w:rPr>
        <w:t>For the purposes of this article, an interest of a person who is the spouse or a minor child of a Director shall be treated as an interest of the Director.</w:t>
      </w:r>
    </w:p>
    <w:p>
      <w:pPr>
        <w:spacing w:after="0" w:line="231" w:lineRule="exact"/>
        <w:rPr>
          <w:sz w:val="20"/>
          <w:szCs w:val="20"/>
          <w:color w:val="auto"/>
        </w:rPr>
      </w:pPr>
    </w:p>
    <w:p>
      <w:pPr>
        <w:ind w:left="980" w:right="660" w:hanging="769"/>
        <w:spacing w:after="0" w:line="231" w:lineRule="auto"/>
        <w:tabs>
          <w:tab w:leader="none" w:pos="960" w:val="left"/>
        </w:tabs>
        <w:rPr>
          <w:sz w:val="20"/>
          <w:szCs w:val="20"/>
          <w:color w:val="auto"/>
        </w:rPr>
      </w:pPr>
      <w:r>
        <w:rPr>
          <w:rFonts w:ascii="Arial" w:cs="Arial" w:eastAsia="Arial" w:hAnsi="Arial"/>
          <w:sz w:val="14"/>
          <w:szCs w:val="14"/>
          <w:color w:val="auto"/>
        </w:rPr>
        <w:t>104.4</w:t>
      </w:r>
      <w:r>
        <w:rPr>
          <w:sz w:val="20"/>
          <w:szCs w:val="20"/>
          <w:color w:val="auto"/>
        </w:rPr>
        <w:tab/>
      </w:r>
      <w:r>
        <w:rPr>
          <w:rFonts w:ascii="Arial" w:cs="Arial" w:eastAsia="Arial" w:hAnsi="Arial"/>
          <w:sz w:val="14"/>
          <w:szCs w:val="14"/>
          <w:color w:val="auto"/>
        </w:rPr>
        <w:t>The Company by Ordinary Resolution may suspend or relax the provisions of this article to any extent or ratify any transaction not duly authorised by reason of a contravention of this article.</w:t>
      </w:r>
    </w:p>
    <w:p>
      <w:pPr>
        <w:spacing w:after="0" w:line="230" w:lineRule="exact"/>
        <w:rPr>
          <w:sz w:val="20"/>
          <w:szCs w:val="20"/>
          <w:color w:val="auto"/>
        </w:rPr>
      </w:pPr>
    </w:p>
    <w:p>
      <w:pPr>
        <w:ind w:left="980" w:right="20" w:hanging="776"/>
        <w:spacing w:after="0" w:line="266" w:lineRule="auto"/>
        <w:tabs>
          <w:tab w:leader="none" w:pos="98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216" w:lineRule="exact"/>
        <w:rPr>
          <w:rFonts w:ascii="Arial" w:cs="Arial" w:eastAsia="Arial" w:hAnsi="Arial"/>
          <w:sz w:val="12"/>
          <w:szCs w:val="12"/>
          <w:color w:val="auto"/>
        </w:rPr>
      </w:pPr>
    </w:p>
    <w:p>
      <w:pPr>
        <w:ind w:left="980" w:hanging="776"/>
        <w:spacing w:after="0" w:line="231" w:lineRule="auto"/>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So long as, where it is necessary, a Director declares the nature of his interest at the first opportunity at a meeting of the Board or by writing to the Directors, a Director shall not by</w:t>
      </w:r>
    </w:p>
    <w:p>
      <w:pPr>
        <w:spacing w:after="0" w:line="208" w:lineRule="exact"/>
        <w:rPr>
          <w:rFonts w:ascii="Arial" w:cs="Arial" w:eastAsia="Arial" w:hAnsi="Arial"/>
          <w:sz w:val="14"/>
          <w:szCs w:val="14"/>
          <w:color w:val="auto"/>
        </w:rPr>
      </w:pPr>
    </w:p>
    <w:p>
      <w:pPr>
        <w:ind w:left="980" w:right="60"/>
        <w:spacing w:after="0" w:line="250" w:lineRule="auto"/>
        <w:rPr>
          <w:rFonts w:ascii="Arial" w:cs="Arial" w:eastAsia="Arial" w:hAnsi="Arial"/>
          <w:sz w:val="14"/>
          <w:szCs w:val="14"/>
          <w:color w:val="auto"/>
        </w:rPr>
      </w:pPr>
      <w:r>
        <w:rPr>
          <w:rFonts w:ascii="Arial" w:cs="Arial" w:eastAsia="Arial" w:hAnsi="Arial"/>
          <w:sz w:val="14"/>
          <w:szCs w:val="14"/>
          <w:color w:val="auto"/>
        </w:rPr>
        <w:t>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220" w:lineRule="exact"/>
        <w:rPr>
          <w:rFonts w:ascii="Arial" w:cs="Arial" w:eastAsia="Arial" w:hAnsi="Arial"/>
          <w:sz w:val="14"/>
          <w:szCs w:val="14"/>
          <w:color w:val="auto"/>
        </w:rPr>
      </w:pPr>
    </w:p>
    <w:p>
      <w:pPr>
        <w:ind w:left="980" w:right="20" w:hanging="776"/>
        <w:spacing w:after="0" w:line="225" w:lineRule="auto"/>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To the maximum extent permitted from time to time under the laws of Ireland, the Company renounces any interest or expectancy of the Company in, or in being offered an opportunity to participate in, 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231"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230" w:lineRule="exact"/>
        <w:rPr>
          <w:rFonts w:ascii="Arial" w:cs="Arial" w:eastAsia="Arial" w:hAnsi="Arial"/>
          <w:sz w:val="14"/>
          <w:szCs w:val="14"/>
          <w:color w:val="auto"/>
        </w:rPr>
      </w:pPr>
    </w:p>
    <w:p>
      <w:pPr>
        <w:ind w:left="980" w:right="40" w:hanging="776"/>
        <w:spacing w:after="0" w:line="300" w:lineRule="auto"/>
        <w:tabs>
          <w:tab w:leader="none" w:pos="98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95" w:lineRule="exact"/>
        <w:rPr>
          <w:rFonts w:ascii="Arial" w:cs="Arial" w:eastAsia="Arial" w:hAnsi="Arial"/>
          <w:sz w:val="12"/>
          <w:szCs w:val="12"/>
          <w:color w:val="auto"/>
        </w:rPr>
      </w:pPr>
    </w:p>
    <w:p>
      <w:pPr>
        <w:ind w:left="980" w:hanging="776"/>
        <w:spacing w:after="0"/>
        <w:tabs>
          <w:tab w:leader="none" w:pos="9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Directors shall cause minutes to be made in books provided for the purpose: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2"/>
          <w:szCs w:val="12"/>
          <w:color w:val="auto"/>
        </w:rPr>
        <w:t>of all appointments of officers made by the Directors;</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111.2</w:t>
      </w:r>
      <w:r>
        <w:rPr>
          <w:sz w:val="20"/>
          <w:szCs w:val="20"/>
          <w:color w:val="auto"/>
        </w:rPr>
        <w:tab/>
      </w:r>
      <w:r>
        <w:rPr>
          <w:rFonts w:ascii="Arial" w:cs="Arial" w:eastAsia="Arial" w:hAnsi="Arial"/>
          <w:sz w:val="12"/>
          <w:szCs w:val="12"/>
          <w:color w:val="auto"/>
        </w:rPr>
        <w:t>of the names of the Directors present at each meeting of the Directors and of any committee of the Directors; and</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111.3</w:t>
      </w:r>
      <w:r>
        <w:rPr>
          <w:sz w:val="20"/>
          <w:szCs w:val="20"/>
          <w:color w:val="auto"/>
        </w:rPr>
        <w:tab/>
      </w:r>
      <w:r>
        <w:rPr>
          <w:rFonts w:ascii="Arial" w:cs="Arial" w:eastAsia="Arial" w:hAnsi="Arial"/>
          <w:sz w:val="12"/>
          <w:szCs w:val="12"/>
          <w:color w:val="auto"/>
        </w:rPr>
        <w:t>of all resolutions and proceedings at all meetings of the Company and of the Directors and of committees of Directors.</w:t>
      </w:r>
    </w:p>
    <w:p>
      <w:pPr>
        <w:spacing w:after="0" w:line="231" w:lineRule="exact"/>
        <w:rPr>
          <w:sz w:val="20"/>
          <w:szCs w:val="20"/>
          <w:color w:val="auto"/>
        </w:rPr>
      </w:pPr>
    </w:p>
    <w:p>
      <w:pPr>
        <w:ind w:left="980" w:right="60" w:hanging="776"/>
        <w:spacing w:after="0" w:line="224" w:lineRule="auto"/>
        <w:tabs>
          <w:tab w:leader="none" w:pos="98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B-19</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26" w:lineRule="auto"/>
        <w:rPr>
          <w:sz w:val="20"/>
          <w:szCs w:val="20"/>
          <w:color w:val="auto"/>
        </w:rPr>
      </w:pPr>
      <w:r>
        <w:rPr>
          <w:rFonts w:ascii="Arial" w:cs="Arial" w:eastAsia="Arial" w:hAnsi="Arial"/>
          <w:sz w:val="14"/>
          <w:szCs w:val="14"/>
          <w:color w:val="auto"/>
        </w:rPr>
        <w:t>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Disqualification of Directors</w:t>
      </w:r>
    </w:p>
    <w:p>
      <w:pPr>
        <w:spacing w:after="0" w:line="247" w:lineRule="exact"/>
        <w:rPr>
          <w:sz w:val="20"/>
          <w:szCs w:val="20"/>
          <w:color w:val="auto"/>
        </w:rPr>
      </w:pPr>
    </w:p>
    <w:p>
      <w:pPr>
        <w:ind w:left="980" w:hanging="776"/>
        <w:spacing w:after="0"/>
        <w:tabs>
          <w:tab w:leader="none" w:pos="98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office of a Director shall be vacated ipso facto if the Director: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113.1</w:t>
      </w:r>
      <w:r>
        <w:rPr>
          <w:sz w:val="20"/>
          <w:szCs w:val="20"/>
          <w:color w:val="auto"/>
        </w:rPr>
        <w:tab/>
      </w:r>
      <w:r>
        <w:rPr>
          <w:rFonts w:ascii="Arial" w:cs="Arial" w:eastAsia="Arial" w:hAnsi="Arial"/>
          <w:sz w:val="12"/>
          <w:szCs w:val="12"/>
          <w:color w:val="auto"/>
        </w:rPr>
        <w:t>is restricted or disqualified to act as a Director under the provisions of Part VII of the 1990 Act;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113.2</w:t>
      </w:r>
      <w:r>
        <w:rPr>
          <w:sz w:val="20"/>
          <w:szCs w:val="20"/>
          <w:color w:val="auto"/>
        </w:rPr>
        <w:tab/>
      </w:r>
      <w:r>
        <w:rPr>
          <w:rFonts w:ascii="Arial" w:cs="Arial" w:eastAsia="Arial" w:hAnsi="Arial"/>
          <w:sz w:val="12"/>
          <w:szCs w:val="12"/>
          <w:color w:val="auto"/>
        </w:rPr>
        <w:t>resigns his office by notice in writing to the Company or in writing offers to resign and the Directors resolve to accept such offer; or</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113.3</w:t>
      </w:r>
      <w:r>
        <w:rPr>
          <w:sz w:val="20"/>
          <w:szCs w:val="20"/>
          <w:color w:val="auto"/>
        </w:rPr>
        <w:tab/>
      </w:r>
      <w:r>
        <w:rPr>
          <w:rFonts w:ascii="Arial" w:cs="Arial" w:eastAsia="Arial" w:hAnsi="Arial"/>
          <w:sz w:val="12"/>
          <w:szCs w:val="12"/>
          <w:color w:val="auto"/>
        </w:rPr>
        <w:t>is removed from office under article 120.</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Appointment, retirement and removal of Directors</w:t>
      </w:r>
    </w:p>
    <w:p>
      <w:pPr>
        <w:spacing w:after="0" w:line="247" w:lineRule="exact"/>
        <w:rPr>
          <w:sz w:val="20"/>
          <w:szCs w:val="20"/>
          <w:color w:val="auto"/>
        </w:rPr>
      </w:pPr>
    </w:p>
    <w:p>
      <w:pPr>
        <w:ind w:left="980" w:hanging="776"/>
        <w:spacing w:after="0"/>
        <w:tabs>
          <w:tab w:leader="none" w:pos="98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At each annual general meeting of the Company, all the Directors shall retire from office and be re-eligible for re-election.</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Upon the resignation or termination of office of any Director, if a new Director shall be appointed to the Board he will be designated to fill the vacancy arising.</w:t>
      </w:r>
    </w:p>
    <w:p>
      <w:pPr>
        <w:spacing w:after="0" w:line="230" w:lineRule="exact"/>
        <w:rPr>
          <w:rFonts w:ascii="Arial" w:cs="Arial" w:eastAsia="Arial" w:hAnsi="Arial"/>
          <w:sz w:val="14"/>
          <w:szCs w:val="14"/>
          <w:color w:val="auto"/>
        </w:rPr>
      </w:pPr>
    </w:p>
    <w:p>
      <w:pPr>
        <w:spacing w:after="0"/>
        <w:tabs>
          <w:tab w:leader="none" w:pos="0" w:val="left"/>
        </w:tabs>
        <w:numPr>
          <w:ilvl w:val="0"/>
          <w:numId w:val="211"/>
        </w:numPr>
        <w:rPr>
          <w:rFonts w:ascii="Arial" w:cs="Arial" w:eastAsia="Arial" w:hAnsi="Arial"/>
          <w:sz w:val="14"/>
          <w:szCs w:val="14"/>
          <w:color w:val="auto"/>
        </w:rPr>
      </w:pPr>
    </w:p>
    <w:p>
      <w:pPr>
        <w:spacing w:after="0" w:line="231"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116.1</w:t>
      </w:r>
      <w:r>
        <w:rPr>
          <w:sz w:val="20"/>
          <w:szCs w:val="20"/>
          <w:color w:val="auto"/>
        </w:rPr>
        <w:tab/>
      </w:r>
      <w:r>
        <w:rPr>
          <w:rFonts w:ascii="Arial" w:cs="Arial" w:eastAsia="Arial" w:hAnsi="Arial"/>
          <w:sz w:val="14"/>
          <w:szCs w:val="14"/>
          <w:color w:val="auto"/>
        </w:rPr>
        <w:t>No person shall be appointed a Director, unless nominated in accordance with the provisions of this article 116. Nominations of persons for appointment as Directors may be made:</w:t>
      </w:r>
    </w:p>
    <w:p>
      <w:pPr>
        <w:spacing w:after="0" w:line="230" w:lineRule="exact"/>
        <w:rPr>
          <w:sz w:val="20"/>
          <w:szCs w:val="20"/>
          <w:color w:val="auto"/>
        </w:rPr>
      </w:pPr>
    </w:p>
    <w:p>
      <w:pPr>
        <w:ind w:left="1860" w:hanging="886"/>
        <w:spacing w:after="0"/>
        <w:tabs>
          <w:tab w:leader="none" w:pos="186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by the affirmative vote of two-thirds of the Board; or</w:t>
      </w:r>
    </w:p>
    <w:p>
      <w:pPr>
        <w:spacing w:after="0" w:line="230" w:lineRule="exact"/>
        <w:rPr>
          <w:rFonts w:ascii="Arial" w:cs="Arial" w:eastAsia="Arial" w:hAnsi="Arial"/>
          <w:sz w:val="14"/>
          <w:szCs w:val="14"/>
          <w:color w:val="auto"/>
        </w:rPr>
      </w:pPr>
    </w:p>
    <w:p>
      <w:pPr>
        <w:ind w:left="1860" w:right="280" w:hanging="886"/>
        <w:spacing w:after="0" w:line="228" w:lineRule="auto"/>
        <w:tabs>
          <w:tab w:leader="none" w:pos="186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229" w:lineRule="exact"/>
        <w:rPr>
          <w:rFonts w:ascii="Arial" w:cs="Arial" w:eastAsia="Arial" w:hAnsi="Arial"/>
          <w:sz w:val="14"/>
          <w:szCs w:val="14"/>
          <w:color w:val="auto"/>
        </w:rPr>
      </w:pPr>
    </w:p>
    <w:p>
      <w:pPr>
        <w:ind w:left="1860" w:right="20" w:hanging="886"/>
        <w:spacing w:after="0" w:line="226" w:lineRule="auto"/>
        <w:tabs>
          <w:tab w:leader="none" w:pos="186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by Holders of any class or series of shares in the Company then in issue having special rights to nominate or appoint Directors in accordance with the terms of issue of such class or series, but only to the extent provided in such terms of issue,</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(sub-clauses (b), (c) and (d) being the exclusive means for a member to make nominations of persons for election to the Board).</w:t>
      </w:r>
    </w:p>
    <w:p>
      <w:pPr>
        <w:spacing w:after="0" w:line="239" w:lineRule="exact"/>
        <w:rPr>
          <w:sz w:val="20"/>
          <w:szCs w:val="20"/>
          <w:color w:val="auto"/>
        </w:rPr>
      </w:pPr>
    </w:p>
    <w:p>
      <w:pPr>
        <w:ind w:left="980" w:hanging="769"/>
        <w:spacing w:after="0" w:line="231" w:lineRule="auto"/>
        <w:tabs>
          <w:tab w:leader="none" w:pos="960" w:val="left"/>
        </w:tabs>
        <w:rPr>
          <w:sz w:val="20"/>
          <w:szCs w:val="20"/>
          <w:color w:val="auto"/>
        </w:rPr>
      </w:pPr>
      <w:r>
        <w:rPr>
          <w:rFonts w:ascii="Arial" w:cs="Arial" w:eastAsia="Arial" w:hAnsi="Arial"/>
          <w:sz w:val="14"/>
          <w:szCs w:val="14"/>
          <w:color w:val="auto"/>
        </w:rPr>
        <w:t>116.2</w:t>
      </w:r>
      <w:r>
        <w:rPr>
          <w:sz w:val="20"/>
          <w:szCs w:val="20"/>
          <w:color w:val="auto"/>
        </w:rPr>
        <w:tab/>
      </w:r>
      <w:r>
        <w:rPr>
          <w:rFonts w:ascii="Arial" w:cs="Arial" w:eastAsia="Arial" w:hAnsi="Arial"/>
          <w:sz w:val="14"/>
          <w:szCs w:val="14"/>
          <w:color w:val="auto"/>
        </w:rPr>
        <w:t>For nominations of persons for election as Directors at an extraordinary general meeting to be in proper written form, a member’s notice must comply with the requirements outlined in articles 70 and 71.</w:t>
      </w:r>
    </w:p>
    <w:p>
      <w:pPr>
        <w:spacing w:after="0" w:line="230" w:lineRule="exact"/>
        <w:rPr>
          <w:sz w:val="20"/>
          <w:szCs w:val="20"/>
          <w:color w:val="auto"/>
        </w:rPr>
      </w:pPr>
    </w:p>
    <w:p>
      <w:pPr>
        <w:ind w:left="980" w:right="380" w:hanging="769"/>
        <w:spacing w:after="0" w:line="228" w:lineRule="auto"/>
        <w:tabs>
          <w:tab w:leader="none" w:pos="960" w:val="left"/>
        </w:tabs>
        <w:rPr>
          <w:sz w:val="20"/>
          <w:szCs w:val="20"/>
          <w:color w:val="auto"/>
        </w:rPr>
      </w:pPr>
      <w:r>
        <w:rPr>
          <w:rFonts w:ascii="Arial" w:cs="Arial" w:eastAsia="Arial" w:hAnsi="Arial"/>
          <w:sz w:val="14"/>
          <w:szCs w:val="14"/>
          <w:color w:val="auto"/>
        </w:rPr>
        <w:t>116.3</w:t>
      </w:r>
      <w:r>
        <w:rPr>
          <w:sz w:val="20"/>
          <w:szCs w:val="20"/>
          <w:color w:val="auto"/>
        </w:rPr>
        <w:tab/>
      </w:r>
      <w:r>
        <w:rPr>
          <w:rFonts w:ascii="Arial" w:cs="Arial" w:eastAsia="Arial" w:hAnsi="Arial"/>
          <w:sz w:val="14"/>
          <w:szCs w:val="14"/>
          <w:color w:val="auto"/>
        </w:rPr>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230" w:lineRule="exact"/>
        <w:rPr>
          <w:sz w:val="20"/>
          <w:szCs w:val="20"/>
          <w:color w:val="auto"/>
        </w:rPr>
      </w:pPr>
    </w:p>
    <w:p>
      <w:pPr>
        <w:ind w:left="980" w:hanging="776"/>
        <w:spacing w:after="0"/>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A retiring Director shall be eligible to be nominated for re-election at an annual general meeting.</w:t>
      </w:r>
    </w:p>
    <w:p>
      <w:pPr>
        <w:spacing w:after="0" w:line="230" w:lineRule="exact"/>
        <w:rPr>
          <w:rFonts w:ascii="Arial" w:cs="Arial" w:eastAsia="Arial" w:hAnsi="Arial"/>
          <w:sz w:val="14"/>
          <w:szCs w:val="14"/>
          <w:color w:val="auto"/>
        </w:rPr>
      </w:pPr>
    </w:p>
    <w:p>
      <w:pPr>
        <w:ind w:left="980" w:right="280" w:hanging="776"/>
        <w:spacing w:after="0" w:line="231"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If a Director stands for re-election, he shall be deemed to have been re-elected, unless at such meeting the Ordinary Resolution for the re-election of such Director has been defeated.</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Company may from time to time by Ordinary Resolution increase or reduce the maximum number of Directors.</w:t>
      </w:r>
    </w:p>
    <w:p>
      <w:pPr>
        <w:spacing w:after="0" w:line="230" w:lineRule="exact"/>
        <w:rPr>
          <w:rFonts w:ascii="Arial" w:cs="Arial" w:eastAsia="Arial" w:hAnsi="Arial"/>
          <w:sz w:val="14"/>
          <w:szCs w:val="14"/>
          <w:color w:val="auto"/>
        </w:rPr>
      </w:pPr>
    </w:p>
    <w:p>
      <w:pPr>
        <w:ind w:left="980" w:right="80" w:hanging="776"/>
        <w:spacing w:after="0" w:line="228"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229" w:lineRule="exact"/>
        <w:rPr>
          <w:rFonts w:ascii="Arial" w:cs="Arial" w:eastAsia="Arial" w:hAnsi="Arial"/>
          <w:sz w:val="14"/>
          <w:szCs w:val="14"/>
          <w:color w:val="auto"/>
        </w:rPr>
      </w:pPr>
    </w:p>
    <w:p>
      <w:pPr>
        <w:ind w:left="980" w:right="100" w:hanging="776"/>
        <w:spacing w:after="0" w:line="231"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230" w:lineRule="exact"/>
        <w:rPr>
          <w:rFonts w:ascii="Arial" w:cs="Arial" w:eastAsia="Arial" w:hAnsi="Arial"/>
          <w:sz w:val="14"/>
          <w:szCs w:val="14"/>
          <w:color w:val="auto"/>
        </w:rPr>
      </w:pPr>
    </w:p>
    <w:p>
      <w:pPr>
        <w:ind w:left="980" w:right="60" w:hanging="776"/>
        <w:spacing w:after="0" w:line="228" w:lineRule="auto"/>
        <w:tabs>
          <w:tab w:leader="none" w:pos="9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Officers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123.</w:t>
      </w:r>
    </w:p>
    <w:p>
      <w:pPr>
        <w:spacing w:after="0" w:line="231" w:lineRule="exact"/>
        <w:rPr>
          <w:sz w:val="20"/>
          <w:szCs w:val="20"/>
          <w:color w:val="auto"/>
        </w:rPr>
      </w:pPr>
    </w:p>
    <w:p>
      <w:pPr>
        <w:ind w:left="980" w:right="40" w:hanging="769"/>
        <w:spacing w:after="0" w:line="228" w:lineRule="auto"/>
        <w:tabs>
          <w:tab w:leader="none" w:pos="960" w:val="left"/>
        </w:tabs>
        <w:rPr>
          <w:sz w:val="20"/>
          <w:szCs w:val="20"/>
          <w:color w:val="auto"/>
        </w:rPr>
      </w:pPr>
      <w:r>
        <w:rPr>
          <w:rFonts w:ascii="Arial" w:cs="Arial" w:eastAsia="Arial" w:hAnsi="Arial"/>
          <w:sz w:val="14"/>
          <w:szCs w:val="14"/>
          <w:color w:val="auto"/>
        </w:rPr>
        <w:t>123.1</w:t>
      </w:r>
      <w:r>
        <w:rPr>
          <w:sz w:val="20"/>
          <w:szCs w:val="20"/>
          <w:color w:val="auto"/>
        </w:rPr>
        <w:tab/>
      </w:r>
      <w:r>
        <w:rPr>
          <w:rFonts w:ascii="Arial" w:cs="Arial" w:eastAsia="Arial" w:hAnsi="Arial"/>
          <w:sz w:val="14"/>
          <w:szCs w:val="14"/>
          <w:color w:val="auto"/>
        </w:rPr>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230" w:lineRule="exact"/>
        <w:rPr>
          <w:sz w:val="20"/>
          <w:szCs w:val="20"/>
          <w:color w:val="auto"/>
        </w:rPr>
      </w:pPr>
    </w:p>
    <w:p>
      <w:pPr>
        <w:ind w:left="980" w:right="180" w:hanging="769"/>
        <w:spacing w:after="0" w:line="225" w:lineRule="auto"/>
        <w:tabs>
          <w:tab w:leader="none" w:pos="960" w:val="left"/>
        </w:tabs>
        <w:rPr>
          <w:sz w:val="20"/>
          <w:szCs w:val="20"/>
          <w:color w:val="auto"/>
        </w:rPr>
      </w:pPr>
      <w:r>
        <w:rPr>
          <w:rFonts w:ascii="Arial" w:cs="Arial" w:eastAsia="Arial" w:hAnsi="Arial"/>
          <w:sz w:val="14"/>
          <w:szCs w:val="14"/>
          <w:color w:val="auto"/>
        </w:rPr>
        <w:t>123.2</w:t>
      </w:r>
      <w:r>
        <w:rPr>
          <w:sz w:val="20"/>
          <w:szCs w:val="20"/>
          <w:color w:val="auto"/>
        </w:rPr>
        <w:tab/>
      </w:r>
      <w:r>
        <w:rPr>
          <w:rFonts w:ascii="Arial" w:cs="Arial" w:eastAsia="Arial" w:hAnsi="Arial"/>
          <w:sz w:val="14"/>
          <w:szCs w:val="14"/>
          <w:color w:val="auto"/>
        </w:rPr>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231" w:lineRule="exact"/>
        <w:rPr>
          <w:sz w:val="20"/>
          <w:szCs w:val="20"/>
          <w:color w:val="auto"/>
        </w:rPr>
      </w:pPr>
    </w:p>
    <w:p>
      <w:pPr>
        <w:ind w:left="980" w:right="20" w:hanging="769"/>
        <w:spacing w:after="0" w:line="231" w:lineRule="auto"/>
        <w:tabs>
          <w:tab w:leader="none" w:pos="960" w:val="left"/>
        </w:tabs>
        <w:rPr>
          <w:sz w:val="20"/>
          <w:szCs w:val="20"/>
          <w:color w:val="auto"/>
        </w:rPr>
      </w:pPr>
      <w:r>
        <w:rPr>
          <w:rFonts w:ascii="Arial" w:cs="Arial" w:eastAsia="Arial" w:hAnsi="Arial"/>
          <w:sz w:val="14"/>
          <w:szCs w:val="14"/>
          <w:color w:val="auto"/>
        </w:rPr>
        <w:t>123.3</w:t>
      </w:r>
      <w:r>
        <w:rPr>
          <w:sz w:val="20"/>
          <w:szCs w:val="20"/>
          <w:color w:val="auto"/>
        </w:rPr>
        <w:tab/>
      </w:r>
      <w:r>
        <w:rPr>
          <w:rFonts w:ascii="Arial" w:cs="Arial" w:eastAsia="Arial" w:hAnsi="Arial"/>
          <w:sz w:val="14"/>
          <w:szCs w:val="14"/>
          <w:color w:val="auto"/>
        </w:rPr>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230" w:lineRule="exact"/>
        <w:rPr>
          <w:sz w:val="20"/>
          <w:szCs w:val="20"/>
          <w:color w:val="auto"/>
        </w:rPr>
      </w:pPr>
    </w:p>
    <w:p>
      <w:pPr>
        <w:ind w:left="980" w:right="100" w:hanging="769"/>
        <w:spacing w:after="0" w:line="225" w:lineRule="auto"/>
        <w:tabs>
          <w:tab w:leader="none" w:pos="960" w:val="left"/>
        </w:tabs>
        <w:rPr>
          <w:sz w:val="20"/>
          <w:szCs w:val="20"/>
          <w:color w:val="auto"/>
        </w:rPr>
      </w:pPr>
      <w:r>
        <w:rPr>
          <w:rFonts w:ascii="Arial" w:cs="Arial" w:eastAsia="Arial" w:hAnsi="Arial"/>
          <w:sz w:val="14"/>
          <w:szCs w:val="14"/>
          <w:color w:val="auto"/>
        </w:rPr>
        <w:t>123.4</w:t>
      </w:r>
      <w:r>
        <w:rPr>
          <w:sz w:val="20"/>
          <w:szCs w:val="20"/>
          <w:color w:val="auto"/>
        </w:rPr>
        <w:tab/>
      </w:r>
      <w:r>
        <w:rPr>
          <w:rFonts w:ascii="Arial" w:cs="Arial" w:eastAsia="Arial" w:hAnsi="Arial"/>
          <w:sz w:val="14"/>
          <w:szCs w:val="14"/>
          <w:color w:val="auto"/>
        </w:rPr>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123.5</w:t>
      </w:r>
      <w:r>
        <w:rPr>
          <w:sz w:val="20"/>
          <w:szCs w:val="20"/>
          <w:color w:val="auto"/>
        </w:rPr>
        <w:tab/>
      </w:r>
      <w:r>
        <w:rPr>
          <w:rFonts w:ascii="Arial" w:cs="Arial" w:eastAsia="Arial" w:hAnsi="Arial"/>
          <w:sz w:val="14"/>
          <w:szCs w:val="14"/>
          <w:color w:val="auto"/>
        </w:rPr>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230" w:lineRule="exact"/>
        <w:rPr>
          <w:sz w:val="20"/>
          <w:szCs w:val="20"/>
          <w:color w:val="auto"/>
        </w:rPr>
      </w:pPr>
    </w:p>
    <w:p>
      <w:pPr>
        <w:ind w:left="980" w:right="40" w:hanging="776"/>
        <w:spacing w:after="0" w:line="231" w:lineRule="auto"/>
        <w:tabs>
          <w:tab w:leader="none" w:pos="9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230" w:lineRule="exact"/>
        <w:rPr>
          <w:sz w:val="20"/>
          <w:szCs w:val="20"/>
          <w:color w:val="auto"/>
        </w:rPr>
      </w:pPr>
    </w:p>
    <w:p>
      <w:pPr>
        <w:ind w:left="980" w:right="160" w:hanging="769"/>
        <w:spacing w:after="0" w:line="231" w:lineRule="auto"/>
        <w:tabs>
          <w:tab w:leader="none" w:pos="960" w:val="left"/>
        </w:tabs>
        <w:rPr>
          <w:sz w:val="20"/>
          <w:szCs w:val="20"/>
          <w:color w:val="auto"/>
        </w:rPr>
      </w:pPr>
      <w:r>
        <w:rPr>
          <w:rFonts w:ascii="Arial" w:cs="Arial" w:eastAsia="Arial" w:hAnsi="Arial"/>
          <w:sz w:val="14"/>
          <w:szCs w:val="14"/>
          <w:color w:val="auto"/>
        </w:rPr>
        <w:t>125.1</w:t>
      </w:r>
      <w:r>
        <w:rPr>
          <w:sz w:val="20"/>
          <w:szCs w:val="20"/>
          <w:color w:val="auto"/>
        </w:rPr>
        <w:tab/>
      </w:r>
      <w:r>
        <w:rPr>
          <w:rFonts w:ascii="Arial" w:cs="Arial" w:eastAsia="Arial" w:hAnsi="Arial"/>
          <w:sz w:val="14"/>
          <w:szCs w:val="14"/>
          <w:color w:val="auto"/>
        </w:rPr>
        <w:t>It shall be the duty of the Secretary to make and keep records of the votes, doings and proceedings of all meetings of the members and Board of the Company, and of its committees, and to authenticate records of the Company.</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125.2</w:t>
      </w:r>
      <w:r>
        <w:rPr>
          <w:sz w:val="20"/>
          <w:szCs w:val="20"/>
          <w:color w:val="auto"/>
        </w:rPr>
        <w:tab/>
      </w:r>
      <w:r>
        <w:rPr>
          <w:rFonts w:ascii="Arial" w:cs="Arial" w:eastAsia="Arial" w:hAnsi="Arial"/>
          <w:sz w:val="14"/>
          <w:szCs w:val="14"/>
          <w:color w:val="auto"/>
        </w:rPr>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Proceedings of Directors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126.</w:t>
      </w:r>
    </w:p>
    <w:p>
      <w:pPr>
        <w:spacing w:after="0" w:line="231" w:lineRule="exact"/>
        <w:rPr>
          <w:sz w:val="20"/>
          <w:szCs w:val="20"/>
          <w:color w:val="auto"/>
        </w:rPr>
      </w:pPr>
    </w:p>
    <w:p>
      <w:pPr>
        <w:ind w:left="980" w:right="460" w:hanging="769"/>
        <w:spacing w:after="0" w:line="228" w:lineRule="auto"/>
        <w:tabs>
          <w:tab w:leader="none" w:pos="960" w:val="left"/>
        </w:tabs>
        <w:rPr>
          <w:sz w:val="20"/>
          <w:szCs w:val="20"/>
          <w:color w:val="auto"/>
        </w:rPr>
      </w:pPr>
      <w:r>
        <w:rPr>
          <w:rFonts w:ascii="Arial" w:cs="Arial" w:eastAsia="Arial" w:hAnsi="Arial"/>
          <w:sz w:val="14"/>
          <w:szCs w:val="14"/>
          <w:color w:val="auto"/>
        </w:rPr>
        <w:t>126.1</w:t>
      </w:r>
      <w:r>
        <w:rPr>
          <w:sz w:val="20"/>
          <w:szCs w:val="20"/>
          <w:color w:val="auto"/>
        </w:rPr>
        <w:tab/>
      </w:r>
      <w:r>
        <w:rPr>
          <w:rFonts w:ascii="Arial" w:cs="Arial" w:eastAsia="Arial" w:hAnsi="Arial"/>
          <w:sz w:val="14"/>
          <w:szCs w:val="14"/>
          <w:color w:val="auto"/>
        </w:rPr>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230" w:lineRule="exact"/>
        <w:rPr>
          <w:sz w:val="20"/>
          <w:szCs w:val="20"/>
          <w:color w:val="auto"/>
        </w:rPr>
      </w:pPr>
    </w:p>
    <w:p>
      <w:pPr>
        <w:jc w:val="both"/>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126.2</w:t>
      </w:r>
      <w:r>
        <w:rPr>
          <w:sz w:val="20"/>
          <w:szCs w:val="20"/>
          <w:color w:val="auto"/>
        </w:rPr>
        <w:tab/>
      </w:r>
      <w:r>
        <w:rPr>
          <w:rFonts w:ascii="Arial" w:cs="Arial" w:eastAsia="Arial" w:hAnsi="Arial"/>
          <w:sz w:val="14"/>
          <w:szCs w:val="14"/>
          <w:color w:val="auto"/>
        </w:rPr>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230" w:lineRule="exact"/>
        <w:rPr>
          <w:sz w:val="20"/>
          <w:szCs w:val="20"/>
          <w:color w:val="auto"/>
        </w:rPr>
      </w:pPr>
    </w:p>
    <w:p>
      <w:pPr>
        <w:ind w:left="980" w:right="60" w:hanging="769"/>
        <w:spacing w:after="0" w:line="272" w:lineRule="auto"/>
        <w:tabs>
          <w:tab w:leader="none" w:pos="960" w:val="left"/>
        </w:tabs>
        <w:rPr>
          <w:sz w:val="20"/>
          <w:szCs w:val="20"/>
          <w:color w:val="auto"/>
        </w:rPr>
      </w:pPr>
      <w:r>
        <w:rPr>
          <w:rFonts w:ascii="Arial" w:cs="Arial" w:eastAsia="Arial" w:hAnsi="Arial"/>
          <w:sz w:val="14"/>
          <w:szCs w:val="14"/>
          <w:color w:val="auto"/>
        </w:rPr>
        <w:t>126.3</w:t>
      </w:r>
      <w:r>
        <w:rPr>
          <w:sz w:val="20"/>
          <w:szCs w:val="20"/>
          <w:color w:val="auto"/>
        </w:rPr>
        <w:tab/>
      </w:r>
      <w:r>
        <w:rPr>
          <w:rFonts w:ascii="Arial" w:cs="Arial" w:eastAsia="Arial" w:hAnsi="Arial"/>
          <w:sz w:val="12"/>
          <w:szCs w:val="12"/>
          <w:color w:val="auto"/>
        </w:rPr>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212" w:lineRule="exact"/>
        <w:rPr>
          <w:sz w:val="20"/>
          <w:szCs w:val="20"/>
          <w:color w:val="auto"/>
        </w:rPr>
      </w:pPr>
    </w:p>
    <w:p>
      <w:pPr>
        <w:ind w:left="980" w:hanging="776"/>
        <w:spacing w:after="0"/>
        <w:tabs>
          <w:tab w:leader="none" w:pos="9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Chairman or any two Directors may, and the Secretary shall on the requisition of the Chairman or any two Directors, at any time summon a meeting of the Directors.</w:t>
      </w:r>
    </w:p>
    <w:p>
      <w:pPr>
        <w:spacing w:after="0" w:line="253" w:lineRule="exact"/>
        <w:rPr>
          <w:rFonts w:ascii="Arial" w:cs="Arial" w:eastAsia="Arial" w:hAnsi="Arial"/>
          <w:sz w:val="12"/>
          <w:szCs w:val="12"/>
          <w:color w:val="auto"/>
        </w:rPr>
      </w:pPr>
    </w:p>
    <w:p>
      <w:pPr>
        <w:ind w:left="980" w:hanging="776"/>
        <w:spacing w:after="0" w:line="228" w:lineRule="auto"/>
        <w:tabs>
          <w:tab w:leader="none" w:pos="9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229" w:lineRule="exact"/>
        <w:rPr>
          <w:rFonts w:ascii="Arial" w:cs="Arial" w:eastAsia="Arial" w:hAnsi="Arial"/>
          <w:sz w:val="14"/>
          <w:szCs w:val="14"/>
          <w:color w:val="auto"/>
        </w:rPr>
      </w:pPr>
    </w:p>
    <w:p>
      <w:pPr>
        <w:ind w:left="980" w:right="40" w:hanging="776"/>
        <w:spacing w:after="0" w:line="224" w:lineRule="auto"/>
        <w:tabs>
          <w:tab w:leader="none" w:pos="9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232" w:lineRule="exact"/>
        <w:rPr>
          <w:rFonts w:ascii="Arial" w:cs="Arial" w:eastAsia="Arial" w:hAnsi="Arial"/>
          <w:sz w:val="14"/>
          <w:szCs w:val="14"/>
          <w:color w:val="auto"/>
        </w:rPr>
      </w:pPr>
    </w:p>
    <w:p>
      <w:pPr>
        <w:ind w:left="980" w:right="620" w:hanging="776"/>
        <w:spacing w:after="0" w:line="231" w:lineRule="auto"/>
        <w:tabs>
          <w:tab w:leader="none" w:pos="9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776"/>
        <w:spacing w:after="0" w:line="228" w:lineRule="auto"/>
        <w:tabs>
          <w:tab w:leader="none" w:pos="98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29" w:lineRule="exact"/>
        <w:rPr>
          <w:rFonts w:ascii="Arial" w:cs="Arial" w:eastAsia="Arial" w:hAnsi="Arial"/>
          <w:sz w:val="14"/>
          <w:szCs w:val="14"/>
          <w:color w:val="auto"/>
        </w:rPr>
      </w:pPr>
    </w:p>
    <w:p>
      <w:pPr>
        <w:ind w:left="980" w:right="100" w:hanging="776"/>
        <w:spacing w:after="0" w:line="272" w:lineRule="auto"/>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211" w:lineRule="exact"/>
        <w:rPr>
          <w:rFonts w:ascii="Arial" w:cs="Arial" w:eastAsia="Arial" w:hAnsi="Arial"/>
          <w:sz w:val="12"/>
          <w:szCs w:val="12"/>
          <w:color w:val="auto"/>
        </w:rPr>
      </w:pPr>
    </w:p>
    <w:p>
      <w:pPr>
        <w:ind w:left="980" w:right="80" w:hanging="776"/>
        <w:spacing w:after="0" w:line="224" w:lineRule="auto"/>
        <w:tabs>
          <w:tab w:leader="none" w:pos="98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Rights plan</w:t>
      </w:r>
    </w:p>
    <w:p>
      <w:pPr>
        <w:spacing w:after="0" w:line="247" w:lineRule="exact"/>
        <w:rPr>
          <w:sz w:val="20"/>
          <w:szCs w:val="20"/>
          <w:color w:val="auto"/>
        </w:rPr>
      </w:pPr>
    </w:p>
    <w:p>
      <w:pPr>
        <w:ind w:left="980" w:right="60" w:hanging="776"/>
        <w:spacing w:after="0" w:line="228" w:lineRule="auto"/>
        <w:tabs>
          <w:tab w:leader="none" w:pos="98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seal</w:t>
      </w:r>
    </w:p>
    <w:p>
      <w:pPr>
        <w:spacing w:after="0" w:line="247" w:lineRule="exact"/>
        <w:rPr>
          <w:sz w:val="20"/>
          <w:szCs w:val="20"/>
          <w:color w:val="auto"/>
        </w:rPr>
      </w:pPr>
    </w:p>
    <w:p>
      <w:pPr>
        <w:ind w:left="980" w:hanging="776"/>
        <w:spacing w:after="0" w:line="228" w:lineRule="auto"/>
        <w:tabs>
          <w:tab w:leader="none" w:pos="9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229" w:lineRule="exact"/>
        <w:rPr>
          <w:rFonts w:ascii="Arial" w:cs="Arial" w:eastAsia="Arial" w:hAnsi="Arial"/>
          <w:sz w:val="14"/>
          <w:szCs w:val="14"/>
          <w:color w:val="auto"/>
        </w:rPr>
      </w:pPr>
    </w:p>
    <w:p>
      <w:pPr>
        <w:jc w:val="both"/>
        <w:ind w:left="980" w:right="80" w:hanging="776"/>
        <w:spacing w:after="0" w:line="258" w:lineRule="auto"/>
        <w:tabs>
          <w:tab w:leader="none" w:pos="9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2"/>
          <w:szCs w:val="12"/>
          <w:b w:val="1"/>
          <w:bCs w:val="1"/>
          <w:color w:val="auto"/>
        </w:rPr>
        <w:t>Authorised Person</w:t>
      </w:r>
      <w:r>
        <w:rPr>
          <w:rFonts w:ascii="Arial" w:cs="Arial" w:eastAsia="Arial" w:hAnsi="Arial"/>
          <w:sz w:val="12"/>
          <w:szCs w:val="12"/>
          <w:color w:val="auto"/>
        </w:rPr>
        <w:t>” means</w:t>
      </w:r>
    </w:p>
    <w:p>
      <w:pPr>
        <w:ind w:left="980" w:right="100"/>
        <w:spacing w:after="0" w:line="231" w:lineRule="auto"/>
        <w:rPr>
          <w:rFonts w:ascii="Arial" w:cs="Arial" w:eastAsia="Arial" w:hAnsi="Arial"/>
          <w:sz w:val="12"/>
          <w:szCs w:val="12"/>
          <w:color w:val="auto"/>
        </w:rPr>
      </w:pPr>
      <w:r>
        <w:rPr>
          <w:rFonts w:ascii="Arial" w:cs="Arial" w:eastAsia="Arial" w:hAnsi="Arial"/>
          <w:sz w:val="14"/>
          <w:szCs w:val="14"/>
          <w:color w:val="auto"/>
        </w:rPr>
        <w:t>(i)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Dividends and reserves</w:t>
      </w:r>
    </w:p>
    <w:p>
      <w:pPr>
        <w:spacing w:after="0" w:line="247" w:lineRule="exact"/>
        <w:rPr>
          <w:sz w:val="20"/>
          <w:szCs w:val="20"/>
          <w:color w:val="auto"/>
        </w:rPr>
      </w:pPr>
    </w:p>
    <w:p>
      <w:pPr>
        <w:ind w:left="980" w:hanging="776"/>
        <w:spacing w:after="0"/>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Company in general meeting may declare dividends, but no dividends shall exceed the amount recommended by the Directors.</w:t>
      </w:r>
    </w:p>
    <w:p>
      <w:pPr>
        <w:spacing w:after="0" w:line="230" w:lineRule="exact"/>
        <w:rPr>
          <w:rFonts w:ascii="Arial" w:cs="Arial" w:eastAsia="Arial" w:hAnsi="Arial"/>
          <w:sz w:val="14"/>
          <w:szCs w:val="14"/>
          <w:color w:val="auto"/>
        </w:rPr>
      </w:pPr>
    </w:p>
    <w:p>
      <w:pPr>
        <w:ind w:left="980" w:right="40" w:hanging="776"/>
        <w:spacing w:after="0" w:line="231"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Directors may from time to time declare payment to the members of such interim dividends to the extent that the declaration of such dividends appears to the Directors to be justified by the profits of the Company.</w:t>
      </w:r>
    </w:p>
    <w:p>
      <w:pPr>
        <w:spacing w:after="0" w:line="230" w:lineRule="exact"/>
        <w:rPr>
          <w:rFonts w:ascii="Arial" w:cs="Arial" w:eastAsia="Arial" w:hAnsi="Arial"/>
          <w:sz w:val="14"/>
          <w:szCs w:val="14"/>
          <w:color w:val="auto"/>
        </w:rPr>
      </w:pPr>
    </w:p>
    <w:p>
      <w:pPr>
        <w:ind w:left="980" w:hanging="776"/>
        <w:spacing w:after="0"/>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No dividend or interim dividend shall be paid otherwise than in accordance with the provisions of Part IV of the 1983 Act.</w:t>
      </w:r>
    </w:p>
    <w:p>
      <w:pPr>
        <w:spacing w:after="0" w:line="230" w:lineRule="exact"/>
        <w:rPr>
          <w:rFonts w:ascii="Arial" w:cs="Arial" w:eastAsia="Arial" w:hAnsi="Arial"/>
          <w:sz w:val="14"/>
          <w:szCs w:val="14"/>
          <w:color w:val="auto"/>
        </w:rPr>
      </w:pPr>
    </w:p>
    <w:p>
      <w:pPr>
        <w:ind w:left="980" w:right="80" w:hanging="776"/>
        <w:spacing w:after="0" w:line="226"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230" w:lineRule="exact"/>
        <w:rPr>
          <w:rFonts w:ascii="Arial" w:cs="Arial" w:eastAsia="Arial" w:hAnsi="Arial"/>
          <w:sz w:val="14"/>
          <w:szCs w:val="14"/>
          <w:color w:val="auto"/>
        </w:rPr>
      </w:pPr>
    </w:p>
    <w:p>
      <w:pPr>
        <w:ind w:left="980" w:right="320" w:hanging="776"/>
        <w:spacing w:after="0" w:line="231"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230" w:lineRule="exact"/>
        <w:rPr>
          <w:rFonts w:ascii="Arial" w:cs="Arial" w:eastAsia="Arial" w:hAnsi="Arial"/>
          <w:sz w:val="14"/>
          <w:szCs w:val="14"/>
          <w:color w:val="auto"/>
        </w:rPr>
      </w:pPr>
    </w:p>
    <w:p>
      <w:pPr>
        <w:ind w:left="980" w:right="560" w:hanging="776"/>
        <w:spacing w:after="0" w:line="231"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Directors may deduct from any dividend payable to any member all sums of money (if any) immediately payable by him to the Company on account of calls or otherwise in relation to the shares of the Company.</w:t>
      </w:r>
    </w:p>
    <w:p>
      <w:pPr>
        <w:spacing w:after="0" w:line="230" w:lineRule="exact"/>
        <w:rPr>
          <w:rFonts w:ascii="Arial" w:cs="Arial" w:eastAsia="Arial" w:hAnsi="Arial"/>
          <w:sz w:val="14"/>
          <w:szCs w:val="14"/>
          <w:color w:val="auto"/>
        </w:rPr>
      </w:pPr>
    </w:p>
    <w:p>
      <w:pPr>
        <w:ind w:left="980" w:right="20" w:hanging="776"/>
        <w:spacing w:after="0" w:line="224" w:lineRule="auto"/>
        <w:tabs>
          <w:tab w:leader="none" w:pos="98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232" w:lineRule="exact"/>
        <w:rPr>
          <w:rFonts w:ascii="Arial" w:cs="Arial" w:eastAsia="Arial" w:hAnsi="Arial"/>
          <w:sz w:val="14"/>
          <w:szCs w:val="14"/>
          <w:color w:val="auto"/>
        </w:rPr>
      </w:pPr>
    </w:p>
    <w:p>
      <w:pPr>
        <w:ind w:left="980" w:hanging="776"/>
        <w:spacing w:after="0" w:line="264" w:lineRule="auto"/>
        <w:tabs>
          <w:tab w:leader="none" w:pos="98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191770</wp:posOffset>
            </wp:positionV>
            <wp:extent cx="6997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20" w:hanging="776"/>
        <w:spacing w:after="0" w:line="231" w:lineRule="auto"/>
        <w:tabs>
          <w:tab w:leader="none" w:pos="9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No dividend or other monies payable by the Company on or in respect of any share shall bear interest against the Company, unless the terms of issue of that share expressly provide otherwise.</w:t>
      </w:r>
    </w:p>
    <w:p>
      <w:pPr>
        <w:spacing w:after="0" w:line="230" w:lineRule="exact"/>
        <w:rPr>
          <w:rFonts w:ascii="Arial" w:cs="Arial" w:eastAsia="Arial" w:hAnsi="Arial"/>
          <w:sz w:val="14"/>
          <w:szCs w:val="14"/>
          <w:color w:val="auto"/>
        </w:rPr>
      </w:pPr>
    </w:p>
    <w:p>
      <w:pPr>
        <w:ind w:left="980" w:hanging="776"/>
        <w:spacing w:after="0" w:line="228" w:lineRule="auto"/>
        <w:tabs>
          <w:tab w:leader="none" w:pos="9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Accounts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147.</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147.1</w:t>
      </w:r>
      <w:r>
        <w:rPr>
          <w:sz w:val="20"/>
          <w:szCs w:val="20"/>
          <w:color w:val="auto"/>
        </w:rPr>
        <w:tab/>
      </w:r>
      <w:r>
        <w:rPr>
          <w:rFonts w:ascii="Arial" w:cs="Arial" w:eastAsia="Arial" w:hAnsi="Arial"/>
          <w:sz w:val="12"/>
          <w:szCs w:val="12"/>
          <w:color w:val="auto"/>
        </w:rPr>
        <w:t>The Directors shall cause to be kept proper books of account, whether in the form of documents, electronic form or otherwise, that:</w:t>
      </w:r>
    </w:p>
    <w:p>
      <w:pPr>
        <w:spacing w:after="0" w:line="231" w:lineRule="exact"/>
        <w:rPr>
          <w:sz w:val="20"/>
          <w:szCs w:val="20"/>
          <w:color w:val="auto"/>
        </w:rPr>
      </w:pPr>
    </w:p>
    <w:p>
      <w:pPr>
        <w:ind w:left="1860" w:hanging="886"/>
        <w:spacing w:after="0"/>
        <w:tabs>
          <w:tab w:leader="none" w:pos="186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correctly record and explain the transactions of the Company;</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will at any time enable the financial position of the Company to be determined with reasonable accuracy;</w:t>
      </w:r>
    </w:p>
    <w:p>
      <w:pPr>
        <w:spacing w:after="0" w:line="230" w:lineRule="exact"/>
        <w:rPr>
          <w:rFonts w:ascii="Arial" w:cs="Arial" w:eastAsia="Arial" w:hAnsi="Arial"/>
          <w:sz w:val="14"/>
          <w:szCs w:val="14"/>
          <w:color w:val="auto"/>
        </w:rPr>
      </w:pPr>
    </w:p>
    <w:p>
      <w:pPr>
        <w:ind w:left="1860" w:right="300" w:hanging="886"/>
        <w:spacing w:after="0" w:line="231" w:lineRule="auto"/>
        <w:tabs>
          <w:tab w:leader="none" w:pos="186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will enable the Directors to ensure that any balance sheet, profit and loss account or income and expenditure account of the Company complies with the requirements of the Acts;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will enable the accounts of the Company to be readily and properly audited.</w:t>
      </w:r>
    </w:p>
    <w:p>
      <w:pPr>
        <w:spacing w:after="0" w:line="209" w:lineRule="exact"/>
        <w:rPr>
          <w:sz w:val="20"/>
          <w:szCs w:val="20"/>
          <w:color w:val="auto"/>
        </w:rPr>
      </w:pPr>
    </w:p>
    <w:p>
      <w:pPr>
        <w:jc w:val="both"/>
        <w:ind w:left="980" w:right="160"/>
        <w:spacing w:after="0" w:line="250" w:lineRule="auto"/>
        <w:rPr>
          <w:sz w:val="20"/>
          <w:szCs w:val="20"/>
          <w:color w:val="auto"/>
        </w:rPr>
      </w:pPr>
      <w:r>
        <w:rPr>
          <w:rFonts w:ascii="Arial" w:cs="Arial" w:eastAsia="Arial" w:hAnsi="Arial"/>
          <w:sz w:val="14"/>
          <w:szCs w:val="14"/>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99" w:lineRule="exact"/>
        <w:rPr>
          <w:sz w:val="20"/>
          <w:szCs w:val="20"/>
          <w:color w:val="auto"/>
        </w:rPr>
      </w:pPr>
    </w:p>
    <w:p>
      <w:pPr>
        <w:ind w:left="980" w:right="100"/>
        <w:spacing w:after="0" w:line="250" w:lineRule="auto"/>
        <w:rPr>
          <w:sz w:val="20"/>
          <w:szCs w:val="20"/>
          <w:color w:val="auto"/>
        </w:rPr>
      </w:pPr>
      <w:r>
        <w:rPr>
          <w:rFonts w:ascii="Arial" w:cs="Arial" w:eastAsia="Arial" w:hAnsi="Arial"/>
          <w:sz w:val="14"/>
          <w:szCs w:val="14"/>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221" w:lineRule="exact"/>
        <w:rPr>
          <w:sz w:val="20"/>
          <w:szCs w:val="20"/>
          <w:color w:val="auto"/>
        </w:rPr>
      </w:pPr>
    </w:p>
    <w:p>
      <w:pPr>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147.2</w:t>
      </w:r>
      <w:r>
        <w:rPr>
          <w:sz w:val="20"/>
          <w:szCs w:val="20"/>
          <w:color w:val="auto"/>
        </w:rPr>
        <w:tab/>
      </w:r>
      <w:r>
        <w:rPr>
          <w:rFonts w:ascii="Arial" w:cs="Arial" w:eastAsia="Arial" w:hAnsi="Arial"/>
          <w:sz w:val="14"/>
          <w:szCs w:val="14"/>
          <w:color w:val="auto"/>
        </w:rPr>
        <w:t>The books of account shall be kept at the Office or, subject to the provisions of the Acts, at such other place as the Directors think fit and shall be open at all reasonable times to the inspection of the Directors.</w:t>
      </w:r>
    </w:p>
    <w:p>
      <w:pPr>
        <w:spacing w:after="0" w:line="230" w:lineRule="exact"/>
        <w:rPr>
          <w:sz w:val="20"/>
          <w:szCs w:val="20"/>
          <w:color w:val="auto"/>
        </w:rPr>
      </w:pPr>
    </w:p>
    <w:p>
      <w:pPr>
        <w:ind w:left="980" w:right="120" w:hanging="769"/>
        <w:spacing w:after="0" w:line="231" w:lineRule="auto"/>
        <w:tabs>
          <w:tab w:leader="none" w:pos="960" w:val="left"/>
        </w:tabs>
        <w:rPr>
          <w:sz w:val="20"/>
          <w:szCs w:val="20"/>
          <w:color w:val="auto"/>
        </w:rPr>
      </w:pPr>
      <w:r>
        <w:rPr>
          <w:rFonts w:ascii="Arial" w:cs="Arial" w:eastAsia="Arial" w:hAnsi="Arial"/>
          <w:sz w:val="14"/>
          <w:szCs w:val="14"/>
          <w:color w:val="auto"/>
        </w:rPr>
        <w:t>147.3</w:t>
      </w:r>
      <w:r>
        <w:rPr>
          <w:sz w:val="20"/>
          <w:szCs w:val="20"/>
          <w:color w:val="auto"/>
        </w:rPr>
        <w:tab/>
      </w:r>
      <w:r>
        <w:rPr>
          <w:rFonts w:ascii="Arial" w:cs="Arial" w:eastAsia="Arial" w:hAnsi="Arial"/>
          <w:sz w:val="14"/>
          <w:szCs w:val="14"/>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30" w:lineRule="exact"/>
        <w:rPr>
          <w:sz w:val="20"/>
          <w:szCs w:val="20"/>
          <w:color w:val="auto"/>
        </w:rPr>
      </w:pPr>
    </w:p>
    <w:p>
      <w:pPr>
        <w:ind w:left="980" w:right="60" w:hanging="769"/>
        <w:spacing w:after="0" w:line="225" w:lineRule="auto"/>
        <w:tabs>
          <w:tab w:leader="none" w:pos="960" w:val="left"/>
        </w:tabs>
        <w:rPr>
          <w:sz w:val="20"/>
          <w:szCs w:val="20"/>
          <w:color w:val="auto"/>
        </w:rPr>
      </w:pPr>
      <w:r>
        <w:rPr>
          <w:rFonts w:ascii="Arial" w:cs="Arial" w:eastAsia="Arial" w:hAnsi="Arial"/>
          <w:sz w:val="14"/>
          <w:szCs w:val="14"/>
          <w:color w:val="auto"/>
        </w:rPr>
        <w:t>147.4</w:t>
      </w:r>
      <w:r>
        <w:rPr>
          <w:sz w:val="20"/>
          <w:szCs w:val="20"/>
          <w:color w:val="auto"/>
        </w:rPr>
        <w:tab/>
      </w:r>
      <w:r>
        <w:rPr>
          <w:rFonts w:ascii="Arial" w:cs="Arial" w:eastAsia="Arial" w:hAnsi="Arial"/>
          <w:sz w:val="14"/>
          <w:szCs w:val="14"/>
          <w:color w:val="auto"/>
        </w:rPr>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Capitalization of profits</w:t>
      </w:r>
    </w:p>
    <w:p>
      <w:pPr>
        <w:spacing w:after="0" w:line="247" w:lineRule="exact"/>
        <w:rPr>
          <w:sz w:val="20"/>
          <w:szCs w:val="20"/>
          <w:color w:val="auto"/>
        </w:rPr>
      </w:pPr>
    </w:p>
    <w:p>
      <w:pPr>
        <w:ind w:left="980" w:hanging="776"/>
        <w:spacing w:after="0" w:line="223" w:lineRule="auto"/>
        <w:tabs>
          <w:tab w:leader="none" w:pos="98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Amendment of articles</w:t>
      </w:r>
    </w:p>
    <w:p>
      <w:pPr>
        <w:spacing w:after="0" w:line="152" w:lineRule="exact"/>
        <w:rPr>
          <w:sz w:val="20"/>
          <w:szCs w:val="20"/>
          <w:color w:val="auto"/>
        </w:rPr>
      </w:pPr>
    </w:p>
    <w:p>
      <w:pPr>
        <w:ind w:left="980" w:hanging="776"/>
        <w:spacing w:after="0"/>
        <w:tabs>
          <w:tab w:leader="none" w:pos="98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Subject to the provisions of the Acts, the Company may by Special Resolution alter or add to its articles.</w:t>
      </w:r>
    </w:p>
    <w:p>
      <w:pPr>
        <w:spacing w:after="0" w:line="187"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b w:val="1"/>
          <w:bCs w:val="1"/>
          <w:color w:val="auto"/>
        </w:rPr>
        <w:t>Audit</w:t>
      </w:r>
    </w:p>
    <w:p>
      <w:pPr>
        <w:spacing w:after="0" w:line="246" w:lineRule="exact"/>
        <w:rPr>
          <w:rFonts w:ascii="Arial" w:cs="Arial" w:eastAsia="Arial" w:hAnsi="Arial"/>
          <w:sz w:val="14"/>
          <w:szCs w:val="14"/>
          <w:color w:val="auto"/>
        </w:rPr>
      </w:pPr>
    </w:p>
    <w:p>
      <w:pPr>
        <w:ind w:left="980" w:hanging="776"/>
        <w:spacing w:after="0"/>
        <w:tabs>
          <w:tab w:leader="none" w:pos="98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Auditors shall be appointed and their duties regulated in accordance with sections 160 to 163 of the Act or any statutory amendment thereof.</w:t>
      </w:r>
    </w:p>
    <w:p>
      <w:pPr>
        <w:spacing w:after="0" w:line="187" w:lineRule="exact"/>
        <w:rPr>
          <w:rFonts w:ascii="Arial" w:cs="Arial" w:eastAsia="Arial" w:hAnsi="Arial"/>
          <w:sz w:val="14"/>
          <w:szCs w:val="14"/>
          <w:color w:val="auto"/>
        </w:rPr>
      </w:pPr>
    </w:p>
    <w:p>
      <w:pPr>
        <w:ind w:left="5280"/>
        <w:spacing w:after="0"/>
        <w:rPr>
          <w:rFonts w:ascii="Arial" w:cs="Arial" w:eastAsia="Arial" w:hAnsi="Arial"/>
          <w:sz w:val="14"/>
          <w:szCs w:val="14"/>
          <w:color w:val="auto"/>
        </w:rPr>
      </w:pPr>
      <w:r>
        <w:rPr>
          <w:rFonts w:ascii="Arial" w:cs="Arial" w:eastAsia="Arial" w:hAnsi="Arial"/>
          <w:sz w:val="14"/>
          <w:szCs w:val="14"/>
          <w:b w:val="1"/>
          <w:bCs w:val="1"/>
          <w:color w:val="auto"/>
        </w:rPr>
        <w:t>Record Dates</w:t>
      </w:r>
    </w:p>
    <w:p>
      <w:pPr>
        <w:spacing w:after="0" w:line="246" w:lineRule="exact"/>
        <w:rPr>
          <w:rFonts w:ascii="Arial" w:cs="Arial" w:eastAsia="Arial" w:hAnsi="Arial"/>
          <w:sz w:val="14"/>
          <w:szCs w:val="14"/>
          <w:color w:val="auto"/>
        </w:rPr>
      </w:pPr>
    </w:p>
    <w:p>
      <w:pPr>
        <w:ind w:left="980" w:right="60" w:hanging="776"/>
        <w:spacing w:after="0" w:line="225" w:lineRule="auto"/>
        <w:tabs>
          <w:tab w:leader="none" w:pos="98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Save as provided in article 152 relating to meetings of the member 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3" w:lineRule="exact"/>
        <w:rPr>
          <w:sz w:val="20"/>
          <w:szCs w:val="20"/>
          <w:color w:val="auto"/>
        </w:rPr>
      </w:pPr>
    </w:p>
    <w:p>
      <w:pPr>
        <w:ind w:left="7220"/>
        <w:spacing w:after="0"/>
        <w:tabs>
          <w:tab w:leader="none" w:pos="109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B-23</w:t>
      </w:r>
    </w:p>
    <w:p>
      <w:pPr>
        <w:sectPr>
          <w:pgSz w:w="11900" w:h="16838" w:orient="portrait"/>
          <w:cols w:equalWidth="0" w:num="1">
            <w:col w:w="11220"/>
          </w:cols>
          <w:pgMar w:left="240" w:top="459" w:right="4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hanging="776"/>
        <w:spacing w:after="0" w:line="225" w:lineRule="auto"/>
        <w:tabs>
          <w:tab w:leader="none" w:pos="98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Notices</w:t>
      </w:r>
    </w:p>
    <w:p>
      <w:pPr>
        <w:spacing w:after="0" w:line="247" w:lineRule="exact"/>
        <w:rPr>
          <w:sz w:val="20"/>
          <w:szCs w:val="20"/>
          <w:color w:val="auto"/>
        </w:rPr>
      </w:pPr>
    </w:p>
    <w:p>
      <w:pPr>
        <w:ind w:left="980" w:hanging="776"/>
        <w:spacing w:after="0"/>
        <w:tabs>
          <w:tab w:leader="none" w:pos="98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Any notice to be given, served, sent or delivered pursuant to these articles shall be in writing (whether in electronic form or otherwise).</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153.1</w:t>
      </w:r>
      <w:r>
        <w:rPr>
          <w:sz w:val="20"/>
          <w:szCs w:val="20"/>
          <w:color w:val="auto"/>
        </w:rPr>
        <w:tab/>
      </w:r>
      <w:r>
        <w:rPr>
          <w:rFonts w:ascii="Arial" w:cs="Arial" w:eastAsia="Arial" w:hAnsi="Arial"/>
          <w:sz w:val="12"/>
          <w:szCs w:val="12"/>
          <w:color w:val="auto"/>
        </w:rPr>
        <w:t>A notice or document to be given, served, sent or delivered in pursuance of these articles may be given to, served on or delivered to any member by the Company:</w:t>
      </w:r>
    </w:p>
    <w:p>
      <w:pPr>
        <w:spacing w:after="0" w:line="231" w:lineRule="exact"/>
        <w:rPr>
          <w:sz w:val="20"/>
          <w:szCs w:val="20"/>
          <w:color w:val="auto"/>
        </w:rPr>
      </w:pPr>
    </w:p>
    <w:p>
      <w:pPr>
        <w:ind w:left="1860" w:hanging="886"/>
        <w:spacing w:after="0"/>
        <w:tabs>
          <w:tab w:leader="none" w:pos="18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by handing same to him or his authorised agent;</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by leaving the same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by sending the same by the post in a pre-paid cover addressed to him at his registered address;</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by sending the same by courier in a pre-paid cover addressed to him at his registered address; or</w:t>
      </w:r>
    </w:p>
    <w:p>
      <w:pPr>
        <w:spacing w:after="0" w:line="230" w:lineRule="exact"/>
        <w:rPr>
          <w:rFonts w:ascii="Arial" w:cs="Arial" w:eastAsia="Arial" w:hAnsi="Arial"/>
          <w:sz w:val="14"/>
          <w:szCs w:val="14"/>
          <w:color w:val="auto"/>
        </w:rPr>
      </w:pPr>
    </w:p>
    <w:p>
      <w:pPr>
        <w:jc w:val="both"/>
        <w:ind w:left="1860" w:right="60" w:hanging="886"/>
        <w:spacing w:after="0" w:line="228" w:lineRule="auto"/>
        <w:tabs>
          <w:tab w:leader="none" w:pos="18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230" w:lineRule="exact"/>
        <w:rPr>
          <w:sz w:val="20"/>
          <w:szCs w:val="20"/>
          <w:color w:val="auto"/>
        </w:rPr>
      </w:pPr>
    </w:p>
    <w:p>
      <w:pPr>
        <w:jc w:val="both"/>
        <w:ind w:left="980" w:right="240" w:hanging="769"/>
        <w:spacing w:after="0" w:line="231" w:lineRule="auto"/>
        <w:tabs>
          <w:tab w:leader="none" w:pos="960" w:val="left"/>
        </w:tabs>
        <w:rPr>
          <w:sz w:val="20"/>
          <w:szCs w:val="20"/>
          <w:color w:val="auto"/>
        </w:rPr>
      </w:pPr>
      <w:r>
        <w:rPr>
          <w:rFonts w:ascii="Arial" w:cs="Arial" w:eastAsia="Arial" w:hAnsi="Arial"/>
          <w:sz w:val="14"/>
          <w:szCs w:val="14"/>
          <w:color w:val="auto"/>
        </w:rPr>
        <w:t>153.2</w:t>
      </w:r>
      <w:r>
        <w:rPr>
          <w:sz w:val="20"/>
          <w:szCs w:val="20"/>
          <w:color w:val="auto"/>
        </w:rPr>
        <w:tab/>
      </w:r>
      <w:r>
        <w:rPr>
          <w:rFonts w:ascii="Arial" w:cs="Arial" w:eastAsia="Arial" w:hAnsi="Arial"/>
          <w:sz w:val="14"/>
          <w:szCs w:val="14"/>
          <w:color w:val="auto"/>
        </w:rPr>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230" w:lineRule="exact"/>
        <w:rPr>
          <w:sz w:val="20"/>
          <w:szCs w:val="20"/>
          <w:color w:val="auto"/>
        </w:rPr>
      </w:pPr>
    </w:p>
    <w:p>
      <w:pPr>
        <w:ind w:left="980" w:right="260" w:hanging="769"/>
        <w:spacing w:after="0" w:line="231" w:lineRule="auto"/>
        <w:tabs>
          <w:tab w:leader="none" w:pos="960" w:val="left"/>
        </w:tabs>
        <w:rPr>
          <w:sz w:val="20"/>
          <w:szCs w:val="20"/>
          <w:color w:val="auto"/>
        </w:rPr>
      </w:pPr>
      <w:r>
        <w:rPr>
          <w:rFonts w:ascii="Arial" w:cs="Arial" w:eastAsia="Arial" w:hAnsi="Arial"/>
          <w:sz w:val="14"/>
          <w:szCs w:val="14"/>
          <w:color w:val="auto"/>
        </w:rPr>
        <w:t>153.3</w:t>
      </w:r>
      <w:r>
        <w:rPr>
          <w:sz w:val="20"/>
          <w:szCs w:val="20"/>
          <w:color w:val="auto"/>
        </w:rPr>
        <w:tab/>
      </w:r>
      <w:r>
        <w:rPr>
          <w:rFonts w:ascii="Arial" w:cs="Arial" w:eastAsia="Arial" w:hAnsi="Arial"/>
          <w:sz w:val="14"/>
          <w:szCs w:val="14"/>
          <w:color w:val="auto"/>
        </w:rPr>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230" w:lineRule="exact"/>
        <w:rPr>
          <w:sz w:val="20"/>
          <w:szCs w:val="20"/>
          <w:color w:val="auto"/>
        </w:rPr>
      </w:pPr>
    </w:p>
    <w:p>
      <w:pPr>
        <w:jc w:val="both"/>
        <w:ind w:left="980" w:right="240" w:hanging="769"/>
        <w:spacing w:after="0" w:line="228" w:lineRule="auto"/>
        <w:tabs>
          <w:tab w:leader="none" w:pos="960" w:val="left"/>
        </w:tabs>
        <w:rPr>
          <w:sz w:val="20"/>
          <w:szCs w:val="20"/>
          <w:color w:val="auto"/>
        </w:rPr>
      </w:pPr>
      <w:r>
        <w:rPr>
          <w:rFonts w:ascii="Arial" w:cs="Arial" w:eastAsia="Arial" w:hAnsi="Arial"/>
          <w:sz w:val="14"/>
          <w:szCs w:val="14"/>
          <w:color w:val="auto"/>
        </w:rPr>
        <w:t>153.4</w:t>
      </w:r>
      <w:r>
        <w:rPr>
          <w:sz w:val="20"/>
          <w:szCs w:val="20"/>
          <w:color w:val="auto"/>
        </w:rPr>
        <w:tab/>
      </w:r>
      <w:r>
        <w:rPr>
          <w:rFonts w:ascii="Arial" w:cs="Arial" w:eastAsia="Arial" w:hAnsi="Arial"/>
          <w:sz w:val="14"/>
          <w:szCs w:val="14"/>
          <w:color w:val="auto"/>
        </w:rPr>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230" w:lineRule="exact"/>
        <w:rPr>
          <w:sz w:val="20"/>
          <w:szCs w:val="20"/>
          <w:color w:val="auto"/>
        </w:rPr>
      </w:pPr>
    </w:p>
    <w:p>
      <w:pPr>
        <w:ind w:left="980" w:right="260" w:hanging="769"/>
        <w:spacing w:after="0" w:line="231" w:lineRule="auto"/>
        <w:tabs>
          <w:tab w:leader="none" w:pos="960" w:val="left"/>
        </w:tabs>
        <w:rPr>
          <w:sz w:val="20"/>
          <w:szCs w:val="20"/>
          <w:color w:val="auto"/>
        </w:rPr>
      </w:pPr>
      <w:r>
        <w:rPr>
          <w:rFonts w:ascii="Arial" w:cs="Arial" w:eastAsia="Arial" w:hAnsi="Arial"/>
          <w:sz w:val="14"/>
          <w:szCs w:val="14"/>
          <w:color w:val="auto"/>
        </w:rPr>
        <w:t>153.5</w:t>
      </w:r>
      <w:r>
        <w:rPr>
          <w:sz w:val="20"/>
          <w:szCs w:val="20"/>
          <w:color w:val="auto"/>
        </w:rPr>
        <w:tab/>
      </w:r>
      <w:r>
        <w:rPr>
          <w:rFonts w:ascii="Arial" w:cs="Arial" w:eastAsia="Arial" w:hAnsi="Arial"/>
          <w:sz w:val="14"/>
          <w:szCs w:val="14"/>
          <w:color w:val="auto"/>
        </w:rPr>
        <w:t>Where a notice or document is given, served or delivered pursuant to article 153.1(e) of this article, the giving, service or delivery thereof shall be deemed to have been effected immediately upon receipt of transmittal confirmation.</w:t>
      </w:r>
    </w:p>
    <w:p>
      <w:pPr>
        <w:spacing w:after="0" w:line="230" w:lineRule="exact"/>
        <w:rPr>
          <w:sz w:val="20"/>
          <w:szCs w:val="20"/>
          <w:color w:val="auto"/>
        </w:rPr>
      </w:pPr>
    </w:p>
    <w:p>
      <w:pPr>
        <w:ind w:left="980" w:right="40" w:hanging="769"/>
        <w:spacing w:after="0" w:line="226" w:lineRule="auto"/>
        <w:tabs>
          <w:tab w:leader="none" w:pos="960" w:val="left"/>
        </w:tabs>
        <w:rPr>
          <w:sz w:val="20"/>
          <w:szCs w:val="20"/>
          <w:color w:val="auto"/>
        </w:rPr>
      </w:pPr>
      <w:r>
        <w:rPr>
          <w:rFonts w:ascii="Arial" w:cs="Arial" w:eastAsia="Arial" w:hAnsi="Arial"/>
          <w:sz w:val="14"/>
          <w:szCs w:val="14"/>
          <w:color w:val="auto"/>
        </w:rPr>
        <w:t>153.6</w:t>
      </w:r>
      <w:r>
        <w:rPr>
          <w:sz w:val="20"/>
          <w:szCs w:val="20"/>
          <w:color w:val="auto"/>
        </w:rPr>
        <w:tab/>
      </w:r>
      <w:r>
        <w:rPr>
          <w:rFonts w:ascii="Arial" w:cs="Arial" w:eastAsia="Arial" w:hAnsi="Arial"/>
          <w:sz w:val="14"/>
          <w:szCs w:val="14"/>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231"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153.7</w:t>
      </w:r>
      <w:r>
        <w:rPr>
          <w:sz w:val="20"/>
          <w:szCs w:val="20"/>
          <w:color w:val="auto"/>
        </w:rPr>
        <w:tab/>
      </w:r>
      <w:r>
        <w:rPr>
          <w:rFonts w:ascii="Arial" w:cs="Arial" w:eastAsia="Arial" w:hAnsi="Arial"/>
          <w:sz w:val="14"/>
          <w:szCs w:val="14"/>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230" w:lineRule="exact"/>
        <w:rPr>
          <w:sz w:val="20"/>
          <w:szCs w:val="20"/>
          <w:color w:val="auto"/>
        </w:rPr>
      </w:pPr>
    </w:p>
    <w:p>
      <w:pPr>
        <w:ind w:left="980" w:right="20" w:hanging="769"/>
        <w:spacing w:after="0" w:line="224" w:lineRule="auto"/>
        <w:tabs>
          <w:tab w:leader="none" w:pos="960" w:val="left"/>
        </w:tabs>
        <w:rPr>
          <w:sz w:val="20"/>
          <w:szCs w:val="20"/>
          <w:color w:val="auto"/>
        </w:rPr>
      </w:pPr>
      <w:r>
        <w:rPr>
          <w:rFonts w:ascii="Arial" w:cs="Arial" w:eastAsia="Arial" w:hAnsi="Arial"/>
          <w:sz w:val="14"/>
          <w:szCs w:val="14"/>
          <w:color w:val="auto"/>
        </w:rPr>
        <w:t>153.8</w:t>
      </w:r>
      <w:r>
        <w:rPr>
          <w:sz w:val="20"/>
          <w:szCs w:val="20"/>
          <w:color w:val="auto"/>
        </w:rPr>
        <w:tab/>
      </w:r>
      <w:r>
        <w:rPr>
          <w:rFonts w:ascii="Arial" w:cs="Arial" w:eastAsia="Arial" w:hAnsi="Arial"/>
          <w:sz w:val="14"/>
          <w:szCs w:val="14"/>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231" w:lineRule="exact"/>
        <w:rPr>
          <w:sz w:val="20"/>
          <w:szCs w:val="20"/>
          <w:color w:val="auto"/>
        </w:rPr>
      </w:pPr>
    </w:p>
    <w:p>
      <w:pPr>
        <w:ind w:left="980" w:right="80" w:hanging="769"/>
        <w:spacing w:after="0" w:line="226" w:lineRule="auto"/>
        <w:tabs>
          <w:tab w:leader="none" w:pos="960" w:val="left"/>
        </w:tabs>
        <w:rPr>
          <w:sz w:val="20"/>
          <w:szCs w:val="20"/>
          <w:color w:val="auto"/>
        </w:rPr>
      </w:pPr>
      <w:r>
        <w:rPr>
          <w:rFonts w:ascii="Arial" w:cs="Arial" w:eastAsia="Arial" w:hAnsi="Arial"/>
          <w:sz w:val="14"/>
          <w:szCs w:val="14"/>
          <w:color w:val="auto"/>
        </w:rPr>
        <w:t>153.9</w:t>
      </w:r>
      <w:r>
        <w:rPr>
          <w:sz w:val="20"/>
          <w:szCs w:val="20"/>
          <w:color w:val="auto"/>
        </w:rPr>
        <w:tab/>
      </w:r>
      <w:r>
        <w:rPr>
          <w:rFonts w:ascii="Arial" w:cs="Arial" w:eastAsia="Arial" w:hAnsi="Arial"/>
          <w:sz w:val="14"/>
          <w:szCs w:val="14"/>
          <w:color w:val="auto"/>
        </w:rPr>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231" w:lineRule="exact"/>
        <w:rPr>
          <w:sz w:val="20"/>
          <w:szCs w:val="20"/>
          <w:color w:val="auto"/>
        </w:rPr>
      </w:pPr>
    </w:p>
    <w:p>
      <w:pPr>
        <w:ind w:left="980" w:right="20" w:hanging="776"/>
        <w:spacing w:after="0" w:line="231" w:lineRule="auto"/>
        <w:tabs>
          <w:tab w:leader="none" w:pos="98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155.</w:t>
      </w:r>
    </w:p>
    <w:p>
      <w:pPr>
        <w:spacing w:after="0" w:line="231" w:lineRule="exact"/>
        <w:rPr>
          <w:sz w:val="20"/>
          <w:szCs w:val="20"/>
          <w:color w:val="auto"/>
        </w:rPr>
      </w:pPr>
    </w:p>
    <w:p>
      <w:pPr>
        <w:ind w:left="980" w:right="360" w:hanging="769"/>
        <w:spacing w:after="0" w:line="231" w:lineRule="auto"/>
        <w:tabs>
          <w:tab w:leader="none" w:pos="960" w:val="left"/>
        </w:tabs>
        <w:rPr>
          <w:sz w:val="20"/>
          <w:szCs w:val="20"/>
          <w:color w:val="auto"/>
        </w:rPr>
      </w:pPr>
      <w:r>
        <w:rPr>
          <w:rFonts w:ascii="Arial" w:cs="Arial" w:eastAsia="Arial" w:hAnsi="Arial"/>
          <w:sz w:val="14"/>
          <w:szCs w:val="14"/>
          <w:color w:val="auto"/>
        </w:rPr>
        <w:t>155.1</w:t>
      </w:r>
      <w:r>
        <w:rPr>
          <w:sz w:val="20"/>
          <w:szCs w:val="20"/>
          <w:color w:val="auto"/>
        </w:rPr>
        <w:tab/>
      </w:r>
      <w:r>
        <w:rPr>
          <w:rFonts w:ascii="Arial" w:cs="Arial" w:eastAsia="Arial" w:hAnsi="Arial"/>
          <w:sz w:val="14"/>
          <w:szCs w:val="14"/>
          <w:color w:val="auto"/>
        </w:rPr>
        <w:t>Every person who becomes entitled to a share shall before his name is entered in the Register in respect of the share, be bound by any notice in respect of that share which has been duly given to a person from whom he derives his title.</w:t>
      </w:r>
    </w:p>
    <w:p>
      <w:pPr>
        <w:spacing w:after="0" w:line="230" w:lineRule="exact"/>
        <w:rPr>
          <w:sz w:val="20"/>
          <w:szCs w:val="20"/>
          <w:color w:val="auto"/>
        </w:rPr>
      </w:pPr>
    </w:p>
    <w:p>
      <w:pPr>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155.2</w:t>
      </w:r>
      <w:r>
        <w:rPr>
          <w:sz w:val="20"/>
          <w:szCs w:val="20"/>
          <w:color w:val="auto"/>
        </w:rPr>
        <w:tab/>
      </w:r>
      <w:r>
        <w:rPr>
          <w:rFonts w:ascii="Arial" w:cs="Arial" w:eastAsia="Arial" w:hAnsi="Arial"/>
          <w:sz w:val="14"/>
          <w:szCs w:val="14"/>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1"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776"/>
        <w:spacing w:after="0" w:line="231" w:lineRule="auto"/>
        <w:tabs>
          <w:tab w:leader="none" w:pos="98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signature (whether electronic signature, an advanced electronic signature or otherwise) to any notice to be given by the Company may be written (in electronic form or otherwise) or printed.</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Winding up</w:t>
      </w:r>
    </w:p>
    <w:p>
      <w:pPr>
        <w:spacing w:after="0" w:line="247" w:lineRule="exact"/>
        <w:rPr>
          <w:sz w:val="20"/>
          <w:szCs w:val="20"/>
          <w:color w:val="auto"/>
        </w:rPr>
      </w:pPr>
    </w:p>
    <w:p>
      <w:pPr>
        <w:ind w:left="980" w:right="80" w:hanging="776"/>
        <w:spacing w:after="0" w:line="266" w:lineRule="auto"/>
        <w:tabs>
          <w:tab w:leader="none" w:pos="98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158.</w:t>
      </w:r>
    </w:p>
    <w:p>
      <w:pPr>
        <w:spacing w:after="0" w:line="231"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158.1</w:t>
      </w:r>
      <w:r>
        <w:rPr>
          <w:sz w:val="20"/>
          <w:szCs w:val="20"/>
          <w:color w:val="auto"/>
        </w:rPr>
        <w:tab/>
      </w:r>
      <w:r>
        <w:rPr>
          <w:rFonts w:ascii="Arial" w:cs="Arial" w:eastAsia="Arial" w:hAnsi="Arial"/>
          <w:sz w:val="14"/>
          <w:szCs w:val="14"/>
          <w:color w:val="auto"/>
        </w:rPr>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31" w:lineRule="exact"/>
        <w:rPr>
          <w:sz w:val="20"/>
          <w:szCs w:val="20"/>
          <w:color w:val="auto"/>
        </w:rPr>
      </w:pPr>
    </w:p>
    <w:p>
      <w:pPr>
        <w:ind w:left="980" w:right="340" w:hanging="769"/>
        <w:spacing w:after="0" w:line="231" w:lineRule="auto"/>
        <w:tabs>
          <w:tab w:leader="none" w:pos="960" w:val="left"/>
        </w:tabs>
        <w:rPr>
          <w:sz w:val="20"/>
          <w:szCs w:val="20"/>
          <w:color w:val="auto"/>
        </w:rPr>
      </w:pPr>
      <w:r>
        <w:rPr>
          <w:rFonts w:ascii="Arial" w:cs="Arial" w:eastAsia="Arial" w:hAnsi="Arial"/>
          <w:sz w:val="14"/>
          <w:szCs w:val="14"/>
          <w:color w:val="auto"/>
        </w:rPr>
        <w:t>158.2</w:t>
      </w:r>
      <w:r>
        <w:rPr>
          <w:sz w:val="20"/>
          <w:szCs w:val="20"/>
          <w:color w:val="auto"/>
        </w:rPr>
        <w:tab/>
      </w:r>
      <w:r>
        <w:rPr>
          <w:rFonts w:ascii="Arial" w:cs="Arial" w:eastAsia="Arial" w:hAnsi="Arial"/>
          <w:sz w:val="14"/>
          <w:szCs w:val="14"/>
          <w:color w:val="auto"/>
        </w:rPr>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30" w:lineRule="exact"/>
        <w:rPr>
          <w:sz w:val="20"/>
          <w:szCs w:val="20"/>
          <w:color w:val="auto"/>
        </w:rPr>
      </w:pPr>
    </w:p>
    <w:p>
      <w:pPr>
        <w:ind w:left="980" w:right="20" w:hanging="776"/>
        <w:spacing w:after="0" w:line="225" w:lineRule="auto"/>
        <w:tabs>
          <w:tab w:leader="none" w:pos="98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Limitation on liability</w:t>
      </w:r>
    </w:p>
    <w:p>
      <w:pPr>
        <w:spacing w:after="0" w:line="152" w:lineRule="exact"/>
        <w:rPr>
          <w:sz w:val="20"/>
          <w:szCs w:val="20"/>
          <w:color w:val="auto"/>
        </w:rPr>
      </w:pPr>
    </w:p>
    <w:p>
      <w:pPr>
        <w:ind w:left="980" w:right="160" w:hanging="776"/>
        <w:spacing w:after="0" w:line="231" w:lineRule="auto"/>
        <w:tabs>
          <w:tab w:leader="none" w:pos="98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Indemnity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161.</w:t>
      </w:r>
    </w:p>
    <w:p>
      <w:pPr>
        <w:spacing w:after="0" w:line="231" w:lineRule="exact"/>
        <w:rPr>
          <w:sz w:val="20"/>
          <w:szCs w:val="20"/>
          <w:color w:val="auto"/>
        </w:rPr>
      </w:pPr>
    </w:p>
    <w:p>
      <w:pPr>
        <w:ind w:left="980" w:right="100" w:hanging="769"/>
        <w:spacing w:after="0" w:line="224" w:lineRule="auto"/>
        <w:tabs>
          <w:tab w:leader="none" w:pos="960" w:val="left"/>
        </w:tabs>
        <w:rPr>
          <w:sz w:val="20"/>
          <w:szCs w:val="20"/>
          <w:color w:val="auto"/>
        </w:rPr>
      </w:pPr>
      <w:r>
        <w:rPr>
          <w:rFonts w:ascii="Arial" w:cs="Arial" w:eastAsia="Arial" w:hAnsi="Arial"/>
          <w:sz w:val="14"/>
          <w:szCs w:val="14"/>
          <w:color w:val="auto"/>
        </w:rPr>
        <w:t>161.1</w:t>
      </w:r>
      <w:r>
        <w:rPr>
          <w:sz w:val="20"/>
          <w:szCs w:val="20"/>
          <w:color w:val="auto"/>
        </w:rPr>
        <w:tab/>
      </w:r>
      <w:r>
        <w:rPr>
          <w:rFonts w:ascii="Arial" w:cs="Arial" w:eastAsia="Arial" w:hAnsi="Arial"/>
          <w:sz w:val="14"/>
          <w:szCs w:val="14"/>
          <w:color w:val="auto"/>
        </w:rPr>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33" w:lineRule="exact"/>
        <w:rPr>
          <w:sz w:val="20"/>
          <w:szCs w:val="20"/>
          <w:color w:val="auto"/>
        </w:rPr>
      </w:pPr>
    </w:p>
    <w:p>
      <w:pPr>
        <w:ind w:left="980" w:right="60" w:hanging="769"/>
        <w:spacing w:after="0" w:line="228" w:lineRule="auto"/>
        <w:tabs>
          <w:tab w:leader="none" w:pos="960" w:val="left"/>
        </w:tabs>
        <w:rPr>
          <w:sz w:val="20"/>
          <w:szCs w:val="20"/>
          <w:color w:val="auto"/>
        </w:rPr>
      </w:pPr>
      <w:r>
        <w:rPr>
          <w:rFonts w:ascii="Arial" w:cs="Arial" w:eastAsia="Arial" w:hAnsi="Arial"/>
          <w:sz w:val="14"/>
          <w:szCs w:val="14"/>
          <w:color w:val="auto"/>
        </w:rPr>
        <w:t>161.2</w:t>
      </w:r>
      <w:r>
        <w:rPr>
          <w:sz w:val="20"/>
          <w:szCs w:val="20"/>
          <w:color w:val="auto"/>
        </w:rPr>
        <w:tab/>
      </w:r>
      <w:r>
        <w:rPr>
          <w:rFonts w:ascii="Arial" w:cs="Arial" w:eastAsia="Arial" w:hAnsi="Arial"/>
          <w:sz w:val="14"/>
          <w:szCs w:val="14"/>
          <w:color w:val="auto"/>
        </w:rPr>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217"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161.3</w:t>
      </w:r>
      <w:r>
        <w:rPr>
          <w:sz w:val="20"/>
          <w:szCs w:val="20"/>
          <w:color w:val="auto"/>
        </w:rPr>
        <w:tab/>
      </w:r>
      <w:r>
        <w:rPr>
          <w:rFonts w:ascii="Arial" w:cs="Arial" w:eastAsia="Arial" w:hAnsi="Arial"/>
          <w:sz w:val="12"/>
          <w:szCs w:val="12"/>
          <w:color w:val="auto"/>
        </w:rPr>
        <w:t>As far as is permissible under the Acts, the Company shall indemnify any current or former executive officer of the Company (excluding any present or former Directors of</w:t>
      </w:r>
    </w:p>
    <w:p>
      <w:pPr>
        <w:ind w:left="980"/>
        <w:spacing w:after="0" w:line="221" w:lineRule="auto"/>
        <w:rPr>
          <w:sz w:val="20"/>
          <w:szCs w:val="20"/>
          <w:color w:val="auto"/>
        </w:rPr>
      </w:pPr>
      <w:r>
        <w:rPr>
          <w:rFonts w:ascii="Arial" w:cs="Arial" w:eastAsia="Arial" w:hAnsi="Arial"/>
          <w:sz w:val="14"/>
          <w:szCs w:val="14"/>
          <w:color w:val="auto"/>
        </w:rPr>
        <w:t>the Company or Secretary of the Company), or any person who is serving or has served at the request of the Company as a director or executive officer of another</w:t>
      </w:r>
    </w:p>
    <w:p>
      <w:pPr>
        <w:ind w:left="980"/>
        <w:spacing w:after="0"/>
        <w:rPr>
          <w:sz w:val="20"/>
          <w:szCs w:val="20"/>
          <w:color w:val="auto"/>
        </w:rPr>
      </w:pPr>
      <w:r>
        <w:rPr>
          <w:rFonts w:ascii="Arial" w:cs="Arial" w:eastAsia="Arial" w:hAnsi="Arial"/>
          <w:sz w:val="12"/>
          <w:szCs w:val="12"/>
          <w:color w:val="auto"/>
        </w:rPr>
        <w:t>company, joint venture, trust or other enterprise, including any Company subsidiary (each individually, a “</w:t>
      </w:r>
      <w:r>
        <w:rPr>
          <w:rFonts w:ascii="Arial" w:cs="Arial" w:eastAsia="Arial" w:hAnsi="Arial"/>
          <w:sz w:val="12"/>
          <w:szCs w:val="12"/>
          <w:b w:val="1"/>
          <w:bCs w:val="1"/>
          <w:color w:val="auto"/>
        </w:rPr>
        <w:t>Covered Person</w:t>
      </w:r>
      <w:r>
        <w:rPr>
          <w:rFonts w:ascii="Arial" w:cs="Arial" w:eastAsia="Arial" w:hAnsi="Arial"/>
          <w:sz w:val="12"/>
          <w:szCs w:val="12"/>
          <w:color w:val="auto"/>
        </w:rPr>
        <w:t>”), against any expenses, including attorney’s</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fees, judgments, fines, and amounts paid in settlement actually and reasonably incurred by him or her in connection with any threatened, pending, or completed action, suit</w:t>
      </w:r>
    </w:p>
    <w:p>
      <w:pPr>
        <w:ind w:left="980"/>
        <w:spacing w:after="0" w:line="237" w:lineRule="auto"/>
        <w:rPr>
          <w:sz w:val="20"/>
          <w:szCs w:val="20"/>
          <w:color w:val="auto"/>
        </w:rPr>
      </w:pPr>
      <w:r>
        <w:rPr>
          <w:rFonts w:ascii="Arial" w:cs="Arial" w:eastAsia="Arial" w:hAnsi="Arial"/>
          <w:sz w:val="14"/>
          <w:szCs w:val="14"/>
          <w:color w:val="auto"/>
        </w:rPr>
        <w:t>or proceeding, whether civil, criminal, administrative or investigative, to which he or she was, is, or is threatened to be made a party, or is otherwise involved (a</w:t>
      </w: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proceeding</w:t>
      </w:r>
      <w:r>
        <w:rPr>
          <w:rFonts w:ascii="Arial" w:cs="Arial" w:eastAsia="Arial" w:hAnsi="Arial"/>
          <w:sz w:val="12"/>
          <w:szCs w:val="12"/>
          <w:color w:val="auto"/>
        </w:rPr>
        <w:t>”), by reason of the fact that he or she is or was a Covered Person; provided, however, that this provision shall not indemnify any Covered Person against any</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liability arising out of (a) any fraud or dishonesty in the performance of such Covered Person’s duty to the Company, or (b) such Covered Party’s conscious, intentional or</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wilful breach of the obligation to act honestly and in good faith with a view to the best interests of the Company. Notwithstanding the preceding sentence, this section shall</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extend to any matter which would render it void pursuant to the Acts or to any person holding the office of auditor in relation to the Company.</w:t>
      </w:r>
    </w:p>
    <w:p>
      <w:pPr>
        <w:spacing w:after="0" w:line="231" w:lineRule="exact"/>
        <w:rPr>
          <w:sz w:val="20"/>
          <w:szCs w:val="20"/>
          <w:color w:val="auto"/>
        </w:rPr>
      </w:pPr>
    </w:p>
    <w:p>
      <w:pPr>
        <w:ind w:left="980" w:right="60" w:hanging="769"/>
        <w:spacing w:after="0" w:line="224" w:lineRule="auto"/>
        <w:tabs>
          <w:tab w:leader="none" w:pos="960" w:val="left"/>
        </w:tabs>
        <w:rPr>
          <w:sz w:val="20"/>
          <w:szCs w:val="20"/>
          <w:color w:val="auto"/>
        </w:rPr>
      </w:pPr>
      <w:r>
        <w:rPr>
          <w:rFonts w:ascii="Arial" w:cs="Arial" w:eastAsia="Arial" w:hAnsi="Arial"/>
          <w:sz w:val="14"/>
          <w:szCs w:val="14"/>
          <w:color w:val="auto"/>
        </w:rPr>
        <w:t>161.4</w:t>
      </w:r>
      <w:r>
        <w:rPr>
          <w:sz w:val="20"/>
          <w:szCs w:val="20"/>
          <w:color w:val="auto"/>
        </w:rPr>
        <w:tab/>
      </w:r>
      <w:r>
        <w:rPr>
          <w:rFonts w:ascii="Arial" w:cs="Arial" w:eastAsia="Arial" w:hAnsi="Arial"/>
          <w:sz w:val="14"/>
          <w:szCs w:val="14"/>
          <w:color w:val="auto"/>
        </w:rPr>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229" w:lineRule="exact"/>
        <w:rPr>
          <w:sz w:val="20"/>
          <w:szCs w:val="20"/>
          <w:color w:val="auto"/>
        </w:rPr>
      </w:pPr>
    </w:p>
    <w:p>
      <w:pPr>
        <w:ind w:left="980" w:right="620" w:hanging="769"/>
        <w:spacing w:after="0" w:line="300" w:lineRule="auto"/>
        <w:tabs>
          <w:tab w:leader="none" w:pos="960" w:val="left"/>
        </w:tabs>
        <w:rPr>
          <w:sz w:val="20"/>
          <w:szCs w:val="20"/>
          <w:color w:val="auto"/>
        </w:rPr>
      </w:pPr>
      <w:r>
        <w:rPr>
          <w:rFonts w:ascii="Arial" w:cs="Arial" w:eastAsia="Arial" w:hAnsi="Arial"/>
          <w:sz w:val="14"/>
          <w:szCs w:val="14"/>
          <w:color w:val="auto"/>
        </w:rPr>
        <w:t>161.5</w:t>
      </w:r>
      <w:r>
        <w:rPr>
          <w:sz w:val="20"/>
          <w:szCs w:val="20"/>
          <w:color w:val="auto"/>
        </w:rPr>
        <w:tab/>
      </w:r>
      <w:r>
        <w:rPr>
          <w:rFonts w:ascii="Arial" w:cs="Arial" w:eastAsia="Arial" w:hAnsi="Arial"/>
          <w:sz w:val="12"/>
          <w:szCs w:val="12"/>
          <w:color w:val="auto"/>
        </w:rPr>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B-25</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26" w:lineRule="auto"/>
        <w:rPr>
          <w:sz w:val="20"/>
          <w:szCs w:val="20"/>
          <w:color w:val="auto"/>
        </w:rPr>
      </w:pPr>
      <w:r>
        <w:rPr>
          <w:rFonts w:ascii="Arial" w:cs="Arial" w:eastAsia="Arial" w:hAnsi="Arial"/>
          <w:sz w:val="14"/>
          <w:szCs w:val="14"/>
          <w:color w:val="auto"/>
        </w:rPr>
        <w:t>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231" w:lineRule="exact"/>
        <w:rPr>
          <w:sz w:val="20"/>
          <w:szCs w:val="20"/>
          <w:color w:val="auto"/>
        </w:rPr>
      </w:pPr>
    </w:p>
    <w:p>
      <w:pPr>
        <w:jc w:val="both"/>
        <w:ind w:left="980" w:hanging="769"/>
        <w:spacing w:after="0" w:line="228" w:lineRule="auto"/>
        <w:tabs>
          <w:tab w:leader="none" w:pos="960" w:val="left"/>
        </w:tabs>
        <w:rPr>
          <w:sz w:val="20"/>
          <w:szCs w:val="20"/>
          <w:color w:val="auto"/>
        </w:rPr>
      </w:pPr>
      <w:r>
        <w:rPr>
          <w:rFonts w:ascii="Arial" w:cs="Arial" w:eastAsia="Arial" w:hAnsi="Arial"/>
          <w:sz w:val="14"/>
          <w:szCs w:val="14"/>
          <w:color w:val="auto"/>
        </w:rPr>
        <w:t>161.6</w:t>
      </w:r>
      <w:r>
        <w:rPr>
          <w:sz w:val="20"/>
          <w:szCs w:val="20"/>
          <w:color w:val="auto"/>
        </w:rPr>
        <w:tab/>
      </w:r>
      <w:r>
        <w:rPr>
          <w:rFonts w:ascii="Arial" w:cs="Arial" w:eastAsia="Arial" w:hAnsi="Arial"/>
          <w:sz w:val="14"/>
          <w:szCs w:val="14"/>
          <w:color w:val="auto"/>
        </w:rPr>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230" w:lineRule="exact"/>
        <w:rPr>
          <w:sz w:val="20"/>
          <w:szCs w:val="20"/>
          <w:color w:val="auto"/>
        </w:rPr>
      </w:pPr>
    </w:p>
    <w:p>
      <w:pPr>
        <w:ind w:left="980" w:right="180" w:hanging="769"/>
        <w:spacing w:after="0" w:line="264" w:lineRule="auto"/>
        <w:tabs>
          <w:tab w:leader="none" w:pos="960" w:val="left"/>
        </w:tabs>
        <w:rPr>
          <w:sz w:val="20"/>
          <w:szCs w:val="20"/>
          <w:color w:val="auto"/>
        </w:rPr>
      </w:pPr>
      <w:r>
        <w:rPr>
          <w:rFonts w:ascii="Arial" w:cs="Arial" w:eastAsia="Arial" w:hAnsi="Arial"/>
          <w:sz w:val="14"/>
          <w:szCs w:val="14"/>
          <w:color w:val="auto"/>
        </w:rPr>
        <w:t>161.7</w:t>
      </w:r>
      <w:r>
        <w:rPr>
          <w:sz w:val="20"/>
          <w:szCs w:val="20"/>
          <w:color w:val="auto"/>
        </w:rPr>
        <w:tab/>
      </w:r>
      <w:r>
        <w:rPr>
          <w:rFonts w:ascii="Arial" w:cs="Arial" w:eastAsia="Arial" w:hAnsi="Arial"/>
          <w:sz w:val="12"/>
          <w:szCs w:val="12"/>
          <w:color w:val="auto"/>
        </w:rPr>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Untraced Holders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162.</w:t>
      </w:r>
    </w:p>
    <w:p>
      <w:pPr>
        <w:spacing w:after="0" w:line="231" w:lineRule="exact"/>
        <w:rPr>
          <w:sz w:val="20"/>
          <w:szCs w:val="20"/>
          <w:color w:val="auto"/>
        </w:rPr>
      </w:pPr>
    </w:p>
    <w:p>
      <w:pPr>
        <w:ind w:left="980" w:right="420" w:hanging="769"/>
        <w:spacing w:after="0" w:line="231" w:lineRule="auto"/>
        <w:tabs>
          <w:tab w:leader="none" w:pos="960" w:val="left"/>
        </w:tabs>
        <w:rPr>
          <w:sz w:val="20"/>
          <w:szCs w:val="20"/>
          <w:color w:val="auto"/>
        </w:rPr>
      </w:pPr>
      <w:r>
        <w:rPr>
          <w:rFonts w:ascii="Arial" w:cs="Arial" w:eastAsia="Arial" w:hAnsi="Arial"/>
          <w:sz w:val="14"/>
          <w:szCs w:val="14"/>
          <w:color w:val="auto"/>
        </w:rPr>
        <w:t>162.1</w:t>
      </w:r>
      <w:r>
        <w:rPr>
          <w:sz w:val="20"/>
          <w:szCs w:val="20"/>
          <w:color w:val="auto"/>
        </w:rPr>
        <w:tab/>
      </w:r>
      <w:r>
        <w:rPr>
          <w:rFonts w:ascii="Arial" w:cs="Arial" w:eastAsia="Arial" w:hAnsi="Arial"/>
          <w:sz w:val="14"/>
          <w:szCs w:val="14"/>
          <w:color w:val="auto"/>
        </w:rPr>
        <w:t>The Company shall be entitled to sell at the best price reasonably obtainable any share of a member or any share to which a person is entitled by transmission if and provided that:</w:t>
      </w:r>
    </w:p>
    <w:p>
      <w:pPr>
        <w:spacing w:after="0" w:line="230" w:lineRule="exact"/>
        <w:rPr>
          <w:sz w:val="20"/>
          <w:szCs w:val="20"/>
          <w:color w:val="auto"/>
        </w:rPr>
      </w:pPr>
    </w:p>
    <w:p>
      <w:pPr>
        <w:ind w:left="1860" w:hanging="886"/>
        <w:spacing w:after="0" w:line="226" w:lineRule="auto"/>
        <w:tabs>
          <w:tab w:leader="none" w:pos="186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230" w:lineRule="exact"/>
        <w:rPr>
          <w:rFonts w:ascii="Arial" w:cs="Arial" w:eastAsia="Arial" w:hAnsi="Arial"/>
          <w:sz w:val="14"/>
          <w:szCs w:val="14"/>
          <w:color w:val="auto"/>
        </w:rPr>
      </w:pPr>
    </w:p>
    <w:p>
      <w:pPr>
        <w:ind w:left="1860" w:right="100" w:hanging="886"/>
        <w:spacing w:after="0" w:line="300" w:lineRule="auto"/>
        <w:tabs>
          <w:tab w:leader="none" w:pos="186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95" w:lineRule="exact"/>
        <w:rPr>
          <w:rFonts w:ascii="Arial" w:cs="Arial" w:eastAsia="Arial" w:hAnsi="Arial"/>
          <w:sz w:val="12"/>
          <w:szCs w:val="12"/>
          <w:color w:val="auto"/>
        </w:rPr>
      </w:pPr>
    </w:p>
    <w:p>
      <w:pPr>
        <w:ind w:left="1860" w:right="20" w:hanging="886"/>
        <w:spacing w:after="0" w:line="231" w:lineRule="auto"/>
        <w:tabs>
          <w:tab w:leader="none" w:pos="186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230" w:lineRule="exact"/>
        <w:rPr>
          <w:rFonts w:ascii="Arial" w:cs="Arial" w:eastAsia="Arial" w:hAnsi="Arial"/>
          <w:sz w:val="14"/>
          <w:szCs w:val="14"/>
          <w:color w:val="auto"/>
        </w:rPr>
      </w:pPr>
    </w:p>
    <w:p>
      <w:pPr>
        <w:ind w:left="1860" w:right="40" w:hanging="886"/>
        <w:spacing w:after="0" w:line="231" w:lineRule="auto"/>
        <w:tabs>
          <w:tab w:leader="none" w:pos="186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if so required by the rules of any securities exchange upon which the shares in question are listed, notice has been given to that exchange of the Company’s intention to make such sale.</w:t>
      </w:r>
    </w:p>
    <w:p>
      <w:pPr>
        <w:spacing w:after="0" w:line="230" w:lineRule="exact"/>
        <w:rPr>
          <w:sz w:val="20"/>
          <w:szCs w:val="20"/>
          <w:color w:val="auto"/>
        </w:rPr>
      </w:pPr>
    </w:p>
    <w:p>
      <w:pPr>
        <w:ind w:left="980" w:right="280" w:hanging="769"/>
        <w:spacing w:after="0" w:line="226" w:lineRule="auto"/>
        <w:tabs>
          <w:tab w:leader="none" w:pos="960" w:val="left"/>
        </w:tabs>
        <w:rPr>
          <w:sz w:val="20"/>
          <w:szCs w:val="20"/>
          <w:color w:val="auto"/>
        </w:rPr>
      </w:pPr>
      <w:r>
        <w:rPr>
          <w:rFonts w:ascii="Arial" w:cs="Arial" w:eastAsia="Arial" w:hAnsi="Arial"/>
          <w:sz w:val="14"/>
          <w:szCs w:val="14"/>
          <w:color w:val="auto"/>
        </w:rPr>
        <w:t>162.2</w:t>
      </w:r>
      <w:r>
        <w:rPr>
          <w:sz w:val="20"/>
          <w:szCs w:val="20"/>
          <w:color w:val="auto"/>
        </w:rPr>
        <w:tab/>
      </w:r>
      <w:r>
        <w:rPr>
          <w:rFonts w:ascii="Arial" w:cs="Arial" w:eastAsia="Arial" w:hAnsi="Arial"/>
          <w:sz w:val="14"/>
          <w:szCs w:val="14"/>
          <w:color w:val="auto"/>
        </w:rPr>
        <w:t>To the extent necessary in order to comply with any laws or regulations to which the Company is subject in relation to escheatment, abandonment of property or other similar or analogous laws or regulations (“</w:t>
      </w:r>
      <w:r>
        <w:rPr>
          <w:rFonts w:ascii="Arial" w:cs="Arial" w:eastAsia="Arial" w:hAnsi="Arial"/>
          <w:sz w:val="14"/>
          <w:szCs w:val="14"/>
          <w:b w:val="1"/>
          <w:bCs w:val="1"/>
          <w:color w:val="auto"/>
        </w:rPr>
        <w:t>Applicable Escheatment Laws</w:t>
      </w:r>
      <w:r>
        <w:rPr>
          <w:rFonts w:ascii="Arial" w:cs="Arial" w:eastAsia="Arial" w:hAnsi="Arial"/>
          <w:sz w:val="14"/>
          <w:szCs w:val="14"/>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231" w:lineRule="exact"/>
        <w:rPr>
          <w:sz w:val="20"/>
          <w:szCs w:val="20"/>
          <w:color w:val="auto"/>
        </w:rPr>
      </w:pPr>
    </w:p>
    <w:p>
      <w:pPr>
        <w:ind w:left="980" w:right="560" w:hanging="769"/>
        <w:spacing w:after="0" w:line="231" w:lineRule="auto"/>
        <w:tabs>
          <w:tab w:leader="none" w:pos="960" w:val="left"/>
        </w:tabs>
        <w:rPr>
          <w:sz w:val="20"/>
          <w:szCs w:val="20"/>
          <w:color w:val="auto"/>
        </w:rPr>
      </w:pPr>
      <w:r>
        <w:rPr>
          <w:rFonts w:ascii="Arial" w:cs="Arial" w:eastAsia="Arial" w:hAnsi="Arial"/>
          <w:sz w:val="14"/>
          <w:szCs w:val="14"/>
          <w:color w:val="auto"/>
        </w:rPr>
        <w:t>162.3</w:t>
      </w:r>
      <w:r>
        <w:rPr>
          <w:sz w:val="20"/>
          <w:szCs w:val="20"/>
          <w:color w:val="auto"/>
        </w:rPr>
        <w:tab/>
      </w:r>
      <w:r>
        <w:rPr>
          <w:rFonts w:ascii="Arial" w:cs="Arial" w:eastAsia="Arial" w:hAnsi="Arial"/>
          <w:sz w:val="14"/>
          <w:szCs w:val="14"/>
          <w:color w:val="auto"/>
        </w:rPr>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230" w:lineRule="exact"/>
        <w:rPr>
          <w:sz w:val="20"/>
          <w:szCs w:val="20"/>
          <w:color w:val="auto"/>
        </w:rPr>
      </w:pPr>
    </w:p>
    <w:p>
      <w:pPr>
        <w:jc w:val="both"/>
        <w:ind w:left="980" w:right="220" w:hanging="769"/>
        <w:spacing w:after="0" w:line="228" w:lineRule="auto"/>
        <w:tabs>
          <w:tab w:leader="none" w:pos="960" w:val="left"/>
        </w:tabs>
        <w:rPr>
          <w:sz w:val="20"/>
          <w:szCs w:val="20"/>
          <w:color w:val="auto"/>
        </w:rPr>
      </w:pPr>
      <w:r>
        <w:rPr>
          <w:rFonts w:ascii="Arial" w:cs="Arial" w:eastAsia="Arial" w:hAnsi="Arial"/>
          <w:sz w:val="14"/>
          <w:szCs w:val="14"/>
          <w:color w:val="auto"/>
        </w:rPr>
        <w:t>162.4</w:t>
      </w:r>
      <w:r>
        <w:rPr>
          <w:sz w:val="20"/>
          <w:szCs w:val="20"/>
          <w:color w:val="auto"/>
        </w:rPr>
        <w:tab/>
      </w:r>
      <w:r>
        <w:rPr>
          <w:rFonts w:ascii="Arial" w:cs="Arial" w:eastAsia="Arial" w:hAnsi="Arial"/>
          <w:sz w:val="14"/>
          <w:szCs w:val="14"/>
          <w:color w:val="auto"/>
        </w:rPr>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230" w:lineRule="exact"/>
        <w:rPr>
          <w:sz w:val="20"/>
          <w:szCs w:val="20"/>
          <w:color w:val="auto"/>
        </w:rPr>
      </w:pPr>
    </w:p>
    <w:p>
      <w:pPr>
        <w:ind w:left="980" w:right="100" w:hanging="769"/>
        <w:spacing w:after="0" w:line="231" w:lineRule="auto"/>
        <w:tabs>
          <w:tab w:leader="none" w:pos="960" w:val="left"/>
        </w:tabs>
        <w:rPr>
          <w:sz w:val="20"/>
          <w:szCs w:val="20"/>
          <w:color w:val="auto"/>
        </w:rPr>
      </w:pPr>
      <w:r>
        <w:rPr>
          <w:rFonts w:ascii="Arial" w:cs="Arial" w:eastAsia="Arial" w:hAnsi="Arial"/>
          <w:sz w:val="14"/>
          <w:szCs w:val="14"/>
          <w:color w:val="auto"/>
        </w:rPr>
        <w:t>162.5</w:t>
      </w:r>
      <w:r>
        <w:rPr>
          <w:sz w:val="20"/>
          <w:szCs w:val="20"/>
          <w:color w:val="auto"/>
        </w:rPr>
        <w:tab/>
      </w:r>
      <w:r>
        <w:rPr>
          <w:rFonts w:ascii="Arial" w:cs="Arial" w:eastAsia="Arial" w:hAnsi="Arial"/>
          <w:sz w:val="14"/>
          <w:szCs w:val="14"/>
          <w:color w:val="auto"/>
        </w:rPr>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230" w:lineRule="exact"/>
        <w:rPr>
          <w:sz w:val="20"/>
          <w:szCs w:val="20"/>
          <w:color w:val="auto"/>
        </w:rPr>
      </w:pPr>
    </w:p>
    <w:p>
      <w:pPr>
        <w:ind w:left="980" w:right="220" w:hanging="769"/>
        <w:spacing w:after="0" w:line="224" w:lineRule="auto"/>
        <w:tabs>
          <w:tab w:leader="none" w:pos="960" w:val="left"/>
        </w:tabs>
        <w:rPr>
          <w:sz w:val="20"/>
          <w:szCs w:val="20"/>
          <w:color w:val="auto"/>
        </w:rPr>
      </w:pPr>
      <w:r>
        <w:rPr>
          <w:rFonts w:ascii="Arial" w:cs="Arial" w:eastAsia="Arial" w:hAnsi="Arial"/>
          <w:sz w:val="14"/>
          <w:szCs w:val="14"/>
          <w:color w:val="auto"/>
        </w:rPr>
        <w:t>162.6</w:t>
      </w:r>
      <w:r>
        <w:rPr>
          <w:sz w:val="20"/>
          <w:szCs w:val="20"/>
          <w:color w:val="auto"/>
        </w:rPr>
        <w:tab/>
      </w:r>
      <w:r>
        <w:rPr>
          <w:rFonts w:ascii="Arial" w:cs="Arial" w:eastAsia="Arial" w:hAnsi="Arial"/>
          <w:sz w:val="14"/>
          <w:szCs w:val="14"/>
          <w:color w:val="auto"/>
        </w:rPr>
        <w:t>The net proceeds of sale shall belong to the Company which shall be obliged to account to the former member or person entitled by transmission for an amount equal to such proceeds and shall enter the name of such former member or person entitled by 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Destruction of documents</w:t>
      </w:r>
    </w:p>
    <w:p>
      <w:pPr>
        <w:spacing w:after="0" w:line="152" w:lineRule="exact"/>
        <w:rPr>
          <w:sz w:val="20"/>
          <w:szCs w:val="20"/>
          <w:color w:val="auto"/>
        </w:rPr>
      </w:pPr>
    </w:p>
    <w:p>
      <w:pPr>
        <w:ind w:left="980" w:hanging="776"/>
        <w:spacing w:after="0"/>
        <w:tabs>
          <w:tab w:leader="none" w:pos="98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Company may destroy:</w:t>
      </w:r>
    </w:p>
    <w:p>
      <w:pPr>
        <w:spacing w:after="0" w:line="231" w:lineRule="exact"/>
        <w:rPr>
          <w:sz w:val="20"/>
          <w:szCs w:val="20"/>
          <w:color w:val="auto"/>
        </w:rPr>
      </w:pPr>
    </w:p>
    <w:p>
      <w:pPr>
        <w:ind w:left="980" w:right="80" w:hanging="769"/>
        <w:spacing w:after="0" w:line="231" w:lineRule="auto"/>
        <w:tabs>
          <w:tab w:leader="none" w:pos="960" w:val="left"/>
        </w:tabs>
        <w:rPr>
          <w:sz w:val="20"/>
          <w:szCs w:val="20"/>
          <w:color w:val="auto"/>
        </w:rPr>
      </w:pPr>
      <w:r>
        <w:rPr>
          <w:rFonts w:ascii="Arial" w:cs="Arial" w:eastAsia="Arial" w:hAnsi="Arial"/>
          <w:sz w:val="14"/>
          <w:szCs w:val="14"/>
          <w:color w:val="auto"/>
        </w:rPr>
        <w:t>163.1</w:t>
      </w:r>
      <w:r>
        <w:rPr>
          <w:sz w:val="20"/>
          <w:szCs w:val="20"/>
          <w:color w:val="auto"/>
        </w:rPr>
        <w:tab/>
      </w:r>
      <w:r>
        <w:rPr>
          <w:rFonts w:ascii="Arial" w:cs="Arial" w:eastAsia="Arial" w:hAnsi="Arial"/>
          <w:sz w:val="14"/>
          <w:szCs w:val="14"/>
          <w:color w:val="auto"/>
        </w:rPr>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23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163.2</w:t>
      </w:r>
      <w:r>
        <w:rPr>
          <w:sz w:val="20"/>
          <w:szCs w:val="20"/>
          <w:color w:val="auto"/>
        </w:rPr>
        <w:tab/>
      </w:r>
      <w:r>
        <w:rPr>
          <w:rFonts w:ascii="Arial" w:cs="Arial" w:eastAsia="Arial" w:hAnsi="Arial"/>
          <w:sz w:val="12"/>
          <w:szCs w:val="12"/>
          <w:color w:val="auto"/>
        </w:rPr>
        <w:t>any instrument of transfer of shares which has been registered, at any time after the expiry of six years from the date of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B-26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163.3</w:t>
      </w:r>
      <w:r>
        <w:rPr>
          <w:sz w:val="20"/>
          <w:szCs w:val="20"/>
          <w:color w:val="auto"/>
        </w:rPr>
        <w:tab/>
      </w:r>
      <w:r>
        <w:rPr>
          <w:rFonts w:ascii="Arial" w:cs="Arial" w:eastAsia="Arial" w:hAnsi="Arial"/>
          <w:sz w:val="12"/>
          <w:szCs w:val="12"/>
          <w:color w:val="auto"/>
        </w:rPr>
        <w:t>all share certificates which have been cancelled at any time after the expiration of one year from the date of cancellation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163.4</w:t>
      </w:r>
      <w:r>
        <w:rPr>
          <w:sz w:val="20"/>
          <w:szCs w:val="20"/>
          <w:color w:val="auto"/>
        </w:rPr>
        <w:tab/>
      </w:r>
      <w:r>
        <w:rPr>
          <w:rFonts w:ascii="Arial" w:cs="Arial" w:eastAsia="Arial" w:hAnsi="Arial"/>
          <w:sz w:val="12"/>
          <w:szCs w:val="12"/>
          <w:color w:val="auto"/>
        </w:rPr>
        <w:t>all paid dividend warrants and cheques at any time after the expiration of one year from the date of actual payment thereof;</w:t>
      </w:r>
    </w:p>
    <w:p>
      <w:pPr>
        <w:spacing w:after="0" w:line="2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4"/>
          <w:szCs w:val="14"/>
          <w:color w:val="auto"/>
        </w:rPr>
        <w:t>163.5</w:t>
      </w:r>
      <w:r>
        <w:rPr>
          <w:sz w:val="20"/>
          <w:szCs w:val="20"/>
          <w:color w:val="auto"/>
        </w:rPr>
        <w:tab/>
      </w:r>
      <w:r>
        <w:rPr>
          <w:rFonts w:ascii="Arial" w:cs="Arial" w:eastAsia="Arial" w:hAnsi="Arial"/>
          <w:sz w:val="12"/>
          <w:szCs w:val="12"/>
          <w:color w:val="auto"/>
        </w:rPr>
        <w:t>all instruments of proxy which have been used for the purpose of a poll at any time after the expiration of one year from the date of such use;</w:t>
      </w:r>
    </w:p>
    <w:p>
      <w:pPr>
        <w:spacing w:after="0" w:line="231" w:lineRule="exact"/>
        <w:rPr>
          <w:sz w:val="20"/>
          <w:szCs w:val="20"/>
          <w:color w:val="auto"/>
        </w:rPr>
      </w:pPr>
    </w:p>
    <w:p>
      <w:pPr>
        <w:ind w:left="980" w:right="40" w:hanging="769"/>
        <w:spacing w:after="0" w:line="231" w:lineRule="auto"/>
        <w:tabs>
          <w:tab w:leader="none" w:pos="960" w:val="left"/>
        </w:tabs>
        <w:rPr>
          <w:sz w:val="20"/>
          <w:szCs w:val="20"/>
          <w:color w:val="auto"/>
        </w:rPr>
      </w:pPr>
      <w:r>
        <w:rPr>
          <w:rFonts w:ascii="Arial" w:cs="Arial" w:eastAsia="Arial" w:hAnsi="Arial"/>
          <w:sz w:val="14"/>
          <w:szCs w:val="14"/>
          <w:color w:val="auto"/>
        </w:rPr>
        <w:t>163.6</w:t>
      </w:r>
      <w:r>
        <w:rPr>
          <w:sz w:val="20"/>
          <w:szCs w:val="20"/>
          <w:color w:val="auto"/>
        </w:rPr>
        <w:tab/>
      </w:r>
      <w:r>
        <w:rPr>
          <w:rFonts w:ascii="Arial" w:cs="Arial" w:eastAsia="Arial" w:hAnsi="Arial"/>
          <w:sz w:val="14"/>
          <w:szCs w:val="14"/>
          <w:color w:val="auto"/>
        </w:rPr>
        <w:t>all instruments of proxy which have not been used for the purpose of a poll at any time after one month from the end of the meeting to which the instrument of proxy relates and at which no poll was demanded; and</w:t>
      </w:r>
    </w:p>
    <w:p>
      <w:pPr>
        <w:spacing w:after="0" w:line="230" w:lineRule="exact"/>
        <w:rPr>
          <w:sz w:val="20"/>
          <w:szCs w:val="20"/>
          <w:color w:val="auto"/>
        </w:rPr>
      </w:pPr>
    </w:p>
    <w:p>
      <w:pPr>
        <w:ind w:left="980" w:right="40" w:hanging="769"/>
        <w:spacing w:after="0" w:line="272" w:lineRule="auto"/>
        <w:tabs>
          <w:tab w:leader="none" w:pos="960" w:val="left"/>
        </w:tabs>
        <w:rPr>
          <w:sz w:val="20"/>
          <w:szCs w:val="20"/>
          <w:color w:val="auto"/>
        </w:rPr>
      </w:pPr>
      <w:r>
        <w:rPr>
          <w:rFonts w:ascii="Arial" w:cs="Arial" w:eastAsia="Arial" w:hAnsi="Arial"/>
          <w:sz w:val="14"/>
          <w:szCs w:val="14"/>
          <w:color w:val="auto"/>
        </w:rPr>
        <w:t>163.7</w:t>
      </w:r>
      <w:r>
        <w:rPr>
          <w:sz w:val="20"/>
          <w:szCs w:val="20"/>
          <w:color w:val="auto"/>
        </w:rPr>
        <w:tab/>
      </w:r>
      <w:r>
        <w:rPr>
          <w:rFonts w:ascii="Arial" w:cs="Arial" w:eastAsia="Arial" w:hAnsi="Arial"/>
          <w:sz w:val="12"/>
          <w:szCs w:val="12"/>
          <w:color w:val="auto"/>
        </w:rPr>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212" w:lineRule="exact"/>
        <w:rPr>
          <w:sz w:val="20"/>
          <w:szCs w:val="20"/>
          <w:color w:val="auto"/>
        </w:rPr>
      </w:pPr>
    </w:p>
    <w:p>
      <w:pPr>
        <w:ind w:left="1860" w:right="320" w:hanging="886"/>
        <w:spacing w:after="0" w:line="231" w:lineRule="auto"/>
        <w:tabs>
          <w:tab w:leader="none" w:pos="186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the foregoing provisions of this article shall apply only to the destruction of a document in good faith and without express notice to the Company that the preservation of such document was relevant to a claim;</w:t>
      </w:r>
    </w:p>
    <w:p>
      <w:pPr>
        <w:spacing w:after="0" w:line="230" w:lineRule="exact"/>
        <w:rPr>
          <w:rFonts w:ascii="Arial" w:cs="Arial" w:eastAsia="Arial" w:hAnsi="Arial"/>
          <w:sz w:val="14"/>
          <w:szCs w:val="14"/>
          <w:color w:val="auto"/>
        </w:rPr>
      </w:pPr>
    </w:p>
    <w:p>
      <w:pPr>
        <w:ind w:left="1860" w:right="280" w:hanging="886"/>
        <w:spacing w:after="0" w:line="231" w:lineRule="auto"/>
        <w:tabs>
          <w:tab w:leader="none" w:pos="186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230" w:lineRule="exact"/>
        <w:rPr>
          <w:rFonts w:ascii="Arial" w:cs="Arial" w:eastAsia="Arial" w:hAnsi="Arial"/>
          <w:sz w:val="14"/>
          <w:szCs w:val="14"/>
          <w:color w:val="auto"/>
        </w:rPr>
      </w:pPr>
    </w:p>
    <w:p>
      <w:pPr>
        <w:ind w:left="1860" w:hanging="886"/>
        <w:spacing w:after="0"/>
        <w:tabs>
          <w:tab w:leader="none" w:pos="186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references in this article to the destruction of any document include references to its disposal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B-27</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spacing w:after="0" w:line="269" w:lineRule="auto"/>
        <w:rPr>
          <w:sz w:val="20"/>
          <w:szCs w:val="20"/>
          <w:color w:val="auto"/>
        </w:rPr>
      </w:pPr>
      <w:r>
        <w:rPr>
          <w:rFonts w:ascii="Arial" w:cs="Arial" w:eastAsia="Arial" w:hAnsi="Arial"/>
          <w:sz w:val="47"/>
          <w:szCs w:val="47"/>
          <w:b w:val="1"/>
          <w:bCs w:val="1"/>
          <w:color w:val="C3002F"/>
        </w:rPr>
        <w:t>ANNEX C – 2010 OMNIBUS INCENTIVE PLAN, AS AMENDED AND RESTATED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WEATHERFORD INTERNATIONAL PLC</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2010 OMNIBUS INCENTIVE PLAN</w:t>
      </w:r>
    </w:p>
    <w:p>
      <w:pPr>
        <w:spacing w:after="0" w:line="2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(AS AMENDED AND RESTATED ON JUNE 25, 2019)</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10840" w:type="dxa"/>
            <w:vAlign w:val="bottom"/>
            <w:gridSpan w:val="70"/>
          </w:tcPr>
          <w:p>
            <w:pPr>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270"/>
        </w:trPr>
        <w:tc>
          <w:tcPr>
            <w:tcW w:w="10840" w:type="dxa"/>
            <w:vAlign w:val="bottom"/>
            <w:gridSpan w:val="70"/>
          </w:tcPr>
          <w:p>
            <w:pPr>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338"/>
        </w:trPr>
        <w:tc>
          <w:tcPr>
            <w:tcW w:w="8300" w:type="dxa"/>
            <w:vAlign w:val="bottom"/>
            <w:gridSpan w:val="69"/>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ARTICLE I Purpose and Duration</w:t>
              </w:r>
            </w:hyperlink>
          </w:p>
        </w:tc>
        <w:tc>
          <w:tcPr>
            <w:tcW w:w="2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1.1</w:t>
            </w:r>
          </w:p>
        </w:tc>
        <w:tc>
          <w:tcPr>
            <w:tcW w:w="2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Purpose of</w:t>
              </w:r>
            </w:hyperlink>
          </w:p>
        </w:tc>
        <w:tc>
          <w:tcPr>
            <w:tcW w:w="6300" w:type="dxa"/>
            <w:vAlign w:val="bottom"/>
            <w:gridSpan w:val="45"/>
          </w:tcPr>
          <w:p>
            <w:pPr>
              <w:jc w:val="center"/>
              <w:ind w:right="5820"/>
              <w:spacing w:after="0" w:line="129" w:lineRule="exact"/>
              <w:rPr>
                <w:rFonts w:ascii="Arial" w:cs="Arial" w:eastAsia="Arial" w:hAnsi="Arial"/>
                <w:sz w:val="14"/>
                <w:szCs w:val="14"/>
                <w:color w:val="0000EE"/>
                <w:w w:val="93"/>
              </w:rPr>
            </w:pPr>
            <w:hyperlink w:anchor="page137">
              <w:r>
                <w:rPr>
                  <w:rFonts w:ascii="Arial" w:cs="Arial" w:eastAsia="Arial" w:hAnsi="Arial"/>
                  <w:sz w:val="14"/>
                  <w:szCs w:val="14"/>
                  <w:color w:val="0000EE"/>
                  <w:w w:val="93"/>
                </w:rPr>
                <w:t>the Plan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1"/>
                <w:szCs w:val="11"/>
                <w:color w:val="auto"/>
              </w:rPr>
            </w:pPr>
          </w:p>
        </w:tc>
        <w:tc>
          <w:tcPr>
            <w:tcW w:w="1200" w:type="dxa"/>
            <w:vAlign w:val="bottom"/>
            <w:tcBorders>
              <w:top w:val="single" w:sz="8" w:color="0000EE"/>
            </w:tcBorders>
            <w:gridSpan w:val="40"/>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Duration of Plan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300" w:type="dxa"/>
            <w:vAlign w:val="bottom"/>
            <w:gridSpan w:val="3"/>
          </w:tcPr>
          <w:p>
            <w:pPr>
              <w:spacing w:after="0" w:line="129" w:lineRule="exact"/>
              <w:rPr>
                <w:rFonts w:ascii="Arial" w:cs="Arial" w:eastAsia="Arial" w:hAnsi="Arial"/>
                <w:sz w:val="14"/>
                <w:szCs w:val="14"/>
                <w:color w:val="0000EE"/>
                <w:w w:val="91"/>
              </w:rPr>
            </w:pPr>
            <w:hyperlink w:anchor="page137">
              <w:r>
                <w:rPr>
                  <w:rFonts w:ascii="Arial" w:cs="Arial" w:eastAsia="Arial" w:hAnsi="Arial"/>
                  <w:sz w:val="14"/>
                  <w:szCs w:val="14"/>
                  <w:color w:val="0000EE"/>
                  <w:w w:val="91"/>
                </w:rPr>
                <w:t>ARTICLE II Definitions</w:t>
              </w:r>
            </w:hyperlink>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gridSpan w:val="29"/>
            <w:vMerge w:val="restart"/>
          </w:tcPr>
          <w:p>
            <w:pPr>
              <w:spacing w:after="0"/>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“Act”</w:t>
              </w:r>
            </w:hyperlink>
          </w:p>
        </w:tc>
        <w:tc>
          <w:tcPr>
            <w:tcW w:w="6040" w:type="dxa"/>
            <w:vAlign w:val="bottom"/>
            <w:gridSpan w:val="35"/>
            <w:vMerge w:val="restart"/>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2.1</w:t>
            </w: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gridSpan w:val="29"/>
            <w:vMerge w:val="continue"/>
          </w:tcPr>
          <w:p>
            <w:pPr>
              <w:spacing w:after="0"/>
              <w:rPr>
                <w:sz w:val="11"/>
                <w:szCs w:val="11"/>
                <w:color w:val="auto"/>
              </w:rPr>
            </w:pPr>
          </w:p>
        </w:tc>
        <w:tc>
          <w:tcPr>
            <w:tcW w:w="6040" w:type="dxa"/>
            <w:vAlign w:val="bottom"/>
            <w:gridSpan w:val="35"/>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980" w:type="dxa"/>
            <w:vAlign w:val="bottom"/>
            <w:gridSpan w:val="65"/>
            <w:shd w:val="clear" w:color="auto" w:fill="0000EE"/>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6980" w:type="dxa"/>
            <w:vAlign w:val="bottom"/>
            <w:gridSpan w:val="65"/>
          </w:tcPr>
          <w:p>
            <w:pPr>
              <w:spacing w:after="0" w:line="129" w:lineRule="exact"/>
              <w:rPr>
                <w:rFonts w:ascii="Arial" w:cs="Arial" w:eastAsia="Arial" w:hAnsi="Arial"/>
                <w:sz w:val="14"/>
                <w:szCs w:val="14"/>
                <w:color w:val="0000EE"/>
              </w:rPr>
            </w:pPr>
            <w:hyperlink w:anchor="page137">
              <w:r>
                <w:rPr>
                  <w:rFonts w:ascii="Arial" w:cs="Arial" w:eastAsia="Arial" w:hAnsi="Arial"/>
                  <w:sz w:val="14"/>
                  <w:szCs w:val="14"/>
                  <w:color w:val="0000EE"/>
                </w:rPr>
                <w:t>“</w:t>
              </w:r>
              <w:r>
                <w:rPr>
                  <w:rFonts w:ascii="Arial" w:cs="Arial" w:eastAsia="Arial" w:hAnsi="Arial"/>
                  <w:sz w:val="14"/>
                  <w:szCs w:val="14"/>
                  <w:i w:val="1"/>
                  <w:iCs w:val="1"/>
                  <w:color w:val="0000EE"/>
                </w:rPr>
                <w:t>Affiliate”</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1"/>
                <w:szCs w:val="11"/>
                <w:color w:val="auto"/>
              </w:rPr>
            </w:pPr>
          </w:p>
        </w:tc>
        <w:tc>
          <w:tcPr>
            <w:tcW w:w="560" w:type="dxa"/>
            <w:vAlign w:val="bottom"/>
            <w:tcBorders>
              <w:top w:val="single" w:sz="8" w:color="0000EE"/>
            </w:tcBorders>
            <w:gridSpan w:val="1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“Award”</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1"/>
                <w:szCs w:val="11"/>
                <w:color w:val="auto"/>
              </w:rPr>
            </w:pPr>
          </w:p>
        </w:tc>
        <w:tc>
          <w:tcPr>
            <w:tcW w:w="460" w:type="dxa"/>
            <w:vAlign w:val="bottom"/>
            <w:tcBorders>
              <w:top w:val="single" w:sz="8" w:color="0000EE"/>
            </w:tcBorders>
            <w:gridSpan w:val="11"/>
          </w:tcPr>
          <w:p>
            <w:pPr>
              <w:spacing w:after="0" w:line="129" w:lineRule="exact"/>
              <w:rPr>
                <w:rFonts w:ascii="Arial" w:cs="Arial" w:eastAsia="Arial" w:hAnsi="Arial"/>
                <w:sz w:val="14"/>
                <w:szCs w:val="14"/>
                <w:i w:val="1"/>
                <w:iCs w:val="1"/>
                <w:color w:val="0000EE"/>
                <w:w w:val="99"/>
              </w:rPr>
            </w:pPr>
            <w:hyperlink w:anchor="page137">
              <w:r>
                <w:rPr>
                  <w:rFonts w:ascii="Arial" w:cs="Arial" w:eastAsia="Arial" w:hAnsi="Arial"/>
                  <w:sz w:val="14"/>
                  <w:szCs w:val="14"/>
                  <w:i w:val="1"/>
                  <w:iCs w:val="1"/>
                  <w:color w:val="0000EE"/>
                  <w:w w:val="99"/>
                </w:rPr>
                <w:t>“Award</w:t>
              </w:r>
            </w:hyperlink>
          </w:p>
        </w:tc>
        <w:tc>
          <w:tcPr>
            <w:tcW w:w="6540" w:type="dxa"/>
            <w:vAlign w:val="bottom"/>
            <w:gridSpan w:val="55"/>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Agreement”</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1"/>
                <w:szCs w:val="11"/>
                <w:color w:val="auto"/>
              </w:rPr>
            </w:pPr>
          </w:p>
        </w:tc>
        <w:tc>
          <w:tcPr>
            <w:tcW w:w="1200" w:type="dxa"/>
            <w:vAlign w:val="bottom"/>
            <w:tcBorders>
              <w:top w:val="single" w:sz="8" w:color="0000EE"/>
            </w:tcBorders>
            <w:gridSpan w:val="38"/>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“Beneficial Owner”</w:t>
              </w:r>
            </w:hyperlink>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1100" w:type="dxa"/>
            <w:vAlign w:val="bottom"/>
            <w:tcBorders>
              <w:top w:val="single" w:sz="8" w:color="0000EE"/>
            </w:tcBorders>
            <w:gridSpan w:val="34"/>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“Board”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1"/>
                <w:szCs w:val="11"/>
                <w:color w:val="auto"/>
              </w:rPr>
            </w:pPr>
          </w:p>
        </w:tc>
        <w:tc>
          <w:tcPr>
            <w:tcW w:w="440" w:type="dxa"/>
            <w:vAlign w:val="bottom"/>
            <w:tcBorders>
              <w:top w:val="single" w:sz="8" w:color="0000EE"/>
            </w:tcBorders>
            <w:gridSpan w:val="10"/>
          </w:tcPr>
          <w:p>
            <w:pPr>
              <w:spacing w:after="0" w:line="129" w:lineRule="exact"/>
              <w:rPr>
                <w:rFonts w:ascii="Arial" w:cs="Arial" w:eastAsia="Arial" w:hAnsi="Arial"/>
                <w:sz w:val="14"/>
                <w:szCs w:val="14"/>
                <w:i w:val="1"/>
                <w:iCs w:val="1"/>
                <w:color w:val="0000EE"/>
                <w:w w:val="99"/>
              </w:rPr>
            </w:pPr>
            <w:hyperlink w:anchor="page137">
              <w:r>
                <w:rPr>
                  <w:rFonts w:ascii="Arial" w:cs="Arial" w:eastAsia="Arial" w:hAnsi="Arial"/>
                  <w:sz w:val="14"/>
                  <w:szCs w:val="14"/>
                  <w:i w:val="1"/>
                  <w:iCs w:val="1"/>
                  <w:color w:val="0000EE"/>
                  <w:w w:val="99"/>
                </w:rPr>
                <w:t>“Cash-</w:t>
              </w:r>
            </w:hyperlink>
          </w:p>
        </w:tc>
        <w:tc>
          <w:tcPr>
            <w:tcW w:w="6560" w:type="dxa"/>
            <w:vAlign w:val="bottom"/>
            <w:gridSpan w:val="5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Based 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1"/>
                <w:szCs w:val="11"/>
                <w:color w:val="auto"/>
              </w:rPr>
            </w:pPr>
          </w:p>
        </w:tc>
        <w:tc>
          <w:tcPr>
            <w:tcW w:w="1320" w:type="dxa"/>
            <w:vAlign w:val="bottom"/>
            <w:tcBorders>
              <w:top w:val="single" w:sz="8" w:color="0000EE"/>
            </w:tcBorders>
            <w:gridSpan w:val="46"/>
          </w:tcPr>
          <w:p>
            <w:pPr>
              <w:spacing w:after="0" w:line="129" w:lineRule="exact"/>
              <w:rPr>
                <w:rFonts w:ascii="Arial" w:cs="Arial" w:eastAsia="Arial" w:hAnsi="Arial"/>
                <w:sz w:val="14"/>
                <w:szCs w:val="14"/>
                <w:i w:val="1"/>
                <w:iCs w:val="1"/>
                <w:color w:val="0000EE"/>
              </w:rPr>
            </w:pPr>
            <w:hyperlink w:anchor="page137">
              <w:r>
                <w:rPr>
                  <w:rFonts w:ascii="Arial" w:cs="Arial" w:eastAsia="Arial" w:hAnsi="Arial"/>
                  <w:sz w:val="14"/>
                  <w:szCs w:val="14"/>
                  <w:i w:val="1"/>
                  <w:iCs w:val="1"/>
                  <w:color w:val="0000EE"/>
                </w:rPr>
                <w:t>“Change of Control”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1"/>
                <w:szCs w:val="11"/>
                <w:color w:val="auto"/>
              </w:rPr>
            </w:pPr>
          </w:p>
        </w:tc>
        <w:tc>
          <w:tcPr>
            <w:tcW w:w="42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i w:val="1"/>
                <w:iCs w:val="1"/>
                <w:color w:val="0000EE"/>
                <w:w w:val="93"/>
              </w:rPr>
            </w:pPr>
            <w:hyperlink w:anchor="page138">
              <w:r>
                <w:rPr>
                  <w:rFonts w:ascii="Arial" w:cs="Arial" w:eastAsia="Arial" w:hAnsi="Arial"/>
                  <w:sz w:val="14"/>
                  <w:szCs w:val="14"/>
                  <w:i w:val="1"/>
                  <w:iCs w:val="1"/>
                  <w:color w:val="0000EE"/>
                  <w:w w:val="93"/>
                </w:rPr>
                <w:t>“Code”</w:t>
              </w:r>
            </w:hyperlink>
          </w:p>
        </w:tc>
        <w:tc>
          <w:tcPr>
            <w:tcW w:w="760" w:type="dxa"/>
            <w:vAlign w:val="bottom"/>
            <w:tcBorders>
              <w:top w:val="single" w:sz="8" w:color="0000EE"/>
            </w:tcBorders>
            <w:gridSpan w:val="30"/>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2.10</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“Committee”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2.11</w:t>
            </w:r>
          </w:p>
        </w:tc>
        <w:tc>
          <w:tcPr>
            <w:tcW w:w="760" w:type="dxa"/>
            <w:vAlign w:val="bottom"/>
            <w:tcBorders>
              <w:top w:val="single" w:sz="8" w:color="0000EE"/>
            </w:tcBorders>
            <w:gridSpan w:val="2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2.12</w:t>
            </w:r>
          </w:p>
        </w:tc>
        <w:tc>
          <w:tcPr>
            <w:tcW w:w="680" w:type="dxa"/>
            <w:vAlign w:val="bottom"/>
            <w:tcBorders>
              <w:top w:val="single" w:sz="8" w:color="0000EE"/>
            </w:tcBorders>
            <w:gridSpan w:val="20"/>
          </w:tcPr>
          <w:p>
            <w:pPr>
              <w:spacing w:after="0" w:line="129" w:lineRule="exact"/>
              <w:rPr>
                <w:rFonts w:ascii="Arial" w:cs="Arial" w:eastAsia="Arial" w:hAnsi="Arial"/>
                <w:sz w:val="14"/>
                <w:szCs w:val="14"/>
                <w:i w:val="1"/>
                <w:iCs w:val="1"/>
                <w:color w:val="0000EE"/>
                <w:w w:val="88"/>
              </w:rPr>
            </w:pPr>
            <w:hyperlink w:anchor="page138">
              <w:r>
                <w:rPr>
                  <w:rFonts w:ascii="Arial" w:cs="Arial" w:eastAsia="Arial" w:hAnsi="Arial"/>
                  <w:sz w:val="14"/>
                  <w:szCs w:val="14"/>
                  <w:i w:val="1"/>
                  <w:iCs w:val="1"/>
                  <w:color w:val="0000EE"/>
                  <w:w w:val="88"/>
                </w:rPr>
                <w:t>“Company’s</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280" w:type="dxa"/>
            <w:vAlign w:val="bottom"/>
            <w:gridSpan w:val="44"/>
          </w:tcPr>
          <w:p>
            <w:pPr>
              <w:ind w:left="20"/>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Assets”</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2.13</w:t>
            </w:r>
          </w:p>
        </w:tc>
        <w:tc>
          <w:tcPr>
            <w:tcW w:w="1240" w:type="dxa"/>
            <w:vAlign w:val="bottom"/>
            <w:tcBorders>
              <w:top w:val="single" w:sz="8" w:color="0000EE"/>
            </w:tcBorders>
            <w:gridSpan w:val="42"/>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“Consultant”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2.14</w:t>
            </w:r>
          </w:p>
        </w:tc>
        <w:tc>
          <w:tcPr>
            <w:tcW w:w="740" w:type="dxa"/>
            <w:vAlign w:val="bottom"/>
            <w:tcBorders>
              <w:top w:val="single" w:sz="8" w:color="0000EE"/>
            </w:tcBorders>
            <w:gridSpan w:val="23"/>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“Covered</w:t>
              </w:r>
            </w:hyperlink>
          </w:p>
        </w:tc>
        <w:tc>
          <w:tcPr>
            <w:tcW w:w="6280" w:type="dxa"/>
            <w:vAlign w:val="bottom"/>
            <w:gridSpan w:val="4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Employee”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2.15</w:t>
            </w:r>
          </w:p>
        </w:tc>
        <w:tc>
          <w:tcPr>
            <w:tcW w:w="1300" w:type="dxa"/>
            <w:vAlign w:val="bottom"/>
            <w:tcBorders>
              <w:top w:val="single" w:sz="8" w:color="0000EE"/>
            </w:tcBorders>
            <w:gridSpan w:val="45"/>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“Director”</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2.16</w:t>
            </w:r>
          </w:p>
        </w:tc>
        <w:tc>
          <w:tcPr>
            <w:tcW w:w="600" w:type="dxa"/>
            <w:vAlign w:val="bottom"/>
            <w:tcBorders>
              <w:top w:val="single" w:sz="8" w:color="0000EE"/>
              <w:bottom w:val="single" w:sz="8" w:color="0000EE"/>
            </w:tcBorders>
            <w:gridSpan w:val="18"/>
          </w:tcPr>
          <w:p>
            <w:pPr>
              <w:spacing w:after="0" w:line="129" w:lineRule="exact"/>
              <w:rPr>
                <w:rFonts w:ascii="Arial" w:cs="Arial" w:eastAsia="Arial" w:hAnsi="Arial"/>
                <w:sz w:val="14"/>
                <w:szCs w:val="14"/>
                <w:i w:val="1"/>
                <w:iCs w:val="1"/>
                <w:color w:val="0000EE"/>
                <w:w w:val="88"/>
              </w:rPr>
            </w:pPr>
            <w:hyperlink w:anchor="page138">
              <w:r>
                <w:rPr>
                  <w:rFonts w:ascii="Arial" w:cs="Arial" w:eastAsia="Arial" w:hAnsi="Arial"/>
                  <w:sz w:val="14"/>
                  <w:szCs w:val="14"/>
                  <w:i w:val="1"/>
                  <w:iCs w:val="1"/>
                  <w:color w:val="0000EE"/>
                  <w:w w:val="88"/>
                </w:rPr>
                <w:t>“Disability”</w:t>
              </w:r>
            </w:hyperlink>
          </w:p>
        </w:tc>
        <w:tc>
          <w:tcPr>
            <w:tcW w:w="40" w:type="dxa"/>
            <w:vAlign w:val="bottom"/>
            <w:tcBorders>
              <w:bottom w:val="single" w:sz="8" w:color="0000EE"/>
            </w:tcBorders>
          </w:tcPr>
          <w:p>
            <w:pPr>
              <w:spacing w:after="0"/>
              <w:rPr>
                <w:sz w:val="11"/>
                <w:szCs w:val="11"/>
                <w:color w:val="auto"/>
              </w:rPr>
            </w:pPr>
          </w:p>
        </w:tc>
        <w:tc>
          <w:tcPr>
            <w:tcW w:w="6380" w:type="dxa"/>
            <w:vAlign w:val="bottom"/>
            <w:gridSpan w:val="48"/>
            <w:vMerge w:val="restart"/>
          </w:tcPr>
          <w:p>
            <w:pPr>
              <w:jc w:val="center"/>
              <w:ind w:right="5720"/>
              <w:spacing w:after="0"/>
              <w:rPr>
                <w:rFonts w:ascii="Arial" w:cs="Arial" w:eastAsia="Arial" w:hAnsi="Arial"/>
                <w:sz w:val="14"/>
                <w:szCs w:val="14"/>
                <w:i w:val="1"/>
                <w:iCs w:val="1"/>
                <w:color w:val="0000EE"/>
                <w:w w:val="94"/>
              </w:rPr>
            </w:pPr>
            <w:hyperlink w:anchor="page138">
              <w:r>
                <w:rPr>
                  <w:rFonts w:ascii="Arial" w:cs="Arial" w:eastAsia="Arial" w:hAnsi="Arial"/>
                  <w:sz w:val="14"/>
                  <w:szCs w:val="14"/>
                  <w:i w:val="1"/>
                  <w:iCs w:val="1"/>
                  <w:color w:val="0000EE"/>
                  <w:w w:val="94"/>
                </w:rPr>
                <w:t>Equivalent”</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2.17</w:t>
            </w:r>
          </w:p>
        </w:tc>
        <w:tc>
          <w:tcPr>
            <w:tcW w:w="640" w:type="dxa"/>
            <w:vAlign w:val="bottom"/>
            <w:gridSpan w:val="19"/>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“Dividend</w:t>
              </w:r>
            </w:hyperlink>
          </w:p>
        </w:tc>
        <w:tc>
          <w:tcPr>
            <w:tcW w:w="6380" w:type="dxa"/>
            <w:vAlign w:val="bottom"/>
            <w:gridSpan w:val="48"/>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2.18</w:t>
            </w:r>
          </w:p>
        </w:tc>
        <w:tc>
          <w:tcPr>
            <w:tcW w:w="1360" w:type="dxa"/>
            <w:vAlign w:val="bottom"/>
            <w:tcBorders>
              <w:top w:val="single" w:sz="8" w:color="0000EE"/>
            </w:tcBorders>
            <w:gridSpan w:val="48"/>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“Employee”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2.19</w:t>
            </w:r>
          </w:p>
        </w:tc>
        <w:tc>
          <w:tcPr>
            <w:tcW w:w="70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i w:val="1"/>
                <w:iCs w:val="1"/>
                <w:color w:val="0000EE"/>
                <w:w w:val="77"/>
              </w:rPr>
            </w:pPr>
            <w:hyperlink w:anchor="page138">
              <w:r>
                <w:rPr>
                  <w:rFonts w:ascii="Arial" w:cs="Arial" w:eastAsia="Arial" w:hAnsi="Arial"/>
                  <w:sz w:val="14"/>
                  <w:szCs w:val="14"/>
                  <w:i w:val="1"/>
                  <w:iCs w:val="1"/>
                  <w:color w:val="0000EE"/>
                  <w:w w:val="77"/>
                </w:rPr>
                <w:t>“Employment”</w:t>
              </w:r>
            </w:hyperlink>
          </w:p>
        </w:tc>
        <w:tc>
          <w:tcPr>
            <w:tcW w:w="80" w:type="dxa"/>
            <w:vAlign w:val="bottom"/>
            <w:tcBorders>
              <w:bottom w:val="single" w:sz="8" w:color="0000EE"/>
            </w:tcBorders>
            <w:gridSpan w:val="4"/>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2.20</w:t>
            </w:r>
          </w:p>
        </w:tc>
        <w:tc>
          <w:tcPr>
            <w:tcW w:w="440" w:type="dxa"/>
            <w:vAlign w:val="bottom"/>
            <w:tcBorders>
              <w:bottom w:val="single" w:sz="8" w:color="0000EE"/>
            </w:tcBorders>
            <w:gridSpan w:val="10"/>
          </w:tcPr>
          <w:p>
            <w:pPr>
              <w:spacing w:after="0" w:line="129" w:lineRule="exact"/>
              <w:rPr>
                <w:rFonts w:ascii="Arial" w:cs="Arial" w:eastAsia="Arial" w:hAnsi="Arial"/>
                <w:sz w:val="14"/>
                <w:szCs w:val="14"/>
                <w:i w:val="1"/>
                <w:iCs w:val="1"/>
                <w:color w:val="0000EE"/>
                <w:w w:val="94"/>
              </w:rPr>
            </w:pPr>
            <w:hyperlink w:anchor="page138">
              <w:r>
                <w:rPr>
                  <w:rFonts w:ascii="Arial" w:cs="Arial" w:eastAsia="Arial" w:hAnsi="Arial"/>
                  <w:sz w:val="14"/>
                  <w:szCs w:val="14"/>
                  <w:i w:val="1"/>
                  <w:iCs w:val="1"/>
                  <w:color w:val="0000EE"/>
                  <w:w w:val="94"/>
                </w:rPr>
                <w:t>“Entity”</w:t>
              </w:r>
            </w:hyperlink>
          </w:p>
        </w:tc>
        <w:tc>
          <w:tcPr>
            <w:tcW w:w="420" w:type="dxa"/>
            <w:vAlign w:val="bottom"/>
            <w:gridSpan w:val="18"/>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2.21</w:t>
            </w:r>
          </w:p>
        </w:tc>
        <w:tc>
          <w:tcPr>
            <w:tcW w:w="940" w:type="dxa"/>
            <w:vAlign w:val="bottom"/>
            <w:tcBorders>
              <w:bottom w:val="single" w:sz="8" w:color="0000EE"/>
            </w:tcBorders>
            <w:gridSpan w:val="30"/>
          </w:tcPr>
          <w:p>
            <w:pPr>
              <w:spacing w:after="0" w:line="129" w:lineRule="exact"/>
              <w:rPr>
                <w:rFonts w:ascii="Arial" w:cs="Arial" w:eastAsia="Arial" w:hAnsi="Arial"/>
                <w:sz w:val="14"/>
                <w:szCs w:val="14"/>
                <w:i w:val="1"/>
                <w:iCs w:val="1"/>
                <w:color w:val="0000EE"/>
                <w:w w:val="96"/>
              </w:rPr>
            </w:pPr>
            <w:hyperlink w:anchor="page138">
              <w:r>
                <w:rPr>
                  <w:rFonts w:ascii="Arial" w:cs="Arial" w:eastAsia="Arial" w:hAnsi="Arial"/>
                  <w:sz w:val="14"/>
                  <w:szCs w:val="14"/>
                  <w:i w:val="1"/>
                  <w:iCs w:val="1"/>
                  <w:color w:val="0000EE"/>
                  <w:w w:val="96"/>
                </w:rPr>
                <w:t>“Exchange Act”</w:t>
              </w:r>
            </w:hyperlink>
          </w:p>
        </w:tc>
        <w:tc>
          <w:tcPr>
            <w:tcW w:w="6080" w:type="dxa"/>
            <w:vAlign w:val="bottom"/>
            <w:gridSpan w:val="3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2.22</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“Fair Market Value”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2.23</w:t>
            </w:r>
          </w:p>
        </w:tc>
        <w:tc>
          <w:tcPr>
            <w:tcW w:w="1160" w:type="dxa"/>
            <w:vAlign w:val="bottom"/>
            <w:tcBorders>
              <w:top w:val="single" w:sz="8" w:color="0000EE"/>
            </w:tcBorders>
            <w:gridSpan w:val="3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“Fiscal Year”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2.24</w:t>
            </w:r>
          </w:p>
        </w:tc>
        <w:tc>
          <w:tcPr>
            <w:tcW w:w="800" w:type="dxa"/>
            <w:vAlign w:val="bottom"/>
            <w:tcBorders>
              <w:top w:val="single" w:sz="8" w:color="0000EE"/>
            </w:tcBorders>
            <w:gridSpan w:val="26"/>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“Holder”</w:t>
              </w:r>
            </w:hyperlink>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2.25</w:t>
            </w:r>
          </w:p>
        </w:tc>
        <w:tc>
          <w:tcPr>
            <w:tcW w:w="500" w:type="dxa"/>
            <w:vAlign w:val="bottom"/>
            <w:tcBorders>
              <w:top w:val="single" w:sz="8" w:color="0000EE"/>
            </w:tcBorders>
            <w:gridSpan w:val="13"/>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“ISO”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2.26</w:t>
            </w:r>
          </w:p>
        </w:tc>
        <w:tc>
          <w:tcPr>
            <w:tcW w:w="3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i w:val="1"/>
                <w:iCs w:val="1"/>
                <w:color w:val="0000EE"/>
                <w:w w:val="80"/>
              </w:rPr>
            </w:pPr>
            <w:hyperlink w:anchor="page138">
              <w:r>
                <w:rPr>
                  <w:rFonts w:ascii="Arial" w:cs="Arial" w:eastAsia="Arial" w:hAnsi="Arial"/>
                  <w:sz w:val="14"/>
                  <w:szCs w:val="14"/>
                  <w:i w:val="1"/>
                  <w:iCs w:val="1"/>
                  <w:color w:val="0000EE"/>
                  <w:w w:val="80"/>
                </w:rPr>
                <w:t>“NSO”</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2.27</w:t>
            </w:r>
          </w:p>
        </w:tc>
        <w:tc>
          <w:tcPr>
            <w:tcW w:w="420" w:type="dxa"/>
            <w:vAlign w:val="bottom"/>
            <w:tcBorders>
              <w:bottom w:val="single" w:sz="8" w:color="0000EE"/>
            </w:tcBorders>
            <w:gridSpan w:val="9"/>
          </w:tcPr>
          <w:p>
            <w:pPr>
              <w:spacing w:after="0" w:line="129" w:lineRule="exact"/>
              <w:rPr>
                <w:rFonts w:ascii="Arial" w:cs="Arial" w:eastAsia="Arial" w:hAnsi="Arial"/>
                <w:sz w:val="14"/>
                <w:szCs w:val="14"/>
                <w:i w:val="1"/>
                <w:iCs w:val="1"/>
                <w:color w:val="0000EE"/>
                <w:w w:val="79"/>
              </w:rPr>
            </w:pPr>
            <w:hyperlink w:anchor="page138">
              <w:r>
                <w:rPr>
                  <w:rFonts w:ascii="Arial" w:cs="Arial" w:eastAsia="Arial" w:hAnsi="Arial"/>
                  <w:sz w:val="14"/>
                  <w:szCs w:val="14"/>
                  <w:i w:val="1"/>
                  <w:iCs w:val="1"/>
                  <w:color w:val="0000EE"/>
                  <w:w w:val="79"/>
                </w:rPr>
                <w:t>“Option”</w:t>
              </w:r>
            </w:hyperlink>
          </w:p>
        </w:tc>
        <w:tc>
          <w:tcPr>
            <w:tcW w:w="100" w:type="dxa"/>
            <w:vAlign w:val="bottom"/>
            <w:tcBorders>
              <w:bottom w:val="single" w:sz="8" w:color="0000EE"/>
            </w:tcBorders>
            <w:gridSpan w:val="5"/>
          </w:tcPr>
          <w:p>
            <w:pPr>
              <w:spacing w:after="0"/>
              <w:rPr>
                <w:sz w:val="11"/>
                <w:szCs w:val="11"/>
                <w:color w:val="auto"/>
              </w:rPr>
            </w:pPr>
          </w:p>
        </w:tc>
        <w:tc>
          <w:tcPr>
            <w:tcW w:w="6500" w:type="dxa"/>
            <w:vAlign w:val="bottom"/>
            <w:gridSpan w:val="53"/>
            <w:vMerge w:val="restart"/>
          </w:tcPr>
          <w:p>
            <w:pPr>
              <w:spacing w:after="0"/>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Price”</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2.28</w:t>
            </w:r>
          </w:p>
        </w:tc>
        <w:tc>
          <w:tcPr>
            <w:tcW w:w="520" w:type="dxa"/>
            <w:vAlign w:val="bottom"/>
            <w:gridSpan w:val="14"/>
          </w:tcPr>
          <w:p>
            <w:pPr>
              <w:spacing w:after="0" w:line="129" w:lineRule="exact"/>
              <w:rPr>
                <w:rFonts w:ascii="Arial" w:cs="Arial" w:eastAsia="Arial" w:hAnsi="Arial"/>
                <w:sz w:val="14"/>
                <w:szCs w:val="14"/>
                <w:i w:val="1"/>
                <w:iCs w:val="1"/>
                <w:color w:val="0000EE"/>
              </w:rPr>
            </w:pPr>
            <w:hyperlink w:anchor="page138">
              <w:r>
                <w:rPr>
                  <w:rFonts w:ascii="Arial" w:cs="Arial" w:eastAsia="Arial" w:hAnsi="Arial"/>
                  <w:sz w:val="14"/>
                  <w:szCs w:val="14"/>
                  <w:i w:val="1"/>
                  <w:iCs w:val="1"/>
                  <w:color w:val="0000EE"/>
                </w:rPr>
                <w:t>“Option</w:t>
              </w:r>
            </w:hyperlink>
          </w:p>
        </w:tc>
        <w:tc>
          <w:tcPr>
            <w:tcW w:w="6500" w:type="dxa"/>
            <w:vAlign w:val="bottom"/>
            <w:gridSpan w:val="53"/>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2.29</w:t>
            </w: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9"/>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“Ordinary Share” or “Ordinary Shares”</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2.30</w:t>
            </w:r>
          </w:p>
        </w:tc>
        <w:tc>
          <w:tcPr>
            <w:tcW w:w="2280" w:type="dxa"/>
            <w:vAlign w:val="bottom"/>
            <w:tcBorders>
              <w:top w:val="single" w:sz="8" w:color="0000EE"/>
            </w:tcBorders>
            <w:gridSpan w:val="62"/>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“Other Share-Based Award”</w:t>
              </w:r>
            </w:hyperlink>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2.31</w:t>
            </w:r>
          </w:p>
        </w:tc>
        <w:tc>
          <w:tcPr>
            <w:tcW w:w="1680" w:type="dxa"/>
            <w:vAlign w:val="bottom"/>
            <w:tcBorders>
              <w:top w:val="single" w:sz="8" w:color="0000EE"/>
            </w:tcBorders>
            <w:gridSpan w:val="5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“Parent Corporation”</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2.32</w:t>
            </w:r>
          </w:p>
        </w:tc>
        <w:tc>
          <w:tcPr>
            <w:tcW w:w="1280" w:type="dxa"/>
            <w:vAlign w:val="bottom"/>
            <w:tcBorders>
              <w:top w:val="single" w:sz="8" w:color="0000EE"/>
              <w:bottom w:val="single" w:sz="8" w:color="0000EE"/>
            </w:tcBorders>
            <w:gridSpan w:val="44"/>
          </w:tcPr>
          <w:p>
            <w:pPr>
              <w:spacing w:after="0" w:line="129" w:lineRule="exact"/>
              <w:rPr>
                <w:rFonts w:ascii="Arial" w:cs="Arial" w:eastAsia="Arial" w:hAnsi="Arial"/>
                <w:sz w:val="14"/>
                <w:szCs w:val="14"/>
                <w:i w:val="1"/>
                <w:iCs w:val="1"/>
                <w:color w:val="0000EE"/>
                <w:w w:val="96"/>
              </w:rPr>
            </w:pPr>
            <w:hyperlink w:anchor="page139">
              <w:r>
                <w:rPr>
                  <w:rFonts w:ascii="Arial" w:cs="Arial" w:eastAsia="Arial" w:hAnsi="Arial"/>
                  <w:sz w:val="14"/>
                  <w:szCs w:val="14"/>
                  <w:i w:val="1"/>
                  <w:iCs w:val="1"/>
                  <w:color w:val="0000EE"/>
                  <w:w w:val="96"/>
                </w:rPr>
                <w:t>“Performance Goals”</w:t>
              </w:r>
            </w:hyperlink>
          </w:p>
        </w:tc>
        <w:tc>
          <w:tcPr>
            <w:tcW w:w="40" w:type="dxa"/>
            <w:vAlign w:val="bottom"/>
            <w:tcBorders>
              <w:bottom w:val="single" w:sz="8" w:color="0000EE"/>
            </w:tcBorders>
            <w:gridSpan w:val="2"/>
          </w:tcPr>
          <w:p>
            <w:pPr>
              <w:spacing w:after="0"/>
              <w:rPr>
                <w:sz w:val="11"/>
                <w:szCs w:val="11"/>
                <w:color w:val="auto"/>
              </w:rPr>
            </w:pPr>
          </w:p>
        </w:tc>
        <w:tc>
          <w:tcPr>
            <w:tcW w:w="5700" w:type="dxa"/>
            <w:vAlign w:val="bottom"/>
            <w:gridSpan w:val="21"/>
            <w:vMerge w:val="restart"/>
          </w:tcPr>
          <w:p>
            <w:pPr>
              <w:spacing w:after="0"/>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2.33</w:t>
            </w:r>
          </w:p>
        </w:tc>
        <w:tc>
          <w:tcPr>
            <w:tcW w:w="1320" w:type="dxa"/>
            <w:vAlign w:val="bottom"/>
            <w:gridSpan w:val="46"/>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“Performance Share</w:t>
              </w:r>
            </w:hyperlink>
          </w:p>
        </w:tc>
        <w:tc>
          <w:tcPr>
            <w:tcW w:w="5700" w:type="dxa"/>
            <w:vAlign w:val="bottom"/>
            <w:gridSpan w:val="21"/>
            <w:vMerge w:val="continue"/>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2.34</w:t>
            </w:r>
          </w:p>
        </w:tc>
        <w:tc>
          <w:tcPr>
            <w:tcW w:w="1700" w:type="dxa"/>
            <w:vAlign w:val="bottom"/>
            <w:tcBorders>
              <w:top w:val="single" w:sz="8" w:color="0000EE"/>
            </w:tcBorders>
            <w:gridSpan w:val="56"/>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“Performance Unit Award”</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2.35</w:t>
            </w:r>
          </w:p>
        </w:tc>
        <w:tc>
          <w:tcPr>
            <w:tcW w:w="1580" w:type="dxa"/>
            <w:vAlign w:val="bottom"/>
            <w:tcBorders>
              <w:top w:val="single" w:sz="8" w:color="0000EE"/>
            </w:tcBorders>
            <w:gridSpan w:val="53"/>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“Period of Restriction”</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2.36</w:t>
            </w:r>
          </w:p>
        </w:tc>
        <w:tc>
          <w:tcPr>
            <w:tcW w:w="1400" w:type="dxa"/>
            <w:vAlign w:val="bottom"/>
            <w:tcBorders>
              <w:top w:val="single" w:sz="8" w:color="0000EE"/>
            </w:tcBorders>
            <w:gridSpan w:val="50"/>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“Person”</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2.37</w:t>
            </w:r>
          </w:p>
        </w:tc>
        <w:tc>
          <w:tcPr>
            <w:tcW w:w="540" w:type="dxa"/>
            <w:vAlign w:val="bottom"/>
            <w:tcBorders>
              <w:top w:val="single" w:sz="8" w:color="0000EE"/>
            </w:tcBorders>
            <w:gridSpan w:val="1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“Plan”</w:t>
              </w:r>
            </w:hyperlink>
          </w:p>
        </w:tc>
        <w:tc>
          <w:tcPr>
            <w:tcW w:w="2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2.38</w:t>
            </w:r>
          </w:p>
        </w:tc>
        <w:tc>
          <w:tcPr>
            <w:tcW w:w="3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“Qualified Performance-Based Compensation”</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2.39</w:t>
            </w:r>
          </w:p>
        </w:tc>
        <w:tc>
          <w:tcPr>
            <w:tcW w:w="2780" w:type="dxa"/>
            <w:vAlign w:val="bottom"/>
            <w:tcBorders>
              <w:top w:val="single" w:sz="8" w:color="0000EE"/>
            </w:tcBorders>
            <w:gridSpan w:val="64"/>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“Restricted Shares”</w:t>
              </w:r>
            </w:hyperlink>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2.40</w:t>
            </w:r>
          </w:p>
        </w:tc>
        <w:tc>
          <w:tcPr>
            <w:tcW w:w="1200" w:type="dxa"/>
            <w:vAlign w:val="bottom"/>
            <w:tcBorders>
              <w:top w:val="single" w:sz="8" w:color="0000EE"/>
            </w:tcBorders>
            <w:gridSpan w:val="38"/>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“Restricted Share</w:t>
              </w:r>
            </w:hyperlink>
          </w:p>
        </w:tc>
        <w:tc>
          <w:tcPr>
            <w:tcW w:w="5820" w:type="dxa"/>
            <w:vAlign w:val="bottom"/>
            <w:gridSpan w:val="29"/>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2.41</w:t>
            </w:r>
          </w:p>
        </w:tc>
        <w:tc>
          <w:tcPr>
            <w:tcW w:w="1520" w:type="dxa"/>
            <w:vAlign w:val="bottom"/>
            <w:tcBorders>
              <w:top w:val="single" w:sz="8" w:color="0000EE"/>
            </w:tcBorders>
            <w:gridSpan w:val="51"/>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“RSU”</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2.42</w:t>
            </w:r>
          </w:p>
        </w:tc>
        <w:tc>
          <w:tcPr>
            <w:tcW w:w="400" w:type="dxa"/>
            <w:vAlign w:val="bottom"/>
            <w:tcBorders>
              <w:top w:val="single" w:sz="8" w:color="0000EE"/>
            </w:tcBorders>
            <w:gridSpan w:val="8"/>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“RSU</w:t>
              </w:r>
            </w:hyperlink>
          </w:p>
        </w:tc>
        <w:tc>
          <w:tcPr>
            <w:tcW w:w="6620" w:type="dxa"/>
            <w:vAlign w:val="bottom"/>
            <w:gridSpan w:val="59"/>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Award”</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2.43</w:t>
            </w:r>
          </w:p>
        </w:tc>
        <w:tc>
          <w:tcPr>
            <w:tcW w:w="38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i w:val="1"/>
                <w:iCs w:val="1"/>
                <w:color w:val="0000EE"/>
                <w:w w:val="94"/>
              </w:rPr>
            </w:pPr>
            <w:hyperlink w:anchor="page139">
              <w:r>
                <w:rPr>
                  <w:rFonts w:ascii="Arial" w:cs="Arial" w:eastAsia="Arial" w:hAnsi="Arial"/>
                  <w:sz w:val="14"/>
                  <w:szCs w:val="14"/>
                  <w:i w:val="1"/>
                  <w:iCs w:val="1"/>
                  <w:color w:val="0000EE"/>
                  <w:w w:val="94"/>
                </w:rPr>
                <w:t>“SAR”</w:t>
              </w:r>
            </w:hyperlink>
          </w:p>
        </w:tc>
        <w:tc>
          <w:tcPr>
            <w:tcW w:w="460" w:type="dxa"/>
            <w:vAlign w:val="bottom"/>
            <w:tcBorders>
              <w:top w:val="single" w:sz="8" w:color="0000EE"/>
            </w:tcBorders>
            <w:gridSpan w:val="20"/>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2.44</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“Section 409A”</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2.45</w:t>
            </w:r>
          </w:p>
        </w:tc>
        <w:tc>
          <w:tcPr>
            <w:tcW w:w="920" w:type="dxa"/>
            <w:vAlign w:val="bottom"/>
            <w:tcBorders>
              <w:top w:val="single" w:sz="8" w:color="0000EE"/>
              <w:bottom w:val="single" w:sz="8" w:color="0000EE"/>
            </w:tcBorders>
            <w:gridSpan w:val="29"/>
          </w:tcPr>
          <w:p>
            <w:pPr>
              <w:spacing w:after="0" w:line="129" w:lineRule="exact"/>
              <w:rPr>
                <w:rFonts w:ascii="Arial" w:cs="Arial" w:eastAsia="Arial" w:hAnsi="Arial"/>
                <w:sz w:val="14"/>
                <w:szCs w:val="14"/>
                <w:i w:val="1"/>
                <w:iCs w:val="1"/>
                <w:color w:val="0000EE"/>
                <w:w w:val="94"/>
              </w:rPr>
            </w:pPr>
            <w:hyperlink w:anchor="page139">
              <w:r>
                <w:rPr>
                  <w:rFonts w:ascii="Arial" w:cs="Arial" w:eastAsia="Arial" w:hAnsi="Arial"/>
                  <w:sz w:val="14"/>
                  <w:szCs w:val="14"/>
                  <w:i w:val="1"/>
                  <w:iCs w:val="1"/>
                  <w:color w:val="0000EE"/>
                  <w:w w:val="94"/>
                </w:rPr>
                <w:t>“Securities Act”</w:t>
              </w:r>
            </w:hyperlink>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2.46</w:t>
            </w:r>
          </w:p>
        </w:tc>
        <w:tc>
          <w:tcPr>
            <w:tcW w:w="1200" w:type="dxa"/>
            <w:vAlign w:val="bottom"/>
            <w:tcBorders>
              <w:bottom w:val="single" w:sz="8" w:color="0000EE"/>
            </w:tcBorders>
            <w:gridSpan w:val="40"/>
          </w:tcPr>
          <w:p>
            <w:pPr>
              <w:spacing w:after="0" w:line="129" w:lineRule="exact"/>
              <w:rPr>
                <w:rFonts w:ascii="Arial" w:cs="Arial" w:eastAsia="Arial" w:hAnsi="Arial"/>
                <w:sz w:val="14"/>
                <w:szCs w:val="14"/>
                <w:i w:val="1"/>
                <w:iCs w:val="1"/>
                <w:color w:val="0000EE"/>
                <w:w w:val="97"/>
              </w:rPr>
            </w:pPr>
            <w:hyperlink w:anchor="page139">
              <w:r>
                <w:rPr>
                  <w:rFonts w:ascii="Arial" w:cs="Arial" w:eastAsia="Arial" w:hAnsi="Arial"/>
                  <w:sz w:val="14"/>
                  <w:szCs w:val="14"/>
                  <w:i w:val="1"/>
                  <w:iCs w:val="1"/>
                  <w:color w:val="0000EE"/>
                  <w:w w:val="97"/>
                </w:rPr>
                <w:t xml:space="preserve">“Share” </w:t>
              </w:r>
              <w:r>
                <w:rPr>
                  <w:rFonts w:ascii="Arial" w:cs="Arial" w:eastAsia="Arial" w:hAnsi="Arial"/>
                  <w:sz w:val="14"/>
                  <w:szCs w:val="14"/>
                  <w:color w:val="0000EE"/>
                  <w:w w:val="97"/>
                </w:rPr>
                <w:t>or</w:t>
              </w:r>
              <w:r>
                <w:rPr>
                  <w:rFonts w:ascii="Arial" w:cs="Arial" w:eastAsia="Arial" w:hAnsi="Arial"/>
                  <w:sz w:val="14"/>
                  <w:szCs w:val="14"/>
                  <w:i w:val="1"/>
                  <w:iCs w:val="1"/>
                  <w:color w:val="0000EE"/>
                  <w:w w:val="97"/>
                </w:rPr>
                <w:t xml:space="preserve"> “Shares”</w:t>
              </w:r>
            </w:hyperlink>
          </w:p>
        </w:tc>
        <w:tc>
          <w:tcPr>
            <w:tcW w:w="5820" w:type="dxa"/>
            <w:vAlign w:val="bottom"/>
            <w:gridSpan w:val="2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2.47</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 xml:space="preserve">“Subsidiary” </w:t>
              </w:r>
              <w:r>
                <w:rPr>
                  <w:rFonts w:ascii="Arial" w:cs="Arial" w:eastAsia="Arial" w:hAnsi="Arial"/>
                  <w:sz w:val="14"/>
                  <w:szCs w:val="14"/>
                  <w:color w:val="0000EE"/>
                </w:rPr>
                <w:t>or</w:t>
              </w:r>
              <w:r>
                <w:rPr>
                  <w:rFonts w:ascii="Arial" w:cs="Arial" w:eastAsia="Arial" w:hAnsi="Arial"/>
                  <w:sz w:val="14"/>
                  <w:szCs w:val="14"/>
                  <w:i w:val="1"/>
                  <w:iCs w:val="1"/>
                  <w:color w:val="0000EE"/>
                </w:rPr>
                <w:t xml:space="preserve"> “Subsidiaries” </w:t>
              </w:r>
              <w:r>
                <w:rPr>
                  <w:rFonts w:ascii="Arial" w:cs="Arial" w:eastAsia="Arial" w:hAnsi="Arial"/>
                  <w:sz w:val="14"/>
                  <w:szCs w:val="14"/>
                  <w:color w:val="0000EE"/>
                </w:rPr>
                <w:t>or</w:t>
              </w:r>
              <w:r>
                <w:rPr>
                  <w:rFonts w:ascii="Arial" w:cs="Arial" w:eastAsia="Arial" w:hAnsi="Arial"/>
                  <w:sz w:val="14"/>
                  <w:szCs w:val="14"/>
                  <w:i w:val="1"/>
                  <w:iCs w:val="1"/>
                  <w:color w:val="0000EE"/>
                </w:rPr>
                <w:t xml:space="preserve"> “Subsidiary Corporation”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2.48</w:t>
            </w:r>
          </w:p>
        </w:tc>
        <w:tc>
          <w:tcPr>
            <w:tcW w:w="3400" w:type="dxa"/>
            <w:vAlign w:val="bottom"/>
            <w:tcBorders>
              <w:top w:val="single" w:sz="8" w:color="0000EE"/>
            </w:tcBorders>
            <w:gridSpan w:val="65"/>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“Substantial Risk of Forfeiture”</w:t>
              </w:r>
            </w:hyperlink>
          </w:p>
        </w:tc>
        <w:tc>
          <w:tcPr>
            <w:tcW w:w="4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2.49</w:t>
            </w:r>
          </w:p>
        </w:tc>
        <w:tc>
          <w:tcPr>
            <w:tcW w:w="1200" w:type="dxa"/>
            <w:vAlign w:val="bottom"/>
            <w:tcBorders>
              <w:top w:val="single" w:sz="8" w:color="0000EE"/>
              <w:bottom w:val="single" w:sz="8" w:color="0000EE"/>
            </w:tcBorders>
            <w:gridSpan w:val="40"/>
          </w:tcPr>
          <w:p>
            <w:pPr>
              <w:spacing w:after="0" w:line="129" w:lineRule="exact"/>
              <w:rPr>
                <w:rFonts w:ascii="Arial" w:cs="Arial" w:eastAsia="Arial" w:hAnsi="Arial"/>
                <w:sz w:val="14"/>
                <w:szCs w:val="14"/>
                <w:i w:val="1"/>
                <w:iCs w:val="1"/>
                <w:color w:val="0000EE"/>
                <w:w w:val="95"/>
              </w:rPr>
            </w:pPr>
            <w:hyperlink w:anchor="page139">
              <w:r>
                <w:rPr>
                  <w:rFonts w:ascii="Arial" w:cs="Arial" w:eastAsia="Arial" w:hAnsi="Arial"/>
                  <w:sz w:val="14"/>
                  <w:szCs w:val="14"/>
                  <w:i w:val="1"/>
                  <w:iCs w:val="1"/>
                  <w:color w:val="0000EE"/>
                  <w:w w:val="95"/>
                </w:rPr>
                <w:t>“Tax-Related Items”</w:t>
              </w:r>
            </w:hyperlink>
          </w:p>
        </w:tc>
        <w:tc>
          <w:tcPr>
            <w:tcW w:w="640" w:type="dxa"/>
            <w:vAlign w:val="bottom"/>
            <w:tcBorders>
              <w:top w:val="single" w:sz="8" w:color="0000EE"/>
            </w:tcBorders>
            <w:gridSpan w:val="19"/>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2.50</w:t>
            </w:r>
          </w:p>
        </w:tc>
        <w:tc>
          <w:tcPr>
            <w:tcW w:w="7020" w:type="dxa"/>
            <w:vAlign w:val="bottom"/>
            <w:gridSpan w:val="67"/>
          </w:tcPr>
          <w:p>
            <w:pPr>
              <w:spacing w:after="0" w:line="129" w:lineRule="exact"/>
              <w:rPr>
                <w:rFonts w:ascii="Arial" w:cs="Arial" w:eastAsia="Arial" w:hAnsi="Arial"/>
                <w:sz w:val="14"/>
                <w:szCs w:val="14"/>
                <w:i w:val="1"/>
                <w:iCs w:val="1"/>
                <w:color w:val="0000EE"/>
              </w:rPr>
            </w:pPr>
            <w:hyperlink w:anchor="page139">
              <w:r>
                <w:rPr>
                  <w:rFonts w:ascii="Arial" w:cs="Arial" w:eastAsia="Arial" w:hAnsi="Arial"/>
                  <w:sz w:val="14"/>
                  <w:szCs w:val="14"/>
                  <w:i w:val="1"/>
                  <w:iCs w:val="1"/>
                  <w:color w:val="0000EE"/>
                </w:rPr>
                <w:t>“Ten Percent Shareholder”</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2.51</w:t>
            </w:r>
          </w:p>
        </w:tc>
        <w:tc>
          <w:tcPr>
            <w:tcW w:w="1600" w:type="dxa"/>
            <w:vAlign w:val="bottom"/>
            <w:tcBorders>
              <w:top w:val="single" w:sz="8" w:color="0000EE"/>
              <w:bottom w:val="single" w:sz="8" w:color="0000EE"/>
            </w:tcBorders>
            <w:gridSpan w:val="54"/>
          </w:tcPr>
          <w:p>
            <w:pPr>
              <w:spacing w:after="0" w:line="129" w:lineRule="exact"/>
              <w:rPr>
                <w:rFonts w:ascii="Arial" w:cs="Arial" w:eastAsia="Arial" w:hAnsi="Arial"/>
                <w:sz w:val="14"/>
                <w:szCs w:val="14"/>
                <w:i w:val="1"/>
                <w:iCs w:val="1"/>
                <w:color w:val="0000EE"/>
                <w:w w:val="87"/>
              </w:rPr>
            </w:pPr>
            <w:hyperlink w:anchor="page139">
              <w:r>
                <w:rPr>
                  <w:rFonts w:ascii="Arial" w:cs="Arial" w:eastAsia="Arial" w:hAnsi="Arial"/>
                  <w:sz w:val="14"/>
                  <w:szCs w:val="14"/>
                  <w:i w:val="1"/>
                  <w:iCs w:val="1"/>
                  <w:color w:val="0000EE"/>
                  <w:w w:val="87"/>
                </w:rPr>
                <w:t>“Termination of Employment”</w:t>
              </w:r>
            </w:hyperlink>
          </w:p>
        </w:tc>
        <w:tc>
          <w:tcPr>
            <w:tcW w:w="140" w:type="dxa"/>
            <w:vAlign w:val="bottom"/>
            <w:tcBorders>
              <w:bottom w:val="single" w:sz="8" w:color="0000EE"/>
            </w:tcBorders>
            <w:gridSpan w:val="3"/>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2.52</w:t>
            </w:r>
          </w:p>
        </w:tc>
        <w:tc>
          <w:tcPr>
            <w:tcW w:w="1740" w:type="dxa"/>
            <w:vAlign w:val="bottom"/>
            <w:gridSpan w:val="57"/>
          </w:tcPr>
          <w:p>
            <w:pPr>
              <w:spacing w:after="0" w:line="129" w:lineRule="exact"/>
              <w:rPr>
                <w:rFonts w:ascii="Arial" w:cs="Arial" w:eastAsia="Arial" w:hAnsi="Arial"/>
                <w:sz w:val="14"/>
                <w:szCs w:val="14"/>
                <w:i w:val="1"/>
                <w:iCs w:val="1"/>
                <w:color w:val="0000EE"/>
              </w:rPr>
            </w:pPr>
            <w:hyperlink w:anchor="page140">
              <w:r>
                <w:rPr>
                  <w:rFonts w:ascii="Arial" w:cs="Arial" w:eastAsia="Arial" w:hAnsi="Arial"/>
                  <w:sz w:val="14"/>
                  <w:szCs w:val="14"/>
                  <w:i w:val="1"/>
                  <w:iCs w:val="1"/>
                  <w:color w:val="0000EE"/>
                </w:rPr>
                <w:t>“U.S. Taxpayer”</w:t>
              </w:r>
            </w:hyperlink>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spacing w:after="0" w:line="129" w:lineRule="exact"/>
              <w:rPr>
                <w:rFonts w:ascii="Arial" w:cs="Arial" w:eastAsia="Arial" w:hAnsi="Arial"/>
                <w:sz w:val="14"/>
                <w:szCs w:val="14"/>
                <w:color w:val="0000EE"/>
                <w:w w:val="94"/>
              </w:rPr>
            </w:pPr>
            <w:hyperlink w:anchor="page140">
              <w:r>
                <w:rPr>
                  <w:rFonts w:ascii="Arial" w:cs="Arial" w:eastAsia="Arial" w:hAnsi="Arial"/>
                  <w:sz w:val="14"/>
                  <w:szCs w:val="14"/>
                  <w:color w:val="0000EE"/>
                  <w:w w:val="94"/>
                </w:rPr>
                <w:t>ARTICLE III Eligibility</w:t>
              </w:r>
            </w:hyperlink>
          </w:p>
        </w:tc>
        <w:tc>
          <w:tcPr>
            <w:tcW w:w="960" w:type="dxa"/>
            <w:vAlign w:val="bottom"/>
            <w:tcBorders>
              <w:top w:val="single" w:sz="8" w:color="0000EE"/>
            </w:tcBorders>
            <w:gridSpan w:val="31"/>
          </w:tcPr>
          <w:p>
            <w:pPr>
              <w:ind w:left="40"/>
              <w:spacing w:after="0" w:line="129" w:lineRule="exact"/>
              <w:rPr>
                <w:rFonts w:ascii="Arial" w:cs="Arial" w:eastAsia="Arial" w:hAnsi="Arial"/>
                <w:sz w:val="14"/>
                <w:szCs w:val="14"/>
                <w:color w:val="0000EE"/>
                <w:w w:val="86"/>
              </w:rPr>
            </w:pPr>
            <w:hyperlink w:anchor="page140">
              <w:r>
                <w:rPr>
                  <w:rFonts w:ascii="Arial" w:cs="Arial" w:eastAsia="Arial" w:hAnsi="Arial"/>
                  <w:sz w:val="14"/>
                  <w:szCs w:val="14"/>
                  <w:color w:val="0000EE"/>
                  <w:w w:val="86"/>
                </w:rPr>
                <w:t>and Participation</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3.1</w:t>
            </w: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w w:val="95"/>
              </w:rPr>
            </w:pPr>
            <w:hyperlink w:anchor="page140">
              <w:r>
                <w:rPr>
                  <w:rFonts w:ascii="Arial" w:cs="Arial" w:eastAsia="Arial" w:hAnsi="Arial"/>
                  <w:sz w:val="14"/>
                  <w:szCs w:val="14"/>
                  <w:color w:val="0000EE"/>
                  <w:w w:val="95"/>
                </w:rPr>
                <w:t>Eligibility</w:t>
              </w:r>
            </w:hyperlink>
          </w:p>
        </w:tc>
        <w:tc>
          <w:tcPr>
            <w:tcW w:w="500" w:type="dxa"/>
            <w:vAlign w:val="bottom"/>
            <w:tcBorders>
              <w:top w:val="single" w:sz="8" w:color="0000EE"/>
            </w:tcBorders>
            <w:gridSpan w:val="18"/>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120" w:type="dxa"/>
            <w:vAlign w:val="bottom"/>
            <w:gridSpan w:val="6"/>
          </w:tcPr>
          <w:p>
            <w:pPr>
              <w:spacing w:after="0"/>
              <w:rPr>
                <w:sz w:val="11"/>
                <w:szCs w:val="11"/>
                <w:color w:val="auto"/>
              </w:rPr>
            </w:pPr>
          </w:p>
        </w:tc>
        <w:tc>
          <w:tcPr>
            <w:tcW w:w="1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Participation</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300" w:type="dxa"/>
            <w:vAlign w:val="bottom"/>
            <w:gridSpan w:val="3"/>
          </w:tcPr>
          <w:p>
            <w:pPr>
              <w:spacing w:after="0" w:line="129" w:lineRule="exact"/>
              <w:rPr>
                <w:rFonts w:ascii="Arial" w:cs="Arial" w:eastAsia="Arial" w:hAnsi="Arial"/>
                <w:sz w:val="14"/>
                <w:szCs w:val="14"/>
                <w:color w:val="0000EE"/>
                <w:w w:val="98"/>
              </w:rPr>
            </w:pPr>
            <w:hyperlink w:anchor="page140">
              <w:r>
                <w:rPr>
                  <w:rFonts w:ascii="Arial" w:cs="Arial" w:eastAsia="Arial" w:hAnsi="Arial"/>
                  <w:sz w:val="14"/>
                  <w:szCs w:val="14"/>
                  <w:color w:val="0000EE"/>
                  <w:w w:val="98"/>
                </w:rPr>
                <w:t>ARTICLE IV General</w:t>
              </w:r>
            </w:hyperlink>
          </w:p>
        </w:tc>
        <w:tc>
          <w:tcPr>
            <w:tcW w:w="760" w:type="dxa"/>
            <w:vAlign w:val="bottom"/>
            <w:tcBorders>
              <w:top w:val="single" w:sz="8" w:color="0000EE"/>
            </w:tcBorders>
            <w:gridSpan w:val="24"/>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Provisions</w:t>
              </w:r>
            </w:hyperlink>
          </w:p>
        </w:tc>
        <w:tc>
          <w:tcPr>
            <w:tcW w:w="6240" w:type="dxa"/>
            <w:vAlign w:val="bottom"/>
            <w:gridSpan w:val="42"/>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Relating to Awards</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4.1</w:t>
            </w:r>
          </w:p>
        </w:tc>
        <w:tc>
          <w:tcPr>
            <w:tcW w:w="20" w:type="dxa"/>
            <w:vAlign w:val="bottom"/>
            <w:tcBorders>
              <w:top w:val="single" w:sz="8" w:color="0000EE"/>
            </w:tcBorders>
          </w:tcPr>
          <w:p>
            <w:pPr>
              <w:spacing w:after="0"/>
              <w:rPr>
                <w:sz w:val="11"/>
                <w:szCs w:val="11"/>
                <w:color w:val="auto"/>
              </w:rPr>
            </w:pPr>
          </w:p>
        </w:tc>
        <w:tc>
          <w:tcPr>
            <w:tcW w:w="1780" w:type="dxa"/>
            <w:vAlign w:val="bottom"/>
            <w:tcBorders>
              <w:top w:val="single" w:sz="8" w:color="0000EE"/>
            </w:tcBorders>
            <w:gridSpan w:val="57"/>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Authority to Grant Awards</w:t>
              </w:r>
            </w:hyperlink>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line="20" w:lineRule="exact"/>
              <w:rPr>
                <w:sz w:val="1"/>
                <w:szCs w:val="1"/>
                <w:color w:val="auto"/>
              </w:rPr>
            </w:pPr>
          </w:p>
        </w:tc>
        <w:tc>
          <w:tcPr>
            <w:tcW w:w="1020" w:type="dxa"/>
            <w:vAlign w:val="bottom"/>
            <w:gridSpan w:val="3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6"/>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Dedicated Shares; Maximum Awards</w:t>
              </w:r>
            </w:hyperlink>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35"/>
          </w:tcPr>
          <w:p>
            <w:pPr>
              <w:spacing w:after="0" w:line="129" w:lineRule="exact"/>
              <w:rPr>
                <w:rFonts w:ascii="Arial" w:cs="Arial" w:eastAsia="Arial" w:hAnsi="Arial"/>
                <w:sz w:val="14"/>
                <w:szCs w:val="14"/>
                <w:color w:val="0000EE"/>
                <w:w w:val="94"/>
              </w:rPr>
            </w:pPr>
            <w:hyperlink w:anchor="page140">
              <w:r>
                <w:rPr>
                  <w:rFonts w:ascii="Arial" w:cs="Arial" w:eastAsia="Arial" w:hAnsi="Arial"/>
                  <w:sz w:val="14"/>
                  <w:szCs w:val="14"/>
                  <w:color w:val="0000EE"/>
                  <w:w w:val="94"/>
                </w:rPr>
                <w:t>Non-Transferability</w:t>
              </w:r>
            </w:hyperlink>
          </w:p>
        </w:tc>
        <w:tc>
          <w:tcPr>
            <w:tcW w:w="1080" w:type="dxa"/>
            <w:vAlign w:val="bottom"/>
            <w:tcBorders>
              <w:top w:val="single" w:sz="8" w:color="0000EE"/>
            </w:tcBorders>
            <w:gridSpan w:val="25"/>
          </w:tcPr>
          <w:p>
            <w:pPr>
              <w:spacing w:after="0"/>
              <w:rPr>
                <w:sz w:val="11"/>
                <w:szCs w:val="11"/>
                <w:color w:val="auto"/>
              </w:rPr>
            </w:pPr>
          </w:p>
        </w:tc>
        <w:tc>
          <w:tcPr>
            <w:tcW w:w="280" w:type="dxa"/>
            <w:vAlign w:val="bottom"/>
            <w:gridSpan w:val="2"/>
          </w:tcPr>
          <w:p>
            <w:pPr>
              <w:spacing w:after="0"/>
              <w:rPr>
                <w:sz w:val="11"/>
                <w:szCs w:val="11"/>
                <w:color w:val="auto"/>
              </w:rPr>
            </w:pPr>
          </w:p>
        </w:tc>
        <w:tc>
          <w:tcPr>
            <w:tcW w:w="1340" w:type="dxa"/>
            <w:vAlign w:val="bottom"/>
            <w:gridSpan w:val="3"/>
          </w:tcPr>
          <w:p>
            <w:pPr>
              <w:spacing w:after="0"/>
              <w:rPr>
                <w:sz w:val="11"/>
                <w:szCs w:val="11"/>
                <w:color w:val="auto"/>
              </w:rPr>
            </w:pPr>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1"/>
                <w:szCs w:val="11"/>
                <w:color w:val="auto"/>
              </w:rPr>
            </w:pPr>
          </w:p>
        </w:tc>
        <w:tc>
          <w:tcPr>
            <w:tcW w:w="1360" w:type="dxa"/>
            <w:vAlign w:val="bottom"/>
            <w:tcBorders>
              <w:bottom w:val="single" w:sz="8" w:color="0000EE"/>
            </w:tcBorders>
            <w:gridSpan w:val="48"/>
          </w:tcPr>
          <w:p>
            <w:pPr>
              <w:spacing w:after="0" w:line="129" w:lineRule="exact"/>
              <w:rPr>
                <w:rFonts w:ascii="Arial" w:cs="Arial" w:eastAsia="Arial" w:hAnsi="Arial"/>
                <w:sz w:val="14"/>
                <w:szCs w:val="14"/>
                <w:color w:val="0000EE"/>
              </w:rPr>
            </w:pPr>
            <w:hyperlink w:anchor="page140">
              <w:r>
                <w:rPr>
                  <w:rFonts w:ascii="Arial" w:cs="Arial" w:eastAsia="Arial" w:hAnsi="Arial"/>
                  <w:sz w:val="14"/>
                  <w:szCs w:val="14"/>
                  <w:color w:val="0000EE"/>
                </w:rPr>
                <w:t>Requirements of Law</w:t>
              </w:r>
            </w:hyperlink>
          </w:p>
        </w:tc>
        <w:tc>
          <w:tcPr>
            <w:tcW w:w="5640" w:type="dxa"/>
            <w:vAlign w:val="bottom"/>
            <w:gridSpan w:val="18"/>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1"/>
                <w:szCs w:val="11"/>
                <w:color w:val="auto"/>
              </w:rPr>
            </w:pPr>
          </w:p>
        </w:tc>
        <w:tc>
          <w:tcPr>
            <w:tcW w:w="7000" w:type="dxa"/>
            <w:vAlign w:val="bottom"/>
            <w:gridSpan w:val="66"/>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Changes in the Company’s Capital Structure; Change of Control</w:t>
              </w:r>
            </w:hyperlink>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3840" w:type="dxa"/>
            <w:vAlign w:val="bottom"/>
            <w:tcBorders>
              <w:top w:val="single" w:sz="8" w:color="0000EE"/>
            </w:tcBorders>
            <w:gridSpan w:val="65"/>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Election Under Section 83(b) of the Code</w:t>
              </w:r>
            </w:hyperlink>
          </w:p>
        </w:tc>
        <w:tc>
          <w:tcPr>
            <w:tcW w:w="3160" w:type="dxa"/>
            <w:vAlign w:val="bottom"/>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1"/>
                <w:szCs w:val="11"/>
                <w:color w:val="auto"/>
              </w:rPr>
            </w:pPr>
          </w:p>
        </w:tc>
        <w:tc>
          <w:tcPr>
            <w:tcW w:w="2500" w:type="dxa"/>
            <w:vAlign w:val="bottom"/>
            <w:tcBorders>
              <w:top w:val="single" w:sz="8" w:color="0000EE"/>
            </w:tcBorders>
            <w:gridSpan w:val="62"/>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Forfeiture for Cause</w:t>
              </w:r>
            </w:hyperlink>
          </w:p>
        </w:tc>
        <w:tc>
          <w:tcPr>
            <w:tcW w:w="4500" w:type="dxa"/>
            <w:vAlign w:val="bottom"/>
            <w:gridSpan w:val="4"/>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1"/>
                <w:szCs w:val="11"/>
                <w:color w:val="auto"/>
              </w:rPr>
            </w:pPr>
          </w:p>
        </w:tc>
        <w:tc>
          <w:tcPr>
            <w:tcW w:w="1240" w:type="dxa"/>
            <w:vAlign w:val="bottom"/>
            <w:tcBorders>
              <w:top w:val="single" w:sz="8" w:color="0000EE"/>
            </w:tcBorders>
            <w:gridSpan w:val="42"/>
          </w:tcPr>
          <w:p>
            <w:pPr>
              <w:spacing w:after="0" w:line="129" w:lineRule="exact"/>
              <w:rPr>
                <w:rFonts w:ascii="Arial" w:cs="Arial" w:eastAsia="Arial" w:hAnsi="Arial"/>
                <w:sz w:val="14"/>
                <w:szCs w:val="14"/>
                <w:color w:val="0000EE"/>
              </w:rPr>
            </w:pPr>
            <w:hyperlink w:anchor="page141">
              <w:r>
                <w:rPr>
                  <w:rFonts w:ascii="Arial" w:cs="Arial" w:eastAsia="Arial" w:hAnsi="Arial"/>
                  <w:sz w:val="14"/>
                  <w:szCs w:val="14"/>
                  <w:color w:val="0000EE"/>
                </w:rPr>
                <w:t>Forfeiture Events</w:t>
              </w:r>
            </w:hyperlink>
          </w:p>
        </w:tc>
        <w:tc>
          <w:tcPr>
            <w:tcW w:w="880" w:type="dxa"/>
            <w:vAlign w:val="bottom"/>
            <w:gridSpan w:val="17"/>
          </w:tcPr>
          <w:p>
            <w:pPr>
              <w:spacing w:after="0"/>
              <w:rPr>
                <w:sz w:val="11"/>
                <w:szCs w:val="11"/>
                <w:color w:val="auto"/>
              </w:rPr>
            </w:pPr>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32"/>
          </w:tcPr>
          <w:p>
            <w:pPr>
              <w:spacing w:after="0" w:line="129" w:lineRule="exact"/>
              <w:rPr>
                <w:rFonts w:ascii="Arial" w:cs="Arial" w:eastAsia="Arial" w:hAnsi="Arial"/>
                <w:sz w:val="14"/>
                <w:szCs w:val="14"/>
                <w:color w:val="0000EE"/>
                <w:w w:val="83"/>
              </w:rPr>
            </w:pPr>
            <w:hyperlink w:anchor="page141">
              <w:r>
                <w:rPr>
                  <w:rFonts w:ascii="Arial" w:cs="Arial" w:eastAsia="Arial" w:hAnsi="Arial"/>
                  <w:sz w:val="14"/>
                  <w:szCs w:val="14"/>
                  <w:color w:val="0000EE"/>
                  <w:w w:val="83"/>
                </w:rPr>
                <w:t>Award Agreements</w:t>
              </w:r>
            </w:hyperlink>
          </w:p>
        </w:tc>
        <w:tc>
          <w:tcPr>
            <w:tcW w:w="140" w:type="dxa"/>
            <w:vAlign w:val="bottom"/>
            <w:tcBorders>
              <w:bottom w:val="single" w:sz="8" w:color="0000EE"/>
            </w:tcBorders>
            <w:gridSpan w:val="4"/>
          </w:tcPr>
          <w:p>
            <w:pPr>
              <w:spacing w:after="0"/>
              <w:rPr>
                <w:sz w:val="11"/>
                <w:szCs w:val="11"/>
                <w:color w:val="auto"/>
              </w:rPr>
            </w:pPr>
          </w:p>
        </w:tc>
        <w:tc>
          <w:tcPr>
            <w:tcW w:w="960" w:type="dxa"/>
            <w:vAlign w:val="bottom"/>
            <w:gridSpan w:val="23"/>
          </w:tcPr>
          <w:p>
            <w:pPr>
              <w:spacing w:after="0"/>
              <w:rPr>
                <w:sz w:val="11"/>
                <w:szCs w:val="11"/>
                <w:color w:val="auto"/>
              </w:rPr>
            </w:pPr>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8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4.10</w:t>
            </w:r>
          </w:p>
        </w:tc>
        <w:tc>
          <w:tcPr>
            <w:tcW w:w="20" w:type="dxa"/>
            <w:vAlign w:val="bottom"/>
            <w:tcBorders>
              <w:bottom w:val="single" w:sz="8" w:color="0000EE"/>
            </w:tcBorders>
          </w:tcPr>
          <w:p>
            <w:pPr>
              <w:spacing w:after="0"/>
              <w:rPr>
                <w:sz w:val="11"/>
                <w:szCs w:val="11"/>
                <w:color w:val="auto"/>
              </w:rPr>
            </w:pPr>
          </w:p>
        </w:tc>
        <w:tc>
          <w:tcPr>
            <w:tcW w:w="2120" w:type="dxa"/>
            <w:vAlign w:val="bottom"/>
            <w:tcBorders>
              <w:bottom w:val="single" w:sz="8" w:color="0000EE"/>
            </w:tcBorders>
            <w:gridSpan w:val="59"/>
          </w:tcPr>
          <w:p>
            <w:pPr>
              <w:spacing w:after="0" w:line="129" w:lineRule="exact"/>
              <w:rPr>
                <w:rFonts w:ascii="Arial" w:cs="Arial" w:eastAsia="Arial" w:hAnsi="Arial"/>
                <w:sz w:val="14"/>
                <w:szCs w:val="14"/>
                <w:color w:val="0000EE"/>
                <w:w w:val="95"/>
              </w:rPr>
            </w:pPr>
            <w:hyperlink w:anchor="page141">
              <w:r>
                <w:rPr>
                  <w:rFonts w:ascii="Arial" w:cs="Arial" w:eastAsia="Arial" w:hAnsi="Arial"/>
                  <w:sz w:val="14"/>
                  <w:szCs w:val="14"/>
                  <w:color w:val="0000EE"/>
                  <w:w w:val="95"/>
                </w:rPr>
                <w:t>Amendments of Award Agreements</w:t>
              </w:r>
            </w:hyperlink>
          </w:p>
        </w:tc>
        <w:tc>
          <w:tcPr>
            <w:tcW w:w="4880" w:type="dxa"/>
            <w:vAlign w:val="bottom"/>
            <w:gridSpan w:val="7"/>
          </w:tcPr>
          <w:p>
            <w:pPr>
              <w:spacing w:after="0"/>
              <w:rPr>
                <w:sz w:val="11"/>
                <w:szCs w:val="11"/>
                <w:color w:val="auto"/>
              </w:rPr>
            </w:pPr>
          </w:p>
        </w:tc>
        <w:tc>
          <w:tcPr>
            <w:tcW w:w="25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0" w:type="dxa"/>
            <w:vAlign w:val="bottom"/>
            <w:gridSpan w:val="2"/>
          </w:tcPr>
          <w:p>
            <w:pPr>
              <w:ind w:left="660"/>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4"/>
                <w:szCs w:val="14"/>
                <w:color w:val="auto"/>
              </w:rPr>
            </w:pPr>
          </w:p>
        </w:tc>
        <w:tc>
          <w:tcPr>
            <w:tcW w:w="7040" w:type="dxa"/>
            <w:vAlign w:val="bottom"/>
            <w:gridSpan w:val="70"/>
          </w:tcPr>
          <w:p>
            <w:pPr>
              <w:spacing w:after="0"/>
              <w:rPr>
                <w:rFonts w:ascii="Arial" w:cs="Arial" w:eastAsia="Arial" w:hAnsi="Arial"/>
                <w:sz w:val="14"/>
                <w:szCs w:val="14"/>
                <w:color w:val="0000EE"/>
              </w:rPr>
            </w:pPr>
            <w:hyperlink w:anchor="page141">
              <w:r>
                <w:rPr>
                  <w:rFonts w:ascii="Arial" w:cs="Arial" w:eastAsia="Arial" w:hAnsi="Arial"/>
                  <w:sz w:val="14"/>
                  <w:szCs w:val="14"/>
                  <w:color w:val="0000EE"/>
                </w:rPr>
                <w:t>Rights as Shareholder</w:t>
              </w:r>
            </w:hyperlink>
          </w:p>
        </w:tc>
        <w:tc>
          <w:tcPr>
            <w:tcW w:w="2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1"/>
                <w:szCs w:val="11"/>
                <w:color w:val="auto"/>
              </w:rPr>
            </w:pPr>
          </w:p>
        </w:tc>
        <w:tc>
          <w:tcPr>
            <w:tcW w:w="1180" w:type="dxa"/>
            <w:vAlign w:val="bottom"/>
            <w:tcBorders>
              <w:top w:val="single" w:sz="8" w:color="0000EE"/>
              <w:bottom w:val="single" w:sz="8" w:color="0000EE"/>
            </w:tcBorders>
            <w:gridSpan w:val="24"/>
          </w:tcPr>
          <w:p>
            <w:pPr>
              <w:spacing w:after="0" w:line="129" w:lineRule="exact"/>
              <w:rPr>
                <w:rFonts w:ascii="Arial" w:cs="Arial" w:eastAsia="Arial" w:hAnsi="Arial"/>
                <w:sz w:val="14"/>
                <w:szCs w:val="14"/>
                <w:color w:val="0000EE"/>
                <w:w w:val="96"/>
              </w:rPr>
            </w:pPr>
            <w:hyperlink w:anchor="page141">
              <w:r>
                <w:rPr>
                  <w:rFonts w:ascii="Arial" w:cs="Arial" w:eastAsia="Arial" w:hAnsi="Arial"/>
                  <w:sz w:val="14"/>
                  <w:szCs w:val="14"/>
                  <w:color w:val="0000EE"/>
                  <w:w w:val="96"/>
                </w:rPr>
                <w:t>Issuance of Shares</w:t>
              </w:r>
            </w:hyperlink>
          </w:p>
        </w:tc>
        <w:tc>
          <w:tcPr>
            <w:tcW w:w="180" w:type="dxa"/>
            <w:vAlign w:val="bottom"/>
            <w:tcBorders>
              <w:top w:val="single" w:sz="8" w:color="0000EE"/>
            </w:tcBorders>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4.13</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Restrictions on Shares Received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1"/>
                <w:szCs w:val="11"/>
                <w:color w:val="auto"/>
              </w:rPr>
            </w:pPr>
          </w:p>
        </w:tc>
        <w:tc>
          <w:tcPr>
            <w:tcW w:w="1960" w:type="dxa"/>
            <w:vAlign w:val="bottom"/>
            <w:tcBorders>
              <w:top w:val="single" w:sz="8" w:color="0000EE"/>
            </w:tcBorders>
            <w:gridSpan w:val="53"/>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Compliance With Section 409A</w:t>
              </w:r>
            </w:hyperlink>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80" w:type="dxa"/>
            <w:vAlign w:val="bottom"/>
            <w:gridSpan w:val="3"/>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ARTICLE V Options</w:t>
              </w:r>
            </w:hyperlink>
          </w:p>
        </w:tc>
        <w:tc>
          <w:tcPr>
            <w:tcW w:w="1860" w:type="dxa"/>
            <w:vAlign w:val="bottom"/>
            <w:tcBorders>
              <w:top w:val="single" w:sz="8" w:color="0000EE"/>
            </w:tcBorders>
            <w:gridSpan w:val="48"/>
          </w:tcPr>
          <w:p>
            <w:pPr>
              <w:spacing w:after="0"/>
              <w:rPr>
                <w:sz w:val="11"/>
                <w:szCs w:val="11"/>
                <w:color w:val="auto"/>
              </w:rPr>
            </w:pPr>
          </w:p>
        </w:tc>
        <w:tc>
          <w:tcPr>
            <w:tcW w:w="7780" w:type="dxa"/>
            <w:vAlign w:val="bottom"/>
            <w:gridSpan w:val="23"/>
          </w:tcPr>
          <w:p>
            <w:pPr>
              <w:jc w:val="right"/>
              <w:ind w:right="771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Authority to Grant Options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EE"/>
            </w:tcBorders>
            <w:gridSpan w:val="36"/>
          </w:tcPr>
          <w:p>
            <w:pPr>
              <w:spacing w:after="0" w:line="129" w:lineRule="exact"/>
              <w:rPr>
                <w:rFonts w:ascii="Arial" w:cs="Arial" w:eastAsia="Arial" w:hAnsi="Arial"/>
                <w:sz w:val="14"/>
                <w:szCs w:val="14"/>
                <w:color w:val="0000EE"/>
                <w:w w:val="96"/>
              </w:rPr>
            </w:pPr>
            <w:hyperlink w:anchor="page142">
              <w:r>
                <w:rPr>
                  <w:rFonts w:ascii="Arial" w:cs="Arial" w:eastAsia="Arial" w:hAnsi="Arial"/>
                  <w:sz w:val="14"/>
                  <w:szCs w:val="14"/>
                  <w:color w:val="0000EE"/>
                  <w:w w:val="96"/>
                </w:rPr>
                <w:t>Type of Options Available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EE"/>
            </w:tcBorders>
            <w:gridSpan w:val="35"/>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 Agreement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 Price</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Duration of</w:t>
              </w:r>
            </w:hyperlink>
          </w:p>
        </w:tc>
        <w:tc>
          <w:tcPr>
            <w:tcW w:w="6260" w:type="dxa"/>
            <w:vAlign w:val="bottom"/>
            <w:gridSpan w:val="61"/>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Option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color w:val="0000EE"/>
                <w:w w:val="96"/>
              </w:rPr>
            </w:pPr>
            <w:hyperlink w:anchor="page142">
              <w:r>
                <w:rPr>
                  <w:rFonts w:ascii="Arial" w:cs="Arial" w:eastAsia="Arial" w:hAnsi="Arial"/>
                  <w:sz w:val="14"/>
                  <w:szCs w:val="14"/>
                  <w:color w:val="0000EE"/>
                  <w:w w:val="96"/>
                </w:rPr>
                <w:t>Exercise of Option</w:t>
              </w:r>
            </w:hyperlink>
          </w:p>
        </w:tc>
        <w:tc>
          <w:tcPr>
            <w:tcW w:w="20" w:type="dxa"/>
            <w:vAlign w:val="bottom"/>
            <w:tcBorders>
              <w:bottom w:val="single" w:sz="8" w:color="0000EE"/>
            </w:tcBorders>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2">
              <w:r>
                <w:rPr>
                  <w:rFonts w:ascii="Arial" w:cs="Arial" w:eastAsia="Arial" w:hAnsi="Arial"/>
                  <w:sz w:val="14"/>
                  <w:szCs w:val="14"/>
                  <w:color w:val="0000EE"/>
                </w:rPr>
                <w:t>Notification of Disqualifying Disposition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top w:val="single" w:sz="8" w:color="0000EE"/>
              <w:bottom w:val="single" w:sz="8" w:color="0000EE"/>
            </w:tcBorders>
            <w:gridSpan w:val="36"/>
          </w:tcPr>
          <w:p>
            <w:pPr>
              <w:spacing w:after="0" w:line="129" w:lineRule="exact"/>
              <w:rPr>
                <w:rFonts w:ascii="Arial" w:cs="Arial" w:eastAsia="Arial" w:hAnsi="Arial"/>
                <w:sz w:val="14"/>
                <w:szCs w:val="14"/>
                <w:color w:val="0000EE"/>
                <w:w w:val="96"/>
              </w:rPr>
            </w:pPr>
            <w:hyperlink w:anchor="page143">
              <w:r>
                <w:rPr>
                  <w:rFonts w:ascii="Arial" w:cs="Arial" w:eastAsia="Arial" w:hAnsi="Arial"/>
                  <w:sz w:val="14"/>
                  <w:szCs w:val="14"/>
                  <w:color w:val="0000EE"/>
                  <w:w w:val="96"/>
                </w:rPr>
                <w:t>No Rights as Shareholder</w:t>
              </w:r>
            </w:hyperlink>
          </w:p>
        </w:tc>
        <w:tc>
          <w:tcPr>
            <w:tcW w:w="780" w:type="dxa"/>
            <w:vAlign w:val="bottom"/>
            <w:tcBorders>
              <w:top w:val="single" w:sz="8" w:color="0000EE"/>
            </w:tcBorders>
            <w:gridSpan w:val="24"/>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u w:val="single" w:color="auto"/>
                  <w:color w:val="0000EE"/>
                </w:rPr>
                <w:t>$</w:t>
              </w:r>
              <w:r>
                <w:rPr>
                  <w:rFonts w:ascii="Arial" w:cs="Arial" w:eastAsia="Arial" w:hAnsi="Arial"/>
                  <w:sz w:val="14"/>
                  <w:szCs w:val="14"/>
                  <w:color w:val="0000EE"/>
                </w:rPr>
                <w:t>100,000 Limitation on ISOs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300" w:type="dxa"/>
            <w:vAlign w:val="bottom"/>
            <w:gridSpan w:val="4"/>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ARTICLE VI Share</w:t>
              </w:r>
            </w:hyperlink>
          </w:p>
        </w:tc>
        <w:tc>
          <w:tcPr>
            <w:tcW w:w="1740" w:type="dxa"/>
            <w:vAlign w:val="bottom"/>
            <w:tcBorders>
              <w:top w:val="single" w:sz="8" w:color="0000EE"/>
            </w:tcBorders>
            <w:gridSpan w:val="45"/>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Appreciation Rights</w:t>
              </w:r>
            </w:hyperlink>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6.1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40" w:type="dxa"/>
            <w:vAlign w:val="bottom"/>
            <w:tcBorders>
              <w:top w:val="single" w:sz="8" w:color="0000EE"/>
            </w:tcBorders>
            <w:gridSpan w:val="17"/>
          </w:tcPr>
          <w:p>
            <w:pPr>
              <w:spacing w:after="0" w:line="129" w:lineRule="exact"/>
              <w:rPr>
                <w:rFonts w:ascii="Arial" w:cs="Arial" w:eastAsia="Arial" w:hAnsi="Arial"/>
                <w:sz w:val="14"/>
                <w:szCs w:val="14"/>
                <w:color w:val="0000EE"/>
                <w:w w:val="92"/>
              </w:rPr>
            </w:pPr>
            <w:hyperlink w:anchor="page143">
              <w:r>
                <w:rPr>
                  <w:rFonts w:ascii="Arial" w:cs="Arial" w:eastAsia="Arial" w:hAnsi="Arial"/>
                  <w:sz w:val="14"/>
                  <w:szCs w:val="14"/>
                  <w:color w:val="0000EE"/>
                  <w:w w:val="92"/>
                </w:rPr>
                <w:t>Authority to Grant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20" w:type="dxa"/>
            <w:vAlign w:val="bottom"/>
            <w:gridSpan w:val="4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SAR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tcBorders>
              <w:top w:val="single" w:sz="8" w:color="0000EE"/>
            </w:tcBorders>
            <w:gridSpan w:val="48"/>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General Terms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84"/>
              </w:rPr>
            </w:pPr>
            <w:hyperlink w:anchor="page143">
              <w:r>
                <w:rPr>
                  <w:rFonts w:ascii="Arial" w:cs="Arial" w:eastAsia="Arial" w:hAnsi="Arial"/>
                  <w:sz w:val="14"/>
                  <w:szCs w:val="14"/>
                  <w:color w:val="0000EE"/>
                  <w:w w:val="84"/>
                </w:rPr>
                <w:t>SAR Agreement</w:t>
              </w:r>
            </w:hyperlink>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14"/>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Term of SAR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Exercise of</w:t>
              </w:r>
            </w:hyperlink>
          </w:p>
        </w:tc>
        <w:tc>
          <w:tcPr>
            <w:tcW w:w="6240" w:type="dxa"/>
            <w:vAlign w:val="bottom"/>
            <w:gridSpan w:val="60"/>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SAR</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0000EE"/>
            </w:tcBorders>
            <w:gridSpan w:val="15"/>
          </w:tcPr>
          <w:p>
            <w:pPr>
              <w:spacing w:after="0" w:line="129" w:lineRule="exact"/>
              <w:rPr>
                <w:rFonts w:ascii="Arial" w:cs="Arial" w:eastAsia="Arial" w:hAnsi="Arial"/>
                <w:sz w:val="14"/>
                <w:szCs w:val="14"/>
                <w:color w:val="0000EE"/>
                <w:w w:val="94"/>
              </w:rPr>
            </w:pPr>
            <w:hyperlink w:anchor="page143">
              <w:r>
                <w:rPr>
                  <w:rFonts w:ascii="Arial" w:cs="Arial" w:eastAsia="Arial" w:hAnsi="Arial"/>
                  <w:sz w:val="14"/>
                  <w:szCs w:val="14"/>
                  <w:color w:val="0000EE"/>
                  <w:w w:val="94"/>
                </w:rPr>
                <w:t>Payment of SAR</w:t>
              </w:r>
            </w:hyperlink>
          </w:p>
        </w:tc>
        <w:tc>
          <w:tcPr>
            <w:tcW w:w="20" w:type="dxa"/>
            <w:vAlign w:val="bottom"/>
          </w:tcPr>
          <w:p>
            <w:pPr>
              <w:spacing w:after="0"/>
              <w:rPr>
                <w:sz w:val="11"/>
                <w:szCs w:val="11"/>
                <w:color w:val="auto"/>
              </w:rPr>
            </w:pPr>
          </w:p>
        </w:tc>
        <w:tc>
          <w:tcPr>
            <w:tcW w:w="6000" w:type="dxa"/>
            <w:vAlign w:val="bottom"/>
            <w:gridSpan w:val="53"/>
          </w:tcPr>
          <w:p>
            <w:pPr>
              <w:ind w:left="2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Amount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34"/>
          </w:tcPr>
          <w:p>
            <w:pPr>
              <w:spacing w:after="0" w:line="129" w:lineRule="exact"/>
              <w:rPr>
                <w:rFonts w:ascii="Arial" w:cs="Arial" w:eastAsia="Arial" w:hAnsi="Arial"/>
                <w:sz w:val="14"/>
                <w:szCs w:val="14"/>
                <w:color w:val="0000EE"/>
                <w:w w:val="87"/>
              </w:rPr>
            </w:pPr>
            <w:hyperlink w:anchor="page143">
              <w:r>
                <w:rPr>
                  <w:rFonts w:ascii="Arial" w:cs="Arial" w:eastAsia="Arial" w:hAnsi="Arial"/>
                  <w:sz w:val="14"/>
                  <w:szCs w:val="14"/>
                  <w:color w:val="0000EE"/>
                  <w:w w:val="87"/>
                </w:rPr>
                <w:t>Termination of Employment</w:t>
              </w:r>
            </w:hyperlink>
          </w:p>
        </w:tc>
        <w:tc>
          <w:tcPr>
            <w:tcW w:w="80" w:type="dxa"/>
            <w:vAlign w:val="bottom"/>
            <w:tcBorders>
              <w:bottom w:val="single" w:sz="8" w:color="0000EE"/>
            </w:tcBorders>
            <w:gridSpan w:val="4"/>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300" w:type="dxa"/>
            <w:vAlign w:val="bottom"/>
            <w:gridSpan w:val="4"/>
          </w:tcPr>
          <w:p>
            <w:pPr>
              <w:spacing w:after="0" w:line="129" w:lineRule="exact"/>
              <w:rPr>
                <w:rFonts w:ascii="Arial" w:cs="Arial" w:eastAsia="Arial" w:hAnsi="Arial"/>
                <w:sz w:val="14"/>
                <w:szCs w:val="14"/>
                <w:color w:val="0000EE"/>
                <w:w w:val="87"/>
              </w:rPr>
            </w:pPr>
            <w:hyperlink w:anchor="page143">
              <w:r>
                <w:rPr>
                  <w:rFonts w:ascii="Arial" w:cs="Arial" w:eastAsia="Arial" w:hAnsi="Arial"/>
                  <w:sz w:val="14"/>
                  <w:szCs w:val="14"/>
                  <w:color w:val="0000EE"/>
                  <w:w w:val="87"/>
                </w:rPr>
                <w:t>ARTICLE VII Restricted</w:t>
              </w:r>
            </w:hyperlink>
          </w:p>
        </w:tc>
        <w:tc>
          <w:tcPr>
            <w:tcW w:w="1680" w:type="dxa"/>
            <w:vAlign w:val="bottom"/>
            <w:gridSpan w:val="42"/>
          </w:tcPr>
          <w:p>
            <w:pPr>
              <w:ind w:left="16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Share Awards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7.1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20" w:type="dxa"/>
            <w:vAlign w:val="bottom"/>
            <w:tcBorders>
              <w:top w:val="single" w:sz="8" w:color="0000EE"/>
            </w:tcBorders>
            <w:gridSpan w:val="16"/>
          </w:tcPr>
          <w:p>
            <w:pPr>
              <w:spacing w:after="0" w:line="129" w:lineRule="exact"/>
              <w:rPr>
                <w:rFonts w:ascii="Arial" w:cs="Arial" w:eastAsia="Arial" w:hAnsi="Arial"/>
                <w:sz w:val="14"/>
                <w:szCs w:val="14"/>
                <w:color w:val="0000EE"/>
                <w:w w:val="95"/>
              </w:rPr>
            </w:pPr>
            <w:hyperlink w:anchor="page143">
              <w:r>
                <w:rPr>
                  <w:rFonts w:ascii="Arial" w:cs="Arial" w:eastAsia="Arial" w:hAnsi="Arial"/>
                  <w:sz w:val="14"/>
                  <w:szCs w:val="14"/>
                  <w:color w:val="0000EE"/>
                  <w:w w:val="95"/>
                </w:rPr>
                <w:t>Restricted Share</w:t>
              </w:r>
            </w:hyperlink>
          </w:p>
        </w:tc>
        <w:tc>
          <w:tcPr>
            <w:tcW w:w="6000" w:type="dxa"/>
            <w:vAlign w:val="bottom"/>
            <w:gridSpan w:val="53"/>
          </w:tcPr>
          <w:p>
            <w:pPr>
              <w:ind w:left="20"/>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Borders>
              <w:top w:val="single" w:sz="8" w:color="0000EE"/>
            </w:tcBorders>
            <w:gridSpan w:val="33"/>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Restricted Share Award</w:t>
              </w:r>
            </w:hyperlink>
          </w:p>
        </w:tc>
        <w:tc>
          <w:tcPr>
            <w:tcW w:w="5520" w:type="dxa"/>
            <w:vAlign w:val="bottom"/>
            <w:gridSpan w:val="36"/>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Agreement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top w:val="single" w:sz="8" w:color="0000EE"/>
            </w:tcBorders>
            <w:gridSpan w:val="55"/>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Purchase Price</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0000EE"/>
            </w:tcBorders>
            <w:gridSpan w:val="11"/>
          </w:tcPr>
          <w:p>
            <w:pPr>
              <w:spacing w:after="0" w:line="129" w:lineRule="exact"/>
              <w:rPr>
                <w:rFonts w:ascii="Arial" w:cs="Arial" w:eastAsia="Arial" w:hAnsi="Arial"/>
                <w:sz w:val="14"/>
                <w:szCs w:val="14"/>
                <w:color w:val="0000EE"/>
                <w:w w:val="94"/>
              </w:rPr>
            </w:pPr>
            <w:hyperlink w:anchor="page143">
              <w:r>
                <w:rPr>
                  <w:rFonts w:ascii="Arial" w:cs="Arial" w:eastAsia="Arial" w:hAnsi="Arial"/>
                  <w:sz w:val="14"/>
                  <w:szCs w:val="14"/>
                  <w:color w:val="0000EE"/>
                  <w:w w:val="94"/>
                </w:rPr>
                <w:t>Holder’s Rights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60" w:type="dxa"/>
            <w:vAlign w:val="bottom"/>
            <w:gridSpan w:val="56"/>
          </w:tcPr>
          <w:p>
            <w:pPr>
              <w:spacing w:after="0" w:line="129" w:lineRule="exact"/>
              <w:rPr>
                <w:rFonts w:ascii="Arial" w:cs="Arial" w:eastAsia="Arial" w:hAnsi="Arial"/>
                <w:sz w:val="14"/>
                <w:szCs w:val="14"/>
                <w:color w:val="0000EE"/>
              </w:rPr>
            </w:pPr>
            <w:hyperlink w:anchor="page143">
              <w:r>
                <w:rPr>
                  <w:rFonts w:ascii="Arial" w:cs="Arial" w:eastAsia="Arial" w:hAnsi="Arial"/>
                  <w:sz w:val="14"/>
                  <w:szCs w:val="14"/>
                  <w:color w:val="0000EE"/>
                </w:rPr>
                <w:t>as Shareholder.</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top w:val="single" w:sz="8" w:color="0000EE"/>
              <w:bottom w:val="single" w:sz="8" w:color="0000EE"/>
            </w:tcBorders>
            <w:gridSpan w:val="31"/>
          </w:tcPr>
          <w:p>
            <w:pPr>
              <w:spacing w:after="0" w:line="129" w:lineRule="exact"/>
              <w:rPr>
                <w:rFonts w:ascii="Arial" w:cs="Arial" w:eastAsia="Arial" w:hAnsi="Arial"/>
                <w:sz w:val="14"/>
                <w:szCs w:val="14"/>
                <w:color w:val="0000EE"/>
                <w:w w:val="94"/>
              </w:rPr>
            </w:pPr>
            <w:hyperlink w:anchor="page144">
              <w:r>
                <w:rPr>
                  <w:rFonts w:ascii="Arial" w:cs="Arial" w:eastAsia="Arial" w:hAnsi="Arial"/>
                  <w:sz w:val="14"/>
                  <w:szCs w:val="14"/>
                  <w:color w:val="0000EE"/>
                  <w:w w:val="94"/>
                </w:rPr>
                <w:t>Minimum Vesting Period</w:t>
              </w:r>
            </w:hyperlink>
          </w:p>
        </w:tc>
        <w:tc>
          <w:tcPr>
            <w:tcW w:w="460" w:type="dxa"/>
            <w:vAlign w:val="bottom"/>
            <w:tcBorders>
              <w:top w:val="single" w:sz="8" w:color="0000EE"/>
            </w:tcBorders>
            <w:gridSpan w:val="20"/>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760" w:type="dxa"/>
            <w:vAlign w:val="bottom"/>
            <w:gridSpan w:val="35"/>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ARTICLE VIII Restricted Share Unit Awards</w:t>
              </w:r>
            </w:hyperlink>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8.1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gridSpan w:val="26"/>
          </w:tcPr>
          <w:p>
            <w:pPr>
              <w:spacing w:after="0" w:line="129" w:lineRule="exact"/>
              <w:rPr>
                <w:rFonts w:ascii="Arial" w:cs="Arial" w:eastAsia="Arial" w:hAnsi="Arial"/>
                <w:sz w:val="14"/>
                <w:szCs w:val="14"/>
                <w:color w:val="0000EE"/>
                <w:w w:val="90"/>
              </w:rPr>
            </w:pPr>
            <w:hyperlink w:anchor="page144">
              <w:r>
                <w:rPr>
                  <w:rFonts w:ascii="Arial" w:cs="Arial" w:eastAsia="Arial" w:hAnsi="Arial"/>
                  <w:sz w:val="14"/>
                  <w:szCs w:val="14"/>
                  <w:color w:val="0000EE"/>
                  <w:w w:val="90"/>
                </w:rPr>
                <w:t>Authority to Grant RSU</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620" w:type="dxa"/>
            <w:vAlign w:val="bottom"/>
            <w:gridSpan w:val="40"/>
          </w:tcPr>
          <w:p>
            <w:pPr>
              <w:ind w:left="20"/>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Borders>
              <w:top w:val="single" w:sz="8" w:color="0000EE"/>
            </w:tcBorders>
            <w:gridSpan w:val="49"/>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RSU Award</w:t>
              </w:r>
            </w:hyperlink>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0000EE"/>
            </w:tcBorders>
            <w:gridSpan w:val="5"/>
          </w:tcPr>
          <w:p>
            <w:pPr>
              <w:spacing w:after="0" w:line="129" w:lineRule="exact"/>
              <w:rPr>
                <w:rFonts w:ascii="Arial" w:cs="Arial" w:eastAsia="Arial" w:hAnsi="Arial"/>
                <w:sz w:val="14"/>
                <w:szCs w:val="14"/>
                <w:color w:val="0000EE"/>
                <w:w w:val="92"/>
              </w:rPr>
            </w:pPr>
            <w:hyperlink w:anchor="page144">
              <w:r>
                <w:rPr>
                  <w:rFonts w:ascii="Arial" w:cs="Arial" w:eastAsia="Arial" w:hAnsi="Arial"/>
                  <w:sz w:val="14"/>
                  <w:szCs w:val="14"/>
                  <w:color w:val="0000EE"/>
                  <w:w w:val="92"/>
                </w:rPr>
                <w:t>RSU Award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80" w:type="dxa"/>
            <w:vAlign w:val="bottom"/>
            <w:gridSpan w:val="62"/>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Agreement</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w w:val="95"/>
              </w:rPr>
            </w:pPr>
            <w:hyperlink w:anchor="page144">
              <w:r>
                <w:rPr>
                  <w:rFonts w:ascii="Arial" w:cs="Arial" w:eastAsia="Arial" w:hAnsi="Arial"/>
                  <w:sz w:val="14"/>
                  <w:szCs w:val="14"/>
                  <w:color w:val="0000EE"/>
                  <w:w w:val="95"/>
                </w:rPr>
                <w:t>Purchase Price.</w:t>
              </w:r>
            </w:hyperlink>
          </w:p>
        </w:tc>
        <w:tc>
          <w:tcPr>
            <w:tcW w:w="440" w:type="dxa"/>
            <w:vAlign w:val="bottom"/>
            <w:tcBorders>
              <w:top w:val="single" w:sz="8" w:color="0000EE"/>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bottom w:val="single" w:sz="8" w:color="0000EE"/>
            </w:tcBorders>
            <w:gridSpan w:val="25"/>
          </w:tcPr>
          <w:p>
            <w:pPr>
              <w:spacing w:after="0" w:line="129" w:lineRule="exact"/>
              <w:rPr>
                <w:rFonts w:ascii="Arial" w:cs="Arial" w:eastAsia="Arial" w:hAnsi="Arial"/>
                <w:sz w:val="14"/>
                <w:szCs w:val="14"/>
                <w:color w:val="0000EE"/>
                <w:w w:val="94"/>
              </w:rPr>
            </w:pPr>
            <w:hyperlink w:anchor="page144">
              <w:r>
                <w:rPr>
                  <w:rFonts w:ascii="Arial" w:cs="Arial" w:eastAsia="Arial" w:hAnsi="Arial"/>
                  <w:sz w:val="14"/>
                  <w:szCs w:val="14"/>
                  <w:color w:val="0000EE"/>
                  <w:w w:val="94"/>
                </w:rPr>
                <w:t>Dividend Equivalents</w:t>
              </w:r>
            </w:hyperlink>
          </w:p>
        </w:tc>
        <w:tc>
          <w:tcPr>
            <w:tcW w:w="5760" w:type="dxa"/>
            <w:vAlign w:val="bottom"/>
            <w:gridSpan w:val="44"/>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gridSpan w:val="69"/>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Form of Payment Under RSU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tcBorders>
              <w:top w:val="single" w:sz="8" w:color="0000EE"/>
            </w:tcBorders>
            <w:gridSpan w:val="57"/>
          </w:tcPr>
          <w:p>
            <w:pPr>
              <w:spacing w:after="0" w:line="129" w:lineRule="exact"/>
              <w:rPr>
                <w:rFonts w:ascii="Arial" w:cs="Arial" w:eastAsia="Arial" w:hAnsi="Arial"/>
                <w:sz w:val="14"/>
                <w:szCs w:val="14"/>
                <w:color w:val="0000EE"/>
                <w:w w:val="96"/>
              </w:rPr>
            </w:pPr>
            <w:hyperlink w:anchor="page144">
              <w:r>
                <w:rPr>
                  <w:rFonts w:ascii="Arial" w:cs="Arial" w:eastAsia="Arial" w:hAnsi="Arial"/>
                  <w:sz w:val="14"/>
                  <w:szCs w:val="14"/>
                  <w:color w:val="0000EE"/>
                  <w:w w:val="96"/>
                </w:rPr>
                <w:t>Time of Payment Under RSU Award</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Borders>
              <w:top w:val="single" w:sz="8" w:color="0000EE"/>
            </w:tcBorders>
            <w:gridSpan w:val="56"/>
          </w:tcPr>
          <w:p>
            <w:pPr>
              <w:spacing w:after="0" w:line="129" w:lineRule="exact"/>
              <w:rPr>
                <w:rFonts w:ascii="Arial" w:cs="Arial" w:eastAsia="Arial" w:hAnsi="Arial"/>
                <w:sz w:val="14"/>
                <w:szCs w:val="14"/>
                <w:color w:val="0000EE"/>
              </w:rPr>
            </w:pPr>
            <w:hyperlink w:anchor="page144">
              <w:r>
                <w:rPr>
                  <w:rFonts w:ascii="Arial" w:cs="Arial" w:eastAsia="Arial" w:hAnsi="Arial"/>
                  <w:sz w:val="14"/>
                  <w:szCs w:val="14"/>
                  <w:color w:val="0000EE"/>
                </w:rPr>
                <w:t>No Rights as Shareholder</w:t>
              </w:r>
            </w:hyperlink>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0000EE"/>
              <w:bottom w:val="single" w:sz="8" w:color="0000EE"/>
            </w:tcBorders>
            <w:gridSpan w:val="32"/>
          </w:tcPr>
          <w:p>
            <w:pPr>
              <w:spacing w:after="0" w:line="129" w:lineRule="exact"/>
              <w:rPr>
                <w:rFonts w:ascii="Arial" w:cs="Arial" w:eastAsia="Arial" w:hAnsi="Arial"/>
                <w:sz w:val="14"/>
                <w:szCs w:val="14"/>
                <w:color w:val="0000EE"/>
                <w:w w:val="96"/>
              </w:rPr>
            </w:pPr>
            <w:hyperlink w:anchor="page144">
              <w:r>
                <w:rPr>
                  <w:rFonts w:ascii="Arial" w:cs="Arial" w:eastAsia="Arial" w:hAnsi="Arial"/>
                  <w:sz w:val="14"/>
                  <w:szCs w:val="14"/>
                  <w:color w:val="0000EE"/>
                  <w:w w:val="96"/>
                </w:rPr>
                <w:t>Minimum Vesting Period</w:t>
              </w:r>
            </w:hyperlink>
          </w:p>
        </w:tc>
        <w:tc>
          <w:tcPr>
            <w:tcW w:w="80" w:type="dxa"/>
            <w:vAlign w:val="bottom"/>
            <w:tcBorders>
              <w:top w:val="single" w:sz="8" w:color="0000EE"/>
            </w:tcBorders>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780" w:type="dxa"/>
            <w:vAlign w:val="bottom"/>
            <w:gridSpan w:val="36"/>
          </w:tcPr>
          <w:p>
            <w:pPr>
              <w:spacing w:after="0" w:line="129" w:lineRule="exact"/>
              <w:rPr>
                <w:rFonts w:ascii="Arial" w:cs="Arial" w:eastAsia="Arial" w:hAnsi="Arial"/>
                <w:sz w:val="14"/>
                <w:szCs w:val="14"/>
                <w:color w:val="0000EE"/>
                <w:w w:val="98"/>
              </w:rPr>
            </w:pPr>
            <w:hyperlink w:anchor="page145">
              <w:r>
                <w:rPr>
                  <w:rFonts w:ascii="Arial" w:cs="Arial" w:eastAsia="Arial" w:hAnsi="Arial"/>
                  <w:sz w:val="14"/>
                  <w:szCs w:val="14"/>
                  <w:color w:val="0000EE"/>
                  <w:w w:val="98"/>
                </w:rPr>
                <w:t>ARTICLE IX Performance Share Awards and</w:t>
              </w:r>
            </w:hyperlink>
          </w:p>
        </w:tc>
        <w:tc>
          <w:tcPr>
            <w:tcW w:w="5540" w:type="dxa"/>
            <w:vAlign w:val="bottom"/>
            <w:gridSpan w:val="37"/>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Performance Unit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9.1</w:t>
            </w: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980" w:type="dxa"/>
            <w:vAlign w:val="bottom"/>
            <w:tcBorders>
              <w:top w:val="single" w:sz="8" w:color="0000EE"/>
            </w:tcBorders>
            <w:gridSpan w:val="65"/>
          </w:tcPr>
          <w:p>
            <w:pPr>
              <w:spacing w:after="0" w:line="129" w:lineRule="exact"/>
              <w:rPr>
                <w:rFonts w:ascii="Arial" w:cs="Arial" w:eastAsia="Arial" w:hAnsi="Arial"/>
                <w:sz w:val="14"/>
                <w:szCs w:val="14"/>
                <w:color w:val="0000EE"/>
                <w:w w:val="94"/>
              </w:rPr>
            </w:pPr>
            <w:hyperlink w:anchor="page145">
              <w:r>
                <w:rPr>
                  <w:rFonts w:ascii="Arial" w:cs="Arial" w:eastAsia="Arial" w:hAnsi="Arial"/>
                  <w:sz w:val="14"/>
                  <w:szCs w:val="14"/>
                  <w:color w:val="0000EE"/>
                  <w:w w:val="94"/>
                </w:rPr>
                <w:t>Authority to Grant Performance Share Awards and</w:t>
              </w:r>
            </w:hyperlink>
          </w:p>
        </w:tc>
        <w:tc>
          <w:tcPr>
            <w:tcW w:w="4040" w:type="dxa"/>
            <w:vAlign w:val="bottom"/>
            <w:gridSpan w:val="4"/>
          </w:tcPr>
          <w:p>
            <w:pPr>
              <w:ind w:left="80"/>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Performance Unit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80" w:type="dxa"/>
            <w:vAlign w:val="bottom"/>
            <w:tcBorders>
              <w:top w:val="single" w:sz="8" w:color="0000EE"/>
            </w:tcBorders>
            <w:gridSpan w:val="68"/>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Section 162(m)</w:t>
              </w:r>
            </w:hyperlink>
          </w:p>
        </w:tc>
        <w:tc>
          <w:tcPr>
            <w:tcW w:w="2440" w:type="dxa"/>
            <w:vAlign w:val="bottom"/>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0"/>
              </w:rPr>
            </w:pPr>
            <w:hyperlink w:anchor="page145">
              <w:r>
                <w:rPr>
                  <w:rFonts w:ascii="Arial" w:cs="Arial" w:eastAsia="Arial" w:hAnsi="Arial"/>
                  <w:sz w:val="14"/>
                  <w:szCs w:val="14"/>
                  <w:color w:val="0000EE"/>
                  <w:w w:val="80"/>
                </w:rPr>
                <w:t>Award Agreement</w:t>
              </w:r>
            </w:hyperlink>
          </w:p>
        </w:tc>
        <w:tc>
          <w:tcPr>
            <w:tcW w:w="20" w:type="dxa"/>
            <w:vAlign w:val="bottom"/>
            <w:tcBorders>
              <w:bottom w:val="single" w:sz="8" w:color="0000EE"/>
            </w:tcBorders>
          </w:tcPr>
          <w:p>
            <w:pPr>
              <w:spacing w:after="0"/>
              <w:rPr>
                <w:sz w:val="11"/>
                <w:szCs w:val="11"/>
                <w:color w:val="auto"/>
              </w:rPr>
            </w:pPr>
          </w:p>
        </w:tc>
        <w:tc>
          <w:tcPr>
            <w:tcW w:w="120" w:type="dxa"/>
            <w:vAlign w:val="bottom"/>
            <w:tcBorders>
              <w:bottom w:val="single" w:sz="8" w:color="0000EE"/>
            </w:tcBorders>
            <w:gridSpan w:val="6"/>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19"/>
          </w:tcPr>
          <w:p>
            <w:pPr>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Purchase Price.</w:t>
              </w:r>
            </w:hyperlink>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EE"/>
            </w:tcBorders>
            <w:gridSpan w:val="13"/>
          </w:tcPr>
          <w:p>
            <w:pPr>
              <w:spacing w:after="0" w:line="129" w:lineRule="exact"/>
              <w:rPr>
                <w:rFonts w:ascii="Arial" w:cs="Arial" w:eastAsia="Arial" w:hAnsi="Arial"/>
                <w:sz w:val="14"/>
                <w:szCs w:val="14"/>
                <w:color w:val="0000EE"/>
                <w:w w:val="87"/>
              </w:rPr>
            </w:pPr>
            <w:hyperlink w:anchor="page145">
              <w:r>
                <w:rPr>
                  <w:rFonts w:ascii="Arial" w:cs="Arial" w:eastAsia="Arial" w:hAnsi="Arial"/>
                  <w:sz w:val="14"/>
                  <w:szCs w:val="14"/>
                  <w:color w:val="0000EE"/>
                  <w:w w:val="87"/>
                </w:rPr>
                <w:t>Form of Payment</w:t>
              </w:r>
            </w:hyperlink>
          </w:p>
        </w:tc>
        <w:tc>
          <w:tcPr>
            <w:tcW w:w="100" w:type="dxa"/>
            <w:vAlign w:val="bottom"/>
            <w:gridSpan w:val="5"/>
          </w:tcPr>
          <w:p>
            <w:pPr>
              <w:spacing w:after="0"/>
              <w:rPr>
                <w:sz w:val="11"/>
                <w:szCs w:val="11"/>
                <w:color w:val="auto"/>
              </w:rPr>
            </w:pPr>
          </w:p>
        </w:tc>
        <w:tc>
          <w:tcPr>
            <w:tcW w:w="5960" w:type="dxa"/>
            <w:vAlign w:val="bottom"/>
            <w:gridSpan w:val="51"/>
          </w:tcPr>
          <w:p>
            <w:pPr>
              <w:ind w:left="20"/>
              <w:spacing w:after="0" w:line="129" w:lineRule="exact"/>
              <w:rPr>
                <w:rFonts w:ascii="Arial" w:cs="Arial" w:eastAsia="Arial" w:hAnsi="Arial"/>
                <w:sz w:val="14"/>
                <w:szCs w:val="14"/>
                <w:color w:val="0000EE"/>
              </w:rPr>
            </w:pPr>
            <w:hyperlink w:anchor="page145">
              <w:r>
                <w:rPr>
                  <w:rFonts w:ascii="Arial" w:cs="Arial" w:eastAsia="Arial" w:hAnsi="Arial"/>
                  <w:sz w:val="14"/>
                  <w:szCs w:val="14"/>
                  <w:color w:val="0000EE"/>
                </w:rPr>
                <w:t>Under Performance Unit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tcBorders>
              <w:top w:val="single" w:sz="8" w:color="0000EE"/>
            </w:tcBorders>
            <w:gridSpan w:val="64"/>
          </w:tcPr>
          <w:p>
            <w:pPr>
              <w:spacing w:after="0" w:line="129" w:lineRule="exact"/>
              <w:rPr>
                <w:rFonts w:ascii="Arial" w:cs="Arial" w:eastAsia="Arial" w:hAnsi="Arial"/>
                <w:sz w:val="14"/>
                <w:szCs w:val="14"/>
                <w:color w:val="0000EE"/>
                <w:w w:val="96"/>
              </w:rPr>
            </w:pPr>
            <w:hyperlink w:anchor="page146">
              <w:r>
                <w:rPr>
                  <w:rFonts w:ascii="Arial" w:cs="Arial" w:eastAsia="Arial" w:hAnsi="Arial"/>
                  <w:sz w:val="14"/>
                  <w:szCs w:val="14"/>
                  <w:color w:val="0000EE"/>
                  <w:w w:val="96"/>
                </w:rPr>
                <w:t>Time of Payment Under Performance Unit Award</w:t>
              </w:r>
            </w:hyperlink>
          </w:p>
        </w:tc>
        <w:tc>
          <w:tcPr>
            <w:tcW w:w="3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EE"/>
            </w:tcBorders>
            <w:gridSpan w:val="63"/>
          </w:tcPr>
          <w:p>
            <w:pPr>
              <w:spacing w:after="0" w:line="129" w:lineRule="exact"/>
              <w:rPr>
                <w:rFonts w:ascii="Arial" w:cs="Arial" w:eastAsia="Arial" w:hAnsi="Arial"/>
                <w:sz w:val="14"/>
                <w:szCs w:val="14"/>
                <w:color w:val="0000EE"/>
                <w:w w:val="98"/>
              </w:rPr>
            </w:pPr>
            <w:hyperlink w:anchor="page146">
              <w:r>
                <w:rPr>
                  <w:rFonts w:ascii="Arial" w:cs="Arial" w:eastAsia="Arial" w:hAnsi="Arial"/>
                  <w:sz w:val="14"/>
                  <w:szCs w:val="14"/>
                  <w:color w:val="0000EE"/>
                  <w:w w:val="98"/>
                </w:rPr>
                <w:t>Holder’s Rights as Shareholder With Respect to</w:t>
              </w:r>
            </w:hyperlink>
          </w:p>
        </w:tc>
        <w:tc>
          <w:tcPr>
            <w:tcW w:w="4080" w:type="dxa"/>
            <w:vAlign w:val="bottom"/>
            <w:gridSpan w:val="6"/>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Performance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60" w:type="dxa"/>
            <w:vAlign w:val="bottom"/>
            <w:tcBorders>
              <w:top w:val="single" w:sz="8" w:color="0000EE"/>
            </w:tcBorders>
            <w:gridSpan w:val="67"/>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Minimum Performance Period</w:t>
              </w:r>
            </w:hyperlink>
          </w:p>
        </w:tc>
        <w:tc>
          <w:tcPr>
            <w:tcW w:w="2860" w:type="dxa"/>
            <w:vAlign w:val="bottom"/>
            <w:gridSpan w:val="2"/>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300" w:type="dxa"/>
            <w:vAlign w:val="bottom"/>
            <w:gridSpan w:val="4"/>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gridSpan w:val="4"/>
            <w:vMerge w:val="restart"/>
          </w:tcPr>
          <w:p>
            <w:pPr>
              <w:spacing w:after="0" w:line="20" w:lineRule="exact"/>
              <w:rPr>
                <w:sz w:val="1"/>
                <w:szCs w:val="1"/>
                <w:color w:val="auto"/>
              </w:rPr>
            </w:pPr>
          </w:p>
        </w:tc>
        <w:tc>
          <w:tcPr>
            <w:tcW w:w="3700" w:type="dxa"/>
            <w:vAlign w:val="bottom"/>
            <w:gridSpan w:val="3"/>
            <w:vMerge w:val="restart"/>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3080" w:type="dxa"/>
            <w:vAlign w:val="bottom"/>
            <w:gridSpan w:val="50"/>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ARTICLE X Other Share-Based Awards</w:t>
              </w:r>
            </w:hyperlink>
          </w:p>
        </w:tc>
        <w:tc>
          <w:tcPr>
            <w:tcW w:w="120" w:type="dxa"/>
            <w:vAlign w:val="bottom"/>
            <w:gridSpan w:val="4"/>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80" w:type="dxa"/>
            <w:vAlign w:val="bottom"/>
            <w:gridSpan w:val="4"/>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3700" w:type="dxa"/>
            <w:vAlign w:val="bottom"/>
            <w:gridSpan w:val="3"/>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10.1</w:t>
            </w:r>
          </w:p>
        </w:tc>
        <w:tc>
          <w:tcPr>
            <w:tcW w:w="80" w:type="dxa"/>
            <w:vAlign w:val="bottom"/>
            <w:tcBorders>
              <w:top w:val="single" w:sz="8" w:color="0000EE"/>
            </w:tcBorders>
          </w:tcPr>
          <w:p>
            <w:pPr>
              <w:spacing w:after="0"/>
              <w:rPr>
                <w:sz w:val="11"/>
                <w:szCs w:val="11"/>
                <w:color w:val="auto"/>
              </w:rPr>
            </w:pPr>
          </w:p>
        </w:tc>
        <w:tc>
          <w:tcPr>
            <w:tcW w:w="112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Authority to Grant</w:t>
              </w:r>
            </w:hyperlink>
          </w:p>
        </w:tc>
        <w:tc>
          <w:tcPr>
            <w:tcW w:w="5920" w:type="dxa"/>
            <w:vAlign w:val="bottom"/>
            <w:gridSpan w:val="49"/>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Other Share-Based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10.2</w:t>
            </w:r>
          </w:p>
        </w:tc>
        <w:tc>
          <w:tcPr>
            <w:tcW w:w="80" w:type="dxa"/>
            <w:vAlign w:val="bottom"/>
          </w:tcPr>
          <w:p>
            <w:pPr>
              <w:spacing w:after="0"/>
              <w:rPr>
                <w:sz w:val="11"/>
                <w:szCs w:val="11"/>
                <w:color w:val="auto"/>
              </w:rPr>
            </w:pPr>
          </w:p>
        </w:tc>
        <w:tc>
          <w:tcPr>
            <w:tcW w:w="2760" w:type="dxa"/>
            <w:vAlign w:val="bottom"/>
            <w:tcBorders>
              <w:top w:val="single" w:sz="8" w:color="0000EE"/>
            </w:tcBorders>
            <w:gridSpan w:val="62"/>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Value of Other Share-Based Award</w:t>
              </w:r>
            </w:hyperlink>
          </w:p>
        </w:tc>
        <w:tc>
          <w:tcPr>
            <w:tcW w:w="180" w:type="dxa"/>
            <w:vAlign w:val="bottom"/>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1"/>
                <w:szCs w:val="11"/>
                <w:color w:val="auto"/>
              </w:rPr>
            </w:pPr>
          </w:p>
        </w:tc>
        <w:tc>
          <w:tcPr>
            <w:tcW w:w="2120" w:type="dxa"/>
            <w:vAlign w:val="bottom"/>
            <w:tcBorders>
              <w:top w:val="single" w:sz="8" w:color="0000EE"/>
            </w:tcBorders>
            <w:gridSpan w:val="55"/>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Purchase Price.</w:t>
              </w:r>
            </w:hyperlink>
          </w:p>
        </w:tc>
        <w:tc>
          <w:tcPr>
            <w:tcW w:w="1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10.4</w:t>
            </w:r>
          </w:p>
        </w:tc>
        <w:tc>
          <w:tcPr>
            <w:tcW w:w="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Payment of Other Share-Based Award</w:t>
              </w:r>
            </w:hyperlink>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2300" w:type="dxa"/>
            <w:vAlign w:val="bottom"/>
            <w:tcBorders>
              <w:top w:val="single" w:sz="8" w:color="0000EE"/>
            </w:tcBorders>
            <w:gridSpan w:val="59"/>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Termination of Employment</w:t>
              </w:r>
            </w:hyperlink>
          </w:p>
        </w:tc>
        <w:tc>
          <w:tcPr>
            <w:tcW w:w="40" w:type="dxa"/>
            <w:vAlign w:val="bottom"/>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1"/>
                <w:szCs w:val="11"/>
                <w:color w:val="auto"/>
              </w:rPr>
            </w:pPr>
          </w:p>
        </w:tc>
        <w:tc>
          <w:tcPr>
            <w:tcW w:w="1680" w:type="dxa"/>
            <w:vAlign w:val="bottom"/>
            <w:tcBorders>
              <w:top w:val="single" w:sz="8" w:color="0000EE"/>
            </w:tcBorders>
            <w:gridSpan w:val="42"/>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Minimum Vesting Period</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6"/>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11"/>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6"/>
            <w:vMerge w:val="restart"/>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280" w:type="dxa"/>
            <w:vAlign w:val="bottom"/>
            <w:gridSpan w:val="6"/>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400" w:type="dxa"/>
            <w:vAlign w:val="bottom"/>
            <w:gridSpan w:val="4"/>
            <w:vMerge w:val="restart"/>
          </w:tcPr>
          <w:p>
            <w:pPr>
              <w:spacing w:after="0" w:line="20" w:lineRule="exact"/>
              <w:rPr>
                <w:sz w:val="1"/>
                <w:szCs w:val="1"/>
                <w:color w:val="auto"/>
              </w:rPr>
            </w:pPr>
          </w:p>
        </w:tc>
        <w:tc>
          <w:tcPr>
            <w:tcW w:w="3700" w:type="dxa"/>
            <w:vAlign w:val="bottom"/>
            <w:gridSpan w:val="3"/>
            <w:vMerge w:val="restart"/>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29"/>
        </w:trPr>
        <w:tc>
          <w:tcPr>
            <w:tcW w:w="2740" w:type="dxa"/>
            <w:vAlign w:val="bottom"/>
            <w:gridSpan w:val="34"/>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ARTICLE XI Cash-Based Awards</w:t>
              </w:r>
            </w:hyperlink>
          </w:p>
        </w:tc>
        <w:tc>
          <w:tcPr>
            <w:tcW w:w="160" w:type="dxa"/>
            <w:vAlign w:val="bottom"/>
            <w:gridSpan w:val="8"/>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80" w:type="dxa"/>
            <w:vAlign w:val="bottom"/>
            <w:gridSpan w:val="6"/>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280" w:type="dxa"/>
            <w:vAlign w:val="bottom"/>
            <w:gridSpan w:val="6"/>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3700" w:type="dxa"/>
            <w:vAlign w:val="bottom"/>
            <w:gridSpan w:val="3"/>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11.1</w:t>
            </w:r>
          </w:p>
        </w:tc>
        <w:tc>
          <w:tcPr>
            <w:tcW w:w="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146">
              <w:r>
                <w:rPr>
                  <w:rFonts w:ascii="Arial" w:cs="Arial" w:eastAsia="Arial" w:hAnsi="Arial"/>
                  <w:sz w:val="14"/>
                  <w:szCs w:val="14"/>
                  <w:color w:val="0000EE"/>
                </w:rPr>
                <w:t>Authority to</w:t>
              </w:r>
            </w:hyperlink>
          </w:p>
        </w:tc>
        <w:tc>
          <w:tcPr>
            <w:tcW w:w="20" w:type="dxa"/>
            <w:vAlign w:val="bottom"/>
          </w:tcPr>
          <w:p>
            <w:pPr>
              <w:spacing w:after="0"/>
              <w:rPr>
                <w:sz w:val="11"/>
                <w:szCs w:val="11"/>
                <w:color w:val="auto"/>
              </w:rPr>
            </w:pPr>
          </w:p>
        </w:tc>
        <w:tc>
          <w:tcPr>
            <w:tcW w:w="6280" w:type="dxa"/>
            <w:vAlign w:val="bottom"/>
            <w:gridSpan w:val="62"/>
          </w:tcPr>
          <w:p>
            <w:pPr>
              <w:jc w:val="center"/>
              <w:ind w:right="4700"/>
              <w:spacing w:after="0" w:line="129" w:lineRule="exact"/>
              <w:rPr>
                <w:rFonts w:ascii="Arial" w:cs="Arial" w:eastAsia="Arial" w:hAnsi="Arial"/>
                <w:sz w:val="14"/>
                <w:szCs w:val="14"/>
                <w:color w:val="0000EE"/>
                <w:w w:val="94"/>
              </w:rPr>
            </w:pPr>
            <w:hyperlink w:anchor="page146">
              <w:r>
                <w:rPr>
                  <w:rFonts w:ascii="Arial" w:cs="Arial" w:eastAsia="Arial" w:hAnsi="Arial"/>
                  <w:sz w:val="14"/>
                  <w:szCs w:val="14"/>
                  <w:color w:val="0000EE"/>
                  <w:w w:val="94"/>
                </w:rPr>
                <w:t>Grant Cash-Based Awards</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1"/>
                <w:szCs w:val="11"/>
                <w:color w:val="auto"/>
              </w:rPr>
            </w:pPr>
          </w:p>
        </w:tc>
        <w:tc>
          <w:tcPr>
            <w:tcW w:w="1740" w:type="dxa"/>
            <w:vAlign w:val="bottom"/>
            <w:tcBorders>
              <w:top w:val="single" w:sz="8" w:color="0000EE"/>
              <w:bottom w:val="single" w:sz="8" w:color="0000EE"/>
            </w:tcBorders>
            <w:gridSpan w:val="45"/>
          </w:tcPr>
          <w:p>
            <w:pPr>
              <w:spacing w:after="0" w:line="129" w:lineRule="exact"/>
              <w:rPr>
                <w:rFonts w:ascii="Arial" w:cs="Arial" w:eastAsia="Arial" w:hAnsi="Arial"/>
                <w:sz w:val="14"/>
                <w:szCs w:val="14"/>
                <w:color w:val="0000EE"/>
                <w:w w:val="97"/>
              </w:rPr>
            </w:pPr>
            <w:hyperlink w:anchor="page147">
              <w:r>
                <w:rPr>
                  <w:rFonts w:ascii="Arial" w:cs="Arial" w:eastAsia="Arial" w:hAnsi="Arial"/>
                  <w:sz w:val="14"/>
                  <w:szCs w:val="14"/>
                  <w:color w:val="0000EE"/>
                  <w:w w:val="97"/>
                </w:rPr>
                <w:t>Value of Cash-Based Award</w:t>
              </w:r>
            </w:hyperlink>
          </w:p>
        </w:tc>
        <w:tc>
          <w:tcPr>
            <w:tcW w:w="600" w:type="dxa"/>
            <w:vAlign w:val="bottom"/>
            <w:tcBorders>
              <w:top w:val="single" w:sz="8" w:color="0000EE"/>
            </w:tcBorders>
            <w:gridSpan w:val="15"/>
          </w:tcPr>
          <w:p>
            <w:pPr>
              <w:spacing w:after="0"/>
              <w:rPr>
                <w:sz w:val="11"/>
                <w:szCs w:val="11"/>
                <w:color w:val="auto"/>
              </w:rPr>
            </w:pPr>
          </w:p>
        </w:tc>
        <w:tc>
          <w:tcPr>
            <w:tcW w:w="600" w:type="dxa"/>
            <w:vAlign w:val="bottom"/>
            <w:gridSpan w:val="3"/>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Payment of Cash-Based Award</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42"/>
          </w:tcPr>
          <w:p>
            <w:pPr>
              <w:spacing w:after="0" w:line="129" w:lineRule="exact"/>
              <w:rPr>
                <w:rFonts w:ascii="Arial" w:cs="Arial" w:eastAsia="Arial" w:hAnsi="Arial"/>
                <w:sz w:val="14"/>
                <w:szCs w:val="14"/>
                <w:color w:val="0000EE"/>
                <w:w w:val="96"/>
              </w:rPr>
            </w:pPr>
            <w:hyperlink w:anchor="page147">
              <w:r>
                <w:rPr>
                  <w:rFonts w:ascii="Arial" w:cs="Arial" w:eastAsia="Arial" w:hAnsi="Arial"/>
                  <w:sz w:val="14"/>
                  <w:szCs w:val="14"/>
                  <w:color w:val="0000EE"/>
                  <w:w w:val="96"/>
                </w:rPr>
                <w:t>Termination of Employment</w:t>
              </w:r>
            </w:hyperlink>
          </w:p>
        </w:tc>
        <w:tc>
          <w:tcPr>
            <w:tcW w:w="240" w:type="dxa"/>
            <w:vAlign w:val="bottom"/>
            <w:tcBorders>
              <w:top w:val="single" w:sz="8" w:color="0000EE"/>
            </w:tcBorders>
            <w:gridSpan w:val="9"/>
          </w:tcPr>
          <w:p>
            <w:pPr>
              <w:spacing w:after="0"/>
              <w:rPr>
                <w:sz w:val="11"/>
                <w:szCs w:val="11"/>
                <w:color w:val="auto"/>
              </w:rPr>
            </w:pPr>
          </w:p>
        </w:tc>
        <w:tc>
          <w:tcPr>
            <w:tcW w:w="140" w:type="dxa"/>
            <w:vAlign w:val="bottom"/>
            <w:gridSpan w:val="3"/>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960" w:type="dxa"/>
            <w:vAlign w:val="bottom"/>
            <w:gridSpan w:val="45"/>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ARTICLE XII Substitution Awards</w:t>
              </w:r>
            </w:hyperlink>
          </w:p>
        </w:tc>
        <w:tc>
          <w:tcPr>
            <w:tcW w:w="40" w:type="dxa"/>
            <w:vAlign w:val="bottom"/>
            <w:gridSpan w:val="2"/>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04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ARTICLE XIII Administration</w:t>
              </w:r>
            </w:hyperlink>
          </w:p>
        </w:tc>
        <w:tc>
          <w:tcPr>
            <w:tcW w:w="320" w:type="dxa"/>
            <w:vAlign w:val="bottom"/>
            <w:gridSpan w:val="11"/>
          </w:tcPr>
          <w:p>
            <w:pPr>
              <w:spacing w:after="0"/>
              <w:rPr>
                <w:sz w:val="11"/>
                <w:szCs w:val="11"/>
                <w:color w:val="auto"/>
              </w:rPr>
            </w:pPr>
          </w:p>
        </w:tc>
        <w:tc>
          <w:tcPr>
            <w:tcW w:w="160" w:type="dxa"/>
            <w:vAlign w:val="bottom"/>
            <w:gridSpan w:val="6"/>
          </w:tcPr>
          <w:p>
            <w:pPr>
              <w:spacing w:after="0"/>
              <w:rPr>
                <w:sz w:val="11"/>
                <w:szCs w:val="11"/>
                <w:color w:val="auto"/>
              </w:rPr>
            </w:pPr>
          </w:p>
        </w:tc>
        <w:tc>
          <w:tcPr>
            <w:tcW w:w="140" w:type="dxa"/>
            <w:vAlign w:val="bottom"/>
            <w:gridSpan w:val="4"/>
          </w:tcPr>
          <w:p>
            <w:pPr>
              <w:spacing w:after="0"/>
              <w:rPr>
                <w:sz w:val="11"/>
                <w:szCs w:val="11"/>
                <w:color w:val="auto"/>
              </w:rPr>
            </w:pPr>
          </w:p>
        </w:tc>
        <w:tc>
          <w:tcPr>
            <w:tcW w:w="24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13.1</w:t>
            </w:r>
          </w:p>
        </w:tc>
        <w:tc>
          <w:tcPr>
            <w:tcW w:w="80" w:type="dxa"/>
            <w:vAlign w:val="bottom"/>
            <w:tcBorders>
              <w:top w:val="single" w:sz="8" w:color="0000EE"/>
            </w:tcBorders>
          </w:tcPr>
          <w:p>
            <w:pPr>
              <w:spacing w:after="0"/>
              <w:rPr>
                <w:sz w:val="11"/>
                <w:szCs w:val="11"/>
                <w:color w:val="auto"/>
              </w:rPr>
            </w:pPr>
          </w:p>
        </w:tc>
        <w:tc>
          <w:tcPr>
            <w:tcW w:w="42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85"/>
              </w:rPr>
            </w:pPr>
            <w:hyperlink w:anchor="page147">
              <w:r>
                <w:rPr>
                  <w:rFonts w:ascii="Arial" w:cs="Arial" w:eastAsia="Arial" w:hAnsi="Arial"/>
                  <w:sz w:val="14"/>
                  <w:szCs w:val="14"/>
                  <w:color w:val="0000EE"/>
                  <w:w w:val="85"/>
                </w:rPr>
                <w:t>Awards</w:t>
              </w:r>
            </w:hyperlink>
          </w:p>
        </w:tc>
        <w:tc>
          <w:tcPr>
            <w:tcW w:w="40" w:type="dxa"/>
            <w:vAlign w:val="bottom"/>
            <w:tcBorders>
              <w:bottom w:val="single" w:sz="8" w:color="0000EE"/>
            </w:tcBorders>
          </w:tcPr>
          <w:p>
            <w:pPr>
              <w:spacing w:after="0"/>
              <w:rPr>
                <w:sz w:val="11"/>
                <w:szCs w:val="11"/>
                <w:color w:val="auto"/>
              </w:rPr>
            </w:pPr>
          </w:p>
        </w:tc>
        <w:tc>
          <w:tcPr>
            <w:tcW w:w="620" w:type="dxa"/>
            <w:vAlign w:val="bottom"/>
            <w:gridSpan w:val="14"/>
          </w:tcPr>
          <w:p>
            <w:pPr>
              <w:spacing w:after="0"/>
              <w:rPr>
                <w:sz w:val="11"/>
                <w:szCs w:val="11"/>
                <w:color w:val="auto"/>
              </w:rPr>
            </w:pPr>
          </w:p>
        </w:tc>
        <w:tc>
          <w:tcPr>
            <w:tcW w:w="160" w:type="dxa"/>
            <w:vAlign w:val="bottom"/>
            <w:gridSpan w:val="6"/>
          </w:tcPr>
          <w:p>
            <w:pPr>
              <w:spacing w:after="0"/>
              <w:rPr>
                <w:sz w:val="11"/>
                <w:szCs w:val="11"/>
                <w:color w:val="auto"/>
              </w:rPr>
            </w:pPr>
          </w:p>
        </w:tc>
        <w:tc>
          <w:tcPr>
            <w:tcW w:w="140" w:type="dxa"/>
            <w:vAlign w:val="bottom"/>
            <w:gridSpan w:val="4"/>
          </w:tcPr>
          <w:p>
            <w:pPr>
              <w:spacing w:after="0"/>
              <w:rPr>
                <w:sz w:val="11"/>
                <w:szCs w:val="11"/>
                <w:color w:val="auto"/>
              </w:rPr>
            </w:pPr>
          </w:p>
        </w:tc>
        <w:tc>
          <w:tcPr>
            <w:tcW w:w="24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1"/>
                <w:szCs w:val="11"/>
                <w:color w:val="auto"/>
              </w:rPr>
            </w:pPr>
          </w:p>
        </w:tc>
        <w:tc>
          <w:tcPr>
            <w:tcW w:w="460" w:type="dxa"/>
            <w:vAlign w:val="bottom"/>
            <w:gridSpan w:val="5"/>
          </w:tcPr>
          <w:p>
            <w:pPr>
              <w:spacing w:after="0" w:line="129" w:lineRule="exact"/>
              <w:rPr>
                <w:rFonts w:ascii="Arial" w:cs="Arial" w:eastAsia="Arial" w:hAnsi="Arial"/>
                <w:sz w:val="14"/>
                <w:szCs w:val="14"/>
                <w:color w:val="0000EE"/>
                <w:w w:val="79"/>
              </w:rPr>
            </w:pPr>
            <w:hyperlink w:anchor="page147">
              <w:r>
                <w:rPr>
                  <w:rFonts w:ascii="Arial" w:cs="Arial" w:eastAsia="Arial" w:hAnsi="Arial"/>
                  <w:sz w:val="14"/>
                  <w:szCs w:val="14"/>
                  <w:color w:val="0000EE"/>
                  <w:w w:val="79"/>
                </w:rPr>
                <w:t>Authority</w:t>
              </w:r>
            </w:hyperlink>
          </w:p>
        </w:tc>
        <w:tc>
          <w:tcPr>
            <w:tcW w:w="6580" w:type="dxa"/>
            <w:vAlign w:val="bottom"/>
            <w:gridSpan w:val="65"/>
          </w:tcPr>
          <w:p>
            <w:pPr>
              <w:ind w:left="120"/>
              <w:spacing w:after="0" w:line="129" w:lineRule="exact"/>
              <w:rPr>
                <w:rFonts w:ascii="Arial" w:cs="Arial" w:eastAsia="Arial" w:hAnsi="Arial"/>
                <w:sz w:val="14"/>
                <w:szCs w:val="14"/>
                <w:color w:val="0000EE"/>
              </w:rPr>
            </w:pPr>
            <w:hyperlink w:anchor="page147">
              <w:r>
                <w:rPr>
                  <w:rFonts w:ascii="Arial" w:cs="Arial" w:eastAsia="Arial" w:hAnsi="Arial"/>
                  <w:sz w:val="14"/>
                  <w:szCs w:val="14"/>
                  <w:color w:val="0000EE"/>
                </w:rPr>
                <w:t>of the Committee</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1"/>
                <w:szCs w:val="11"/>
                <w:color w:val="auto"/>
              </w:rPr>
            </w:pPr>
          </w:p>
        </w:tc>
        <w:tc>
          <w:tcPr>
            <w:tcW w:w="1620" w:type="dxa"/>
            <w:vAlign w:val="bottom"/>
            <w:tcBorders>
              <w:top w:val="single" w:sz="8" w:color="0000EE"/>
            </w:tcBorders>
            <w:gridSpan w:val="39"/>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Decisions Binding</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340" w:type="dxa"/>
            <w:vAlign w:val="bottom"/>
            <w:gridSpan w:val="10"/>
          </w:tcPr>
          <w:p>
            <w:pPr>
              <w:spacing w:after="0"/>
              <w:rPr>
                <w:sz w:val="11"/>
                <w:szCs w:val="11"/>
                <w:color w:val="auto"/>
              </w:rPr>
            </w:pPr>
          </w:p>
        </w:tc>
        <w:tc>
          <w:tcPr>
            <w:tcW w:w="880" w:type="dxa"/>
            <w:vAlign w:val="bottom"/>
            <w:gridSpan w:val="9"/>
          </w:tcPr>
          <w:p>
            <w:pPr>
              <w:spacing w:after="0"/>
              <w:rPr>
                <w:sz w:val="11"/>
                <w:szCs w:val="11"/>
                <w:color w:val="auto"/>
              </w:rPr>
            </w:pPr>
          </w:p>
        </w:tc>
        <w:tc>
          <w:tcPr>
            <w:tcW w:w="400" w:type="dxa"/>
            <w:vAlign w:val="bottom"/>
            <w:gridSpan w:val="4"/>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16"/>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EE"/>
            </w:tcBorders>
            <w:gridSpan w:val="29"/>
          </w:tcPr>
          <w:p>
            <w:pPr>
              <w:spacing w:after="0" w:line="129" w:lineRule="exact"/>
              <w:rPr>
                <w:rFonts w:ascii="Arial" w:cs="Arial" w:eastAsia="Arial" w:hAnsi="Arial"/>
                <w:sz w:val="14"/>
                <w:szCs w:val="14"/>
                <w:color w:val="0000EE"/>
                <w:w w:val="97"/>
              </w:rPr>
            </w:pPr>
            <w:hyperlink w:anchor="page148">
              <w:r>
                <w:rPr>
                  <w:rFonts w:ascii="Arial" w:cs="Arial" w:eastAsia="Arial" w:hAnsi="Arial"/>
                  <w:sz w:val="14"/>
                  <w:szCs w:val="14"/>
                  <w:color w:val="0000EE"/>
                  <w:w w:val="97"/>
                </w:rPr>
                <w:t>No Liability to Holders.</w:t>
              </w:r>
            </w:hyperlink>
          </w:p>
        </w:tc>
        <w:tc>
          <w:tcPr>
            <w:tcW w:w="5660" w:type="dxa"/>
            <w:vAlign w:val="bottom"/>
            <w:gridSpan w:val="41"/>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gridSpan w:val="32"/>
          </w:tcPr>
          <w:p>
            <w:pPr>
              <w:spacing w:after="0" w:line="129" w:lineRule="exact"/>
              <w:rPr>
                <w:rFonts w:ascii="Arial" w:cs="Arial" w:eastAsia="Arial" w:hAnsi="Arial"/>
                <w:sz w:val="14"/>
                <w:szCs w:val="14"/>
                <w:color w:val="0000EE"/>
                <w:w w:val="96"/>
              </w:rPr>
            </w:pPr>
            <w:hyperlink w:anchor="page148">
              <w:r>
                <w:rPr>
                  <w:rFonts w:ascii="Arial" w:cs="Arial" w:eastAsia="Arial" w:hAnsi="Arial"/>
                  <w:sz w:val="14"/>
                  <w:szCs w:val="14"/>
                  <w:color w:val="0000EE"/>
                  <w:w w:val="96"/>
                </w:rPr>
                <w:t>ARTICLE XIV Amendment or Termination of</w:t>
              </w:r>
            </w:hyperlink>
          </w:p>
        </w:tc>
        <w:tc>
          <w:tcPr>
            <w:tcW w:w="5660" w:type="dxa"/>
            <w:vAlign w:val="bottom"/>
            <w:gridSpan w:val="41"/>
          </w:tcPr>
          <w:p>
            <w:pPr>
              <w:jc w:val="center"/>
              <w:ind w:right="5360"/>
              <w:spacing w:after="0" w:line="129" w:lineRule="exact"/>
              <w:rPr>
                <w:rFonts w:ascii="Arial" w:cs="Arial" w:eastAsia="Arial" w:hAnsi="Arial"/>
                <w:sz w:val="14"/>
                <w:szCs w:val="14"/>
                <w:color w:val="0000EE"/>
                <w:w w:val="92"/>
              </w:rPr>
            </w:pPr>
            <w:hyperlink w:anchor="page148">
              <w:r>
                <w:rPr>
                  <w:rFonts w:ascii="Arial" w:cs="Arial" w:eastAsia="Arial" w:hAnsi="Arial"/>
                  <w:sz w:val="14"/>
                  <w:szCs w:val="14"/>
                  <w:color w:val="0000EE"/>
                  <w:w w:val="92"/>
                </w:rPr>
                <w:t>Plan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top w:val="single" w:sz="8" w:color="0000EE"/>
            </w:tcBorders>
          </w:tcPr>
          <w:p>
            <w:pPr>
              <w:ind w:left="640"/>
              <w:spacing w:after="0" w:line="129" w:lineRule="exact"/>
              <w:rPr>
                <w:sz w:val="20"/>
                <w:szCs w:val="20"/>
                <w:color w:val="auto"/>
              </w:rPr>
            </w:pPr>
            <w:r>
              <w:rPr>
                <w:rFonts w:ascii="Arial" w:cs="Arial" w:eastAsia="Arial" w:hAnsi="Arial"/>
                <w:sz w:val="14"/>
                <w:szCs w:val="14"/>
                <w:color w:val="auto"/>
              </w:rPr>
              <w:t>14.1</w:t>
            </w:r>
          </w:p>
        </w:tc>
        <w:tc>
          <w:tcPr>
            <w:tcW w:w="80" w:type="dxa"/>
            <w:vAlign w:val="bottom"/>
            <w:tcBorders>
              <w:top w:val="single" w:sz="8" w:color="0000EE"/>
            </w:tcBorders>
          </w:tcPr>
          <w:p>
            <w:pPr>
              <w:spacing w:after="0"/>
              <w:rPr>
                <w:sz w:val="11"/>
                <w:szCs w:val="11"/>
                <w:color w:val="auto"/>
              </w:rPr>
            </w:pPr>
          </w:p>
        </w:tc>
        <w:tc>
          <w:tcPr>
            <w:tcW w:w="1720" w:type="dxa"/>
            <w:vAlign w:val="bottom"/>
            <w:tcBorders>
              <w:top w:val="single" w:sz="8" w:color="0000EE"/>
            </w:tcBorders>
            <w:gridSpan w:val="4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Amendment, Modification,</w:t>
              </w:r>
            </w:hyperlink>
          </w:p>
        </w:tc>
        <w:tc>
          <w:tcPr>
            <w:tcW w:w="5320" w:type="dxa"/>
            <w:vAlign w:val="bottom"/>
            <w:gridSpan w:val="26"/>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Suspension, and Termination</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41"/>
          </w:tcPr>
          <w:p>
            <w:pPr>
              <w:spacing w:after="0" w:line="129" w:lineRule="exact"/>
              <w:rPr>
                <w:rFonts w:ascii="Arial" w:cs="Arial" w:eastAsia="Arial" w:hAnsi="Arial"/>
                <w:sz w:val="14"/>
                <w:szCs w:val="14"/>
                <w:color w:val="0000EE"/>
                <w:w w:val="96"/>
              </w:rPr>
            </w:pPr>
            <w:hyperlink w:anchor="page148">
              <w:r>
                <w:rPr>
                  <w:rFonts w:ascii="Arial" w:cs="Arial" w:eastAsia="Arial" w:hAnsi="Arial"/>
                  <w:sz w:val="14"/>
                  <w:szCs w:val="14"/>
                  <w:color w:val="0000EE"/>
                  <w:w w:val="96"/>
                </w:rPr>
                <w:t>Awards Previously Granted</w:t>
              </w:r>
            </w:hyperlink>
          </w:p>
        </w:tc>
        <w:tc>
          <w:tcPr>
            <w:tcW w:w="1680" w:type="dxa"/>
            <w:vAlign w:val="bottom"/>
            <w:tcBorders>
              <w:top w:val="single" w:sz="8" w:color="0000EE"/>
            </w:tcBorders>
            <w:gridSpan w:val="26"/>
          </w:tcPr>
          <w:p>
            <w:pPr>
              <w:spacing w:after="0"/>
              <w:rPr>
                <w:sz w:val="11"/>
                <w:szCs w:val="11"/>
                <w:color w:val="auto"/>
              </w:rPr>
            </w:pPr>
          </w:p>
        </w:tc>
        <w:tc>
          <w:tcPr>
            <w:tcW w:w="3700" w:type="dxa"/>
            <w:vAlign w:val="bottom"/>
            <w:gridSpan w:val="3"/>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2940" w:type="dxa"/>
            <w:vAlign w:val="bottom"/>
            <w:gridSpan w:val="4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ARTICLE XV Miscellaneous</w:t>
              </w:r>
            </w:hyperlink>
          </w:p>
        </w:tc>
        <w:tc>
          <w:tcPr>
            <w:tcW w:w="400" w:type="dxa"/>
            <w:vAlign w:val="bottom"/>
            <w:gridSpan w:val="13"/>
          </w:tcPr>
          <w:p>
            <w:pPr>
              <w:spacing w:after="0"/>
              <w:rPr>
                <w:sz w:val="11"/>
                <w:szCs w:val="11"/>
                <w:color w:val="auto"/>
              </w:rPr>
            </w:pPr>
          </w:p>
        </w:tc>
        <w:tc>
          <w:tcPr>
            <w:tcW w:w="880" w:type="dxa"/>
            <w:vAlign w:val="bottom"/>
            <w:gridSpan w:val="9"/>
          </w:tcPr>
          <w:p>
            <w:pPr>
              <w:spacing w:after="0"/>
              <w:rPr>
                <w:sz w:val="11"/>
                <w:szCs w:val="11"/>
                <w:color w:val="auto"/>
              </w:rPr>
            </w:pPr>
          </w:p>
        </w:tc>
        <w:tc>
          <w:tcPr>
            <w:tcW w:w="4100" w:type="dxa"/>
            <w:vAlign w:val="bottom"/>
            <w:gridSpan w:val="7"/>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40" w:type="dxa"/>
            <w:vAlign w:val="bottom"/>
            <w:gridSpan w:val="22"/>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180" w:type="dxa"/>
            <w:vAlign w:val="bottom"/>
          </w:tcPr>
          <w:p>
            <w:pPr>
              <w:ind w:left="640"/>
              <w:spacing w:after="0" w:line="12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1"/>
                <w:szCs w:val="11"/>
                <w:color w:val="auto"/>
              </w:rPr>
            </w:pPr>
          </w:p>
        </w:tc>
        <w:tc>
          <w:tcPr>
            <w:tcW w:w="7040" w:type="dxa"/>
            <w:vAlign w:val="bottom"/>
            <w:gridSpan w:val="7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Unfunded Plan/No Establishment of a Trust Fund</w:t>
              </w:r>
            </w:hyperlink>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1"/>
                <w:szCs w:val="11"/>
                <w:color w:val="auto"/>
              </w:rPr>
            </w:pPr>
          </w:p>
        </w:tc>
        <w:tc>
          <w:tcPr>
            <w:tcW w:w="2940" w:type="dxa"/>
            <w:vAlign w:val="bottom"/>
            <w:tcBorders>
              <w:top w:val="single" w:sz="8" w:color="0000EE"/>
            </w:tcBorders>
            <w:gridSpan w:val="63"/>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No Employment Obligation</w:t>
              </w:r>
            </w:hyperlink>
          </w:p>
        </w:tc>
        <w:tc>
          <w:tcPr>
            <w:tcW w:w="4100" w:type="dxa"/>
            <w:vAlign w:val="bottom"/>
            <w:gridSpan w:val="7"/>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1"/>
                <w:szCs w:val="11"/>
                <w:color w:val="auto"/>
              </w:rPr>
            </w:pPr>
          </w:p>
        </w:tc>
        <w:tc>
          <w:tcPr>
            <w:tcW w:w="1640" w:type="dxa"/>
            <w:vAlign w:val="bottom"/>
            <w:tcBorders>
              <w:top w:val="single" w:sz="8" w:color="0000EE"/>
            </w:tcBorders>
            <w:gridSpan w:val="4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Transfers and Leaves of</w:t>
              </w:r>
            </w:hyperlink>
          </w:p>
        </w:tc>
        <w:tc>
          <w:tcPr>
            <w:tcW w:w="5400" w:type="dxa"/>
            <w:vAlign w:val="bottom"/>
            <w:gridSpan w:val="30"/>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Absence.</w:t>
              </w:r>
            </w:hyperlink>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29"/>
        </w:trPr>
        <w:tc>
          <w:tcPr>
            <w:tcW w:w="1200" w:type="dxa"/>
            <w:vAlign w:val="bottom"/>
            <w:gridSpan w:val="2"/>
          </w:tcPr>
          <w:p>
            <w:pPr>
              <w:ind w:left="660"/>
              <w:spacing w:after="0" w:line="129"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1"/>
                <w:szCs w:val="11"/>
                <w:color w:val="auto"/>
              </w:rPr>
            </w:pPr>
          </w:p>
        </w:tc>
        <w:tc>
          <w:tcPr>
            <w:tcW w:w="2060" w:type="dxa"/>
            <w:vAlign w:val="bottom"/>
            <w:tcBorders>
              <w:top w:val="single" w:sz="8" w:color="0000EE"/>
            </w:tcBorders>
            <w:gridSpan w:val="54"/>
          </w:tcPr>
          <w:p>
            <w:pPr>
              <w:spacing w:after="0" w:line="129" w:lineRule="exact"/>
              <w:rPr>
                <w:rFonts w:ascii="Arial" w:cs="Arial" w:eastAsia="Arial" w:hAnsi="Arial"/>
                <w:sz w:val="14"/>
                <w:szCs w:val="14"/>
                <w:color w:val="0000EE"/>
              </w:rPr>
            </w:pPr>
            <w:hyperlink w:anchor="page148">
              <w:r>
                <w:rPr>
                  <w:rFonts w:ascii="Arial" w:cs="Arial" w:eastAsia="Arial" w:hAnsi="Arial"/>
                  <w:sz w:val="14"/>
                  <w:szCs w:val="14"/>
                  <w:color w:val="0000EE"/>
                </w:rPr>
                <w:t>Tax Withholding</w:t>
              </w:r>
            </w:hyperlink>
          </w:p>
        </w:tc>
        <w:tc>
          <w:tcPr>
            <w:tcW w:w="4980" w:type="dxa"/>
            <w:vAlign w:val="bottom"/>
            <w:gridSpan w:val="16"/>
          </w:tcPr>
          <w:p>
            <w:pPr>
              <w:spacing w:after="0"/>
              <w:rPr>
                <w:sz w:val="11"/>
                <w:szCs w:val="11"/>
                <w:color w:val="auto"/>
              </w:rPr>
            </w:pPr>
          </w:p>
        </w:tc>
        <w:tc>
          <w:tcPr>
            <w:tcW w:w="260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660"/>
              <w:spacing w:after="0" w:line="149" w:lineRule="exact"/>
              <w:rPr>
                <w:sz w:val="20"/>
                <w:szCs w:val="20"/>
                <w:color w:val="auto"/>
              </w:rPr>
            </w:pPr>
            <w:r>
              <w:rPr>
                <w:rFonts w:ascii="Arial" w:cs="Arial" w:eastAsia="Arial" w:hAnsi="Arial"/>
                <w:sz w:val="14"/>
                <w:szCs w:val="14"/>
                <w:color w:val="auto"/>
              </w:rPr>
              <w:t>15.5</w:t>
            </w:r>
          </w:p>
        </w:tc>
        <w:tc>
          <w:tcPr>
            <w:tcW w:w="80" w:type="dxa"/>
            <w:vAlign w:val="bottom"/>
          </w:tcPr>
          <w:p>
            <w:pPr>
              <w:spacing w:after="0" w:line="20" w:lineRule="exact"/>
              <w:rPr>
                <w:sz w:val="1"/>
                <w:szCs w:val="1"/>
                <w:color w:val="auto"/>
              </w:rPr>
            </w:pPr>
          </w:p>
        </w:tc>
        <w:tc>
          <w:tcPr>
            <w:tcW w:w="960" w:type="dxa"/>
            <w:vAlign w:val="bottom"/>
            <w:gridSpan w:val="13"/>
            <w:shd w:val="clear" w:color="auto" w:fill="0000EE"/>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5800" w:type="dxa"/>
            <w:vAlign w:val="bottom"/>
            <w:gridSpan w:val="45"/>
          </w:tcPr>
          <w:p>
            <w:pPr>
              <w:spacing w:after="0" w:line="20" w:lineRule="exact"/>
              <w:rPr>
                <w:sz w:val="1"/>
                <w:szCs w:val="1"/>
                <w:color w:val="auto"/>
              </w:rPr>
            </w:pPr>
          </w:p>
        </w:tc>
        <w:tc>
          <w:tcPr>
            <w:tcW w:w="26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line="20" w:lineRule="exact"/>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0000EE"/>
            </w:tcBorders>
            <w:gridSpan w:val="25"/>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Gender and Number</w:t>
              </w:r>
            </w:hyperlink>
          </w:p>
        </w:tc>
        <w:tc>
          <w:tcPr>
            <w:tcW w:w="5800" w:type="dxa"/>
            <w:vAlign w:val="bottom"/>
            <w:gridSpan w:val="45"/>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ii</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15.6</w:t>
            </w:r>
          </w:p>
        </w:tc>
        <w:tc>
          <w:tcPr>
            <w:tcW w:w="3400" w:type="dxa"/>
            <w:vAlign w:val="bottom"/>
            <w:gridSpan w:val="12"/>
          </w:tcPr>
          <w:p>
            <w:pPr>
              <w:spacing w:after="0"/>
              <w:rPr>
                <w:rFonts w:ascii="Arial" w:cs="Arial" w:eastAsia="Arial" w:hAnsi="Arial"/>
                <w:sz w:val="14"/>
                <w:szCs w:val="14"/>
                <w:color w:val="0000EE"/>
              </w:rPr>
            </w:pPr>
            <w:hyperlink w:anchor="page149">
              <w:r>
                <w:rPr>
                  <w:rFonts w:ascii="Arial" w:cs="Arial" w:eastAsia="Arial" w:hAnsi="Arial"/>
                  <w:sz w:val="14"/>
                  <w:szCs w:val="14"/>
                  <w:color w:val="0000EE"/>
                </w:rPr>
                <w:t>Severability</w:t>
              </w:r>
            </w:hyperlink>
          </w:p>
        </w:tc>
        <w:tc>
          <w:tcPr>
            <w:tcW w:w="62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15.7</w:t>
            </w:r>
          </w:p>
        </w:tc>
        <w:tc>
          <w:tcPr>
            <w:tcW w:w="7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Headings</w:t>
              </w:r>
            </w:hyperlink>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15.8</w:t>
            </w:r>
          </w:p>
        </w:tc>
        <w:tc>
          <w:tcPr>
            <w:tcW w:w="5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Other</w:t>
              </w:r>
            </w:hyperlink>
          </w:p>
        </w:tc>
        <w:tc>
          <w:tcPr>
            <w:tcW w:w="2820" w:type="dxa"/>
            <w:vAlign w:val="bottom"/>
            <w:gridSpan w:val="10"/>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Compensation Plans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15.9</w:t>
            </w:r>
          </w:p>
        </w:tc>
        <w:tc>
          <w:tcPr>
            <w:tcW w:w="162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Other Awards</w:t>
              </w:r>
            </w:hyperlink>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15.10</w:t>
            </w:r>
          </w:p>
        </w:tc>
        <w:tc>
          <w:tcPr>
            <w:tcW w:w="20" w:type="dxa"/>
            <w:vAlign w:val="bottom"/>
            <w:tcBorders>
              <w:top w:val="single" w:sz="8" w:color="0000EE"/>
            </w:tcBorders>
          </w:tcPr>
          <w:p>
            <w:pPr>
              <w:spacing w:after="0"/>
              <w:rPr>
                <w:sz w:val="11"/>
                <w:szCs w:val="11"/>
                <w:color w:val="auto"/>
              </w:rPr>
            </w:pPr>
          </w:p>
        </w:tc>
        <w:tc>
          <w:tcPr>
            <w:tcW w:w="70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3"/>
              </w:rPr>
            </w:pPr>
            <w:hyperlink w:anchor="page149">
              <w:r>
                <w:rPr>
                  <w:rFonts w:ascii="Arial" w:cs="Arial" w:eastAsia="Arial" w:hAnsi="Arial"/>
                  <w:sz w:val="14"/>
                  <w:szCs w:val="14"/>
                  <w:color w:val="0000EE"/>
                  <w:w w:val="93"/>
                </w:rPr>
                <w:t>Successors</w:t>
              </w:r>
            </w:hyperlink>
          </w:p>
        </w:tc>
        <w:tc>
          <w:tcPr>
            <w:tcW w:w="12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15.11</w:t>
            </w:r>
          </w:p>
        </w:tc>
        <w:tc>
          <w:tcPr>
            <w:tcW w:w="20" w:type="dxa"/>
            <w:vAlign w:val="bottom"/>
          </w:tcPr>
          <w:p>
            <w:pPr>
              <w:spacing w:after="0"/>
              <w:rPr>
                <w:sz w:val="11"/>
                <w:szCs w:val="11"/>
                <w:color w:val="auto"/>
              </w:rPr>
            </w:pPr>
          </w:p>
        </w:tc>
        <w:tc>
          <w:tcPr>
            <w:tcW w:w="3380" w:type="dxa"/>
            <w:vAlign w:val="bottom"/>
            <w:gridSpan w:val="11"/>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Law Limitations/Governmental Approvals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15.12</w:t>
            </w:r>
          </w:p>
        </w:tc>
        <w:tc>
          <w:tcPr>
            <w:tcW w:w="20" w:type="dxa"/>
            <w:vAlign w:val="bottom"/>
          </w:tcPr>
          <w:p>
            <w:pPr>
              <w:spacing w:after="0"/>
              <w:rPr>
                <w:sz w:val="11"/>
                <w:szCs w:val="11"/>
                <w:color w:val="auto"/>
              </w:rPr>
            </w:pPr>
          </w:p>
        </w:tc>
        <w:tc>
          <w:tcPr>
            <w:tcW w:w="10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4"/>
              </w:rPr>
            </w:pPr>
            <w:hyperlink w:anchor="page149">
              <w:r>
                <w:rPr>
                  <w:rFonts w:ascii="Arial" w:cs="Arial" w:eastAsia="Arial" w:hAnsi="Arial"/>
                  <w:sz w:val="14"/>
                  <w:szCs w:val="14"/>
                  <w:color w:val="0000EE"/>
                  <w:w w:val="94"/>
                </w:rPr>
                <w:t>Fractional Shares</w:t>
              </w:r>
            </w:hyperlink>
          </w:p>
        </w:tc>
        <w:tc>
          <w:tcPr>
            <w:tcW w:w="1400" w:type="dxa"/>
            <w:vAlign w:val="bottom"/>
            <w:tcBorders>
              <w:top w:val="single" w:sz="8" w:color="0000EE"/>
            </w:tcBorders>
            <w:gridSpan w:val="3"/>
          </w:tcPr>
          <w:p>
            <w:pPr>
              <w:spacing w:after="0"/>
              <w:rPr>
                <w:sz w:val="11"/>
                <w:szCs w:val="11"/>
                <w:color w:val="auto"/>
              </w:rPr>
            </w:pPr>
          </w:p>
        </w:tc>
        <w:tc>
          <w:tcPr>
            <w:tcW w:w="920" w:type="dxa"/>
            <w:vAlign w:val="bottom"/>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15.13</w:t>
            </w:r>
          </w:p>
        </w:tc>
        <w:tc>
          <w:tcPr>
            <w:tcW w:w="20" w:type="dxa"/>
            <w:vAlign w:val="bottom"/>
          </w:tcPr>
          <w:p>
            <w:pPr>
              <w:spacing w:after="0"/>
              <w:rPr>
                <w:sz w:val="11"/>
                <w:szCs w:val="11"/>
                <w:color w:val="auto"/>
              </w:rPr>
            </w:pPr>
          </w:p>
        </w:tc>
        <w:tc>
          <w:tcPr>
            <w:tcW w:w="1680" w:type="dxa"/>
            <w:vAlign w:val="bottom"/>
            <w:tcBorders>
              <w:bottom w:val="single" w:sz="8" w:color="0000EE"/>
            </w:tcBorders>
            <w:gridSpan w:val="9"/>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Investment Representations</w:t>
              </w:r>
            </w:hyperlink>
          </w:p>
        </w:tc>
        <w:tc>
          <w:tcPr>
            <w:tcW w:w="1700" w:type="dxa"/>
            <w:vAlign w:val="bottom"/>
            <w:gridSpan w:val="2"/>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15.14</w:t>
            </w:r>
          </w:p>
        </w:tc>
        <w:tc>
          <w:tcPr>
            <w:tcW w:w="20" w:type="dxa"/>
            <w:vAlign w:val="bottom"/>
          </w:tcPr>
          <w:p>
            <w:pPr>
              <w:spacing w:after="0"/>
              <w:rPr>
                <w:sz w:val="11"/>
                <w:szCs w:val="11"/>
                <w:color w:val="auto"/>
              </w:rPr>
            </w:pPr>
          </w:p>
        </w:tc>
        <w:tc>
          <w:tcPr>
            <w:tcW w:w="3380" w:type="dxa"/>
            <w:vAlign w:val="bottom"/>
            <w:tcBorders>
              <w:bottom w:val="single" w:sz="8" w:color="0000EE"/>
            </w:tcBorders>
            <w:gridSpan w:val="11"/>
          </w:tcPr>
          <w:p>
            <w:pPr>
              <w:spacing w:after="0" w:line="129" w:lineRule="exact"/>
              <w:rPr>
                <w:rFonts w:ascii="Arial" w:cs="Arial" w:eastAsia="Arial" w:hAnsi="Arial"/>
                <w:sz w:val="14"/>
                <w:szCs w:val="14"/>
                <w:color w:val="0000EE"/>
                <w:w w:val="95"/>
              </w:rPr>
            </w:pPr>
            <w:hyperlink w:anchor="page149">
              <w:r>
                <w:rPr>
                  <w:rFonts w:ascii="Arial" w:cs="Arial" w:eastAsia="Arial" w:hAnsi="Arial"/>
                  <w:sz w:val="14"/>
                  <w:szCs w:val="14"/>
                  <w:color w:val="0000EE"/>
                  <w:w w:val="95"/>
                </w:rPr>
                <w:t>Persons Residing Outside of Ireland or the United States</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15.15</w:t>
            </w:r>
          </w:p>
        </w:tc>
        <w:tc>
          <w:tcPr>
            <w:tcW w:w="20" w:type="dxa"/>
            <w:vAlign w:val="bottom"/>
          </w:tcPr>
          <w:p>
            <w:pPr>
              <w:spacing w:after="0"/>
              <w:rPr>
                <w:sz w:val="11"/>
                <w:szCs w:val="11"/>
                <w:color w:val="auto"/>
              </w:rPr>
            </w:pPr>
          </w:p>
        </w:tc>
        <w:tc>
          <w:tcPr>
            <w:tcW w:w="3380" w:type="dxa"/>
            <w:vAlign w:val="bottom"/>
            <w:gridSpan w:val="11"/>
          </w:tcPr>
          <w:p>
            <w:pPr>
              <w:spacing w:after="0" w:line="129" w:lineRule="exact"/>
              <w:rPr>
                <w:rFonts w:ascii="Arial" w:cs="Arial" w:eastAsia="Arial" w:hAnsi="Arial"/>
                <w:sz w:val="14"/>
                <w:szCs w:val="14"/>
                <w:color w:val="0000EE"/>
              </w:rPr>
            </w:pPr>
            <w:hyperlink w:anchor="page149">
              <w:r>
                <w:rPr>
                  <w:rFonts w:ascii="Arial" w:cs="Arial" w:eastAsia="Arial" w:hAnsi="Arial"/>
                  <w:sz w:val="14"/>
                  <w:szCs w:val="14"/>
                  <w:color w:val="0000EE"/>
                </w:rPr>
                <w:t>Governing Law</w:t>
              </w:r>
            </w:hyperlink>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color w:val="auto"/>
              </w:rPr>
              <w:t>15.16</w:t>
            </w:r>
          </w:p>
        </w:tc>
        <w:tc>
          <w:tcPr>
            <w:tcW w:w="20" w:type="dxa"/>
            <w:vAlign w:val="bottom"/>
          </w:tcPr>
          <w:p>
            <w:pPr>
              <w:spacing w:after="0"/>
              <w:rPr>
                <w:sz w:val="11"/>
                <w:szCs w:val="11"/>
                <w:color w:val="auto"/>
              </w:rPr>
            </w:pPr>
          </w:p>
        </w:tc>
        <w:tc>
          <w:tcPr>
            <w:tcW w:w="90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85"/>
              </w:rPr>
            </w:pPr>
            <w:hyperlink w:anchor="page149">
              <w:r>
                <w:rPr>
                  <w:rFonts w:ascii="Arial" w:cs="Arial" w:eastAsia="Arial" w:hAnsi="Arial"/>
                  <w:sz w:val="14"/>
                  <w:szCs w:val="14"/>
                  <w:color w:val="0000EE"/>
                  <w:w w:val="85"/>
                </w:rPr>
                <w:t>Purchase Rights</w:t>
              </w:r>
            </w:hyperlink>
          </w:p>
        </w:tc>
        <w:tc>
          <w:tcPr>
            <w:tcW w:w="80" w:type="dxa"/>
            <w:vAlign w:val="bottom"/>
            <w:tcBorders>
              <w:bottom w:val="single" w:sz="8" w:color="0000EE"/>
            </w:tcBorders>
          </w:tcPr>
          <w:p>
            <w:pPr>
              <w:spacing w:after="0"/>
              <w:rPr>
                <w:sz w:val="11"/>
                <w:szCs w:val="11"/>
                <w:color w:val="auto"/>
              </w:rPr>
            </w:pPr>
          </w:p>
        </w:tc>
        <w:tc>
          <w:tcPr>
            <w:tcW w:w="2400" w:type="dxa"/>
            <w:vAlign w:val="bottom"/>
            <w:gridSpan w:val="5"/>
          </w:tcPr>
          <w:p>
            <w:pPr>
              <w:spacing w:after="0"/>
              <w:rPr>
                <w:sz w:val="11"/>
                <w:szCs w:val="11"/>
                <w:color w:val="auto"/>
              </w:rPr>
            </w:pPr>
          </w:p>
        </w:tc>
        <w:tc>
          <w:tcPr>
            <w:tcW w:w="624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iii</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Purpose and Duration</w:t>
      </w:r>
    </w:p>
    <w:p>
      <w:pPr>
        <w:spacing w:after="0" w:line="188" w:lineRule="exact"/>
        <w:rPr>
          <w:sz w:val="20"/>
          <w:szCs w:val="20"/>
          <w:color w:val="auto"/>
        </w:rPr>
      </w:pPr>
    </w:p>
    <w:p>
      <w:pPr>
        <w:ind w:left="200" w:right="120" w:firstLine="771"/>
        <w:spacing w:after="0" w:line="227"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Purpose of the Plan.</w:t>
      </w:r>
      <w:r>
        <w:rPr>
          <w:rFonts w:ascii="Arial" w:cs="Arial" w:eastAsia="Arial" w:hAnsi="Arial"/>
          <w:sz w:val="14"/>
          <w:szCs w:val="14"/>
          <w:color w:val="auto"/>
        </w:rPr>
        <w:t xml:space="preserve"> The Plan is intended to advance the best interests of the Company, its Affiliates and its shareholders by providing those 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and was amended and restated on June 17, 2014. The Plan was further amended on June 16, 2015 and June 15, 2017. On March 27, 2019, the Board approved an amendment and restatement of the Plan, which shall be presented for approval by the Company’s shareholders on June 25, 2019.</w:t>
      </w:r>
    </w:p>
    <w:p>
      <w:pPr>
        <w:spacing w:after="0" w:line="190" w:lineRule="exact"/>
        <w:rPr>
          <w:sz w:val="20"/>
          <w:szCs w:val="20"/>
          <w:color w:val="auto"/>
        </w:rPr>
      </w:pPr>
    </w:p>
    <w:p>
      <w:pPr>
        <w:ind w:left="200" w:right="140" w:firstLine="771"/>
        <w:spacing w:after="0" w:line="236"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Duration of Plan.</w:t>
      </w:r>
      <w:r>
        <w:rPr>
          <w:rFonts w:ascii="Arial" w:cs="Arial" w:eastAsia="Arial" w:hAnsi="Arial"/>
          <w:sz w:val="14"/>
          <w:szCs w:val="14"/>
          <w:color w:val="auto"/>
        </w:rPr>
        <w:t xml:space="preserve"> The Plan shall continue indefinitely until it is terminated pursuant to Section 14.1. No ISOs may be granted under the Plan on or after the tenth anniversary of the Effective Date. The applicable provisions of the Plan will continue in effect with respect to an Award granted under the Plan for as long as such Award remains outstanding.</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Definitions</w:t>
      </w:r>
    </w:p>
    <w:p>
      <w:pPr>
        <w:spacing w:after="0" w:line="204" w:lineRule="exact"/>
        <w:rPr>
          <w:sz w:val="20"/>
          <w:szCs w:val="20"/>
          <w:color w:val="auto"/>
        </w:rPr>
      </w:pPr>
    </w:p>
    <w:p>
      <w:pPr>
        <w:ind w:left="200" w:right="340" w:firstLine="771"/>
        <w:spacing w:after="0" w:line="231" w:lineRule="auto"/>
        <w:rPr>
          <w:sz w:val="20"/>
          <w:szCs w:val="20"/>
          <w:color w:val="auto"/>
        </w:rPr>
      </w:pPr>
      <w:r>
        <w:rPr>
          <w:rFonts w:ascii="Arial" w:cs="Arial" w:eastAsia="Arial" w:hAnsi="Arial"/>
          <w:sz w:val="14"/>
          <w:szCs w:val="14"/>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87"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b w:val="1"/>
          <w:bCs w:val="1"/>
          <w:i w:val="1"/>
          <w:iCs w:val="1"/>
          <w:color w:val="auto"/>
        </w:rPr>
        <w:t xml:space="preserve">“Act” </w:t>
      </w:r>
      <w:r>
        <w:rPr>
          <w:rFonts w:ascii="Arial" w:cs="Arial" w:eastAsia="Arial" w:hAnsi="Arial"/>
          <w:sz w:val="12"/>
          <w:szCs w:val="12"/>
          <w:color w:val="auto"/>
        </w:rPr>
        <w:t>means the Companies Act 2014 of Ireland.</w:t>
      </w:r>
    </w:p>
    <w:p>
      <w:pPr>
        <w:spacing w:after="0" w:line="204" w:lineRule="exact"/>
        <w:rPr>
          <w:sz w:val="20"/>
          <w:szCs w:val="20"/>
          <w:color w:val="auto"/>
        </w:rPr>
      </w:pPr>
    </w:p>
    <w:p>
      <w:pPr>
        <w:ind w:left="200" w:right="20" w:firstLine="771"/>
        <w:spacing w:after="0" w:line="230"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xml:space="preserve"> means any Entity that, directly or indirectly, controls, is controlled by, or is under common control with, the Company. For purposes of the preceding sentence, “</w:t>
      </w:r>
      <w:r>
        <w:rPr>
          <w:rFonts w:ascii="Arial" w:cs="Arial" w:eastAsia="Arial" w:hAnsi="Arial"/>
          <w:sz w:val="14"/>
          <w:szCs w:val="14"/>
          <w:b w:val="1"/>
          <w:bCs w:val="1"/>
          <w:i w:val="1"/>
          <w:iCs w:val="1"/>
          <w:color w:val="auto"/>
        </w:rPr>
        <w:t>control</w:t>
      </w:r>
      <w:r>
        <w:rPr>
          <w:rFonts w:ascii="Arial" w:cs="Arial" w:eastAsia="Arial" w:hAnsi="Arial"/>
          <w:sz w:val="14"/>
          <w:szCs w:val="14"/>
          <w:color w:val="auto"/>
        </w:rPr>
        <w:t>” (including, with correlative meanings, the terms “</w:t>
      </w:r>
      <w:r>
        <w:rPr>
          <w:rFonts w:ascii="Arial" w:cs="Arial" w:eastAsia="Arial" w:hAnsi="Arial"/>
          <w:sz w:val="14"/>
          <w:szCs w:val="14"/>
          <w:b w:val="1"/>
          <w:bCs w:val="1"/>
          <w:i w:val="1"/>
          <w:iCs w:val="1"/>
          <w:color w:val="auto"/>
        </w:rPr>
        <w:t>controlled by</w:t>
      </w:r>
      <w:r>
        <w:rPr>
          <w:rFonts w:ascii="Arial" w:cs="Arial" w:eastAsia="Arial" w:hAnsi="Arial"/>
          <w:sz w:val="14"/>
          <w:szCs w:val="14"/>
          <w:color w:val="auto"/>
        </w:rPr>
        <w:t>” and “</w:t>
      </w:r>
      <w:r>
        <w:rPr>
          <w:rFonts w:ascii="Arial" w:cs="Arial" w:eastAsia="Arial" w:hAnsi="Arial"/>
          <w:sz w:val="14"/>
          <w:szCs w:val="14"/>
          <w:b w:val="1"/>
          <w:bCs w:val="1"/>
          <w:i w:val="1"/>
          <w:iCs w:val="1"/>
          <w:color w:val="auto"/>
        </w:rPr>
        <w:t>under common control with</w:t>
      </w:r>
      <w:r>
        <w:rPr>
          <w:rFonts w:ascii="Arial" w:cs="Arial" w:eastAsia="Arial" w:hAnsi="Arial"/>
          <w:sz w:val="14"/>
          <w:szCs w:val="14"/>
          <w:color w:val="auto"/>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187" w:lineRule="exact"/>
        <w:rPr>
          <w:sz w:val="20"/>
          <w:szCs w:val="20"/>
          <w:color w:val="auto"/>
        </w:rPr>
      </w:pPr>
    </w:p>
    <w:p>
      <w:pPr>
        <w:jc w:val="both"/>
        <w:ind w:left="200" w:right="100" w:firstLine="771"/>
        <w:spacing w:after="0" w:line="236"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xml:space="preserve"> means, individually or collectively, a grant under the Plan of Options, SARs, Restricted Shares, RSUs, Performance Share Awards, Performance Unit Awards, Other Share-Based Awards and Cash-Based Awards, in each case subject to the terms and provisions of the Plan and any applicable Award Agreement, the consideration for which may be services rendered to the Company and/or its Affiliates.</w:t>
      </w:r>
    </w:p>
    <w:p>
      <w:pPr>
        <w:spacing w:after="0" w:line="18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b w:val="1"/>
          <w:bCs w:val="1"/>
          <w:i w:val="1"/>
          <w:iCs w:val="1"/>
          <w:color w:val="auto"/>
        </w:rPr>
        <w:t xml:space="preserve">“Award Agreement” </w:t>
      </w:r>
      <w:r>
        <w:rPr>
          <w:rFonts w:ascii="Arial" w:cs="Arial" w:eastAsia="Arial" w:hAnsi="Arial"/>
          <w:sz w:val="12"/>
          <w:szCs w:val="12"/>
          <w:color w:val="auto"/>
        </w:rPr>
        <w:t>means the written or electronic agreement that sets forth the terms and conditions applicable to an Award granted under the Plan.</w:t>
      </w:r>
    </w:p>
    <w:p>
      <w:pPr>
        <w:spacing w:after="0" w:line="204"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2"/>
          <w:szCs w:val="12"/>
          <w:b w:val="1"/>
          <w:bCs w:val="1"/>
          <w:i w:val="1"/>
          <w:iCs w:val="1"/>
          <w:color w:val="auto"/>
        </w:rPr>
        <w:t xml:space="preserve">“Beneficial Owner” </w:t>
      </w:r>
      <w:r>
        <w:rPr>
          <w:rFonts w:ascii="Arial" w:cs="Arial" w:eastAsia="Arial" w:hAnsi="Arial"/>
          <w:sz w:val="12"/>
          <w:szCs w:val="12"/>
          <w:color w:val="auto"/>
        </w:rPr>
        <w:t>shall have the meaning set forth in Rule 13d-3 under the Exchange Act.</w:t>
      </w:r>
    </w:p>
    <w:p>
      <w:pPr>
        <w:spacing w:after="0" w:line="204"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b w:val="1"/>
          <w:bCs w:val="1"/>
          <w:i w:val="1"/>
          <w:iCs w:val="1"/>
          <w:color w:val="auto"/>
        </w:rPr>
        <w:t xml:space="preserve">“Board” </w:t>
      </w:r>
      <w:r>
        <w:rPr>
          <w:rFonts w:ascii="Arial" w:cs="Arial" w:eastAsia="Arial" w:hAnsi="Arial"/>
          <w:sz w:val="12"/>
          <w:szCs w:val="12"/>
          <w:color w:val="auto"/>
        </w:rPr>
        <w:t>means the board of directors of the Company.</w:t>
      </w:r>
    </w:p>
    <w:p>
      <w:pPr>
        <w:spacing w:after="0" w:line="20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b w:val="1"/>
          <w:bCs w:val="1"/>
          <w:i w:val="1"/>
          <w:iCs w:val="1"/>
          <w:color w:val="auto"/>
        </w:rPr>
        <w:t xml:space="preserve">“Cash-Based Award” </w:t>
      </w:r>
      <w:r>
        <w:rPr>
          <w:rFonts w:ascii="Arial" w:cs="Arial" w:eastAsia="Arial" w:hAnsi="Arial"/>
          <w:sz w:val="12"/>
          <w:szCs w:val="12"/>
          <w:color w:val="auto"/>
        </w:rPr>
        <w:t>means an Award granted pursuant to Article XI.</w:t>
      </w:r>
    </w:p>
    <w:p>
      <w:pPr>
        <w:spacing w:after="0" w:line="204"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i w:val="1"/>
          <w:iCs w:val="1"/>
          <w:color w:val="auto"/>
        </w:rPr>
        <w:t>“Change of Control”</w:t>
      </w:r>
      <w:r>
        <w:rPr>
          <w:rFonts w:ascii="Arial" w:cs="Arial" w:eastAsia="Arial" w:hAnsi="Arial"/>
          <w:sz w:val="14"/>
          <w:szCs w:val="14"/>
          <w:color w:val="auto"/>
        </w:rPr>
        <w:t xml:space="preserve"> means, unless otherwise set forth in an Award Agreement containing more restrictive language, the occurrence of any event set forth in any one of the following paragraphs:</w:t>
      </w:r>
    </w:p>
    <w:p>
      <w:pPr>
        <w:spacing w:after="0" w:line="198" w:lineRule="exact"/>
        <w:rPr>
          <w:sz w:val="20"/>
          <w:szCs w:val="20"/>
          <w:color w:val="auto"/>
        </w:rPr>
      </w:pPr>
    </w:p>
    <w:p>
      <w:pPr>
        <w:ind w:left="200" w:right="180" w:firstLine="1657"/>
        <w:spacing w:after="0" w:line="226" w:lineRule="auto"/>
        <w:tabs>
          <w:tab w:leader="none" w:pos="2469" w:val="left"/>
        </w:tabs>
        <w:numPr>
          <w:ilvl w:val="0"/>
          <w:numId w:val="235"/>
        </w:numPr>
        <w:rPr>
          <w:rFonts w:ascii="Arial" w:cs="Arial" w:eastAsia="Arial" w:hAnsi="Arial"/>
          <w:sz w:val="14"/>
          <w:szCs w:val="14"/>
          <w:color w:val="auto"/>
        </w:rPr>
      </w:pPr>
      <w:r>
        <w:rPr>
          <w:rFonts w:ascii="Arial" w:cs="Arial" w:eastAsia="Arial" w:hAnsi="Arial"/>
          <w:sz w:val="14"/>
          <w:szCs w:val="14"/>
          <w:color w:val="auto"/>
        </w:rPr>
        <w:t>any Person is or becomes the Beneficial Owner, directly or indirectly, of twenty percent (20%) or more of either (i) the then outstanding Ordinary Shares of the Company (the “</w:t>
      </w:r>
      <w:r>
        <w:rPr>
          <w:rFonts w:ascii="Arial" w:cs="Arial" w:eastAsia="Arial" w:hAnsi="Arial"/>
          <w:sz w:val="14"/>
          <w:szCs w:val="14"/>
          <w:b w:val="1"/>
          <w:bCs w:val="1"/>
          <w:i w:val="1"/>
          <w:iCs w:val="1"/>
          <w:color w:val="auto"/>
        </w:rPr>
        <w:t>Outstanding Company Ordinary Shares</w:t>
      </w:r>
      <w:r>
        <w:rPr>
          <w:rFonts w:ascii="Arial" w:cs="Arial" w:eastAsia="Arial" w:hAnsi="Arial"/>
          <w:sz w:val="14"/>
          <w:szCs w:val="14"/>
          <w:color w:val="auto"/>
        </w:rPr>
        <w:t>”) or (ii) the combined voting power of the then outstanding voting securities of the Company entitled to vote generally in the election of directors (the “</w:t>
      </w:r>
      <w:r>
        <w:rPr>
          <w:rFonts w:ascii="Arial" w:cs="Arial" w:eastAsia="Arial" w:hAnsi="Arial"/>
          <w:sz w:val="14"/>
          <w:szCs w:val="14"/>
          <w:b w:val="1"/>
          <w:bCs w:val="1"/>
          <w:i w:val="1"/>
          <w:iCs w:val="1"/>
          <w:color w:val="auto"/>
        </w:rPr>
        <w:t>Outstanding Company Voting Securities</w:t>
      </w:r>
      <w:r>
        <w:rPr>
          <w:rFonts w:ascii="Arial" w:cs="Arial" w:eastAsia="Arial" w:hAnsi="Arial"/>
          <w:sz w:val="14"/>
          <w:szCs w:val="14"/>
          <w:color w:val="auto"/>
        </w:rPr>
        <w:t>”), excluding any Person who becomes such a Beneficial Owner in connection with a transaction that complies with clauses (i), (ii) and (iii) of paragraph (c) below;</w:t>
      </w:r>
    </w:p>
    <w:p>
      <w:pPr>
        <w:spacing w:after="0" w:line="187" w:lineRule="exact"/>
        <w:rPr>
          <w:rFonts w:ascii="Arial" w:cs="Arial" w:eastAsia="Arial" w:hAnsi="Arial"/>
          <w:sz w:val="14"/>
          <w:szCs w:val="14"/>
          <w:color w:val="auto"/>
        </w:rPr>
      </w:pPr>
    </w:p>
    <w:p>
      <w:pPr>
        <w:ind w:left="200" w:right="120" w:firstLine="1657"/>
        <w:spacing w:after="0" w:line="230" w:lineRule="auto"/>
        <w:tabs>
          <w:tab w:leader="none" w:pos="2469"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w:t>
      </w:r>
      <w:r>
        <w:rPr>
          <w:rFonts w:ascii="Arial" w:cs="Arial" w:eastAsia="Arial" w:hAnsi="Arial"/>
          <w:sz w:val="14"/>
          <w:szCs w:val="14"/>
          <w:b w:val="1"/>
          <w:bCs w:val="1"/>
          <w:i w:val="1"/>
          <w:iCs w:val="1"/>
          <w:color w:val="auto"/>
        </w:rPr>
        <w:t>Incumbent Board</w:t>
      </w:r>
      <w:r>
        <w:rPr>
          <w:rFonts w:ascii="Arial" w:cs="Arial" w:eastAsia="Arial" w:hAnsi="Arial"/>
          <w:sz w:val="14"/>
          <w:szCs w:val="14"/>
          <w:color w:val="auto"/>
        </w:rPr>
        <w:t xml:space="preserve">”) cease for any reason to constitute at least a majority of the Board;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203" w:lineRule="exact"/>
        <w:rPr>
          <w:rFonts w:ascii="Arial" w:cs="Arial" w:eastAsia="Arial" w:hAnsi="Arial"/>
          <w:sz w:val="14"/>
          <w:szCs w:val="14"/>
          <w:color w:val="auto"/>
        </w:rPr>
      </w:pPr>
    </w:p>
    <w:p>
      <w:pPr>
        <w:ind w:left="200" w:right="60" w:firstLine="1657"/>
        <w:spacing w:after="0" w:line="222" w:lineRule="auto"/>
        <w:tabs>
          <w:tab w:leader="none" w:pos="2461"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4"/>
          <w:szCs w:val="14"/>
          <w:b w:val="1"/>
          <w:bCs w:val="1"/>
          <w:i w:val="1"/>
          <w:iCs w:val="1"/>
          <w:color w:val="auto"/>
        </w:rPr>
        <w:t>Corporate Transaction</w:t>
      </w:r>
      <w:r>
        <w:rPr>
          <w:rFonts w:ascii="Arial" w:cs="Arial" w:eastAsia="Arial" w:hAnsi="Arial"/>
          <w:sz w:val="14"/>
          <w:szCs w:val="14"/>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1657"/>
        <w:spacing w:after="0" w:line="258" w:lineRule="auto"/>
        <w:tabs>
          <w:tab w:leader="none" w:pos="2469" w:val="left"/>
        </w:tabs>
        <w:numPr>
          <w:ilvl w:val="1"/>
          <w:numId w:val="236"/>
        </w:numPr>
        <w:rPr>
          <w:rFonts w:ascii="Arial" w:cs="Arial" w:eastAsia="Arial" w:hAnsi="Arial"/>
          <w:sz w:val="12"/>
          <w:szCs w:val="12"/>
          <w:color w:val="auto"/>
        </w:rPr>
      </w:pPr>
      <w:r>
        <w:rPr>
          <w:rFonts w:ascii="Arial" w:cs="Arial" w:eastAsia="Arial" w:hAnsi="Arial"/>
          <w:sz w:val="12"/>
          <w:szCs w:val="12"/>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w:t>
      </w:r>
    </w:p>
    <w:p>
      <w:pPr>
        <w:ind w:left="400" w:hanging="196"/>
        <w:spacing w:after="0"/>
        <w:tabs>
          <w:tab w:leader="none" w:pos="40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and (iii) of paragraph (c) above.</w:t>
      </w:r>
    </w:p>
    <w:p>
      <w:pPr>
        <w:spacing w:after="0" w:line="188"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b w:val="1"/>
          <w:bCs w:val="1"/>
          <w:i w:val="1"/>
          <w:iCs w:val="1"/>
          <w:color w:val="auto"/>
        </w:rPr>
        <w:t xml:space="preserve">“Code” </w:t>
      </w:r>
      <w:r>
        <w:rPr>
          <w:rFonts w:ascii="Arial" w:cs="Arial" w:eastAsia="Arial" w:hAnsi="Arial"/>
          <w:sz w:val="12"/>
          <w:szCs w:val="12"/>
          <w:color w:val="auto"/>
        </w:rPr>
        <w:t>means the United States Internal Revenue Code of 1986, as amended from time to time.</w:t>
      </w:r>
    </w:p>
    <w:p>
      <w:pPr>
        <w:spacing w:after="0" w:line="204" w:lineRule="exact"/>
        <w:rPr>
          <w:sz w:val="20"/>
          <w:szCs w:val="20"/>
          <w:color w:val="auto"/>
        </w:rPr>
      </w:pPr>
    </w:p>
    <w:p>
      <w:pPr>
        <w:ind w:left="200" w:right="20" w:firstLine="771"/>
        <w:spacing w:after="0" w:line="263"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b w:val="1"/>
          <w:bCs w:val="1"/>
          <w:i w:val="1"/>
          <w:iCs w:val="1"/>
          <w:color w:val="auto"/>
        </w:rPr>
        <w:t>“Committee”</w:t>
      </w:r>
      <w:r>
        <w:rPr>
          <w:rFonts w:ascii="Arial" w:cs="Arial" w:eastAsia="Arial" w:hAnsi="Arial"/>
          <w:sz w:val="12"/>
          <w:szCs w:val="12"/>
          <w:color w:val="auto"/>
        </w:rPr>
        <w:t xml:space="preserve"> means the full Board or a committee of at least two persons who are members of the Board and are appointed by the Board or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w:t>
      </w:r>
    </w:p>
    <w:p>
      <w:pPr>
        <w:spacing w:after="0" w:line="3" w:lineRule="exact"/>
        <w:rPr>
          <w:sz w:val="20"/>
          <w:szCs w:val="20"/>
          <w:color w:val="auto"/>
        </w:rPr>
      </w:pPr>
    </w:p>
    <w:p>
      <w:pPr>
        <w:ind w:left="200" w:right="200"/>
        <w:spacing w:after="0" w:line="228" w:lineRule="auto"/>
        <w:rPr>
          <w:sz w:val="20"/>
          <w:szCs w:val="20"/>
          <w:color w:val="auto"/>
        </w:rPr>
      </w:pPr>
      <w:r>
        <w:rPr>
          <w:rFonts w:ascii="Arial" w:cs="Arial" w:eastAsia="Arial" w:hAnsi="Arial"/>
          <w:sz w:val="14"/>
          <w:szCs w:val="14"/>
          <w:color w:val="auto"/>
        </w:rPr>
        <w:t xml:space="preserve">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4"/>
          <w:szCs w:val="14"/>
          <w:i w:val="1"/>
          <w:iCs w:val="1"/>
          <w:color w:val="auto"/>
        </w:rPr>
        <w:t>“</w:t>
      </w:r>
      <w:r>
        <w:rPr>
          <w:rFonts w:ascii="Arial" w:cs="Arial" w:eastAsia="Arial" w:hAnsi="Arial"/>
          <w:sz w:val="14"/>
          <w:szCs w:val="14"/>
          <w:color w:val="auto"/>
        </w:rPr>
        <w:t>Committee</w:t>
      </w:r>
      <w:r>
        <w:rPr>
          <w:rFonts w:ascii="Arial" w:cs="Arial" w:eastAsia="Arial" w:hAnsi="Arial"/>
          <w:sz w:val="14"/>
          <w:szCs w:val="14"/>
          <w:i w:val="1"/>
          <w:iCs w:val="1"/>
          <w:color w:val="auto"/>
        </w:rPr>
        <w:t>”</w:t>
      </w:r>
      <w:r>
        <w:rPr>
          <w:rFonts w:ascii="Arial" w:cs="Arial" w:eastAsia="Arial" w:hAnsi="Arial"/>
          <w:sz w:val="14"/>
          <w:szCs w:val="14"/>
          <w:color w:val="auto"/>
        </w:rPr>
        <w:t xml:space="preserve"> with respect to Awards granted by him pursuant to and to the extent authorized under Section 4.1.</w:t>
      </w:r>
    </w:p>
    <w:p>
      <w:pPr>
        <w:spacing w:after="0" w:line="187" w:lineRule="exact"/>
        <w:rPr>
          <w:sz w:val="20"/>
          <w:szCs w:val="20"/>
          <w:color w:val="auto"/>
        </w:rPr>
      </w:pPr>
    </w:p>
    <w:p>
      <w:pPr>
        <w:ind w:left="200" w:firstLine="771"/>
        <w:spacing w:after="0" w:line="232"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88"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i w:val="1"/>
          <w:iCs w:val="1"/>
          <w:color w:val="auto"/>
        </w:rPr>
        <w:t>“Company’s Assets”</w:t>
      </w:r>
      <w:r>
        <w:rPr>
          <w:rFonts w:ascii="Arial" w:cs="Arial" w:eastAsia="Arial" w:hAnsi="Arial"/>
          <w:sz w:val="14"/>
          <w:szCs w:val="14"/>
          <w:color w:val="auto"/>
        </w:rPr>
        <w:t xml:space="preserve"> means the assets (of any kind) owned by the Company, including, without limitation, the securities of the Company’s Subsidiaries and any of the assets owned by the Company’s Subsidiaries.</w:t>
      </w:r>
    </w:p>
    <w:p>
      <w:pPr>
        <w:spacing w:after="0" w:line="182" w:lineRule="exact"/>
        <w:rPr>
          <w:sz w:val="20"/>
          <w:szCs w:val="20"/>
          <w:color w:val="auto"/>
        </w:rPr>
      </w:pPr>
    </w:p>
    <w:p>
      <w:pPr>
        <w:jc w:val="both"/>
        <w:ind w:left="200" w:right="400" w:firstLine="771"/>
        <w:spacing w:after="0" w:line="236"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i w:val="1"/>
          <w:iCs w:val="1"/>
          <w:color w:val="auto"/>
        </w:rPr>
        <w:t>“Consultant”</w:t>
      </w:r>
      <w:r>
        <w:rPr>
          <w:rFonts w:ascii="Arial" w:cs="Arial" w:eastAsia="Arial" w:hAnsi="Arial"/>
          <w:sz w:val="14"/>
          <w:szCs w:val="14"/>
          <w:color w:val="auto"/>
        </w:rPr>
        <w:t xml:space="preserve"> means any consultant or advisor if (a) the consultant or advisor renders bona fide service to the Company or any Affiliate, (b)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2"/>
          <w:szCs w:val="12"/>
          <w:b w:val="1"/>
          <w:bCs w:val="1"/>
          <w:i w:val="1"/>
          <w:iCs w:val="1"/>
          <w:color w:val="auto"/>
        </w:rPr>
        <w:t xml:space="preserve">“Covered Employee” </w:t>
      </w:r>
      <w:r>
        <w:rPr>
          <w:rFonts w:ascii="Arial" w:cs="Arial" w:eastAsia="Arial" w:hAnsi="Arial"/>
          <w:sz w:val="12"/>
          <w:szCs w:val="12"/>
          <w:color w:val="auto"/>
        </w:rPr>
        <w:t>means an Employee who is, or could be, a “covered employee” within the meaning of Section 162(m) of the Code.</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b w:val="1"/>
          <w:bCs w:val="1"/>
          <w:i w:val="1"/>
          <w:iCs w:val="1"/>
          <w:color w:val="auto"/>
        </w:rPr>
        <w:t xml:space="preserve">“Director” </w:t>
      </w:r>
      <w:r>
        <w:rPr>
          <w:rFonts w:ascii="Arial" w:cs="Arial" w:eastAsia="Arial" w:hAnsi="Arial"/>
          <w:sz w:val="12"/>
          <w:szCs w:val="12"/>
          <w:color w:val="auto"/>
        </w:rPr>
        <w:t>means a director of the Company who is not an Employee.</w:t>
      </w:r>
    </w:p>
    <w:p>
      <w:pPr>
        <w:spacing w:after="0" w:line="204" w:lineRule="exact"/>
        <w:rPr>
          <w:sz w:val="20"/>
          <w:szCs w:val="20"/>
          <w:color w:val="auto"/>
        </w:rPr>
      </w:pPr>
    </w:p>
    <w:p>
      <w:pPr>
        <w:ind w:left="200" w:firstLine="771"/>
        <w:spacing w:after="0" w:line="228" w:lineRule="auto"/>
        <w:rPr>
          <w:sz w:val="20"/>
          <w:szCs w:val="20"/>
          <w:color w:val="auto"/>
        </w:rPr>
      </w:pPr>
      <w:r>
        <w:rPr>
          <w:rFonts w:ascii="Arial" w:cs="Arial" w:eastAsia="Arial" w:hAnsi="Arial"/>
          <w:sz w:val="14"/>
          <w:szCs w:val="14"/>
          <w:color w:val="auto"/>
        </w:rPr>
        <w:t xml:space="preserve">2.16 </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xml:space="preserve"> means (a) as it relates to the exercise of an ISO after termination of Employment, a disability within the meaning of Section 22(e)(3) of the Code, and (b) 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90" w:lineRule="exact"/>
        <w:rPr>
          <w:sz w:val="20"/>
          <w:szCs w:val="20"/>
          <w:color w:val="auto"/>
        </w:rPr>
      </w:pPr>
    </w:p>
    <w:p>
      <w:pPr>
        <w:ind w:left="200" w:right="400" w:firstLine="771"/>
        <w:spacing w:after="0" w:line="247" w:lineRule="auto"/>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b w:val="1"/>
          <w:bCs w:val="1"/>
          <w:i w:val="1"/>
          <w:iCs w:val="1"/>
          <w:color w:val="auto"/>
        </w:rPr>
        <w:t>“Dividend Equivalent”</w:t>
      </w:r>
      <w:r>
        <w:rPr>
          <w:rFonts w:ascii="Arial" w:cs="Arial" w:eastAsia="Arial" w:hAnsi="Arial"/>
          <w:sz w:val="14"/>
          <w:szCs w:val="14"/>
          <w:color w:val="auto"/>
        </w:rPr>
        <w:t xml:space="preserve"> means a payment equivalent in amount to dividends paid to the Company’s shareholders in such form and on such terms as the Committee may determine.</w:t>
      </w:r>
    </w:p>
    <w:p>
      <w:pPr>
        <w:spacing w:after="0" w:line="18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2.18</w:t>
      </w:r>
      <w:r>
        <w:rPr>
          <w:sz w:val="20"/>
          <w:szCs w:val="20"/>
          <w:color w:val="auto"/>
        </w:rPr>
        <w:tab/>
      </w:r>
      <w:r>
        <w:rPr>
          <w:rFonts w:ascii="Arial" w:cs="Arial" w:eastAsia="Arial" w:hAnsi="Arial"/>
          <w:sz w:val="12"/>
          <w:szCs w:val="12"/>
          <w:b w:val="1"/>
          <w:bCs w:val="1"/>
          <w:i w:val="1"/>
          <w:iCs w:val="1"/>
          <w:color w:val="auto"/>
        </w:rPr>
        <w:t xml:space="preserve">“Employee” </w:t>
      </w:r>
      <w:r>
        <w:rPr>
          <w:rFonts w:ascii="Arial" w:cs="Arial" w:eastAsia="Arial" w:hAnsi="Arial"/>
          <w:sz w:val="12"/>
          <w:szCs w:val="12"/>
          <w:color w:val="auto"/>
        </w:rPr>
        <w:t>means a person employed by the Company or any Affiliate.</w:t>
      </w:r>
    </w:p>
    <w:p>
      <w:pPr>
        <w:spacing w:after="0" w:line="204" w:lineRule="exact"/>
        <w:rPr>
          <w:sz w:val="20"/>
          <w:szCs w:val="20"/>
          <w:color w:val="auto"/>
        </w:rPr>
      </w:pPr>
    </w:p>
    <w:p>
      <w:pPr>
        <w:ind w:left="200" w:right="420" w:firstLine="771"/>
        <w:spacing w:after="0" w:line="247" w:lineRule="auto"/>
        <w:rPr>
          <w:sz w:val="20"/>
          <w:szCs w:val="20"/>
          <w:color w:val="auto"/>
        </w:rPr>
      </w:pPr>
      <w:r>
        <w:rPr>
          <w:rFonts w:ascii="Arial" w:cs="Arial" w:eastAsia="Arial" w:hAnsi="Arial"/>
          <w:sz w:val="14"/>
          <w:szCs w:val="14"/>
          <w:color w:val="auto"/>
        </w:rPr>
        <w:t xml:space="preserve">2.19 </w:t>
      </w:r>
      <w:r>
        <w:rPr>
          <w:rFonts w:ascii="Arial" w:cs="Arial" w:eastAsia="Arial" w:hAnsi="Arial"/>
          <w:sz w:val="14"/>
          <w:szCs w:val="14"/>
          <w:b w:val="1"/>
          <w:bCs w:val="1"/>
          <w:i w:val="1"/>
          <w:iCs w:val="1"/>
          <w:color w:val="auto"/>
        </w:rPr>
        <w:t>“Employment”</w:t>
      </w:r>
      <w:r>
        <w:rPr>
          <w:rFonts w:ascii="Arial" w:cs="Arial" w:eastAsia="Arial" w:hAnsi="Arial"/>
          <w:sz w:val="14"/>
          <w:szCs w:val="14"/>
          <w:color w:val="auto"/>
        </w:rPr>
        <w:t xml:space="preserve"> shall be deemed to refer to (a) a Holder’s employment if the Holder is an employee of the Company or any of its Affiliates, (b) a Holder’s services as a Consultant, if the Holder is consultant to the Company or any of its Affiliates and (c) a Holder’s services as a Director, if the Holder is a Director.</w:t>
      </w:r>
    </w:p>
    <w:p>
      <w:pPr>
        <w:spacing w:after="0" w:line="182" w:lineRule="exact"/>
        <w:rPr>
          <w:sz w:val="20"/>
          <w:szCs w:val="20"/>
          <w:color w:val="auto"/>
        </w:rPr>
      </w:pPr>
    </w:p>
    <w:p>
      <w:pPr>
        <w:ind w:left="200" w:right="200" w:firstLine="771"/>
        <w:spacing w:after="0" w:line="247" w:lineRule="auto"/>
        <w:rPr>
          <w:sz w:val="20"/>
          <w:szCs w:val="20"/>
          <w:color w:val="auto"/>
        </w:rPr>
      </w:pPr>
      <w:r>
        <w:rPr>
          <w:rFonts w:ascii="Arial" w:cs="Arial" w:eastAsia="Arial" w:hAnsi="Arial"/>
          <w:sz w:val="14"/>
          <w:szCs w:val="14"/>
          <w:color w:val="auto"/>
        </w:rPr>
        <w:t xml:space="preserve">2.20 </w:t>
      </w:r>
      <w:r>
        <w:rPr>
          <w:rFonts w:ascii="Arial" w:cs="Arial" w:eastAsia="Arial" w:hAnsi="Arial"/>
          <w:sz w:val="14"/>
          <w:szCs w:val="14"/>
          <w:b w:val="1"/>
          <w:bCs w:val="1"/>
          <w:i w:val="1"/>
          <w:iCs w:val="1"/>
          <w:color w:val="auto"/>
        </w:rPr>
        <w:t>“Entity”</w:t>
      </w:r>
      <w:r>
        <w:rPr>
          <w:rFonts w:ascii="Arial" w:cs="Arial" w:eastAsia="Arial" w:hAnsi="Arial"/>
          <w:sz w:val="14"/>
          <w:szCs w:val="14"/>
          <w:color w:val="auto"/>
        </w:rPr>
        <w:t xml:space="preserve"> means any company, corporation, partnership, association, joint-stock company, limited liability company, trust, unincorporated organization or any other entity or organization.</w:t>
      </w:r>
    </w:p>
    <w:p>
      <w:pPr>
        <w:spacing w:after="0" w:line="18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2"/>
          <w:szCs w:val="12"/>
          <w:b w:val="1"/>
          <w:bCs w:val="1"/>
          <w:i w:val="1"/>
          <w:iCs w:val="1"/>
          <w:color w:val="auto"/>
        </w:rPr>
        <w:t xml:space="preserve">“Exchange Act” </w:t>
      </w:r>
      <w:r>
        <w:rPr>
          <w:rFonts w:ascii="Arial" w:cs="Arial" w:eastAsia="Arial" w:hAnsi="Arial"/>
          <w:sz w:val="12"/>
          <w:szCs w:val="12"/>
          <w:color w:val="auto"/>
        </w:rPr>
        <w:t>means the United States Securities Exchange Act of 1934, as amended from time to time.</w:t>
      </w:r>
    </w:p>
    <w:p>
      <w:pPr>
        <w:spacing w:after="0" w:line="204" w:lineRule="exact"/>
        <w:rPr>
          <w:sz w:val="20"/>
          <w:szCs w:val="20"/>
          <w:color w:val="auto"/>
        </w:rPr>
      </w:pPr>
    </w:p>
    <w:p>
      <w:pPr>
        <w:ind w:left="200" w:right="100" w:firstLine="771"/>
        <w:spacing w:after="0" w:line="230"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xml:space="preserve">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87" w:lineRule="exact"/>
        <w:rPr>
          <w:sz w:val="20"/>
          <w:szCs w:val="20"/>
          <w:color w:val="auto"/>
        </w:rPr>
      </w:pPr>
    </w:p>
    <w:tbl>
      <w:tblPr>
        <w:tblLayout w:type="fixed"/>
        <w:tblInd w:w="980" w:type="dxa"/>
        <w:tblCellMar>
          <w:top w:w="0" w:type="dxa"/>
          <w:left w:w="0" w:type="dxa"/>
          <w:bottom w:w="0" w:type="dxa"/>
          <w:right w:w="0" w:type="dxa"/>
        </w:tblCellMar>
      </w:tblPr>
      <w:tr>
        <w:trPr>
          <w:trHeight w:val="178"/>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2.23</w:t>
            </w:r>
          </w:p>
        </w:tc>
        <w:tc>
          <w:tcPr>
            <w:tcW w:w="8720" w:type="dxa"/>
            <w:vAlign w:val="bottom"/>
          </w:tcPr>
          <w:p>
            <w:pPr>
              <w:ind w:left="220"/>
              <w:spacing w:after="0"/>
              <w:rPr>
                <w:sz w:val="20"/>
                <w:szCs w:val="20"/>
                <w:color w:val="auto"/>
              </w:rPr>
            </w:pPr>
            <w:r>
              <w:rPr>
                <w:rFonts w:ascii="Arial" w:cs="Arial" w:eastAsia="Arial" w:hAnsi="Arial"/>
                <w:sz w:val="14"/>
                <w:szCs w:val="14"/>
                <w:b w:val="1"/>
                <w:bCs w:val="1"/>
                <w:i w:val="1"/>
                <w:iCs w:val="1"/>
                <w:color w:val="auto"/>
              </w:rPr>
              <w:t xml:space="preserve">“Fiscal Year” </w:t>
            </w:r>
            <w:r>
              <w:rPr>
                <w:rFonts w:ascii="Arial" w:cs="Arial" w:eastAsia="Arial" w:hAnsi="Arial"/>
                <w:sz w:val="14"/>
                <w:szCs w:val="14"/>
                <w:color w:val="auto"/>
              </w:rPr>
              <w:t>means the Company’s fiscal year.</w:t>
            </w:r>
          </w:p>
        </w:tc>
      </w:tr>
      <w:tr>
        <w:trPr>
          <w:trHeight w:val="365"/>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2.24</w:t>
            </w:r>
          </w:p>
        </w:tc>
        <w:tc>
          <w:tcPr>
            <w:tcW w:w="87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“Holder” </w:t>
            </w:r>
            <w:r>
              <w:rPr>
                <w:rFonts w:ascii="Arial" w:cs="Arial" w:eastAsia="Arial" w:hAnsi="Arial"/>
                <w:sz w:val="14"/>
                <w:szCs w:val="14"/>
                <w:color w:val="auto"/>
              </w:rPr>
              <w:t>means a person who has been granted an Award or any person who is entitled to receive Shares or cash under an Award.</w:t>
            </w:r>
          </w:p>
        </w:tc>
      </w:tr>
      <w:tr>
        <w:trPr>
          <w:trHeight w:val="365"/>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2.25</w:t>
            </w:r>
          </w:p>
        </w:tc>
        <w:tc>
          <w:tcPr>
            <w:tcW w:w="87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“ISO” </w:t>
            </w:r>
            <w:r>
              <w:rPr>
                <w:rFonts w:ascii="Arial" w:cs="Arial" w:eastAsia="Arial" w:hAnsi="Arial"/>
                <w:sz w:val="14"/>
                <w:szCs w:val="14"/>
                <w:color w:val="auto"/>
              </w:rPr>
              <w:t>means an Option that is intended to be an “incentive stock option” that satisfies the requirements of section 422 of the Code.</w:t>
            </w:r>
          </w:p>
        </w:tc>
      </w:tr>
      <w:tr>
        <w:trPr>
          <w:trHeight w:val="365"/>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2.26</w:t>
            </w:r>
          </w:p>
        </w:tc>
        <w:tc>
          <w:tcPr>
            <w:tcW w:w="8720" w:type="dxa"/>
            <w:vAlign w:val="bottom"/>
          </w:tcPr>
          <w:p>
            <w:pPr>
              <w:ind w:left="260"/>
              <w:spacing w:after="0"/>
              <w:rPr>
                <w:sz w:val="20"/>
                <w:szCs w:val="20"/>
                <w:color w:val="auto"/>
              </w:rPr>
            </w:pPr>
            <w:r>
              <w:rPr>
                <w:rFonts w:ascii="Arial" w:cs="Arial" w:eastAsia="Arial" w:hAnsi="Arial"/>
                <w:sz w:val="14"/>
                <w:szCs w:val="14"/>
                <w:b w:val="1"/>
                <w:bCs w:val="1"/>
                <w:i w:val="1"/>
                <w:iCs w:val="1"/>
                <w:color w:val="auto"/>
                <w:w w:val="96"/>
              </w:rPr>
              <w:t xml:space="preserve">“NSO” </w:t>
            </w:r>
            <w:r>
              <w:rPr>
                <w:rFonts w:ascii="Arial" w:cs="Arial" w:eastAsia="Arial" w:hAnsi="Arial"/>
                <w:sz w:val="14"/>
                <w:szCs w:val="14"/>
                <w:color w:val="auto"/>
                <w:w w:val="96"/>
              </w:rPr>
              <w:t>means an Option that is intended to be a “nonqualified stock option” that does not satisfy the requirements of section 422 of the Code.</w:t>
            </w:r>
          </w:p>
        </w:tc>
      </w:tr>
      <w:tr>
        <w:trPr>
          <w:trHeight w:val="365"/>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2.27</w:t>
            </w:r>
          </w:p>
        </w:tc>
        <w:tc>
          <w:tcPr>
            <w:tcW w:w="87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“Option” </w:t>
            </w:r>
            <w:r>
              <w:rPr>
                <w:rFonts w:ascii="Arial" w:cs="Arial" w:eastAsia="Arial" w:hAnsi="Arial"/>
                <w:sz w:val="14"/>
                <w:szCs w:val="14"/>
                <w:color w:val="auto"/>
              </w:rPr>
              <w:t>means an option to purchase Shares granted pursuant to Article V.</w:t>
            </w:r>
          </w:p>
        </w:tc>
      </w:tr>
      <w:tr>
        <w:trPr>
          <w:trHeight w:val="365"/>
        </w:trPr>
        <w:tc>
          <w:tcPr>
            <w:tcW w:w="480" w:type="dxa"/>
            <w:vAlign w:val="bottom"/>
          </w:tcPr>
          <w:p>
            <w:pPr>
              <w:jc w:val="right"/>
              <w:ind w:right="152"/>
              <w:spacing w:after="0"/>
              <w:rPr>
                <w:sz w:val="20"/>
                <w:szCs w:val="20"/>
                <w:color w:val="auto"/>
              </w:rPr>
            </w:pPr>
            <w:r>
              <w:rPr>
                <w:rFonts w:ascii="Arial" w:cs="Arial" w:eastAsia="Arial" w:hAnsi="Arial"/>
                <w:sz w:val="14"/>
                <w:szCs w:val="14"/>
                <w:color w:val="auto"/>
                <w:w w:val="87"/>
              </w:rPr>
              <w:t>2.28</w:t>
            </w:r>
          </w:p>
        </w:tc>
        <w:tc>
          <w:tcPr>
            <w:tcW w:w="87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shall have the meaning ascribed to that term in Section 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2.29</w:t>
      </w:r>
      <w:r>
        <w:rPr>
          <w:sz w:val="20"/>
          <w:szCs w:val="20"/>
          <w:color w:val="auto"/>
        </w:rPr>
        <w:tab/>
      </w:r>
      <w:r>
        <w:rPr>
          <w:rFonts w:ascii="Arial" w:cs="Arial" w:eastAsia="Arial" w:hAnsi="Arial"/>
          <w:sz w:val="12"/>
          <w:szCs w:val="12"/>
          <w:b w:val="1"/>
          <w:bCs w:val="1"/>
          <w:i w:val="1"/>
          <w:iCs w:val="1"/>
          <w:color w:val="auto"/>
        </w:rPr>
        <w:t xml:space="preserve">“Ordinary Share” or “Ordinary Shares” </w:t>
      </w:r>
      <w:r>
        <w:rPr>
          <w:rFonts w:ascii="Arial" w:cs="Arial" w:eastAsia="Arial" w:hAnsi="Arial"/>
          <w:sz w:val="12"/>
          <w:szCs w:val="12"/>
          <w:color w:val="auto"/>
        </w:rPr>
        <w:t>means an ordinary share or ordinary shares of the Company, nominal value $0.001 per ordinary share.</w:t>
      </w:r>
    </w:p>
    <w:p>
      <w:pPr>
        <w:spacing w:after="0" w:line="204"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2.30 </w:t>
      </w:r>
      <w:r>
        <w:rPr>
          <w:rFonts w:ascii="Arial" w:cs="Arial" w:eastAsia="Arial" w:hAnsi="Arial"/>
          <w:sz w:val="14"/>
          <w:szCs w:val="14"/>
          <w:b w:val="1"/>
          <w:bCs w:val="1"/>
          <w:i w:val="1"/>
          <w:iCs w:val="1"/>
          <w:color w:val="auto"/>
        </w:rPr>
        <w:t>“Other Share-Based Award”</w:t>
      </w:r>
      <w:r>
        <w:rPr>
          <w:rFonts w:ascii="Arial" w:cs="Arial" w:eastAsia="Arial" w:hAnsi="Arial"/>
          <w:sz w:val="14"/>
          <w:szCs w:val="14"/>
          <w:color w:val="auto"/>
        </w:rPr>
        <w:t xml:space="preserve"> means an equity-based or equity-related Award not otherwise described by the terms and provisions of the Plan that is granted pursuant to Article X.</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b w:val="1"/>
          <w:bCs w:val="1"/>
          <w:i w:val="1"/>
          <w:iCs w:val="1"/>
          <w:color w:val="auto"/>
        </w:rPr>
        <w:t>“Parent Corporation”</w:t>
      </w:r>
      <w:r>
        <w:rPr>
          <w:rFonts w:ascii="Arial" w:cs="Arial" w:eastAsia="Arial" w:hAnsi="Arial"/>
          <w:sz w:val="14"/>
          <w:szCs w:val="14"/>
          <w:color w:val="auto"/>
        </w:rPr>
        <w:t xml:space="preserve"> means any corporation (other than the Company) in an unbroken chain of corporations ending with the Company if, at the time of the action or transaction, each of the corporations other than the Company owns Ordinary Shares possessing fifty percent (50%) or more of the total combined voting power of the Ordinary Shares in one of the other corporations in the chain.</w:t>
      </w:r>
    </w:p>
    <w:p>
      <w:pPr>
        <w:spacing w:after="0" w:line="18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2.32</w:t>
      </w:r>
      <w:r>
        <w:rPr>
          <w:sz w:val="20"/>
          <w:szCs w:val="20"/>
          <w:color w:val="auto"/>
        </w:rPr>
        <w:tab/>
      </w:r>
      <w:r>
        <w:rPr>
          <w:rFonts w:ascii="Arial" w:cs="Arial" w:eastAsia="Arial" w:hAnsi="Arial"/>
          <w:sz w:val="12"/>
          <w:szCs w:val="12"/>
          <w:b w:val="1"/>
          <w:bCs w:val="1"/>
          <w:i w:val="1"/>
          <w:iCs w:val="1"/>
          <w:color w:val="auto"/>
        </w:rPr>
        <w:t xml:space="preserve">“Performance Goals” </w:t>
      </w:r>
      <w:r>
        <w:rPr>
          <w:rFonts w:ascii="Arial" w:cs="Arial" w:eastAsia="Arial" w:hAnsi="Arial"/>
          <w:sz w:val="12"/>
          <w:szCs w:val="12"/>
          <w:color w:val="auto"/>
        </w:rPr>
        <w:t>means the performance goal or goals described in Section 9.2 applicable to an Award.</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2.33</w:t>
      </w:r>
      <w:r>
        <w:rPr>
          <w:sz w:val="20"/>
          <w:szCs w:val="20"/>
          <w:color w:val="auto"/>
        </w:rPr>
        <w:tab/>
      </w:r>
      <w:r>
        <w:rPr>
          <w:rFonts w:ascii="Arial" w:cs="Arial" w:eastAsia="Arial" w:hAnsi="Arial"/>
          <w:sz w:val="12"/>
          <w:szCs w:val="12"/>
          <w:b w:val="1"/>
          <w:bCs w:val="1"/>
          <w:i w:val="1"/>
          <w:iCs w:val="1"/>
          <w:color w:val="auto"/>
        </w:rPr>
        <w:t xml:space="preserve">“Performance Share Award” </w:t>
      </w:r>
      <w:r>
        <w:rPr>
          <w:rFonts w:ascii="Arial" w:cs="Arial" w:eastAsia="Arial" w:hAnsi="Arial"/>
          <w:sz w:val="12"/>
          <w:szCs w:val="12"/>
          <w:color w:val="auto"/>
        </w:rPr>
        <w:t>means an Award designated as a performance share award granted to a Holder pursuant to Article IX.</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2.34</w:t>
      </w:r>
      <w:r>
        <w:rPr>
          <w:sz w:val="20"/>
          <w:szCs w:val="20"/>
          <w:color w:val="auto"/>
        </w:rPr>
        <w:tab/>
      </w:r>
      <w:r>
        <w:rPr>
          <w:rFonts w:ascii="Arial" w:cs="Arial" w:eastAsia="Arial" w:hAnsi="Arial"/>
          <w:sz w:val="12"/>
          <w:szCs w:val="12"/>
          <w:b w:val="1"/>
          <w:bCs w:val="1"/>
          <w:i w:val="1"/>
          <w:iCs w:val="1"/>
          <w:color w:val="auto"/>
        </w:rPr>
        <w:t xml:space="preserve">“Performance Unit Award” </w:t>
      </w:r>
      <w:r>
        <w:rPr>
          <w:rFonts w:ascii="Arial" w:cs="Arial" w:eastAsia="Arial" w:hAnsi="Arial"/>
          <w:sz w:val="12"/>
          <w:szCs w:val="12"/>
          <w:color w:val="auto"/>
        </w:rPr>
        <w:t>means an Award designated as a performance unit award granted to a Holder pursuant to Article IX.</w:t>
      </w:r>
    </w:p>
    <w:p>
      <w:pPr>
        <w:spacing w:after="0" w:line="204" w:lineRule="exact"/>
        <w:rPr>
          <w:sz w:val="20"/>
          <w:szCs w:val="20"/>
          <w:color w:val="auto"/>
        </w:rPr>
      </w:pPr>
    </w:p>
    <w:p>
      <w:pPr>
        <w:ind w:left="200" w:firstLine="771"/>
        <w:spacing w:after="0" w:line="236" w:lineRule="auto"/>
        <w:rPr>
          <w:sz w:val="20"/>
          <w:szCs w:val="20"/>
          <w:color w:val="auto"/>
        </w:rPr>
      </w:pPr>
      <w:r>
        <w:rPr>
          <w:rFonts w:ascii="Arial" w:cs="Arial" w:eastAsia="Arial" w:hAnsi="Arial"/>
          <w:sz w:val="14"/>
          <w:szCs w:val="14"/>
          <w:color w:val="auto"/>
        </w:rPr>
        <w:t xml:space="preserve">2.35 </w:t>
      </w:r>
      <w:r>
        <w:rPr>
          <w:rFonts w:ascii="Arial" w:cs="Arial" w:eastAsia="Arial" w:hAnsi="Arial"/>
          <w:sz w:val="14"/>
          <w:szCs w:val="14"/>
          <w:b w:val="1"/>
          <w:bCs w:val="1"/>
          <w:i w:val="1"/>
          <w:iCs w:val="1"/>
          <w:color w:val="auto"/>
        </w:rPr>
        <w:t>“Period of Restriction”</w:t>
      </w:r>
      <w:r>
        <w:rPr>
          <w:rFonts w:ascii="Arial" w:cs="Arial" w:eastAsia="Arial" w:hAnsi="Arial"/>
          <w:sz w:val="14"/>
          <w:szCs w:val="14"/>
          <w:color w:val="auto"/>
        </w:rPr>
        <w:t xml:space="preserve">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87" w:lineRule="exact"/>
        <w:rPr>
          <w:sz w:val="20"/>
          <w:szCs w:val="20"/>
          <w:color w:val="auto"/>
        </w:rPr>
      </w:pPr>
    </w:p>
    <w:p>
      <w:pPr>
        <w:ind w:left="200" w:right="20" w:firstLine="771"/>
        <w:spacing w:after="0" w:line="272" w:lineRule="auto"/>
        <w:rPr>
          <w:sz w:val="20"/>
          <w:szCs w:val="20"/>
          <w:color w:val="auto"/>
        </w:rPr>
      </w:pPr>
      <w:r>
        <w:rPr>
          <w:rFonts w:ascii="Arial" w:cs="Arial" w:eastAsia="Arial" w:hAnsi="Arial"/>
          <w:sz w:val="12"/>
          <w:szCs w:val="12"/>
          <w:color w:val="auto"/>
        </w:rPr>
        <w:t xml:space="preserve">2.36 </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xml:space="preserve">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w:t>
      </w:r>
    </w:p>
    <w:p>
      <w:pPr>
        <w:ind w:left="200" w:right="420" w:firstLine="4"/>
        <w:spacing w:after="0" w:line="231" w:lineRule="auto"/>
        <w:tabs>
          <w:tab w:leader="none" w:pos="395" w:val="left"/>
        </w:tabs>
        <w:numPr>
          <w:ilvl w:val="0"/>
          <w:numId w:val="238"/>
        </w:numPr>
        <w:rPr>
          <w:rFonts w:ascii="Arial" w:cs="Arial" w:eastAsia="Arial" w:hAnsi="Arial"/>
          <w:sz w:val="14"/>
          <w:szCs w:val="14"/>
          <w:color w:val="auto"/>
        </w:rPr>
      </w:pPr>
      <w:r>
        <w:rPr>
          <w:rFonts w:ascii="Arial" w:cs="Arial" w:eastAsia="Arial" w:hAnsi="Arial"/>
          <w:sz w:val="14"/>
          <w:szCs w:val="14"/>
          <w:color w:val="auto"/>
        </w:rPr>
        <w:t>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87"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2.37</w:t>
      </w:r>
      <w:r>
        <w:rPr>
          <w:sz w:val="20"/>
          <w:szCs w:val="20"/>
          <w:color w:val="auto"/>
        </w:rPr>
        <w:tab/>
      </w:r>
      <w:r>
        <w:rPr>
          <w:rFonts w:ascii="Arial" w:cs="Arial" w:eastAsia="Arial" w:hAnsi="Arial"/>
          <w:sz w:val="12"/>
          <w:szCs w:val="12"/>
          <w:b w:val="1"/>
          <w:bCs w:val="1"/>
          <w:i w:val="1"/>
          <w:iCs w:val="1"/>
          <w:color w:val="auto"/>
        </w:rPr>
        <w:t xml:space="preserve">“Plan” </w:t>
      </w:r>
      <w:r>
        <w:rPr>
          <w:rFonts w:ascii="Arial" w:cs="Arial" w:eastAsia="Arial" w:hAnsi="Arial"/>
          <w:sz w:val="12"/>
          <w:szCs w:val="12"/>
          <w:color w:val="auto"/>
        </w:rPr>
        <w:t>means the Weatherford International plc 2010 Omnibus Incentive Plan, as amended from time to time.</w:t>
      </w:r>
    </w:p>
    <w:p>
      <w:pPr>
        <w:spacing w:after="0" w:line="204" w:lineRule="exact"/>
        <w:rPr>
          <w:sz w:val="20"/>
          <w:szCs w:val="20"/>
          <w:color w:val="auto"/>
        </w:rPr>
      </w:pPr>
    </w:p>
    <w:p>
      <w:pPr>
        <w:ind w:left="200" w:right="100" w:firstLine="771"/>
        <w:spacing w:after="0" w:line="247" w:lineRule="auto"/>
        <w:rPr>
          <w:sz w:val="20"/>
          <w:szCs w:val="20"/>
          <w:color w:val="auto"/>
        </w:rPr>
      </w:pPr>
      <w:r>
        <w:rPr>
          <w:rFonts w:ascii="Arial" w:cs="Arial" w:eastAsia="Arial" w:hAnsi="Arial"/>
          <w:sz w:val="14"/>
          <w:szCs w:val="14"/>
          <w:color w:val="auto"/>
        </w:rPr>
        <w:t xml:space="preserve">2.38 </w:t>
      </w:r>
      <w:r>
        <w:rPr>
          <w:rFonts w:ascii="Arial" w:cs="Arial" w:eastAsia="Arial" w:hAnsi="Arial"/>
          <w:sz w:val="14"/>
          <w:szCs w:val="14"/>
          <w:b w:val="1"/>
          <w:bCs w:val="1"/>
          <w:i w:val="1"/>
          <w:iCs w:val="1"/>
          <w:color w:val="auto"/>
        </w:rPr>
        <w:t>“Qualified Performance-Based Compensation”</w:t>
      </w:r>
      <w:r>
        <w:rPr>
          <w:rFonts w:ascii="Arial" w:cs="Arial" w:eastAsia="Arial" w:hAnsi="Arial"/>
          <w:sz w:val="14"/>
          <w:szCs w:val="14"/>
          <w:color w:val="auto"/>
        </w:rPr>
        <w:t xml:space="preserve"> means any compensation that is intended to be “qualified performance-based compensation” as described in Section 162(m) of the Code.</w:t>
      </w:r>
    </w:p>
    <w:p>
      <w:pPr>
        <w:spacing w:after="0" w:line="18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2.39</w:t>
      </w:r>
      <w:r>
        <w:rPr>
          <w:sz w:val="20"/>
          <w:szCs w:val="20"/>
          <w:color w:val="auto"/>
        </w:rPr>
        <w:tab/>
      </w:r>
      <w:r>
        <w:rPr>
          <w:rFonts w:ascii="Arial" w:cs="Arial" w:eastAsia="Arial" w:hAnsi="Arial"/>
          <w:sz w:val="12"/>
          <w:szCs w:val="12"/>
          <w:b w:val="1"/>
          <w:bCs w:val="1"/>
          <w:i w:val="1"/>
          <w:iCs w:val="1"/>
          <w:color w:val="auto"/>
        </w:rPr>
        <w:t xml:space="preserve">“Restricted Shares” </w:t>
      </w:r>
      <w:r>
        <w:rPr>
          <w:rFonts w:ascii="Arial" w:cs="Arial" w:eastAsia="Arial" w:hAnsi="Arial"/>
          <w:sz w:val="12"/>
          <w:szCs w:val="12"/>
          <w:color w:val="auto"/>
        </w:rPr>
        <w:t>means restricted Shares issued or granted under the Plan pursuant to Article VII.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2.40</w:t>
      </w:r>
      <w:r>
        <w:rPr>
          <w:sz w:val="20"/>
          <w:szCs w:val="20"/>
          <w:color w:val="auto"/>
        </w:rPr>
        <w:tab/>
      </w:r>
      <w:r>
        <w:rPr>
          <w:rFonts w:ascii="Arial" w:cs="Arial" w:eastAsia="Arial" w:hAnsi="Arial"/>
          <w:sz w:val="12"/>
          <w:szCs w:val="12"/>
          <w:b w:val="1"/>
          <w:bCs w:val="1"/>
          <w:i w:val="1"/>
          <w:iCs w:val="1"/>
          <w:color w:val="auto"/>
        </w:rPr>
        <w:t xml:space="preserve">“Restricted Share Award” </w:t>
      </w:r>
      <w:r>
        <w:rPr>
          <w:rFonts w:ascii="Arial" w:cs="Arial" w:eastAsia="Arial" w:hAnsi="Arial"/>
          <w:sz w:val="12"/>
          <w:szCs w:val="12"/>
          <w:color w:val="auto"/>
        </w:rPr>
        <w:t>means an authorization by the Committee to issue or transfer Restricted Shares to a Holder.</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2.41</w:t>
      </w:r>
      <w:r>
        <w:rPr>
          <w:sz w:val="20"/>
          <w:szCs w:val="20"/>
          <w:color w:val="auto"/>
        </w:rPr>
        <w:tab/>
      </w:r>
      <w:r>
        <w:rPr>
          <w:rFonts w:ascii="Arial" w:cs="Arial" w:eastAsia="Arial" w:hAnsi="Arial"/>
          <w:sz w:val="12"/>
          <w:szCs w:val="12"/>
          <w:b w:val="1"/>
          <w:bCs w:val="1"/>
          <w:i w:val="1"/>
          <w:iCs w:val="1"/>
          <w:color w:val="auto"/>
        </w:rPr>
        <w:t xml:space="preserve">“RSU” </w:t>
      </w:r>
      <w:r>
        <w:rPr>
          <w:rFonts w:ascii="Arial" w:cs="Arial" w:eastAsia="Arial" w:hAnsi="Arial"/>
          <w:sz w:val="12"/>
          <w:szCs w:val="12"/>
          <w:color w:val="auto"/>
        </w:rPr>
        <w:t>means a restricted share unit credited to a Holder’s ledger account maintained by the Company pursuant to Article VIII.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2.42</w:t>
      </w:r>
      <w:r>
        <w:rPr>
          <w:sz w:val="20"/>
          <w:szCs w:val="20"/>
          <w:color w:val="auto"/>
        </w:rPr>
        <w:tab/>
      </w:r>
      <w:r>
        <w:rPr>
          <w:rFonts w:ascii="Arial" w:cs="Arial" w:eastAsia="Arial" w:hAnsi="Arial"/>
          <w:sz w:val="12"/>
          <w:szCs w:val="12"/>
          <w:b w:val="1"/>
          <w:bCs w:val="1"/>
          <w:i w:val="1"/>
          <w:iCs w:val="1"/>
          <w:color w:val="auto"/>
        </w:rPr>
        <w:t xml:space="preserve">“RSU Award” </w:t>
      </w:r>
      <w:r>
        <w:rPr>
          <w:rFonts w:ascii="Arial" w:cs="Arial" w:eastAsia="Arial" w:hAnsi="Arial"/>
          <w:sz w:val="12"/>
          <w:szCs w:val="12"/>
          <w:color w:val="auto"/>
        </w:rPr>
        <w:t>means an Award granted pursuant to Article VIII.</w:t>
      </w:r>
    </w:p>
    <w:p>
      <w:pPr>
        <w:spacing w:after="0" w:line="204"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4"/>
          <w:szCs w:val="14"/>
          <w:color w:val="auto"/>
        </w:rPr>
        <w:t>2.43</w:t>
      </w:r>
      <w:r>
        <w:rPr>
          <w:sz w:val="20"/>
          <w:szCs w:val="20"/>
          <w:color w:val="auto"/>
        </w:rPr>
        <w:tab/>
      </w:r>
      <w:r>
        <w:rPr>
          <w:rFonts w:ascii="Arial" w:cs="Arial" w:eastAsia="Arial" w:hAnsi="Arial"/>
          <w:sz w:val="12"/>
          <w:szCs w:val="12"/>
          <w:b w:val="1"/>
          <w:bCs w:val="1"/>
          <w:i w:val="1"/>
          <w:iCs w:val="1"/>
          <w:color w:val="auto"/>
        </w:rPr>
        <w:t xml:space="preserve">“SAR” </w:t>
      </w:r>
      <w:r>
        <w:rPr>
          <w:rFonts w:ascii="Arial" w:cs="Arial" w:eastAsia="Arial" w:hAnsi="Arial"/>
          <w:sz w:val="12"/>
          <w:szCs w:val="12"/>
          <w:color w:val="auto"/>
        </w:rPr>
        <w:t>means a share appreciation right granted under the Plan pursuant to Article VI.</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2.44</w:t>
      </w:r>
      <w:r>
        <w:rPr>
          <w:sz w:val="20"/>
          <w:szCs w:val="20"/>
          <w:color w:val="auto"/>
        </w:rPr>
        <w:tab/>
      </w:r>
      <w:r>
        <w:rPr>
          <w:rFonts w:ascii="Arial" w:cs="Arial" w:eastAsia="Arial" w:hAnsi="Arial"/>
          <w:sz w:val="12"/>
          <w:szCs w:val="12"/>
          <w:b w:val="1"/>
          <w:bCs w:val="1"/>
          <w:i w:val="1"/>
          <w:iCs w:val="1"/>
          <w:color w:val="auto"/>
        </w:rPr>
        <w:t xml:space="preserve">“Section 409A” </w:t>
      </w:r>
      <w:r>
        <w:rPr>
          <w:rFonts w:ascii="Arial" w:cs="Arial" w:eastAsia="Arial" w:hAnsi="Arial"/>
          <w:sz w:val="12"/>
          <w:szCs w:val="12"/>
          <w:color w:val="auto"/>
        </w:rPr>
        <w:t>means section 409A of the Code and Department of Treasury rules and regulations issued thereunder.</w:t>
      </w:r>
    </w:p>
    <w:p>
      <w:pPr>
        <w:spacing w:after="0" w:line="204"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2.45</w:t>
      </w:r>
      <w:r>
        <w:rPr>
          <w:sz w:val="20"/>
          <w:szCs w:val="20"/>
          <w:color w:val="auto"/>
        </w:rPr>
        <w:tab/>
      </w:r>
      <w:r>
        <w:rPr>
          <w:rFonts w:ascii="Arial" w:cs="Arial" w:eastAsia="Arial" w:hAnsi="Arial"/>
          <w:sz w:val="12"/>
          <w:szCs w:val="12"/>
          <w:b w:val="1"/>
          <w:bCs w:val="1"/>
          <w:i w:val="1"/>
          <w:iCs w:val="1"/>
          <w:color w:val="auto"/>
        </w:rPr>
        <w:t xml:space="preserve">“Securities Act” </w:t>
      </w:r>
      <w:r>
        <w:rPr>
          <w:rFonts w:ascii="Arial" w:cs="Arial" w:eastAsia="Arial" w:hAnsi="Arial"/>
          <w:sz w:val="12"/>
          <w:szCs w:val="12"/>
          <w:color w:val="auto"/>
        </w:rPr>
        <w:t>means the United States Securities Act of 1933, as amended from time to time.</w:t>
      </w:r>
    </w:p>
    <w:p>
      <w:pPr>
        <w:spacing w:after="0" w:line="204" w:lineRule="exact"/>
        <w:rPr>
          <w:sz w:val="20"/>
          <w:szCs w:val="20"/>
          <w:color w:val="auto"/>
        </w:rPr>
      </w:pPr>
    </w:p>
    <w:p>
      <w:pPr>
        <w:ind w:left="200" w:right="20" w:firstLine="771"/>
        <w:spacing w:after="0" w:line="247" w:lineRule="auto"/>
        <w:rPr>
          <w:sz w:val="20"/>
          <w:szCs w:val="20"/>
          <w:color w:val="auto"/>
        </w:rPr>
      </w:pPr>
      <w:r>
        <w:rPr>
          <w:rFonts w:ascii="Arial" w:cs="Arial" w:eastAsia="Arial" w:hAnsi="Arial"/>
          <w:sz w:val="14"/>
          <w:szCs w:val="14"/>
          <w:color w:val="auto"/>
        </w:rPr>
        <w:t xml:space="preserve">2.46 </w:t>
      </w:r>
      <w:r>
        <w:rPr>
          <w:rFonts w:ascii="Arial" w:cs="Arial" w:eastAsia="Arial" w:hAnsi="Arial"/>
          <w:sz w:val="14"/>
          <w:szCs w:val="14"/>
          <w:b w:val="1"/>
          <w:bCs w:val="1"/>
          <w:i w:val="1"/>
          <w:iCs w:val="1"/>
          <w:color w:val="auto"/>
        </w:rPr>
        <w:t>“Share”</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xml:space="preserve">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82" w:lineRule="exact"/>
        <w:rPr>
          <w:sz w:val="20"/>
          <w:szCs w:val="20"/>
          <w:color w:val="auto"/>
        </w:rPr>
      </w:pPr>
    </w:p>
    <w:p>
      <w:pPr>
        <w:ind w:left="200" w:firstLine="771"/>
        <w:spacing w:after="0" w:line="275" w:lineRule="auto"/>
        <w:rPr>
          <w:sz w:val="20"/>
          <w:szCs w:val="20"/>
          <w:color w:val="auto"/>
        </w:rPr>
      </w:pPr>
      <w:r>
        <w:rPr>
          <w:rFonts w:ascii="Arial" w:cs="Arial" w:eastAsia="Arial" w:hAnsi="Arial"/>
          <w:sz w:val="12"/>
          <w:szCs w:val="12"/>
          <w:color w:val="auto"/>
        </w:rPr>
        <w:t xml:space="preserve">2.47 </w:t>
      </w:r>
      <w:r>
        <w:rPr>
          <w:rFonts w:ascii="Arial" w:cs="Arial" w:eastAsia="Arial" w:hAnsi="Arial"/>
          <w:sz w:val="12"/>
          <w:szCs w:val="12"/>
          <w:b w:val="1"/>
          <w:bCs w:val="1"/>
          <w:i w:val="1"/>
          <w:iCs w:val="1"/>
          <w:color w:val="auto"/>
        </w:rPr>
        <w:t>“Subsidiary”</w:t>
      </w:r>
      <w:r>
        <w:rPr>
          <w:rFonts w:ascii="Arial" w:cs="Arial" w:eastAsia="Arial" w:hAnsi="Arial"/>
          <w:sz w:val="12"/>
          <w:szCs w:val="12"/>
          <w:color w:val="auto"/>
        </w:rPr>
        <w:t xml:space="preserve"> or </w:t>
      </w:r>
      <w:r>
        <w:rPr>
          <w:rFonts w:ascii="Arial" w:cs="Arial" w:eastAsia="Arial" w:hAnsi="Arial"/>
          <w:sz w:val="12"/>
          <w:szCs w:val="12"/>
          <w:b w:val="1"/>
          <w:bCs w:val="1"/>
          <w:i w:val="1"/>
          <w:iCs w:val="1"/>
          <w:color w:val="auto"/>
        </w:rPr>
        <w:t>“Subsidiaries”</w:t>
      </w:r>
      <w:r>
        <w:rPr>
          <w:rFonts w:ascii="Arial" w:cs="Arial" w:eastAsia="Arial" w:hAnsi="Arial"/>
          <w:sz w:val="12"/>
          <w:szCs w:val="12"/>
          <w:color w:val="auto"/>
        </w:rPr>
        <w:t xml:space="preserve"> or </w:t>
      </w:r>
      <w:r>
        <w:rPr>
          <w:rFonts w:ascii="Arial" w:cs="Arial" w:eastAsia="Arial" w:hAnsi="Arial"/>
          <w:sz w:val="12"/>
          <w:szCs w:val="12"/>
          <w:b w:val="1"/>
          <w:bCs w:val="1"/>
          <w:i w:val="1"/>
          <w:iCs w:val="1"/>
          <w:color w:val="auto"/>
        </w:rPr>
        <w:t>“Subsidiary Corporation”</w:t>
      </w:r>
      <w:r>
        <w:rPr>
          <w:rFonts w:ascii="Arial" w:cs="Arial" w:eastAsia="Arial" w:hAnsi="Arial"/>
          <w:sz w:val="12"/>
          <w:szCs w:val="12"/>
          <w:color w:val="auto"/>
        </w:rPr>
        <w:t xml:space="preserve"> means any Entity or Entities which is a subsidiary, or are subsidiaries, of the Company within the meaning of Section 7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6"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2.48</w:t>
      </w:r>
      <w:r>
        <w:rPr>
          <w:sz w:val="20"/>
          <w:szCs w:val="20"/>
          <w:color w:val="auto"/>
        </w:rPr>
        <w:tab/>
      </w:r>
      <w:r>
        <w:rPr>
          <w:rFonts w:ascii="Arial" w:cs="Arial" w:eastAsia="Arial" w:hAnsi="Arial"/>
          <w:sz w:val="12"/>
          <w:szCs w:val="12"/>
          <w:b w:val="1"/>
          <w:bCs w:val="1"/>
          <w:i w:val="1"/>
          <w:iCs w:val="1"/>
          <w:color w:val="auto"/>
        </w:rPr>
        <w:t xml:space="preserve">“Substantial Risk of Forfeiture” </w:t>
      </w:r>
      <w:r>
        <w:rPr>
          <w:rFonts w:ascii="Arial" w:cs="Arial" w:eastAsia="Arial" w:hAnsi="Arial"/>
          <w:sz w:val="12"/>
          <w:szCs w:val="12"/>
          <w:color w:val="auto"/>
        </w:rPr>
        <w:t>shall have the meaning ascribed to that term in section 409A of the Code and Department of Treasury guidance issued</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thereunder.</w:t>
      </w:r>
    </w:p>
    <w:p>
      <w:pPr>
        <w:spacing w:after="0" w:line="188"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2.49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xml:space="preserve">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187" w:lineRule="exact"/>
        <w:rPr>
          <w:sz w:val="20"/>
          <w:szCs w:val="20"/>
          <w:color w:val="auto"/>
        </w:rPr>
      </w:pPr>
    </w:p>
    <w:p>
      <w:pPr>
        <w:ind w:left="200" w:right="40" w:firstLine="771"/>
        <w:spacing w:after="0" w:line="232" w:lineRule="auto"/>
        <w:rPr>
          <w:sz w:val="20"/>
          <w:szCs w:val="20"/>
          <w:color w:val="auto"/>
        </w:rPr>
      </w:pPr>
      <w:r>
        <w:rPr>
          <w:rFonts w:ascii="Arial" w:cs="Arial" w:eastAsia="Arial" w:hAnsi="Arial"/>
          <w:sz w:val="14"/>
          <w:szCs w:val="14"/>
          <w:color w:val="auto"/>
        </w:rPr>
        <w:t xml:space="preserve">2.50 </w:t>
      </w:r>
      <w:r>
        <w:rPr>
          <w:rFonts w:ascii="Arial" w:cs="Arial" w:eastAsia="Arial" w:hAnsi="Arial"/>
          <w:sz w:val="14"/>
          <w:szCs w:val="14"/>
          <w:b w:val="1"/>
          <w:bCs w:val="1"/>
          <w:i w:val="1"/>
          <w:iCs w:val="1"/>
          <w:color w:val="auto"/>
        </w:rPr>
        <w:t>“Ten Percent Shareholder”</w:t>
      </w:r>
      <w:r>
        <w:rPr>
          <w:rFonts w:ascii="Arial" w:cs="Arial" w:eastAsia="Arial" w:hAnsi="Arial"/>
          <w:sz w:val="14"/>
          <w:szCs w:val="14"/>
          <w:color w:val="auto"/>
        </w:rPr>
        <w:t xml:space="preserve"> means an individual who, at the time the Option is granted, owns more than ten percent (10%) of the total combined voting power of 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88" w:lineRule="exact"/>
        <w:rPr>
          <w:sz w:val="20"/>
          <w:szCs w:val="20"/>
          <w:color w:val="auto"/>
        </w:rPr>
      </w:pPr>
    </w:p>
    <w:p>
      <w:pPr>
        <w:ind w:left="200" w:right="40" w:firstLine="771"/>
        <w:spacing w:after="0" w:line="232" w:lineRule="auto"/>
        <w:rPr>
          <w:sz w:val="20"/>
          <w:szCs w:val="20"/>
          <w:color w:val="auto"/>
        </w:rPr>
      </w:pPr>
      <w:r>
        <w:rPr>
          <w:rFonts w:ascii="Arial" w:cs="Arial" w:eastAsia="Arial" w:hAnsi="Arial"/>
          <w:sz w:val="14"/>
          <w:szCs w:val="14"/>
          <w:color w:val="auto"/>
        </w:rPr>
        <w:t xml:space="preserve">2.51 </w:t>
      </w:r>
      <w:r>
        <w:rPr>
          <w:rFonts w:ascii="Arial" w:cs="Arial" w:eastAsia="Arial" w:hAnsi="Arial"/>
          <w:sz w:val="14"/>
          <w:szCs w:val="14"/>
          <w:b w:val="1"/>
          <w:bCs w:val="1"/>
          <w:i w:val="1"/>
          <w:iCs w:val="1"/>
          <w:color w:val="auto"/>
        </w:rPr>
        <w:t>“Termination of Employment”</w:t>
      </w:r>
      <w:r>
        <w:rPr>
          <w:rFonts w:ascii="Arial" w:cs="Arial" w:eastAsia="Arial" w:hAnsi="Arial"/>
          <w:sz w:val="14"/>
          <w:szCs w:val="14"/>
          <w:color w:val="auto"/>
        </w:rPr>
        <w:t xml:space="preserve"> means, in the case of an Award other than an ISO, the termination of the Award recipient’s Employment or service relationship with 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C-3</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28" w:lineRule="auto"/>
        <w:rPr>
          <w:sz w:val="20"/>
          <w:szCs w:val="20"/>
          <w:color w:val="auto"/>
        </w:rPr>
      </w:pPr>
      <w:r>
        <w:rPr>
          <w:rFonts w:ascii="Arial" w:cs="Arial" w:eastAsia="Arial" w:hAnsi="Arial"/>
          <w:sz w:val="14"/>
          <w:szCs w:val="14"/>
          <w:color w:val="auto"/>
        </w:rPr>
        <w:t>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4"/>
          <w:szCs w:val="14"/>
          <w:b w:val="1"/>
          <w:bCs w:val="1"/>
          <w:i w:val="1"/>
          <w:iCs w:val="1"/>
          <w:color w:val="auto"/>
        </w:rPr>
        <w:t>Termination Date</w:t>
      </w:r>
      <w:r>
        <w:rPr>
          <w:rFonts w:ascii="Arial" w:cs="Arial" w:eastAsia="Arial" w:hAnsi="Arial"/>
          <w:sz w:val="14"/>
          <w:szCs w:val="14"/>
          <w:color w:val="auto"/>
        </w:rPr>
        <w:t>”), subject to compliance with section 409A of the Code.</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2.52</w:t>
      </w:r>
      <w:r>
        <w:rPr>
          <w:sz w:val="20"/>
          <w:szCs w:val="20"/>
          <w:color w:val="auto"/>
        </w:rPr>
        <w:tab/>
      </w:r>
      <w:r>
        <w:rPr>
          <w:rFonts w:ascii="Arial" w:cs="Arial" w:eastAsia="Arial" w:hAnsi="Arial"/>
          <w:sz w:val="12"/>
          <w:szCs w:val="12"/>
          <w:b w:val="1"/>
          <w:bCs w:val="1"/>
          <w:i w:val="1"/>
          <w:iCs w:val="1"/>
          <w:color w:val="auto"/>
        </w:rPr>
        <w:t xml:space="preserve">“U.S. Taxpayer” </w:t>
      </w:r>
      <w:r>
        <w:rPr>
          <w:rFonts w:ascii="Arial" w:cs="Arial" w:eastAsia="Arial" w:hAnsi="Arial"/>
          <w:sz w:val="12"/>
          <w:szCs w:val="12"/>
          <w:color w:val="auto"/>
        </w:rPr>
        <w:t>means a person who is, or may be, subject to taxation under the laws of the United States or a political subdivision thereof.</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Eligibility and Participation</w:t>
      </w:r>
    </w:p>
    <w:p>
      <w:pPr>
        <w:spacing w:after="0" w:line="188" w:lineRule="exact"/>
        <w:rPr>
          <w:sz w:val="20"/>
          <w:szCs w:val="20"/>
          <w:color w:val="auto"/>
        </w:rPr>
      </w:pPr>
    </w:p>
    <w:p>
      <w:pPr>
        <w:ind w:left="200" w:right="60" w:firstLine="771"/>
        <w:spacing w:after="0" w:line="232"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Eligibility.</w:t>
      </w:r>
      <w:r>
        <w:rPr>
          <w:rFonts w:ascii="Arial" w:cs="Arial" w:eastAsia="Arial" w:hAnsi="Arial"/>
          <w:sz w:val="14"/>
          <w:szCs w:val="14"/>
          <w:color w:val="auto"/>
        </w:rPr>
        <w:t xml:space="preserve"> Except as otherwise specified in this Section 3.1, the persons who are eligible to receive Awards under the Plan are Employees, Directors and other 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88" w:lineRule="exact"/>
        <w:rPr>
          <w:sz w:val="20"/>
          <w:szCs w:val="20"/>
          <w:color w:val="auto"/>
        </w:rPr>
      </w:pPr>
    </w:p>
    <w:p>
      <w:pPr>
        <w:ind w:left="200" w:right="60" w:firstLine="771"/>
        <w:spacing w:after="0" w:line="24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Participation.</w:t>
      </w:r>
      <w:r>
        <w:rPr>
          <w:rFonts w:ascii="Arial" w:cs="Arial" w:eastAsia="Arial" w:hAnsi="Arial"/>
          <w:sz w:val="14"/>
          <w:szCs w:val="14"/>
          <w:color w:val="auto"/>
        </w:rPr>
        <w:t xml:space="preserve"> Subject to the terms and provisions of the Plan, the Committee may, from time to time, select the persons to whom Awards shall be granted and shall determine the nature and amount of each Award. No person shall have any right to be granted an Award pursuant to the Plan.</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IV</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General Provisions Relating to Awards</w:t>
      </w:r>
    </w:p>
    <w:p>
      <w:pPr>
        <w:spacing w:after="0" w:line="188" w:lineRule="exact"/>
        <w:rPr>
          <w:sz w:val="20"/>
          <w:szCs w:val="20"/>
          <w:color w:val="auto"/>
        </w:rPr>
      </w:pPr>
    </w:p>
    <w:p>
      <w:pPr>
        <w:ind w:left="200" w:right="80" w:firstLine="771"/>
        <w:spacing w:after="0" w:line="267"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b w:val="1"/>
          <w:bCs w:val="1"/>
          <w:color w:val="auto"/>
        </w:rPr>
        <w:t>Authority to Grant Awards.</w:t>
      </w:r>
      <w:r>
        <w:rPr>
          <w:rFonts w:ascii="Arial" w:cs="Arial" w:eastAsia="Arial" w:hAnsi="Arial"/>
          <w:sz w:val="12"/>
          <w:szCs w:val="12"/>
          <w:color w:val="auto"/>
        </w:rPr>
        <w:t xml:space="preserve"> The Committee may grant Awards to those eligible persons as the Committee shall from time to time determine, under 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325" w:lineRule="exact"/>
        <w:rPr>
          <w:sz w:val="20"/>
          <w:szCs w:val="20"/>
          <w:color w:val="auto"/>
        </w:rPr>
      </w:pPr>
    </w:p>
    <w:p>
      <w:pPr>
        <w:ind w:left="200" w:firstLine="771"/>
        <w:spacing w:after="0" w:line="263"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Dedicated Shares; Maximum Awards.</w:t>
      </w:r>
      <w:r>
        <w:rPr>
          <w:rFonts w:ascii="Arial" w:cs="Arial" w:eastAsia="Arial" w:hAnsi="Arial"/>
          <w:sz w:val="12"/>
          <w:szCs w:val="12"/>
          <w:color w:val="auto"/>
        </w:rPr>
        <w:t xml:space="preserve"> The aggregate number of Shares with respect to which Awards may be granted under the Plan (including any substitute Awards granted pursuant to Article XII) is 96,144,000. The maximum number of Shares with respect to which Options or SARs may be granted to an Employee during a Fiscal Year is five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the maximum number of Shares with respect to one or more Awards that may be granted to any one Holder during any calendar year shall be five million Shares per Fiscal Year and the maximum amount that may be paid in cash during any calendar year with respect to any Award (including, without limitation, any performance-based Award) shall be $25 million.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200" w:lineRule="exact"/>
        <w:rPr>
          <w:sz w:val="20"/>
          <w:szCs w:val="20"/>
          <w:color w:val="auto"/>
        </w:rPr>
      </w:pPr>
    </w:p>
    <w:p>
      <w:pPr>
        <w:spacing w:after="0" w:line="276" w:lineRule="exact"/>
        <w:rPr>
          <w:sz w:val="20"/>
          <w:szCs w:val="20"/>
          <w:color w:val="auto"/>
        </w:rPr>
      </w:pPr>
    </w:p>
    <w:p>
      <w:pPr>
        <w:ind w:left="200" w:right="20" w:firstLine="771"/>
        <w:spacing w:after="0" w:line="228"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Non-Transferability.</w:t>
      </w:r>
      <w:r>
        <w:rPr>
          <w:rFonts w:ascii="Arial" w:cs="Arial" w:eastAsia="Arial" w:hAnsi="Arial"/>
          <w:sz w:val="14"/>
          <w:szCs w:val="14"/>
          <w:color w:val="auto"/>
        </w:rPr>
        <w:t xml:space="preserve"> Except as specified in the applicable Award Agreements or as otherwise determined by the Committee, an Award shall not be 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90" w:lineRule="exact"/>
        <w:rPr>
          <w:sz w:val="20"/>
          <w:szCs w:val="20"/>
          <w:color w:val="auto"/>
        </w:rPr>
      </w:pPr>
    </w:p>
    <w:p>
      <w:pPr>
        <w:ind w:left="200" w:right="20" w:firstLine="771"/>
        <w:spacing w:after="0" w:line="224"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color w:val="auto"/>
        </w:rPr>
        <w:t>Requirements of Law.</w:t>
      </w:r>
      <w:r>
        <w:rPr>
          <w:rFonts w:ascii="Arial" w:cs="Arial" w:eastAsia="Arial" w:hAnsi="Arial"/>
          <w:sz w:val="14"/>
          <w:szCs w:val="14"/>
          <w:color w:val="auto"/>
        </w:rPr>
        <w:t xml:space="preserve"> The obligation of the Company to make payment of Awards in Shares or otherwise shall be subject to all applicable securities 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C-4</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28" w:lineRule="auto"/>
        <w:rPr>
          <w:sz w:val="20"/>
          <w:szCs w:val="20"/>
          <w:color w:val="auto"/>
        </w:rPr>
      </w:pPr>
      <w:r>
        <w:rPr>
          <w:rFonts w:ascii="Arial" w:cs="Arial" w:eastAsia="Arial" w:hAnsi="Arial"/>
          <w:sz w:val="14"/>
          <w:szCs w:val="14"/>
          <w:color w:val="auto"/>
        </w:rPr>
        <w:t>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8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2"/>
          <w:szCs w:val="12"/>
          <w:b w:val="1"/>
          <w:bCs w:val="1"/>
          <w:color w:val="auto"/>
        </w:rPr>
        <w:t>Changes in the Company’s Capital Structure; Change of Control.</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Notwithstanding any contrary provision in the Plan, the following provisions shall apply to all Awards granted under the Plan:</w:t>
      </w:r>
    </w:p>
    <w:p>
      <w:pPr>
        <w:spacing w:after="0" w:line="188" w:lineRule="exact"/>
        <w:rPr>
          <w:sz w:val="20"/>
          <w:szCs w:val="20"/>
          <w:color w:val="auto"/>
        </w:rPr>
      </w:pPr>
    </w:p>
    <w:p>
      <w:pPr>
        <w:ind w:left="200" w:firstLine="1657"/>
        <w:spacing w:after="0" w:line="263" w:lineRule="auto"/>
        <w:tabs>
          <w:tab w:leader="none" w:pos="2468" w:val="left"/>
        </w:tabs>
        <w:numPr>
          <w:ilvl w:val="1"/>
          <w:numId w:val="239"/>
        </w:numPr>
        <w:rPr>
          <w:rFonts w:ascii="Arial" w:cs="Arial" w:eastAsia="Arial" w:hAnsi="Arial"/>
          <w:sz w:val="12"/>
          <w:szCs w:val="12"/>
          <w:color w:val="auto"/>
        </w:rPr>
      </w:pPr>
      <w:r>
        <w:rPr>
          <w:rFonts w:ascii="Arial" w:cs="Arial" w:eastAsia="Arial" w:hAnsi="Arial"/>
          <w:sz w:val="12"/>
          <w:szCs w:val="12"/>
          <w:b w:val="1"/>
          <w:bCs w:val="1"/>
          <w:color w:val="auto"/>
        </w:rPr>
        <w:t>Generally</w:t>
      </w:r>
      <w:r>
        <w:rPr>
          <w:rFonts w:ascii="Arial" w:cs="Arial" w:eastAsia="Arial" w:hAnsi="Arial"/>
          <w:sz w:val="12"/>
          <w:szCs w:val="12"/>
          <w:color w:val="auto"/>
        </w:rPr>
        <w:t>. In the event of any change in the Ordinary Share capital of the Company after the Effective Date by reason of any Share dividend or</w:t>
      </w:r>
      <w:r>
        <w:rPr>
          <w:rFonts w:ascii="Arial" w:cs="Arial" w:eastAsia="Arial" w:hAnsi="Arial"/>
          <w:sz w:val="12"/>
          <w:szCs w:val="12"/>
          <w:b w:val="1"/>
          <w:bCs w:val="1"/>
          <w:color w:val="auto"/>
        </w:rPr>
        <w:t xml:space="preserve"> </w:t>
      </w:r>
      <w:r>
        <w:rPr>
          <w:rFonts w:ascii="Arial" w:cs="Arial" w:eastAsia="Arial" w:hAnsi="Arial"/>
          <w:sz w:val="12"/>
          <w:szCs w:val="12"/>
          <w:color w:val="auto"/>
        </w:rPr>
        <w:t>split, 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w:t>
      </w:r>
    </w:p>
    <w:p>
      <w:pPr>
        <w:ind w:left="200" w:right="20" w:firstLine="4"/>
        <w:spacing w:after="0" w:line="266" w:lineRule="auto"/>
        <w:tabs>
          <w:tab w:leader="none" w:pos="425"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2"/>
          <w:szCs w:val="12"/>
          <w:b w:val="1"/>
          <w:bCs w:val="1"/>
          <w:i w:val="1"/>
          <w:iCs w:val="1"/>
          <w:color w:val="auto"/>
        </w:rPr>
        <w:t>Shortfall</w:t>
      </w:r>
      <w:r>
        <w:rPr>
          <w:rFonts w:ascii="Arial" w:cs="Arial" w:eastAsia="Arial" w:hAnsi="Arial"/>
          <w:sz w:val="12"/>
          <w:szCs w:val="12"/>
          <w:color w:val="auto"/>
        </w:rPr>
        <w:t>”), but only if and to the extent that the Committee shall be authorized to capitalize from the reserves of the Company a sum equal to the Shortfall and to apply that sum in paying up that amount on the Ordinary Shares.</w:t>
      </w:r>
    </w:p>
    <w:p>
      <w:pPr>
        <w:spacing w:after="0" w:line="173" w:lineRule="exact"/>
        <w:rPr>
          <w:rFonts w:ascii="Arial" w:cs="Arial" w:eastAsia="Arial" w:hAnsi="Arial"/>
          <w:sz w:val="12"/>
          <w:szCs w:val="12"/>
          <w:color w:val="auto"/>
        </w:rPr>
      </w:pPr>
    </w:p>
    <w:p>
      <w:pPr>
        <w:ind w:left="200" w:right="60" w:firstLine="1657"/>
        <w:spacing w:after="0" w:line="225" w:lineRule="auto"/>
        <w:tabs>
          <w:tab w:leader="none" w:pos="2468" w:val="left"/>
        </w:tabs>
        <w:numPr>
          <w:ilvl w:val="1"/>
          <w:numId w:val="240"/>
        </w:numPr>
        <w:rPr>
          <w:rFonts w:ascii="Arial" w:cs="Arial" w:eastAsia="Arial" w:hAnsi="Arial"/>
          <w:sz w:val="14"/>
          <w:szCs w:val="14"/>
          <w:color w:val="auto"/>
        </w:rPr>
      </w:pPr>
      <w:r>
        <w:rPr>
          <w:rFonts w:ascii="Arial" w:cs="Arial" w:eastAsia="Arial" w:hAnsi="Arial"/>
          <w:sz w:val="14"/>
          <w:szCs w:val="14"/>
          <w:b w:val="1"/>
          <w:bCs w:val="1"/>
          <w:color w:val="auto"/>
        </w:rPr>
        <w:t>Change of Control</w:t>
      </w:r>
      <w:r>
        <w:rPr>
          <w:rFonts w:ascii="Arial" w:cs="Arial" w:eastAsia="Arial" w:hAnsi="Arial"/>
          <w:sz w:val="14"/>
          <w:szCs w:val="14"/>
          <w:color w:val="auto"/>
        </w:rPr>
        <w:t>. In the event of a Change of Control after the Effective Date, (i) if determined by the Committee in the applicable Award</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or 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 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190" w:lineRule="exact"/>
        <w:rPr>
          <w:sz w:val="20"/>
          <w:szCs w:val="20"/>
          <w:color w:val="auto"/>
        </w:rPr>
      </w:pPr>
    </w:p>
    <w:p>
      <w:pPr>
        <w:ind w:left="200" w:right="100" w:firstLine="771"/>
        <w:spacing w:after="0" w:line="247"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b w:val="1"/>
          <w:bCs w:val="1"/>
          <w:color w:val="auto"/>
        </w:rPr>
        <w:t>Election Under Section 83(b) of the Code.</w:t>
      </w:r>
      <w:r>
        <w:rPr>
          <w:rFonts w:ascii="Arial" w:cs="Arial" w:eastAsia="Arial" w:hAnsi="Arial"/>
          <w:sz w:val="14"/>
          <w:szCs w:val="14"/>
          <w:color w:val="auto"/>
        </w:rPr>
        <w:t xml:space="preserve"> Any Holder who makes an election under section 83(b) of the Code with respect to any Award shall be required to promptly notify the Chief Financial Officer or General Counsel of the Company of such election.</w:t>
      </w:r>
    </w:p>
    <w:p>
      <w:pPr>
        <w:spacing w:after="0" w:line="182" w:lineRule="exact"/>
        <w:rPr>
          <w:sz w:val="20"/>
          <w:szCs w:val="20"/>
          <w:color w:val="auto"/>
        </w:rPr>
      </w:pPr>
    </w:p>
    <w:p>
      <w:pPr>
        <w:ind w:left="200" w:right="20" w:firstLine="771"/>
        <w:spacing w:after="0" w:line="227"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b w:val="1"/>
          <w:bCs w:val="1"/>
          <w:color w:val="auto"/>
        </w:rPr>
        <w:t>Forfeiture for Cause.</w:t>
      </w:r>
      <w:r>
        <w:rPr>
          <w:rFonts w:ascii="Arial" w:cs="Arial" w:eastAsia="Arial" w:hAnsi="Arial"/>
          <w:sz w:val="14"/>
          <w:szCs w:val="14"/>
          <w:color w:val="auto"/>
        </w:rPr>
        <w:t xml:space="preserve"> Notwithstanding any other provision of the Plan or an Award Agreement, if the Committee finds by a majority vote that a Holder, 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90" w:lineRule="exact"/>
        <w:rPr>
          <w:sz w:val="20"/>
          <w:szCs w:val="20"/>
          <w:color w:val="auto"/>
        </w:rPr>
      </w:pPr>
    </w:p>
    <w:p>
      <w:pPr>
        <w:ind w:left="200" w:right="100" w:firstLine="771"/>
        <w:spacing w:after="0" w:line="230"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b w:val="1"/>
          <w:bCs w:val="1"/>
          <w:color w:val="auto"/>
        </w:rPr>
        <w:t>Forfeiture Events.</w:t>
      </w:r>
      <w:r>
        <w:rPr>
          <w:rFonts w:ascii="Arial" w:cs="Arial" w:eastAsia="Arial" w:hAnsi="Arial"/>
          <w:sz w:val="14"/>
          <w:szCs w:val="14"/>
          <w:color w:val="auto"/>
        </w:rPr>
        <w:t xml:space="preserve"> The Committee may specify in an Award Agreement that the Holder’s rights, payments, and benefits with respect to an Award 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87" w:lineRule="exact"/>
        <w:rPr>
          <w:sz w:val="20"/>
          <w:szCs w:val="20"/>
          <w:color w:val="auto"/>
        </w:rPr>
      </w:pPr>
    </w:p>
    <w:p>
      <w:pPr>
        <w:ind w:left="200" w:right="80" w:firstLine="771"/>
        <w:spacing w:after="0" w:line="228"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b w:val="1"/>
          <w:bCs w:val="1"/>
          <w:color w:val="auto"/>
        </w:rPr>
        <w:t>Award Agreements.</w:t>
      </w:r>
      <w:r>
        <w:rPr>
          <w:rFonts w:ascii="Arial" w:cs="Arial" w:eastAsia="Arial" w:hAnsi="Arial"/>
          <w:sz w:val="14"/>
          <w:szCs w:val="14"/>
          <w:color w:val="auto"/>
        </w:rPr>
        <w:t xml:space="preserve"> The Award Agreement shall be signed by an executive officer of the Company, other than the Holder, on behalf of the Company, and may be 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90" w:lineRule="exact"/>
        <w:rPr>
          <w:sz w:val="20"/>
          <w:szCs w:val="20"/>
          <w:color w:val="auto"/>
        </w:rPr>
      </w:pPr>
    </w:p>
    <w:p>
      <w:pPr>
        <w:ind w:left="200" w:right="120" w:firstLine="771"/>
        <w:spacing w:after="0" w:line="232"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b w:val="1"/>
          <w:bCs w:val="1"/>
          <w:color w:val="auto"/>
        </w:rPr>
        <w:t>Amendments of Award Agreements.</w:t>
      </w:r>
      <w:r>
        <w:rPr>
          <w:rFonts w:ascii="Arial" w:cs="Arial" w:eastAsia="Arial" w:hAnsi="Arial"/>
          <w:sz w:val="14"/>
          <w:szCs w:val="14"/>
          <w:color w:val="auto"/>
        </w:rPr>
        <w:t xml:space="preserve"> The terms of any outstanding Award under the Plan may be amended from time to time by the Committee, or 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88" w:lineRule="exact"/>
        <w:rPr>
          <w:sz w:val="20"/>
          <w:szCs w:val="20"/>
          <w:color w:val="auto"/>
        </w:rPr>
      </w:pPr>
    </w:p>
    <w:p>
      <w:pPr>
        <w:ind w:left="200" w:right="260" w:firstLine="771"/>
        <w:spacing w:after="0" w:line="236"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b w:val="1"/>
          <w:bCs w:val="1"/>
          <w:color w:val="auto"/>
        </w:rPr>
        <w:t>Rights as Shareholder.</w:t>
      </w:r>
      <w:r>
        <w:rPr>
          <w:rFonts w:ascii="Arial" w:cs="Arial" w:eastAsia="Arial" w:hAnsi="Arial"/>
          <w:sz w:val="14"/>
          <w:szCs w:val="14"/>
          <w:color w:val="auto"/>
        </w:rPr>
        <w:t xml:space="preserve"> A Holder shall not have any rights as a shareholder with respect to Shares covered by an Option, a SAR, an RSU, a 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87"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4.12</w:t>
      </w:r>
      <w:r>
        <w:rPr>
          <w:sz w:val="20"/>
          <w:szCs w:val="20"/>
          <w:color w:val="auto"/>
        </w:rPr>
        <w:tab/>
      </w:r>
      <w:r>
        <w:rPr>
          <w:rFonts w:ascii="Arial" w:cs="Arial" w:eastAsia="Arial" w:hAnsi="Arial"/>
          <w:sz w:val="12"/>
          <w:szCs w:val="12"/>
          <w:b w:val="1"/>
          <w:bCs w:val="1"/>
          <w:color w:val="auto"/>
        </w:rPr>
        <w:t xml:space="preserve">Issuance of Shares. </w:t>
      </w:r>
      <w:r>
        <w:rPr>
          <w:rFonts w:ascii="Arial" w:cs="Arial" w:eastAsia="Arial" w:hAnsi="Arial"/>
          <w:sz w:val="12"/>
          <w:szCs w:val="12"/>
          <w:color w:val="auto"/>
        </w:rPr>
        <w:t>Shares, when issued, may be represented by a certificate or by book or electronic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C-5</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320" w:firstLine="771"/>
        <w:spacing w:after="0" w:line="236"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b w:val="1"/>
          <w:bCs w:val="1"/>
          <w:color w:val="auto"/>
        </w:rPr>
        <w:t>Restrictions on Shares Received.</w:t>
      </w:r>
      <w:r>
        <w:rPr>
          <w:rFonts w:ascii="Arial" w:cs="Arial" w:eastAsia="Arial" w:hAnsi="Arial"/>
          <w:sz w:val="14"/>
          <w:szCs w:val="14"/>
          <w:color w:val="auto"/>
        </w:rPr>
        <w:t xml:space="preserve"> Subject to applicable Irish, United States or other applicable laws, the Committee may impose such conditions 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87" w:lineRule="exact"/>
        <w:rPr>
          <w:sz w:val="20"/>
          <w:szCs w:val="20"/>
          <w:color w:val="auto"/>
        </w:rPr>
      </w:pPr>
    </w:p>
    <w:p>
      <w:pPr>
        <w:ind w:left="200" w:right="20" w:firstLine="771"/>
        <w:spacing w:after="0" w:line="262" w:lineRule="auto"/>
        <w:rPr>
          <w:sz w:val="20"/>
          <w:szCs w:val="20"/>
          <w:color w:val="auto"/>
        </w:rPr>
      </w:pPr>
      <w:r>
        <w:rPr>
          <w:rFonts w:ascii="Arial" w:cs="Arial" w:eastAsia="Arial" w:hAnsi="Arial"/>
          <w:sz w:val="12"/>
          <w:szCs w:val="12"/>
          <w:color w:val="auto"/>
        </w:rPr>
        <w:t xml:space="preserve">4.14 </w:t>
      </w:r>
      <w:r>
        <w:rPr>
          <w:rFonts w:ascii="Arial" w:cs="Arial" w:eastAsia="Arial" w:hAnsi="Arial"/>
          <w:sz w:val="12"/>
          <w:szCs w:val="12"/>
          <w:b w:val="1"/>
          <w:bCs w:val="1"/>
          <w:color w:val="auto"/>
        </w:rPr>
        <w:t>Compliance With Section 409A.</w:t>
      </w:r>
      <w:r>
        <w:rPr>
          <w:rFonts w:ascii="Arial" w:cs="Arial" w:eastAsia="Arial" w:hAnsi="Arial"/>
          <w:sz w:val="12"/>
          <w:szCs w:val="12"/>
          <w:color w:val="auto"/>
        </w:rPr>
        <w:t xml:space="preserve"> 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Options</w:t>
      </w:r>
    </w:p>
    <w:p>
      <w:pPr>
        <w:spacing w:after="0" w:line="196"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Authority to Grant Options.</w:t>
      </w:r>
      <w:r>
        <w:rPr>
          <w:rFonts w:ascii="Arial" w:cs="Arial" w:eastAsia="Arial" w:hAnsi="Arial"/>
          <w:sz w:val="14"/>
          <w:szCs w:val="14"/>
          <w:color w:val="auto"/>
        </w:rPr>
        <w:t xml:space="preserve"> Subject to the terms and provisions of the Plan, the Committee, at any time, and from time to time, may grant Options under the Plan to eligible persons in such number and upon such terms as the Committee shall determine.</w:t>
      </w:r>
    </w:p>
    <w:p>
      <w:pPr>
        <w:spacing w:after="0" w:line="18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b w:val="1"/>
          <w:bCs w:val="1"/>
          <w:color w:val="auto"/>
        </w:rPr>
        <w:t xml:space="preserve">Type of Options Available. </w:t>
      </w:r>
      <w:r>
        <w:rPr>
          <w:rFonts w:ascii="Arial" w:cs="Arial" w:eastAsia="Arial" w:hAnsi="Arial"/>
          <w:sz w:val="12"/>
          <w:szCs w:val="12"/>
          <w:color w:val="auto"/>
        </w:rPr>
        <w:t>Options granted under the Plan may be NSOs or ISOs.</w:t>
      </w:r>
    </w:p>
    <w:p>
      <w:pPr>
        <w:spacing w:after="0" w:line="204"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b w:val="1"/>
          <w:bCs w:val="1"/>
          <w:color w:val="auto"/>
        </w:rPr>
        <w:t>Option Agreement.</w:t>
      </w:r>
      <w:r>
        <w:rPr>
          <w:rFonts w:ascii="Arial" w:cs="Arial" w:eastAsia="Arial" w:hAnsi="Arial"/>
          <w:sz w:val="12"/>
          <w:szCs w:val="12"/>
          <w:color w:val="auto"/>
        </w:rPr>
        <w:t xml:space="preserve"> Each Option grant under the Plan shall be evidenced by an Award Agreement that shall specify (a) whether the Option is intended to be an ISO or an NSO, (b) the Option Price, (c) the duration of the Option, (d) the number of Shares to which the Option pertains, (e) the exercise restrictions applicable to the Option and</w:t>
      </w:r>
    </w:p>
    <w:p>
      <w:pPr>
        <w:jc w:val="both"/>
        <w:ind w:left="200" w:right="20" w:firstLine="4"/>
        <w:spacing w:after="0" w:line="228" w:lineRule="auto"/>
        <w:tabs>
          <w:tab w:leader="none" w:pos="365" w:val="left"/>
        </w:tabs>
        <w:numPr>
          <w:ilvl w:val="0"/>
          <w:numId w:val="241"/>
        </w:numPr>
        <w:rPr>
          <w:rFonts w:ascii="Arial" w:cs="Arial" w:eastAsia="Arial" w:hAnsi="Arial"/>
          <w:sz w:val="14"/>
          <w:szCs w:val="14"/>
          <w:color w:val="auto"/>
        </w:rPr>
      </w:pPr>
      <w:r>
        <w:rPr>
          <w:rFonts w:ascii="Arial" w:cs="Arial" w:eastAsia="Arial" w:hAnsi="Arial"/>
          <w:sz w:val="14"/>
          <w:szCs w:val="14"/>
          <w:color w:val="auto"/>
        </w:rPr>
        <w:t>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87" w:lineRule="exact"/>
        <w:rPr>
          <w:sz w:val="20"/>
          <w:szCs w:val="20"/>
          <w:color w:val="auto"/>
        </w:rPr>
      </w:pPr>
    </w:p>
    <w:p>
      <w:pPr>
        <w:ind w:left="200" w:right="20" w:firstLine="771"/>
        <w:spacing w:after="0" w:line="281"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b w:val="1"/>
          <w:bCs w:val="1"/>
          <w:color w:val="auto"/>
        </w:rPr>
        <w:t>Option Price.</w:t>
      </w:r>
      <w:r>
        <w:rPr>
          <w:rFonts w:ascii="Arial" w:cs="Arial" w:eastAsia="Arial" w:hAnsi="Arial"/>
          <w:sz w:val="12"/>
          <w:szCs w:val="12"/>
          <w:color w:val="auto"/>
        </w:rPr>
        <w:t xml:space="preserve"> Except as otherwise specified in Section 4.5(a), the price at which Shares may be purchased under an Option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Option Price</w:t>
      </w:r>
      <w:r>
        <w:rPr>
          <w:rFonts w:ascii="Arial" w:cs="Arial" w:eastAsia="Arial" w:hAnsi="Arial"/>
          <w:sz w:val="12"/>
          <w:szCs w:val="12"/>
          <w:i w:val="1"/>
          <w:iCs w:val="1"/>
          <w:color w:val="auto"/>
        </w:rPr>
        <w:t>”</w:t>
      </w:r>
      <w:r>
        <w:rPr>
          <w:rFonts w:ascii="Arial" w:cs="Arial" w:eastAsia="Arial" w:hAnsi="Arial"/>
          <w:sz w:val="12"/>
          <w:szCs w:val="12"/>
          <w:color w:val="auto"/>
        </w:rPr>
        <w:t>) 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64" w:lineRule="exact"/>
        <w:rPr>
          <w:sz w:val="20"/>
          <w:szCs w:val="20"/>
          <w:color w:val="auto"/>
        </w:rPr>
      </w:pPr>
    </w:p>
    <w:p>
      <w:pPr>
        <w:ind w:left="200" w:firstLine="771"/>
        <w:spacing w:after="0" w:line="232"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b w:val="1"/>
          <w:bCs w:val="1"/>
          <w:color w:val="auto"/>
        </w:rPr>
        <w:t>Duration of Option.</w:t>
      </w:r>
      <w:r>
        <w:rPr>
          <w:rFonts w:ascii="Arial" w:cs="Arial" w:eastAsia="Arial" w:hAnsi="Arial"/>
          <w:sz w:val="14"/>
          <w:szCs w:val="14"/>
          <w:color w:val="auto"/>
        </w:rPr>
        <w:t xml:space="preserve"> An Option shall not be exercisable after the earlier of (a) the general term of the Option specified in the applicable Award 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8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2"/>
          <w:szCs w:val="12"/>
          <w:b w:val="1"/>
          <w:bCs w:val="1"/>
          <w:color w:val="auto"/>
        </w:rPr>
        <w:t>Exercise of Option.</w:t>
      </w:r>
    </w:p>
    <w:p>
      <w:pPr>
        <w:spacing w:after="0" w:line="204" w:lineRule="exact"/>
        <w:rPr>
          <w:sz w:val="20"/>
          <w:szCs w:val="20"/>
          <w:color w:val="auto"/>
        </w:rPr>
      </w:pPr>
    </w:p>
    <w:p>
      <w:pPr>
        <w:ind w:left="200" w:right="40" w:firstLine="1657"/>
        <w:spacing w:after="0" w:line="263" w:lineRule="auto"/>
        <w:tabs>
          <w:tab w:leader="none" w:pos="2468" w:val="left"/>
        </w:tabs>
        <w:numPr>
          <w:ilvl w:val="1"/>
          <w:numId w:val="242"/>
        </w:numPr>
        <w:rPr>
          <w:rFonts w:ascii="Arial" w:cs="Arial" w:eastAsia="Arial" w:hAnsi="Arial"/>
          <w:sz w:val="12"/>
          <w:szCs w:val="12"/>
          <w:color w:val="auto"/>
        </w:rPr>
      </w:pPr>
      <w:r>
        <w:rPr>
          <w:rFonts w:ascii="Arial" w:cs="Arial" w:eastAsia="Arial" w:hAnsi="Arial"/>
          <w:sz w:val="12"/>
          <w:szCs w:val="12"/>
          <w:b w:val="1"/>
          <w:bCs w:val="1"/>
          <w:color w:val="auto"/>
        </w:rPr>
        <w:t xml:space="preserve">General Method of Exercise. </w:t>
      </w:r>
      <w:r>
        <w:rPr>
          <w:rFonts w:ascii="Arial" w:cs="Arial" w:eastAsia="Arial" w:hAnsi="Arial"/>
          <w:sz w:val="12"/>
          <w:szCs w:val="12"/>
          <w:color w:val="auto"/>
        </w:rPr>
        <w:t>Subject to the terms and provisions of the Plan and the applicable Award Agreement, Options may be exercised in</w:t>
      </w:r>
      <w:r>
        <w:rPr>
          <w:rFonts w:ascii="Arial" w:cs="Arial" w:eastAsia="Arial" w:hAnsi="Arial"/>
          <w:sz w:val="12"/>
          <w:szCs w:val="12"/>
          <w:b w:val="1"/>
          <w:bCs w:val="1"/>
          <w:color w:val="auto"/>
        </w:rPr>
        <w:t xml:space="preserve"> </w:t>
      </w:r>
      <w:r>
        <w:rPr>
          <w:rFonts w:ascii="Arial" w:cs="Arial" w:eastAsia="Arial" w:hAnsi="Arial"/>
          <w:sz w:val="12"/>
          <w:szCs w:val="12"/>
          <w:color w:val="auto"/>
        </w:rPr>
        <w:t>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w:t>
      </w:r>
    </w:p>
    <w:p>
      <w:pPr>
        <w:ind w:left="200" w:right="40" w:firstLine="4"/>
        <w:spacing w:after="0" w:line="224" w:lineRule="auto"/>
        <w:tabs>
          <w:tab w:leader="none" w:pos="403" w:val="left"/>
        </w:tabs>
        <w:numPr>
          <w:ilvl w:val="0"/>
          <w:numId w:val="243"/>
        </w:numPr>
        <w:rPr>
          <w:rFonts w:ascii="Arial" w:cs="Arial" w:eastAsia="Arial" w:hAnsi="Arial"/>
          <w:sz w:val="14"/>
          <w:szCs w:val="14"/>
          <w:color w:val="auto"/>
        </w:rPr>
      </w:pPr>
      <w:r>
        <w:rPr>
          <w:rFonts w:ascii="Arial" w:cs="Arial" w:eastAsia="Arial" w:hAnsi="Arial"/>
          <w:sz w:val="14"/>
          <w:szCs w:val="14"/>
          <w:color w:val="auto"/>
        </w:rPr>
        <w:t>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88" w:lineRule="exact"/>
        <w:rPr>
          <w:rFonts w:ascii="Arial" w:cs="Arial" w:eastAsia="Arial" w:hAnsi="Arial"/>
          <w:sz w:val="14"/>
          <w:szCs w:val="14"/>
          <w:color w:val="auto"/>
        </w:rPr>
      </w:pPr>
    </w:p>
    <w:p>
      <w:pPr>
        <w:ind w:left="200" w:right="140" w:firstLine="1657"/>
        <w:spacing w:after="0" w:line="236" w:lineRule="auto"/>
        <w:tabs>
          <w:tab w:leader="none" w:pos="2468" w:val="left"/>
        </w:tabs>
        <w:numPr>
          <w:ilvl w:val="1"/>
          <w:numId w:val="243"/>
        </w:numPr>
        <w:rPr>
          <w:rFonts w:ascii="Arial" w:cs="Arial" w:eastAsia="Arial" w:hAnsi="Arial"/>
          <w:sz w:val="14"/>
          <w:szCs w:val="14"/>
          <w:color w:val="auto"/>
        </w:rPr>
      </w:pPr>
      <w:r>
        <w:rPr>
          <w:rFonts w:ascii="Arial" w:cs="Arial" w:eastAsia="Arial" w:hAnsi="Arial"/>
          <w:sz w:val="14"/>
          <w:szCs w:val="14"/>
          <w:b w:val="1"/>
          <w:bCs w:val="1"/>
          <w:color w:val="auto"/>
        </w:rPr>
        <w:t xml:space="preserve">Exercise Through Third-Party Broker. </w:t>
      </w:r>
      <w:r>
        <w:rPr>
          <w:rFonts w:ascii="Arial" w:cs="Arial" w:eastAsia="Arial" w:hAnsi="Arial"/>
          <w:sz w:val="14"/>
          <w:szCs w:val="14"/>
          <w:color w:val="auto"/>
        </w:rPr>
        <w:t>The Committee may permit or require a Holder to pay the Option Price and any applicable Tax-Related</w:t>
      </w:r>
      <w:r>
        <w:rPr>
          <w:rFonts w:ascii="Arial" w:cs="Arial" w:eastAsia="Arial" w:hAnsi="Arial"/>
          <w:sz w:val="14"/>
          <w:szCs w:val="14"/>
          <w:b w:val="1"/>
          <w:bCs w:val="1"/>
          <w:color w:val="auto"/>
        </w:rPr>
        <w:t xml:space="preserve"> </w:t>
      </w:r>
      <w:r>
        <w:rPr>
          <w:rFonts w:ascii="Arial" w:cs="Arial" w:eastAsia="Arial" w:hAnsi="Arial"/>
          <w:sz w:val="14"/>
          <w:szCs w:val="14"/>
          <w:color w:val="auto"/>
        </w:rPr>
        <w:t>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87" w:lineRule="exact"/>
        <w:rPr>
          <w:sz w:val="20"/>
          <w:szCs w:val="20"/>
          <w:color w:val="auto"/>
        </w:rPr>
      </w:pPr>
    </w:p>
    <w:p>
      <w:pPr>
        <w:ind w:left="200" w:right="180" w:firstLine="771"/>
        <w:spacing w:after="0" w:line="328" w:lineRule="auto"/>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b w:val="1"/>
          <w:bCs w:val="1"/>
          <w:color w:val="auto"/>
        </w:rPr>
        <w:t>Notification of Disqualifying Disposition.</w:t>
      </w:r>
      <w:r>
        <w:rPr>
          <w:rFonts w:ascii="Arial" w:cs="Arial" w:eastAsia="Arial" w:hAnsi="Arial"/>
          <w:sz w:val="12"/>
          <w:szCs w:val="12"/>
          <w:color w:val="auto"/>
        </w:rPr>
        <w:t xml:space="preserve"> If any Holder shall make any disposition of Shares issued pursuant to the exercise of an ISO under the circumstances described in section 421(b) of the Code (relating to certain disqualifying dispositions), such Holder shall notify the Company of such disposition within ten days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6997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C-6</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80" w:firstLine="771"/>
        <w:spacing w:after="0" w:line="236"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b w:val="1"/>
          <w:bCs w:val="1"/>
          <w:color w:val="auto"/>
        </w:rPr>
        <w:t>No Rights as Shareholder.</w:t>
      </w:r>
      <w:r>
        <w:rPr>
          <w:rFonts w:ascii="Arial" w:cs="Arial" w:eastAsia="Arial" w:hAnsi="Arial"/>
          <w:sz w:val="14"/>
          <w:szCs w:val="14"/>
          <w:color w:val="auto"/>
        </w:rPr>
        <w:t xml:space="preserve"> A Holder shall not have any rights as a shareholder with respect to Shares covered by an Option until the date such Shares are issued by the Company; and, except as otherwise provided in Section 4.5(a), no adjustment for dividends, or otherwise, shall be made if the record date therefor is prior to the date of issuance of such Shares.</w:t>
      </w:r>
    </w:p>
    <w:p>
      <w:pPr>
        <w:spacing w:after="0" w:line="187" w:lineRule="exact"/>
        <w:rPr>
          <w:sz w:val="20"/>
          <w:szCs w:val="20"/>
          <w:color w:val="auto"/>
        </w:rPr>
      </w:pPr>
    </w:p>
    <w:p>
      <w:pPr>
        <w:ind w:left="200" w:right="100" w:firstLine="771"/>
        <w:spacing w:after="0" w:line="228"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b w:val="1"/>
          <w:bCs w:val="1"/>
          <w:color w:val="auto"/>
        </w:rPr>
        <w:t>$100,000 Limitation on ISOs.</w:t>
      </w:r>
      <w:r>
        <w:rPr>
          <w:rFonts w:ascii="Arial" w:cs="Arial" w:eastAsia="Arial" w:hAnsi="Arial"/>
          <w:sz w:val="14"/>
          <w:szCs w:val="14"/>
          <w:color w:val="auto"/>
        </w:rPr>
        <w:t xml:space="preserve"> To the extent that the aggregate Fair Market Value of Shares with respect to which ISOs first become exercisable by a 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Share Appreciation Rights</w:t>
      </w:r>
    </w:p>
    <w:p>
      <w:pPr>
        <w:spacing w:after="0" w:line="188" w:lineRule="exact"/>
        <w:rPr>
          <w:sz w:val="20"/>
          <w:szCs w:val="20"/>
          <w:color w:val="auto"/>
        </w:rPr>
      </w:pPr>
    </w:p>
    <w:p>
      <w:pPr>
        <w:ind w:left="200" w:right="40" w:firstLine="771"/>
        <w:spacing w:after="0" w:line="293"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b w:val="1"/>
          <w:bCs w:val="1"/>
          <w:color w:val="auto"/>
        </w:rPr>
        <w:t>Authority to Grant SAR Awards.</w:t>
      </w:r>
      <w:r>
        <w:rPr>
          <w:rFonts w:ascii="Arial" w:cs="Arial" w:eastAsia="Arial" w:hAnsi="Arial"/>
          <w:sz w:val="12"/>
          <w:szCs w:val="12"/>
          <w:color w:val="auto"/>
        </w:rPr>
        <w:t xml:space="preserve"> Subject to the terms and provisions of the Plan, the Committee, at any time, and from time to time, may grant SARs 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56" w:lineRule="exact"/>
        <w:rPr>
          <w:sz w:val="20"/>
          <w:szCs w:val="20"/>
          <w:color w:val="auto"/>
        </w:rPr>
      </w:pPr>
    </w:p>
    <w:p>
      <w:pPr>
        <w:jc w:val="both"/>
        <w:ind w:left="200" w:right="180" w:firstLine="771"/>
        <w:spacing w:after="0" w:line="236"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General Terms.</w:t>
      </w:r>
      <w:r>
        <w:rPr>
          <w:rFonts w:ascii="Arial" w:cs="Arial" w:eastAsia="Arial" w:hAnsi="Arial"/>
          <w:sz w:val="14"/>
          <w:szCs w:val="14"/>
          <w:color w:val="auto"/>
        </w:rPr>
        <w:t xml:space="preserve"> Subject to the terms and conditions of the Plan, a SAR granted under the Plan shall confer on the recipient a right to receive, upon 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7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2"/>
          <w:szCs w:val="12"/>
          <w:b w:val="1"/>
          <w:bCs w:val="1"/>
          <w:color w:val="auto"/>
        </w:rPr>
        <w:t xml:space="preserve">SAR Agreement. </w:t>
      </w:r>
      <w:r>
        <w:rPr>
          <w:rFonts w:ascii="Arial" w:cs="Arial" w:eastAsia="Arial" w:hAnsi="Arial"/>
          <w:sz w:val="12"/>
          <w:szCs w:val="12"/>
          <w:color w:val="auto"/>
        </w:rPr>
        <w:t>Each Award of SARs granted under the Plan shall be evidenced by an Award Agreement that shall specify (a) the grant price of the SAR,</w:t>
      </w:r>
    </w:p>
    <w:p>
      <w:pPr>
        <w:spacing w:after="0" w:line="16" w:lineRule="exact"/>
        <w:rPr>
          <w:sz w:val="20"/>
          <w:szCs w:val="20"/>
          <w:color w:val="auto"/>
        </w:rPr>
      </w:pPr>
    </w:p>
    <w:p>
      <w:pPr>
        <w:ind w:left="200" w:right="220" w:firstLine="4"/>
        <w:spacing w:after="0" w:line="231" w:lineRule="auto"/>
        <w:tabs>
          <w:tab w:leader="none" w:pos="403"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87" w:lineRule="exact"/>
        <w:rPr>
          <w:sz w:val="20"/>
          <w:szCs w:val="20"/>
          <w:color w:val="auto"/>
        </w:rPr>
      </w:pPr>
    </w:p>
    <w:p>
      <w:pPr>
        <w:ind w:left="200" w:right="20" w:firstLine="771"/>
        <w:spacing w:after="0" w:line="247"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color w:val="auto"/>
        </w:rPr>
        <w:t>Term of SAR.</w:t>
      </w:r>
      <w:r>
        <w:rPr>
          <w:rFonts w:ascii="Arial" w:cs="Arial" w:eastAsia="Arial" w:hAnsi="Arial"/>
          <w:sz w:val="14"/>
          <w:szCs w:val="14"/>
          <w:color w:val="auto"/>
        </w:rPr>
        <w:t xml:space="preserve"> The term of a SAR granted under the Plan shall be determined by the Committee, in its sole discretion; provided that no SAR shall be exercisable on or after the tenth anniversary date of its grant.</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Exercise of SAR.</w:t>
      </w:r>
      <w:r>
        <w:rPr>
          <w:rFonts w:ascii="Arial" w:cs="Arial" w:eastAsia="Arial" w:hAnsi="Arial"/>
          <w:sz w:val="14"/>
          <w:szCs w:val="14"/>
          <w:color w:val="auto"/>
        </w:rPr>
        <w:t xml:space="preserve"> A SAR may be exercised upon whatever terms and conditions the Committee, in its sole discretion, imposes, provided, however, 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87" w:lineRule="exact"/>
        <w:rPr>
          <w:sz w:val="20"/>
          <w:szCs w:val="20"/>
          <w:color w:val="auto"/>
        </w:rPr>
      </w:pPr>
    </w:p>
    <w:p>
      <w:pPr>
        <w:ind w:left="200" w:right="40" w:firstLine="771"/>
        <w:spacing w:after="0" w:line="281"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b w:val="1"/>
          <w:bCs w:val="1"/>
          <w:color w:val="auto"/>
        </w:rPr>
        <w:t>Payment of SAR Amount.</w:t>
      </w:r>
      <w:r>
        <w:rPr>
          <w:rFonts w:ascii="Arial" w:cs="Arial" w:eastAsia="Arial" w:hAnsi="Arial"/>
          <w:sz w:val="12"/>
          <w:szCs w:val="12"/>
          <w:color w:val="auto"/>
        </w:rPr>
        <w:t xml:space="preserve"> Upon the exercise of a SAR, a Holder shall be entitled to receive payment from the Company in an amount determined by 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64"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Each Award Agreement shall set forth the extent to which the Holder of a SAR shall have the right to exercise the SAR 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VII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Restricted Share Awards</w:t>
      </w:r>
    </w:p>
    <w:p>
      <w:pPr>
        <w:spacing w:after="0" w:line="188" w:lineRule="exact"/>
        <w:rPr>
          <w:sz w:val="20"/>
          <w:szCs w:val="20"/>
          <w:color w:val="auto"/>
        </w:rPr>
      </w:pPr>
    </w:p>
    <w:p>
      <w:pPr>
        <w:ind w:left="200" w:right="20" w:firstLine="771"/>
        <w:spacing w:after="0" w:line="228"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Restricted Share Awards.</w:t>
      </w:r>
      <w:r>
        <w:rPr>
          <w:rFonts w:ascii="Arial" w:cs="Arial" w:eastAsia="Arial" w:hAnsi="Arial"/>
          <w:sz w:val="14"/>
          <w:szCs w:val="14"/>
          <w:color w:val="auto"/>
        </w:rPr>
        <w:t xml:space="preserve"> The Committee may make Awards of Restricted Shares to eligible persons selected by it. The amount of, the vesting and 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90" w:lineRule="exact"/>
        <w:rPr>
          <w:sz w:val="20"/>
          <w:szCs w:val="20"/>
          <w:color w:val="auto"/>
        </w:rPr>
      </w:pPr>
    </w:p>
    <w:p>
      <w:pPr>
        <w:ind w:left="200" w:right="420" w:firstLine="771"/>
        <w:spacing w:after="0" w:line="24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Restricted Share Award Agreement.</w:t>
      </w:r>
      <w:r>
        <w:rPr>
          <w:rFonts w:ascii="Arial" w:cs="Arial" w:eastAsia="Arial" w:hAnsi="Arial"/>
          <w:sz w:val="14"/>
          <w:szCs w:val="14"/>
          <w:color w:val="auto"/>
        </w:rPr>
        <w:t xml:space="preserve"> Each Restricted Share Award shall be evidenced by an Award Agreement that contains any vesting, transferability restrictions and other provisions as the Committee may specify.</w:t>
      </w:r>
    </w:p>
    <w:p>
      <w:pPr>
        <w:spacing w:after="0" w:line="182"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At the time of the grant of Restricted Share Award, the Committee shall determine the price, if any, to be paid by the Holder for each 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right="80" w:firstLine="771"/>
        <w:spacing w:after="0" w:line="227"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Holder’s Rights as Shareholder.</w:t>
      </w:r>
      <w:r>
        <w:rPr>
          <w:rFonts w:ascii="Arial" w:cs="Arial" w:eastAsia="Arial" w:hAnsi="Arial"/>
          <w:sz w:val="14"/>
          <w:szCs w:val="14"/>
          <w:color w:val="auto"/>
        </w:rPr>
        <w:t xml:space="preserve"> Subject to the terms and conditions of the Plan, each recipient of a Restricted Share Award shall have all the rights of a 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 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C-7</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300" w:lineRule="auto"/>
        <w:rPr>
          <w:sz w:val="20"/>
          <w:szCs w:val="20"/>
          <w:color w:val="auto"/>
        </w:rPr>
      </w:pPr>
      <w:r>
        <w:rPr>
          <w:rFonts w:ascii="Arial" w:cs="Arial" w:eastAsia="Arial" w:hAnsi="Arial"/>
          <w:sz w:val="12"/>
          <w:szCs w:val="12"/>
          <w:color w:val="auto"/>
        </w:rPr>
        <w:t>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52" w:lineRule="exact"/>
        <w:rPr>
          <w:sz w:val="20"/>
          <w:szCs w:val="20"/>
          <w:color w:val="auto"/>
        </w:rPr>
      </w:pPr>
    </w:p>
    <w:p>
      <w:pPr>
        <w:ind w:left="200" w:right="80" w:firstLine="771"/>
        <w:spacing w:after="0" w:line="225"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Any Restricted Share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82" w:lineRule="exact"/>
        <w:rPr>
          <w:sz w:val="20"/>
          <w:szCs w:val="20"/>
          <w:color w:val="auto"/>
        </w:rPr>
      </w:pPr>
    </w:p>
    <w:tbl>
      <w:tblPr>
        <w:tblLayout w:type="fixed"/>
        <w:tblInd w:w="98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9660" w:type="dxa"/>
            <w:vAlign w:val="bottom"/>
          </w:tcPr>
          <w:p>
            <w:pPr>
              <w:jc w:val="center"/>
              <w:ind w:right="897"/>
              <w:spacing w:after="0"/>
              <w:rPr>
                <w:sz w:val="20"/>
                <w:szCs w:val="20"/>
                <w:color w:val="auto"/>
              </w:rPr>
            </w:pPr>
            <w:r>
              <w:rPr>
                <w:rFonts w:ascii="Arial" w:cs="Arial" w:eastAsia="Arial" w:hAnsi="Arial"/>
                <w:sz w:val="22"/>
                <w:szCs w:val="22"/>
                <w:b w:val="1"/>
                <w:bCs w:val="1"/>
                <w:color w:val="auto"/>
              </w:rPr>
              <w:t>ARTICLE VIII</w:t>
            </w:r>
          </w:p>
        </w:tc>
      </w:tr>
      <w:tr>
        <w:trPr>
          <w:trHeight w:val="172"/>
        </w:trPr>
        <w:tc>
          <w:tcPr>
            <w:tcW w:w="400" w:type="dxa"/>
            <w:vAlign w:val="bottom"/>
          </w:tcPr>
          <w:p>
            <w:pPr>
              <w:spacing w:after="0"/>
              <w:rPr>
                <w:sz w:val="14"/>
                <w:szCs w:val="14"/>
                <w:color w:val="auto"/>
              </w:rPr>
            </w:pPr>
          </w:p>
        </w:tc>
        <w:tc>
          <w:tcPr>
            <w:tcW w:w="9660" w:type="dxa"/>
            <w:vAlign w:val="bottom"/>
          </w:tcPr>
          <w:p>
            <w:pPr>
              <w:jc w:val="center"/>
              <w:ind w:right="897"/>
              <w:spacing w:after="0"/>
              <w:rPr>
                <w:sz w:val="20"/>
                <w:szCs w:val="20"/>
                <w:color w:val="auto"/>
              </w:rPr>
            </w:pPr>
            <w:r>
              <w:rPr>
                <w:rFonts w:ascii="Arial" w:cs="Arial" w:eastAsia="Arial" w:hAnsi="Arial"/>
                <w:sz w:val="14"/>
                <w:szCs w:val="14"/>
                <w:color w:val="auto"/>
              </w:rPr>
              <w:t>Restricted Share Unit Awards</w:t>
            </w:r>
          </w:p>
        </w:tc>
      </w:tr>
      <w:tr>
        <w:trPr>
          <w:trHeight w:val="349"/>
        </w:trPr>
        <w:tc>
          <w:tcPr>
            <w:tcW w:w="400" w:type="dxa"/>
            <w:vAlign w:val="bottom"/>
          </w:tcPr>
          <w:p>
            <w:pPr>
              <w:jc w:val="right"/>
              <w:ind w:right="152"/>
              <w:spacing w:after="0"/>
              <w:rPr>
                <w:sz w:val="20"/>
                <w:szCs w:val="20"/>
                <w:color w:val="auto"/>
              </w:rPr>
            </w:pPr>
            <w:r>
              <w:rPr>
                <w:rFonts w:ascii="Arial" w:cs="Arial" w:eastAsia="Arial" w:hAnsi="Arial"/>
                <w:sz w:val="14"/>
                <w:szCs w:val="14"/>
                <w:color w:val="auto"/>
                <w:w w:val="81"/>
              </w:rPr>
              <w:t>8.1</w:t>
            </w:r>
          </w:p>
        </w:tc>
        <w:tc>
          <w:tcPr>
            <w:tcW w:w="9660" w:type="dxa"/>
            <w:vAlign w:val="bottom"/>
          </w:tcPr>
          <w:p>
            <w:pPr>
              <w:ind w:left="240"/>
              <w:spacing w:after="0"/>
              <w:rPr>
                <w:sz w:val="20"/>
                <w:szCs w:val="20"/>
                <w:color w:val="auto"/>
              </w:rPr>
            </w:pPr>
            <w:r>
              <w:rPr>
                <w:rFonts w:ascii="Arial" w:cs="Arial" w:eastAsia="Arial" w:hAnsi="Arial"/>
                <w:sz w:val="14"/>
                <w:szCs w:val="14"/>
                <w:b w:val="1"/>
                <w:bCs w:val="1"/>
                <w:color w:val="auto"/>
                <w:w w:val="96"/>
              </w:rPr>
              <w:t xml:space="preserve">Authority to Grant RSU Awards. </w:t>
            </w:r>
            <w:r>
              <w:rPr>
                <w:rFonts w:ascii="Arial" w:cs="Arial" w:eastAsia="Arial" w:hAnsi="Arial"/>
                <w:sz w:val="14"/>
                <w:szCs w:val="14"/>
                <w:color w:val="auto"/>
                <w:w w:val="96"/>
              </w:rPr>
              <w:t>Subject to the terms and provisions of the Plan, the Committee, at any time, and from time to time, may grant RSU Awards</w:t>
            </w:r>
          </w:p>
        </w:tc>
      </w:tr>
    </w:tbl>
    <w:p>
      <w:pPr>
        <w:ind w:left="200" w:right="160"/>
        <w:spacing w:after="0" w:line="228" w:lineRule="auto"/>
        <w:rPr>
          <w:sz w:val="20"/>
          <w:szCs w:val="20"/>
          <w:color w:val="auto"/>
        </w:rPr>
      </w:pPr>
      <w:r>
        <w:rPr>
          <w:rFonts w:ascii="Arial" w:cs="Arial" w:eastAsia="Arial" w:hAnsi="Arial"/>
          <w:sz w:val="14"/>
          <w:szCs w:val="14"/>
          <w:color w:val="auto"/>
        </w:rPr>
        <w:t>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87" w:lineRule="exact"/>
        <w:rPr>
          <w:sz w:val="20"/>
          <w:szCs w:val="20"/>
          <w:color w:val="auto"/>
        </w:rPr>
      </w:pPr>
    </w:p>
    <w:p>
      <w:pPr>
        <w:ind w:left="200" w:right="80" w:firstLine="771"/>
        <w:spacing w:after="0" w:line="247"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RSU Award.</w:t>
      </w:r>
      <w:r>
        <w:rPr>
          <w:rFonts w:ascii="Arial" w:cs="Arial" w:eastAsia="Arial" w:hAnsi="Arial"/>
          <w:sz w:val="14"/>
          <w:szCs w:val="14"/>
          <w:color w:val="auto"/>
        </w:rPr>
        <w:t xml:space="preserve"> An RSU Award shall be similar in nature to a Restricted Share Award except that no Shares are actually issued or transferred to the Holder until a later date specified in the applicable Award Agreement. Each RSU shall have a value equal to the Fair Market Value of a Share.</w:t>
      </w:r>
    </w:p>
    <w:p>
      <w:pPr>
        <w:spacing w:after="0" w:line="182" w:lineRule="exact"/>
        <w:rPr>
          <w:sz w:val="20"/>
          <w:szCs w:val="20"/>
          <w:color w:val="auto"/>
        </w:rPr>
      </w:pPr>
    </w:p>
    <w:p>
      <w:pPr>
        <w:ind w:left="200" w:right="620" w:firstLine="771"/>
        <w:spacing w:after="0" w:line="247"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RSU Award Agreement.</w:t>
      </w:r>
      <w:r>
        <w:rPr>
          <w:rFonts w:ascii="Arial" w:cs="Arial" w:eastAsia="Arial" w:hAnsi="Arial"/>
          <w:sz w:val="14"/>
          <w:szCs w:val="14"/>
          <w:color w:val="auto"/>
        </w:rPr>
        <w:t xml:space="preserve"> Each RSU Award shall be evidenced by an Award Agreement that contains any Substantial Risk of Forfeiture, transferability restrictions, form and time of payment provisions and other provisions not inconsistent with the Plan as the Committee may specify.</w:t>
      </w:r>
    </w:p>
    <w:p>
      <w:pPr>
        <w:spacing w:after="0" w:line="182" w:lineRule="exact"/>
        <w:rPr>
          <w:sz w:val="20"/>
          <w:szCs w:val="20"/>
          <w:color w:val="auto"/>
        </w:rPr>
      </w:pPr>
    </w:p>
    <w:p>
      <w:pPr>
        <w:ind w:left="200" w:right="20" w:firstLine="771"/>
        <w:spacing w:after="0" w:line="230"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Purchase Price</w:t>
      </w:r>
      <w:r>
        <w:rPr>
          <w:rFonts w:ascii="Arial" w:cs="Arial" w:eastAsia="Arial" w:hAnsi="Arial"/>
          <w:sz w:val="14"/>
          <w:szCs w:val="14"/>
          <w:color w:val="auto"/>
        </w:rPr>
        <w:t>. At the time of the grant of each RSU Award, the Committee shall determine the price, if any, to be paid by the Holder for each Share 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firstLine="771"/>
        <w:spacing w:after="0" w:line="226"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Dividend Equivalents.</w:t>
      </w:r>
      <w:r>
        <w:rPr>
          <w:rFonts w:ascii="Arial" w:cs="Arial" w:eastAsia="Arial" w:hAnsi="Arial"/>
          <w:sz w:val="14"/>
          <w:szCs w:val="14"/>
          <w:color w:val="auto"/>
        </w:rPr>
        <w:t xml:space="preserve"> An Award Agreement for an RSU Award may specify that the Holder shall be entitled to receive, currently or on a deferred basis, a Dividend 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9" w:lineRule="exact"/>
        <w:rPr>
          <w:sz w:val="20"/>
          <w:szCs w:val="20"/>
          <w:color w:val="auto"/>
        </w:rPr>
      </w:pPr>
    </w:p>
    <w:p>
      <w:pPr>
        <w:ind w:left="200" w:right="180" w:firstLine="771"/>
        <w:spacing w:after="0" w:line="247"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Form of Payment Under RSU Award.</w:t>
      </w:r>
      <w:r>
        <w:rPr>
          <w:rFonts w:ascii="Arial" w:cs="Arial" w:eastAsia="Arial" w:hAnsi="Arial"/>
          <w:sz w:val="14"/>
          <w:szCs w:val="14"/>
          <w:color w:val="auto"/>
        </w:rPr>
        <w:t xml:space="preserve"> Payment under an RSU Award shall be made in either cash or Shares, or any combination thereof, as specified in the applicable Award Agreement.</w:t>
      </w:r>
    </w:p>
    <w:p>
      <w:pPr>
        <w:spacing w:after="0" w:line="182" w:lineRule="exact"/>
        <w:rPr>
          <w:sz w:val="20"/>
          <w:szCs w:val="20"/>
          <w:color w:val="auto"/>
        </w:rPr>
      </w:pPr>
    </w:p>
    <w:p>
      <w:pPr>
        <w:jc w:val="both"/>
        <w:ind w:left="200" w:right="20" w:firstLine="771"/>
        <w:spacing w:after="0" w:line="236"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Time of Payment Under RSU Award.</w:t>
      </w:r>
      <w:r>
        <w:rPr>
          <w:rFonts w:ascii="Arial" w:cs="Arial" w:eastAsia="Arial" w:hAnsi="Arial"/>
          <w:sz w:val="14"/>
          <w:szCs w:val="14"/>
          <w:color w:val="auto"/>
        </w:rPr>
        <w:t xml:space="preserve"> A Holder’s payment under an RSU Award shall be made at such time as is specified in the applicable Award 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87" w:lineRule="exact"/>
        <w:rPr>
          <w:sz w:val="20"/>
          <w:szCs w:val="20"/>
          <w:color w:val="auto"/>
        </w:rPr>
      </w:pPr>
    </w:p>
    <w:p>
      <w:pPr>
        <w:ind w:left="200" w:right="160" w:firstLine="771"/>
        <w:spacing w:after="0" w:line="247"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No Rights as Shareholder.</w:t>
      </w:r>
      <w:r>
        <w:rPr>
          <w:rFonts w:ascii="Arial" w:cs="Arial" w:eastAsia="Arial" w:hAnsi="Arial"/>
          <w:sz w:val="14"/>
          <w:szCs w:val="14"/>
          <w:color w:val="auto"/>
        </w:rPr>
        <w:t xml:space="preserve"> Each recipient of a RSU Award shall have no rights of a shareholder with respect to any Shares underlying such RSUs until such date as the underlying Shares are issued.</w:t>
      </w:r>
    </w:p>
    <w:p>
      <w:pPr>
        <w:spacing w:after="0" w:line="182" w:lineRule="exact"/>
        <w:rPr>
          <w:sz w:val="20"/>
          <w:szCs w:val="20"/>
          <w:color w:val="auto"/>
        </w:rPr>
      </w:pPr>
    </w:p>
    <w:p>
      <w:pPr>
        <w:ind w:left="200" w:right="100" w:firstLine="771"/>
        <w:spacing w:after="0" w:line="225"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Any RSU Award granted under the Plan shall have a minimum vesting period (which may vest in ratable 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107315</wp:posOffset>
            </wp:positionV>
            <wp:extent cx="6997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4"/>
          <w:szCs w:val="14"/>
          <w:b w:val="1"/>
          <w:bCs w:val="1"/>
          <w:color w:val="666666"/>
        </w:rPr>
        <w:t>C-8</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IX</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Performance Share Awards and Performance Unit Awards</w:t>
      </w:r>
    </w:p>
    <w:p>
      <w:pPr>
        <w:spacing w:after="0" w:line="188" w:lineRule="exact"/>
        <w:rPr>
          <w:sz w:val="20"/>
          <w:szCs w:val="20"/>
          <w:color w:val="auto"/>
        </w:rPr>
      </w:pPr>
    </w:p>
    <w:p>
      <w:pPr>
        <w:ind w:left="200" w:firstLine="771"/>
        <w:spacing w:after="0" w:line="226"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Authority to Grant Performance Share Awards and Performance Unit Awards.</w:t>
      </w:r>
      <w:r>
        <w:rPr>
          <w:rFonts w:ascii="Arial" w:cs="Arial" w:eastAsia="Arial" w:hAnsi="Arial"/>
          <w:sz w:val="14"/>
          <w:szCs w:val="14"/>
          <w:color w:val="auto"/>
        </w:rPr>
        <w:t xml:space="preserve"> Subject to the terms and provisions of the Plan, the Committee, at 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92" w:lineRule="exact"/>
        <w:rPr>
          <w:sz w:val="20"/>
          <w:szCs w:val="20"/>
          <w:color w:val="auto"/>
        </w:rPr>
      </w:pPr>
    </w:p>
    <w:p>
      <w:pPr>
        <w:ind w:left="200" w:right="80" w:firstLine="771"/>
        <w:spacing w:after="0" w:line="228"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b w:val="1"/>
          <w:bCs w:val="1"/>
          <w:color w:val="auto"/>
        </w:rPr>
        <w:t>Section 162(m).</w:t>
      </w:r>
      <w:r>
        <w:rPr>
          <w:rFonts w:ascii="Arial" w:cs="Arial" w:eastAsia="Arial" w:hAnsi="Arial"/>
          <w:sz w:val="14"/>
          <w:szCs w:val="14"/>
          <w:color w:val="auto"/>
        </w:rPr>
        <w:t xml:space="preserve"> 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 (a) and (d) below, except that the Performance Goals may be based on other quantifiable business criteria and except as otherwise provided in an Award Agreement.</w:t>
      </w:r>
    </w:p>
    <w:p>
      <w:pPr>
        <w:spacing w:after="0" w:line="190" w:lineRule="exact"/>
        <w:rPr>
          <w:sz w:val="20"/>
          <w:szCs w:val="20"/>
          <w:color w:val="auto"/>
        </w:rPr>
      </w:pPr>
    </w:p>
    <w:p>
      <w:pPr>
        <w:ind w:left="200" w:firstLine="1657"/>
        <w:spacing w:after="0" w:line="262" w:lineRule="auto"/>
        <w:tabs>
          <w:tab w:leader="none" w:pos="2468" w:val="left"/>
        </w:tabs>
        <w:numPr>
          <w:ilvl w:val="1"/>
          <w:numId w:val="245"/>
        </w:numPr>
        <w:rPr>
          <w:rFonts w:ascii="Arial" w:cs="Arial" w:eastAsia="Arial" w:hAnsi="Arial"/>
          <w:sz w:val="12"/>
          <w:szCs w:val="12"/>
          <w:color w:val="auto"/>
        </w:rPr>
      </w:pPr>
      <w:r>
        <w:rPr>
          <w:rFonts w:ascii="Arial" w:cs="Arial" w:eastAsia="Arial" w:hAnsi="Arial"/>
          <w:sz w:val="12"/>
          <w:szCs w:val="12"/>
          <w:b w:val="1"/>
          <w:bCs w:val="1"/>
          <w:color w:val="auto"/>
        </w:rPr>
        <w:t xml:space="preserve">Performance Goals. </w:t>
      </w:r>
      <w:r>
        <w:rPr>
          <w:rFonts w:ascii="Arial" w:cs="Arial" w:eastAsia="Arial" w:hAnsi="Arial"/>
          <w:sz w:val="12"/>
          <w:szCs w:val="12"/>
          <w:color w:val="auto"/>
        </w:rPr>
        <w:t>A Performance Goal must be objective such that a third party having knowledge of the relevant facts could, at the end of the</w:t>
      </w:r>
      <w:r>
        <w:rPr>
          <w:rFonts w:ascii="Arial" w:cs="Arial" w:eastAsia="Arial" w:hAnsi="Arial"/>
          <w:sz w:val="12"/>
          <w:szCs w:val="12"/>
          <w:b w:val="1"/>
          <w:bCs w:val="1"/>
          <w:color w:val="auto"/>
        </w:rPr>
        <w:t xml:space="preserve"> </w:t>
      </w:r>
      <w:r>
        <w:rPr>
          <w:rFonts w:ascii="Arial" w:cs="Arial" w:eastAsia="Arial" w:hAnsi="Arial"/>
          <w:sz w:val="12"/>
          <w:szCs w:val="12"/>
          <w:color w:val="auto"/>
        </w:rPr>
        <w:t>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w:t>
      </w:r>
    </w:p>
    <w:p>
      <w:pPr>
        <w:spacing w:after="0" w:line="137" w:lineRule="exact"/>
        <w:rPr>
          <w:rFonts w:ascii="Arial" w:cs="Arial" w:eastAsia="Arial" w:hAnsi="Arial"/>
          <w:sz w:val="12"/>
          <w:szCs w:val="12"/>
          <w:color w:val="auto"/>
        </w:rPr>
      </w:pPr>
    </w:p>
    <w:p>
      <w:pPr>
        <w:jc w:val="both"/>
        <w:ind w:left="200" w:right="20" w:firstLine="4"/>
        <w:spacing w:after="0" w:line="258" w:lineRule="auto"/>
        <w:tabs>
          <w:tab w:leader="none" w:pos="358" w:val="left"/>
        </w:tabs>
        <w:numPr>
          <w:ilvl w:val="0"/>
          <w:numId w:val="246"/>
        </w:numPr>
        <w:rPr>
          <w:rFonts w:ascii="Arial" w:cs="Arial" w:eastAsia="Arial" w:hAnsi="Arial"/>
          <w:sz w:val="12"/>
          <w:szCs w:val="12"/>
          <w:color w:val="auto"/>
        </w:rPr>
      </w:pPr>
      <w:r>
        <w:rPr>
          <w:rFonts w:ascii="Arial" w:cs="Arial" w:eastAsia="Arial" w:hAnsi="Arial"/>
          <w:sz w:val="12"/>
          <w:szCs w:val="12"/>
          <w:color w:val="auto"/>
        </w:rPr>
        <w:t>amounts reflected in the Company’s financial statements or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w:t>
      </w:r>
    </w:p>
    <w:p>
      <w:pPr>
        <w:spacing w:after="0" w:line="1" w:lineRule="exact"/>
        <w:rPr>
          <w:rFonts w:ascii="Arial" w:cs="Arial" w:eastAsia="Arial" w:hAnsi="Arial"/>
          <w:sz w:val="12"/>
          <w:szCs w:val="12"/>
          <w:color w:val="auto"/>
        </w:rPr>
      </w:pPr>
    </w:p>
    <w:p>
      <w:pPr>
        <w:ind w:left="200" w:right="60"/>
        <w:spacing w:after="0" w:line="226" w:lineRule="auto"/>
        <w:rPr>
          <w:rFonts w:ascii="Arial" w:cs="Arial" w:eastAsia="Arial" w:hAnsi="Arial"/>
          <w:sz w:val="12"/>
          <w:szCs w:val="12"/>
          <w:color w:val="auto"/>
        </w:rPr>
      </w:pPr>
      <w:r>
        <w:rPr>
          <w:rFonts w:ascii="Arial" w:cs="Arial" w:eastAsia="Arial" w:hAnsi="Arial"/>
          <w:sz w:val="14"/>
          <w:szCs w:val="14"/>
          <w:color w:val="auto"/>
        </w:rPr>
        <w:t>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187" w:lineRule="exact"/>
        <w:rPr>
          <w:rFonts w:ascii="Arial" w:cs="Arial" w:eastAsia="Arial" w:hAnsi="Arial"/>
          <w:sz w:val="12"/>
          <w:szCs w:val="12"/>
          <w:color w:val="auto"/>
        </w:rPr>
      </w:pPr>
    </w:p>
    <w:p>
      <w:pPr>
        <w:ind w:left="200" w:right="20" w:firstLine="1657"/>
        <w:spacing w:after="0" w:line="293" w:lineRule="auto"/>
        <w:tabs>
          <w:tab w:leader="none" w:pos="2469" w:val="left"/>
        </w:tabs>
        <w:numPr>
          <w:ilvl w:val="1"/>
          <w:numId w:val="246"/>
        </w:numPr>
        <w:rPr>
          <w:rFonts w:ascii="Arial" w:cs="Arial" w:eastAsia="Arial" w:hAnsi="Arial"/>
          <w:sz w:val="12"/>
          <w:szCs w:val="12"/>
          <w:color w:val="auto"/>
        </w:rPr>
      </w:pPr>
      <w:r>
        <w:rPr>
          <w:rFonts w:ascii="Arial" w:cs="Arial" w:eastAsia="Arial" w:hAnsi="Arial"/>
          <w:sz w:val="12"/>
          <w:szCs w:val="12"/>
          <w:b w:val="1"/>
          <w:bCs w:val="1"/>
          <w:color w:val="auto"/>
        </w:rPr>
        <w:t xml:space="preserve">Time of Establishment of Performance Goals. </w:t>
      </w:r>
      <w:r>
        <w:rPr>
          <w:rFonts w:ascii="Arial" w:cs="Arial" w:eastAsia="Arial" w:hAnsi="Arial"/>
          <w:sz w:val="12"/>
          <w:szCs w:val="12"/>
          <w:color w:val="auto"/>
        </w:rPr>
        <w:t>A Performance Goal for a particular Performance Share Award or Performance Unit Award must</w:t>
      </w:r>
      <w:r>
        <w:rPr>
          <w:rFonts w:ascii="Arial" w:cs="Arial" w:eastAsia="Arial" w:hAnsi="Arial"/>
          <w:sz w:val="12"/>
          <w:szCs w:val="12"/>
          <w:b w:val="1"/>
          <w:bCs w:val="1"/>
          <w:color w:val="auto"/>
        </w:rPr>
        <w:t xml:space="preserve"> </w:t>
      </w:r>
      <w:r>
        <w:rPr>
          <w:rFonts w:ascii="Arial" w:cs="Arial" w:eastAsia="Arial" w:hAnsi="Arial"/>
          <w:sz w:val="12"/>
          <w:szCs w:val="12"/>
          <w:color w:val="auto"/>
        </w:rPr>
        <w:t>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2"/>
          <w:szCs w:val="12"/>
          <w:b w:val="1"/>
          <w:bCs w:val="1"/>
          <w:i w:val="1"/>
          <w:iCs w:val="1"/>
          <w:color w:val="auto"/>
        </w:rPr>
        <w:t>Performance Goal Establishment Date</w:t>
      </w:r>
      <w:r>
        <w:rPr>
          <w:rFonts w:ascii="Arial" w:cs="Arial" w:eastAsia="Arial" w:hAnsi="Arial"/>
          <w:sz w:val="12"/>
          <w:szCs w:val="12"/>
          <w:color w:val="auto"/>
        </w:rPr>
        <w:t>”).</w:t>
      </w:r>
    </w:p>
    <w:p>
      <w:pPr>
        <w:spacing w:after="0" w:line="156" w:lineRule="exact"/>
        <w:rPr>
          <w:rFonts w:ascii="Arial" w:cs="Arial" w:eastAsia="Arial" w:hAnsi="Arial"/>
          <w:sz w:val="12"/>
          <w:szCs w:val="12"/>
          <w:color w:val="auto"/>
        </w:rPr>
      </w:pPr>
    </w:p>
    <w:p>
      <w:pPr>
        <w:ind w:left="2460" w:hanging="603"/>
        <w:spacing w:after="0"/>
        <w:tabs>
          <w:tab w:leader="none" w:pos="2460"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t xml:space="preserve">Increases Prohibited. </w:t>
      </w:r>
      <w:r>
        <w:rPr>
          <w:rFonts w:ascii="Arial" w:cs="Arial" w:eastAsia="Arial" w:hAnsi="Arial"/>
          <w:sz w:val="14"/>
          <w:szCs w:val="14"/>
          <w:color w:val="auto"/>
        </w:rPr>
        <w:t>None of the Committee or the Board may increase the amount of compensation payable under a Performance Share</w:t>
      </w:r>
    </w:p>
    <w:p>
      <w:pPr>
        <w:spacing w:after="0" w:line="3"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Award or Performance Unit Award.</w:t>
      </w:r>
    </w:p>
    <w:p>
      <w:pPr>
        <w:spacing w:after="0" w:line="187" w:lineRule="exact"/>
        <w:rPr>
          <w:rFonts w:ascii="Arial" w:cs="Arial" w:eastAsia="Arial" w:hAnsi="Arial"/>
          <w:sz w:val="14"/>
          <w:szCs w:val="14"/>
          <w:color w:val="auto"/>
        </w:rPr>
      </w:pPr>
    </w:p>
    <w:p>
      <w:pPr>
        <w:ind w:left="200" w:right="60" w:firstLine="1657"/>
        <w:spacing w:after="0" w:line="236" w:lineRule="auto"/>
        <w:tabs>
          <w:tab w:leader="none" w:pos="2469"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t xml:space="preserve">Shareholder Approval. </w:t>
      </w:r>
      <w:r>
        <w:rPr>
          <w:rFonts w:ascii="Arial" w:cs="Arial" w:eastAsia="Arial" w:hAnsi="Arial"/>
          <w:sz w:val="14"/>
          <w:szCs w:val="14"/>
          <w:color w:val="auto"/>
        </w:rPr>
        <w:t>No issuances of Shares or payments of cash will be made pursuant to this Article IX, with respect to Performance Share</w:t>
      </w:r>
      <w:r>
        <w:rPr>
          <w:rFonts w:ascii="Arial" w:cs="Arial" w:eastAsia="Arial" w:hAnsi="Arial"/>
          <w:sz w:val="14"/>
          <w:szCs w:val="14"/>
          <w:b w:val="1"/>
          <w:bCs w:val="1"/>
          <w:color w:val="auto"/>
        </w:rPr>
        <w:t xml:space="preserve"> </w:t>
      </w:r>
      <w:r>
        <w:rPr>
          <w:rFonts w:ascii="Arial" w:cs="Arial" w:eastAsia="Arial" w:hAnsi="Arial"/>
          <w:sz w:val="14"/>
          <w:szCs w:val="14"/>
          <w:color w:val="auto"/>
        </w:rPr>
        <w:t>Awards or Performance Unit Awards that are intended to be Qualified Performance-Based Compensation, unless the shareholder approval requirements of Department of Treasury Regulation Section 1.162-27(e)(4) are satisfied.</w:t>
      </w:r>
    </w:p>
    <w:p>
      <w:pPr>
        <w:spacing w:after="0" w:line="187" w:lineRule="exact"/>
        <w:rPr>
          <w:sz w:val="20"/>
          <w:szCs w:val="20"/>
          <w:color w:val="auto"/>
        </w:rPr>
      </w:pPr>
    </w:p>
    <w:p>
      <w:pPr>
        <w:ind w:left="200" w:right="540" w:firstLine="771"/>
        <w:spacing w:after="0" w:line="247"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Award Agreement.</w:t>
      </w:r>
      <w:r>
        <w:rPr>
          <w:rFonts w:ascii="Arial" w:cs="Arial" w:eastAsia="Arial" w:hAnsi="Arial"/>
          <w:sz w:val="14"/>
          <w:szCs w:val="14"/>
          <w:color w:val="auto"/>
        </w:rPr>
        <w:t xml:space="preserve"> Each Performance Share Award or Performance Unit Award shall be evidenced by an Award Agreement that contains any vesting, transferability restrictions and other provisions not inconsistent with the Plan as the Committee may specify.</w:t>
      </w:r>
    </w:p>
    <w:p>
      <w:pPr>
        <w:spacing w:after="0" w:line="185" w:lineRule="exact"/>
        <w:rPr>
          <w:sz w:val="20"/>
          <w:szCs w:val="20"/>
          <w:color w:val="auto"/>
        </w:rPr>
      </w:pPr>
    </w:p>
    <w:p>
      <w:pPr>
        <w:ind w:left="200" w:right="20" w:firstLine="771"/>
        <w:spacing w:after="0" w:line="250"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At the time of the grant of the Performance Share Award or Performance Unit Award, the Committee shall determine the price, if 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79" w:lineRule="exact"/>
        <w:rPr>
          <w:sz w:val="20"/>
          <w:szCs w:val="20"/>
          <w:color w:val="auto"/>
        </w:rPr>
      </w:pPr>
    </w:p>
    <w:p>
      <w:pPr>
        <w:ind w:left="200" w:right="480" w:firstLine="771"/>
        <w:spacing w:after="0" w:line="247"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Form of Payment Under Performance Unit Award.</w:t>
      </w:r>
      <w:r>
        <w:rPr>
          <w:rFonts w:ascii="Arial" w:cs="Arial" w:eastAsia="Arial" w:hAnsi="Arial"/>
          <w:sz w:val="14"/>
          <w:szCs w:val="14"/>
          <w:color w:val="auto"/>
        </w:rPr>
        <w:t xml:space="preserve"> Payment under a Performance Unit Award shall be made in cash and/or Shares as specified in the Holder’s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C-9</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b w:val="1"/>
          <w:bCs w:val="1"/>
          <w:color w:val="auto"/>
        </w:rPr>
        <w:t>Time of Payment Under Performance Unit Award.</w:t>
      </w:r>
      <w:r>
        <w:rPr>
          <w:rFonts w:ascii="Arial" w:cs="Arial" w:eastAsia="Arial" w:hAnsi="Arial"/>
          <w:sz w:val="12"/>
          <w:szCs w:val="12"/>
          <w:color w:val="auto"/>
        </w:rPr>
        <w:t xml:space="preserve"> A Holder’s payment under a Performance Unit Award shall be made at such time as is specified in the 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56" w:lineRule="exact"/>
        <w:rPr>
          <w:sz w:val="20"/>
          <w:szCs w:val="20"/>
          <w:color w:val="auto"/>
        </w:rPr>
      </w:pPr>
    </w:p>
    <w:p>
      <w:pPr>
        <w:jc w:val="both"/>
        <w:ind w:left="200" w:right="80" w:firstLine="771"/>
        <w:spacing w:after="0" w:line="232"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Holder’s Rights as Shareholder With Respect to Performance Awards.</w:t>
      </w:r>
      <w:r>
        <w:rPr>
          <w:rFonts w:ascii="Arial" w:cs="Arial" w:eastAsia="Arial" w:hAnsi="Arial"/>
          <w:sz w:val="14"/>
          <w:szCs w:val="14"/>
          <w:color w:val="auto"/>
        </w:rPr>
        <w:t xml:space="preserve"> Unless otherwise set forth in an Award Agreement, each Holder of a 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88" w:lineRule="exact"/>
        <w:rPr>
          <w:sz w:val="20"/>
          <w:szCs w:val="20"/>
          <w:color w:val="auto"/>
        </w:rPr>
      </w:pPr>
    </w:p>
    <w:p>
      <w:pPr>
        <w:ind w:left="200" w:right="40" w:firstLine="771"/>
        <w:spacing w:after="0" w:line="225"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b w:val="1"/>
          <w:bCs w:val="1"/>
          <w:color w:val="auto"/>
        </w:rPr>
        <w:t>Minimum Performance Period.</w:t>
      </w:r>
      <w:r>
        <w:rPr>
          <w:rFonts w:ascii="Arial" w:cs="Arial" w:eastAsia="Arial" w:hAnsi="Arial"/>
          <w:sz w:val="14"/>
          <w:szCs w:val="14"/>
          <w:color w:val="auto"/>
        </w:rPr>
        <w:t xml:space="preserve"> All Performance Share Awards and Performance Unit Awards granted under the Plan shall have a minimum performance period of 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Other Share-Based Awards</w:t>
      </w:r>
    </w:p>
    <w:p>
      <w:pPr>
        <w:spacing w:after="0" w:line="188" w:lineRule="exact"/>
        <w:rPr>
          <w:sz w:val="20"/>
          <w:szCs w:val="20"/>
          <w:color w:val="auto"/>
        </w:rPr>
      </w:pPr>
    </w:p>
    <w:p>
      <w:pPr>
        <w:ind w:left="200" w:right="40" w:firstLine="771"/>
        <w:spacing w:after="0" w:line="281"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b w:val="1"/>
          <w:bCs w:val="1"/>
          <w:color w:val="auto"/>
        </w:rPr>
        <w:t>Authority to Grant Other Share-Based Awards.</w:t>
      </w:r>
      <w:r>
        <w:rPr>
          <w:rFonts w:ascii="Arial" w:cs="Arial" w:eastAsia="Arial" w:hAnsi="Arial"/>
          <w:sz w:val="12"/>
          <w:szCs w:val="12"/>
          <w:color w:val="auto"/>
        </w:rPr>
        <w:t xml:space="preserve"> The Committee may grant to eligible persons other types of equity-based or equity-related Awards 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5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2"/>
          <w:szCs w:val="12"/>
          <w:b w:val="1"/>
          <w:bCs w:val="1"/>
          <w:color w:val="auto"/>
        </w:rPr>
        <w:t xml:space="preserve">Value of Other Share-Based Award. </w:t>
      </w:r>
      <w:r>
        <w:rPr>
          <w:rFonts w:ascii="Arial" w:cs="Arial" w:eastAsia="Arial" w:hAnsi="Arial"/>
          <w:sz w:val="12"/>
          <w:szCs w:val="12"/>
          <w:color w:val="auto"/>
        </w:rPr>
        <w:t>Each Other Share-Based Award shall be expressed in terms of Shares or units based on Shares, as determined by the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Committee.</w:t>
      </w:r>
    </w:p>
    <w:p>
      <w:pPr>
        <w:spacing w:after="0" w:line="188" w:lineRule="exact"/>
        <w:rPr>
          <w:sz w:val="20"/>
          <w:szCs w:val="20"/>
          <w:color w:val="auto"/>
        </w:rPr>
      </w:pPr>
    </w:p>
    <w:p>
      <w:pPr>
        <w:ind w:left="200" w:firstLine="771"/>
        <w:spacing w:after="0" w:line="230"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Purchase Price</w:t>
      </w:r>
      <w:r>
        <w:rPr>
          <w:rFonts w:ascii="Arial" w:cs="Arial" w:eastAsia="Arial" w:hAnsi="Arial"/>
          <w:sz w:val="14"/>
          <w:szCs w:val="14"/>
          <w:color w:val="auto"/>
        </w:rPr>
        <w:t>. At the time of the Share-Based Award, the Committee shall determine the price, if any, to be paid by the Holder for each Share 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7" w:lineRule="exact"/>
        <w:rPr>
          <w:sz w:val="20"/>
          <w:szCs w:val="20"/>
          <w:color w:val="auto"/>
        </w:rPr>
      </w:pPr>
    </w:p>
    <w:p>
      <w:pPr>
        <w:ind w:left="200" w:right="280" w:firstLine="771"/>
        <w:spacing w:after="0" w:line="247"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Payment of Other Share-Based Award.</w:t>
      </w:r>
      <w:r>
        <w:rPr>
          <w:rFonts w:ascii="Arial" w:cs="Arial" w:eastAsia="Arial" w:hAnsi="Arial"/>
          <w:sz w:val="14"/>
          <w:szCs w:val="14"/>
          <w:color w:val="auto"/>
        </w:rPr>
        <w:t xml:space="preserve"> Payment, if any, with respect to an Other Share-Based Award shall be made in accordance with the terms of the Award, in cash or Shares or any combination thereof as the Committee determines.</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Subject to Section 10.6, the Committee shall determine the extent to which a Holder’s rights with respect to Other Share-Based Awards shall be affected by the Holder’s Termination of Employment. Such provisions shall be determined in the sole discretion of the Committee and need not be uniform among all Other Share-Based Awards issued pursuant to the Plan.</w:t>
      </w:r>
    </w:p>
    <w:p>
      <w:pPr>
        <w:spacing w:after="0" w:line="187" w:lineRule="exact"/>
        <w:rPr>
          <w:sz w:val="20"/>
          <w:szCs w:val="20"/>
          <w:color w:val="auto"/>
        </w:rPr>
      </w:pPr>
    </w:p>
    <w:p>
      <w:pPr>
        <w:ind w:left="200" w:right="60" w:firstLine="771"/>
        <w:spacing w:after="0" w:line="225"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b w:val="1"/>
          <w:bCs w:val="1"/>
          <w:color w:val="auto"/>
        </w:rPr>
        <w:t>Minimum Vesting Period.</w:t>
      </w:r>
      <w:r>
        <w:rPr>
          <w:rFonts w:ascii="Arial" w:cs="Arial" w:eastAsia="Arial" w:hAnsi="Arial"/>
          <w:sz w:val="14"/>
          <w:szCs w:val="14"/>
          <w:color w:val="auto"/>
        </w:rPr>
        <w:t xml:space="preserve"> Other Share-Based Awards granted under the Plan shall have a minimum vesting period (which may vest in ratable increments or other 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XI</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Cash-Based Awards</w:t>
      </w:r>
    </w:p>
    <w:p>
      <w:pPr>
        <w:spacing w:after="0" w:line="188" w:lineRule="exact"/>
        <w:rPr>
          <w:sz w:val="20"/>
          <w:szCs w:val="20"/>
          <w:color w:val="auto"/>
        </w:rPr>
      </w:pPr>
    </w:p>
    <w:p>
      <w:pPr>
        <w:ind w:left="200" w:right="180" w:firstLine="771"/>
        <w:spacing w:after="0" w:line="275"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b w:val="1"/>
          <w:bCs w:val="1"/>
          <w:color w:val="auto"/>
        </w:rPr>
        <w:t>Authority to Grant Cash-Based Awards.</w:t>
      </w:r>
      <w:r>
        <w:rPr>
          <w:rFonts w:ascii="Arial" w:cs="Arial" w:eastAsia="Arial" w:hAnsi="Arial"/>
          <w:sz w:val="12"/>
          <w:szCs w:val="12"/>
          <w:color w:val="auto"/>
        </w:rPr>
        <w:t xml:space="preserve"> Subject to the terms and provisions of the Plan, the Committee, at any time, and from time to time, may grant Awards of 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3"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C-10</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Value of Cash-Based Award.</w:t>
      </w:r>
      <w:r>
        <w:rPr>
          <w:rFonts w:ascii="Arial" w:cs="Arial" w:eastAsia="Arial" w:hAnsi="Arial"/>
          <w:sz w:val="14"/>
          <w:szCs w:val="14"/>
          <w:color w:val="auto"/>
        </w:rPr>
        <w:t xml:space="preserve"> Each Cash-Based Award shall specify a payment amount or payment range (including manner of calculation or determination) as determined by the Committee.</w:t>
      </w:r>
    </w:p>
    <w:p>
      <w:pPr>
        <w:spacing w:after="0" w:line="182"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b w:val="1"/>
          <w:bCs w:val="1"/>
          <w:color w:val="auto"/>
        </w:rPr>
        <w:t xml:space="preserve">Payment of Cash-Based Award. </w:t>
      </w:r>
      <w:r>
        <w:rPr>
          <w:rFonts w:ascii="Arial" w:cs="Arial" w:eastAsia="Arial" w:hAnsi="Arial"/>
          <w:sz w:val="12"/>
          <w:szCs w:val="12"/>
          <w:color w:val="auto"/>
        </w:rPr>
        <w:t>Payment, if any, with respect to a Cash-Based Award shall be made in accordance with the terms of the Award, in cash.</w:t>
      </w:r>
    </w:p>
    <w:p>
      <w:pPr>
        <w:spacing w:after="0" w:line="204" w:lineRule="exact"/>
        <w:rPr>
          <w:sz w:val="20"/>
          <w:szCs w:val="20"/>
          <w:color w:val="auto"/>
        </w:rPr>
      </w:pPr>
    </w:p>
    <w:p>
      <w:pPr>
        <w:jc w:val="both"/>
        <w:ind w:left="200" w:right="220" w:firstLine="771"/>
        <w:spacing w:after="0" w:line="236"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color w:val="auto"/>
        </w:rPr>
        <w:t>Termination of Employment.</w:t>
      </w:r>
      <w:r>
        <w:rPr>
          <w:rFonts w:ascii="Arial" w:cs="Arial" w:eastAsia="Arial" w:hAnsi="Arial"/>
          <w:sz w:val="14"/>
          <w:szCs w:val="14"/>
          <w:color w:val="auto"/>
        </w:rPr>
        <w:t xml:space="preserve"> The Committee shall determine the extent to which a Holder’s rights with respect to Cash-Based Awards shall be affected by the Holder’s Termination of Employment. Such provisions shall be determined in the sole discretion of the Committee and need not be uniform among all Cash-Based Awards issued pursuant to the Plan.</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XII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Substitution Awards</w:t>
      </w:r>
    </w:p>
    <w:p>
      <w:pPr>
        <w:spacing w:after="0" w:line="204" w:lineRule="exact"/>
        <w:rPr>
          <w:sz w:val="20"/>
          <w:szCs w:val="20"/>
          <w:color w:val="auto"/>
        </w:rPr>
      </w:pPr>
    </w:p>
    <w:p>
      <w:pPr>
        <w:ind w:left="200" w:right="60" w:firstLine="771"/>
        <w:spacing w:after="0" w:line="224" w:lineRule="auto"/>
        <w:rPr>
          <w:sz w:val="20"/>
          <w:szCs w:val="20"/>
          <w:color w:val="auto"/>
        </w:rPr>
      </w:pPr>
      <w:r>
        <w:rPr>
          <w:rFonts w:ascii="Arial" w:cs="Arial" w:eastAsia="Arial" w:hAnsi="Arial"/>
          <w:sz w:val="14"/>
          <w:szCs w:val="14"/>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ARTICLE XIII</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Administration</w:t>
      </w:r>
    </w:p>
    <w:p>
      <w:pPr>
        <w:spacing w:after="0" w:line="188"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2"/>
          <w:szCs w:val="12"/>
          <w:color w:val="auto"/>
        </w:rPr>
        <w:t xml:space="preserve">13.1 </w:t>
      </w:r>
      <w:r>
        <w:rPr>
          <w:rFonts w:ascii="Arial" w:cs="Arial" w:eastAsia="Arial" w:hAnsi="Arial"/>
          <w:sz w:val="12"/>
          <w:szCs w:val="12"/>
          <w:b w:val="1"/>
          <w:bCs w:val="1"/>
          <w:color w:val="auto"/>
        </w:rPr>
        <w:t>Awards.</w:t>
      </w:r>
      <w:r>
        <w:rPr>
          <w:rFonts w:ascii="Arial" w:cs="Arial" w:eastAsia="Arial" w:hAnsi="Arial"/>
          <w:sz w:val="12"/>
          <w:szCs w:val="12"/>
          <w:color w:val="auto"/>
        </w:rPr>
        <w:t xml:space="preserve"> The Plan shall be administered by the Committee. The members of the Committee shall serve at the discretion of the Board. The Committee shall have full 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56" w:lineRule="exact"/>
        <w:rPr>
          <w:sz w:val="20"/>
          <w:szCs w:val="20"/>
          <w:color w:val="auto"/>
        </w:rPr>
      </w:pPr>
    </w:p>
    <w:p>
      <w:pPr>
        <w:ind w:left="200" w:firstLine="771"/>
        <w:spacing w:after="0" w:line="227"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Authority of the Committee.</w:t>
      </w:r>
      <w:r>
        <w:rPr>
          <w:rFonts w:ascii="Arial" w:cs="Arial" w:eastAsia="Arial" w:hAnsi="Arial"/>
          <w:sz w:val="14"/>
          <w:szCs w:val="14"/>
          <w:color w:val="auto"/>
        </w:rPr>
        <w:t xml:space="preserve"> The Committee may adopt its own rules of procedure. A majority of the members of the Committee shall constitute a 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206" w:lineRule="exact"/>
        <w:rPr>
          <w:sz w:val="20"/>
          <w:szCs w:val="20"/>
          <w:color w:val="auto"/>
        </w:rPr>
      </w:pPr>
    </w:p>
    <w:p>
      <w:pPr>
        <w:ind w:left="1600" w:hanging="625"/>
        <w:spacing w:after="0"/>
        <w:tabs>
          <w:tab w:leader="none" w:pos="160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Designate Holders to receive Awards;</w:t>
      </w:r>
    </w:p>
    <w:p>
      <w:pPr>
        <w:spacing w:after="0" w:line="203" w:lineRule="exact"/>
        <w:rPr>
          <w:rFonts w:ascii="Arial" w:cs="Arial" w:eastAsia="Arial" w:hAnsi="Arial"/>
          <w:sz w:val="14"/>
          <w:szCs w:val="14"/>
          <w:color w:val="auto"/>
        </w:rPr>
      </w:pPr>
    </w:p>
    <w:p>
      <w:pPr>
        <w:ind w:left="1600" w:hanging="625"/>
        <w:spacing w:after="0"/>
        <w:tabs>
          <w:tab w:leader="none" w:pos="160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Determine the type or types of Awards to be granted to each Holder;</w:t>
      </w:r>
    </w:p>
    <w:p>
      <w:pPr>
        <w:spacing w:after="0" w:line="203" w:lineRule="exact"/>
        <w:rPr>
          <w:rFonts w:ascii="Arial" w:cs="Arial" w:eastAsia="Arial" w:hAnsi="Arial"/>
          <w:sz w:val="14"/>
          <w:szCs w:val="14"/>
          <w:color w:val="auto"/>
        </w:rPr>
      </w:pPr>
    </w:p>
    <w:p>
      <w:pPr>
        <w:ind w:left="1580" w:hanging="605"/>
        <w:spacing w:after="0"/>
        <w:tabs>
          <w:tab w:leader="none" w:pos="15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Determine the number of Awards to be granted and the number of Shares to which an Award will relate;</w:t>
      </w:r>
    </w:p>
    <w:p>
      <w:pPr>
        <w:spacing w:after="0" w:line="203" w:lineRule="exact"/>
        <w:rPr>
          <w:rFonts w:ascii="Arial" w:cs="Arial" w:eastAsia="Arial" w:hAnsi="Arial"/>
          <w:sz w:val="14"/>
          <w:szCs w:val="14"/>
          <w:color w:val="auto"/>
        </w:rPr>
      </w:pPr>
    </w:p>
    <w:p>
      <w:pPr>
        <w:ind w:left="200" w:right="20" w:firstLine="775"/>
        <w:spacing w:after="0" w:line="268" w:lineRule="auto"/>
        <w:tabs>
          <w:tab w:leader="none" w:pos="1587" w:val="left"/>
        </w:tabs>
        <w:numPr>
          <w:ilvl w:val="0"/>
          <w:numId w:val="247"/>
        </w:numPr>
        <w:rPr>
          <w:rFonts w:ascii="Arial" w:cs="Arial" w:eastAsia="Arial" w:hAnsi="Arial"/>
          <w:sz w:val="12"/>
          <w:szCs w:val="12"/>
          <w:color w:val="auto"/>
        </w:rPr>
      </w:pPr>
      <w:r>
        <w:rPr>
          <w:rFonts w:ascii="Arial" w:cs="Arial" w:eastAsia="Arial" w:hAnsi="Arial"/>
          <w:sz w:val="12"/>
          <w:szCs w:val="12"/>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88" w:lineRule="exact"/>
        <w:rPr>
          <w:rFonts w:ascii="Arial" w:cs="Arial" w:eastAsia="Arial" w:hAnsi="Arial"/>
          <w:sz w:val="12"/>
          <w:szCs w:val="12"/>
          <w:color w:val="auto"/>
        </w:rPr>
      </w:pPr>
    </w:p>
    <w:p>
      <w:pPr>
        <w:jc w:val="both"/>
        <w:ind w:left="200" w:right="120" w:firstLine="775"/>
        <w:spacing w:after="0" w:line="300" w:lineRule="auto"/>
        <w:tabs>
          <w:tab w:leader="none" w:pos="1587" w:val="left"/>
        </w:tabs>
        <w:numPr>
          <w:ilvl w:val="0"/>
          <w:numId w:val="247"/>
        </w:numPr>
        <w:rPr>
          <w:rFonts w:ascii="Arial" w:cs="Arial" w:eastAsia="Arial" w:hAnsi="Arial"/>
          <w:sz w:val="12"/>
          <w:szCs w:val="12"/>
          <w:color w:val="auto"/>
        </w:rPr>
      </w:pPr>
      <w:r>
        <w:rPr>
          <w:rFonts w:ascii="Arial" w:cs="Arial" w:eastAsia="Arial" w:hAnsi="Arial"/>
          <w:sz w:val="12"/>
          <w:szCs w:val="12"/>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68" w:lineRule="exact"/>
        <w:rPr>
          <w:rFonts w:ascii="Arial" w:cs="Arial" w:eastAsia="Arial" w:hAnsi="Arial"/>
          <w:sz w:val="12"/>
          <w:szCs w:val="12"/>
          <w:color w:val="auto"/>
        </w:rPr>
      </w:pPr>
    </w:p>
    <w:p>
      <w:pPr>
        <w:ind w:left="1560" w:hanging="585"/>
        <w:spacing w:after="0"/>
        <w:tabs>
          <w:tab w:leader="none" w:pos="156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Prescribe the form of each Award Agreement, which need not be identical for each Holder;</w:t>
      </w:r>
    </w:p>
    <w:p>
      <w:pPr>
        <w:spacing w:after="0" w:line="203" w:lineRule="exact"/>
        <w:rPr>
          <w:rFonts w:ascii="Arial" w:cs="Arial" w:eastAsia="Arial" w:hAnsi="Arial"/>
          <w:sz w:val="14"/>
          <w:szCs w:val="14"/>
          <w:color w:val="auto"/>
        </w:rPr>
      </w:pPr>
    </w:p>
    <w:p>
      <w:pPr>
        <w:ind w:left="1600" w:hanging="625"/>
        <w:spacing w:after="0"/>
        <w:tabs>
          <w:tab w:leader="none" w:pos="160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Decide all other matters that must be determined in connection with an Award;</w:t>
      </w:r>
    </w:p>
    <w:p>
      <w:pPr>
        <w:spacing w:after="0" w:line="203" w:lineRule="exact"/>
        <w:rPr>
          <w:rFonts w:ascii="Arial" w:cs="Arial" w:eastAsia="Arial" w:hAnsi="Arial"/>
          <w:sz w:val="14"/>
          <w:szCs w:val="14"/>
          <w:color w:val="auto"/>
        </w:rPr>
      </w:pPr>
    </w:p>
    <w:p>
      <w:pPr>
        <w:ind w:left="200" w:right="100" w:firstLine="775"/>
        <w:spacing w:after="0" w:line="272" w:lineRule="auto"/>
        <w:tabs>
          <w:tab w:leader="none" w:pos="1587" w:val="left"/>
        </w:tabs>
        <w:numPr>
          <w:ilvl w:val="0"/>
          <w:numId w:val="247"/>
        </w:numPr>
        <w:rPr>
          <w:rFonts w:ascii="Arial" w:cs="Arial" w:eastAsia="Arial" w:hAnsi="Arial"/>
          <w:sz w:val="12"/>
          <w:szCs w:val="12"/>
          <w:color w:val="auto"/>
        </w:rPr>
      </w:pPr>
      <w:r>
        <w:rPr>
          <w:rFonts w:ascii="Arial" w:cs="Arial" w:eastAsia="Arial" w:hAnsi="Arial"/>
          <w:sz w:val="12"/>
          <w:szCs w:val="12"/>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4" w:lineRule="exact"/>
        <w:rPr>
          <w:rFonts w:ascii="Arial" w:cs="Arial" w:eastAsia="Arial" w:hAnsi="Arial"/>
          <w:sz w:val="12"/>
          <w:szCs w:val="12"/>
          <w:color w:val="auto"/>
        </w:rPr>
      </w:pPr>
    </w:p>
    <w:p>
      <w:pPr>
        <w:ind w:left="1540" w:hanging="565"/>
        <w:spacing w:after="0"/>
        <w:tabs>
          <w:tab w:leader="none" w:pos="154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Interpret the terms of, and any matter arising pursuant to, the Plan, any sub-plan or Award Agreement;</w:t>
      </w:r>
    </w:p>
    <w:p>
      <w:pPr>
        <w:spacing w:after="0" w:line="203" w:lineRule="exact"/>
        <w:rPr>
          <w:rFonts w:ascii="Arial" w:cs="Arial" w:eastAsia="Arial" w:hAnsi="Arial"/>
          <w:sz w:val="14"/>
          <w:szCs w:val="14"/>
          <w:color w:val="auto"/>
        </w:rPr>
      </w:pPr>
    </w:p>
    <w:p>
      <w:pPr>
        <w:ind w:left="200" w:right="160" w:firstLine="775"/>
        <w:spacing w:after="0" w:line="231" w:lineRule="auto"/>
        <w:tabs>
          <w:tab w:leader="none" w:pos="154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C-11</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580" w:hanging="605"/>
        <w:spacing w:after="0"/>
        <w:tabs>
          <w:tab w:leader="none" w:pos="158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As permitted by law and stock exchange rules and the terms and provisions of the Plan, the Committee may delegate its authority as identified in this</w:t>
      </w:r>
    </w:p>
    <w:p>
      <w:pPr>
        <w:ind w:left="200"/>
        <w:spacing w:after="0"/>
        <w:rPr>
          <w:rFonts w:ascii="Arial" w:cs="Arial" w:eastAsia="Arial" w:hAnsi="Arial"/>
          <w:sz w:val="14"/>
          <w:szCs w:val="14"/>
          <w:color w:val="auto"/>
        </w:rPr>
      </w:pPr>
      <w:r>
        <w:rPr>
          <w:rFonts w:ascii="Arial" w:cs="Arial" w:eastAsia="Arial" w:hAnsi="Arial"/>
          <w:sz w:val="14"/>
          <w:szCs w:val="14"/>
          <w:color w:val="auto"/>
        </w:rPr>
        <w:t>Section 13.2; and</w:t>
      </w:r>
    </w:p>
    <w:p>
      <w:pPr>
        <w:spacing w:after="0" w:line="203" w:lineRule="exact"/>
        <w:rPr>
          <w:rFonts w:ascii="Arial" w:cs="Arial" w:eastAsia="Arial" w:hAnsi="Arial"/>
          <w:sz w:val="14"/>
          <w:szCs w:val="14"/>
          <w:color w:val="auto"/>
        </w:rPr>
      </w:pPr>
    </w:p>
    <w:p>
      <w:pPr>
        <w:ind w:left="200" w:right="40" w:firstLine="775"/>
        <w:spacing w:after="0" w:line="231" w:lineRule="auto"/>
        <w:tabs>
          <w:tab w:leader="none" w:pos="154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87" w:lineRule="exact"/>
        <w:rPr>
          <w:sz w:val="20"/>
          <w:szCs w:val="20"/>
          <w:color w:val="auto"/>
        </w:rPr>
      </w:pPr>
    </w:p>
    <w:p>
      <w:pPr>
        <w:ind w:left="200" w:right="80" w:firstLine="771"/>
        <w:spacing w:after="0" w:line="236"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Decisions Binding.</w:t>
      </w:r>
      <w:r>
        <w:rPr>
          <w:rFonts w:ascii="Arial" w:cs="Arial" w:eastAsia="Arial" w:hAnsi="Arial"/>
          <w:sz w:val="14"/>
          <w:szCs w:val="14"/>
          <w:color w:val="auto"/>
        </w:rPr>
        <w:t xml:space="preserve"> All determinations and decisions made by the Committee or the Board, as the case may be, pursuant to the provisions of the Plan and all related orders and resolutions of the Committee or the Board, as the case may be, shall be final, conclusive and binding on all persons, including the Company, the Holders and the estates and beneficiaries of Holders.</w:t>
      </w:r>
    </w:p>
    <w:p>
      <w:pPr>
        <w:spacing w:after="0" w:line="187" w:lineRule="exact"/>
        <w:rPr>
          <w:sz w:val="20"/>
          <w:szCs w:val="20"/>
          <w:color w:val="auto"/>
        </w:rPr>
      </w:pPr>
    </w:p>
    <w:p>
      <w:pPr>
        <w:ind w:left="200" w:right="280" w:firstLine="771"/>
        <w:spacing w:after="0" w:line="270"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b w:val="1"/>
          <w:bCs w:val="1"/>
          <w:color w:val="auto"/>
        </w:rPr>
        <w:t>No Liability to Holders.</w:t>
      </w:r>
      <w:r>
        <w:rPr>
          <w:rFonts w:ascii="Arial" w:cs="Arial" w:eastAsia="Arial" w:hAnsi="Arial"/>
          <w:sz w:val="12"/>
          <w:szCs w:val="12"/>
          <w:color w:val="auto"/>
        </w:rPr>
        <w:t xml:space="preserve"> The Committee may employ attorneys, consultants, accountants, appraisers, brokers or other persons and the Committee, 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XIV</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Amendment or Termination of Plan</w:t>
      </w:r>
    </w:p>
    <w:p>
      <w:pPr>
        <w:spacing w:after="0" w:line="188"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b w:val="1"/>
          <w:bCs w:val="1"/>
          <w:color w:val="auto"/>
        </w:rPr>
        <w:t>Amendment, Modification, Suspension, and Termination.</w:t>
      </w:r>
      <w:r>
        <w:rPr>
          <w:rFonts w:ascii="Arial" w:cs="Arial" w:eastAsia="Arial" w:hAnsi="Arial"/>
          <w:sz w:val="14"/>
          <w:szCs w:val="14"/>
          <w:color w:val="auto"/>
        </w:rPr>
        <w:t xml:space="preserve"> Subject to Section 14.2, the Board may, at any time and from time to time, alter, amend, 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187" w:lineRule="exact"/>
        <w:rPr>
          <w:sz w:val="20"/>
          <w:szCs w:val="20"/>
          <w:color w:val="auto"/>
        </w:rPr>
      </w:pPr>
    </w:p>
    <w:p>
      <w:pPr>
        <w:ind w:left="200" w:right="20" w:firstLine="771"/>
        <w:spacing w:after="0" w:line="232"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Awards Previously Granted.</w:t>
      </w:r>
      <w:r>
        <w:rPr>
          <w:rFonts w:ascii="Arial" w:cs="Arial" w:eastAsia="Arial" w:hAnsi="Arial"/>
          <w:sz w:val="14"/>
          <w:szCs w:val="14"/>
          <w:color w:val="auto"/>
        </w:rPr>
        <w:t xml:space="preserve"> Notwithstanding any contrary provision of the Plan, no alteration, amendment, restatement, modification, suspension or termination of the Plan or an Award Agreement shall adversely affect in any material way any Award previously granted under the Plan, without the written consent of the Holder holding such Award. For the avoidance of doubt, no amendment or restatement of the Plan shall affect the terms and conditions of any Award, to the extent that it would result in a material modification of such Award within the meaning of P.L. 115-97, Section 13601(e)(2), and any guidance issued thereunder.</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ARTICLE XV</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Miscellaneous</w:t>
      </w:r>
    </w:p>
    <w:p>
      <w:pPr>
        <w:spacing w:after="0" w:line="188" w:lineRule="exact"/>
        <w:rPr>
          <w:sz w:val="20"/>
          <w:szCs w:val="20"/>
          <w:color w:val="auto"/>
        </w:rPr>
      </w:pPr>
    </w:p>
    <w:p>
      <w:pPr>
        <w:ind w:left="200" w:firstLine="771"/>
        <w:spacing w:after="0" w:line="227"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Unfunded Plan/No Establishment of a Trust Fund.</w:t>
      </w:r>
      <w:r>
        <w:rPr>
          <w:rFonts w:ascii="Arial" w:cs="Arial" w:eastAsia="Arial" w:hAnsi="Arial"/>
          <w:sz w:val="14"/>
          <w:szCs w:val="14"/>
          <w:color w:val="auto"/>
        </w:rPr>
        <w:t xml:space="preserve"> Holders shall have no right, title, or interest whatsoever in or to any investments that the 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90" w:lineRule="exact"/>
        <w:rPr>
          <w:sz w:val="20"/>
          <w:szCs w:val="20"/>
          <w:color w:val="auto"/>
        </w:rPr>
      </w:pPr>
    </w:p>
    <w:p>
      <w:pPr>
        <w:ind w:left="200" w:right="40" w:firstLine="771"/>
        <w:spacing w:after="0" w:line="230"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color w:val="auto"/>
        </w:rPr>
        <w:t>No Employment Obligation.</w:t>
      </w:r>
      <w:r>
        <w:rPr>
          <w:rFonts w:ascii="Arial" w:cs="Arial" w:eastAsia="Arial" w:hAnsi="Arial"/>
          <w:sz w:val="14"/>
          <w:szCs w:val="14"/>
          <w:color w:val="auto"/>
        </w:rPr>
        <w:t xml:space="preserve"> The granting of any Award shall not constitute an employment or service contract, express or implied, alter any “at will” employment 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87" w:lineRule="exact"/>
        <w:rPr>
          <w:sz w:val="20"/>
          <w:szCs w:val="20"/>
          <w:color w:val="auto"/>
        </w:rPr>
      </w:pPr>
    </w:p>
    <w:p>
      <w:pPr>
        <w:ind w:left="200" w:right="20" w:firstLine="771"/>
        <w:spacing w:after="0" w:line="267" w:lineRule="auto"/>
        <w:rPr>
          <w:sz w:val="20"/>
          <w:szCs w:val="20"/>
          <w:color w:val="auto"/>
        </w:rPr>
      </w:pPr>
      <w:r>
        <w:rPr>
          <w:rFonts w:ascii="Arial" w:cs="Arial" w:eastAsia="Arial" w:hAnsi="Arial"/>
          <w:sz w:val="12"/>
          <w:szCs w:val="12"/>
          <w:color w:val="auto"/>
        </w:rPr>
        <w:t xml:space="preserve">15.3 </w:t>
      </w:r>
      <w:r>
        <w:rPr>
          <w:rFonts w:ascii="Arial" w:cs="Arial" w:eastAsia="Arial" w:hAnsi="Arial"/>
          <w:sz w:val="12"/>
          <w:szCs w:val="12"/>
          <w:b w:val="1"/>
          <w:bCs w:val="1"/>
          <w:color w:val="auto"/>
        </w:rPr>
        <w:t>Transfers and Leaves of Absence.</w:t>
      </w:r>
      <w:r>
        <w:rPr>
          <w:rFonts w:ascii="Arial" w:cs="Arial" w:eastAsia="Arial" w:hAnsi="Arial"/>
          <w:sz w:val="12"/>
          <w:szCs w:val="12"/>
          <w:color w:val="auto"/>
        </w:rPr>
        <w:t xml:space="preserve"> For purposes of the Plan, unless the Committee determines otherwise: (a) a transfer of a Holder’s employment 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325" w:lineRule="exact"/>
        <w:rPr>
          <w:sz w:val="20"/>
          <w:szCs w:val="20"/>
          <w:color w:val="auto"/>
        </w:rPr>
      </w:pPr>
    </w:p>
    <w:p>
      <w:pPr>
        <w:ind w:left="200" w:right="240" w:firstLine="771"/>
        <w:spacing w:after="0" w:line="267"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b w:val="1"/>
          <w:bCs w:val="1"/>
          <w:color w:val="auto"/>
        </w:rPr>
        <w:t>Tax Withholding.</w:t>
      </w:r>
      <w:r>
        <w:rPr>
          <w:rFonts w:ascii="Arial" w:cs="Arial" w:eastAsia="Arial" w:hAnsi="Arial"/>
          <w:sz w:val="12"/>
          <w:szCs w:val="12"/>
          <w:color w:val="auto"/>
        </w:rPr>
        <w:t xml:space="preserve"> The Company or any Affiliate shall have the authority and right to deduct or withhold or require a Holder to remit to the Company or any Affiliate, 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w:t>
      </w:r>
    </w:p>
    <w:p>
      <w:pPr>
        <w:spacing w:after="0" w:line="1" w:lineRule="exact"/>
        <w:rPr>
          <w:sz w:val="20"/>
          <w:szCs w:val="20"/>
          <w:color w:val="auto"/>
        </w:rPr>
      </w:pPr>
    </w:p>
    <w:p>
      <w:pPr>
        <w:ind w:left="200" w:right="60" w:firstLine="4"/>
        <w:spacing w:after="0" w:line="224" w:lineRule="auto"/>
        <w:tabs>
          <w:tab w:leader="none" w:pos="403" w:val="left"/>
        </w:tabs>
        <w:numPr>
          <w:ilvl w:val="0"/>
          <w:numId w:val="249"/>
        </w:numPr>
        <w:rPr>
          <w:rFonts w:ascii="Arial" w:cs="Arial" w:eastAsia="Arial" w:hAnsi="Arial"/>
          <w:sz w:val="14"/>
          <w:szCs w:val="14"/>
          <w:color w:val="auto"/>
        </w:rPr>
      </w:pPr>
      <w:r>
        <w:rPr>
          <w:rFonts w:ascii="Arial" w:cs="Arial" w:eastAsia="Arial" w:hAnsi="Arial"/>
          <w:sz w:val="14"/>
          <w:szCs w:val="14"/>
          <w:color w:val="auto"/>
        </w:rPr>
        <w:t>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(but not in excess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4"/>
          <w:szCs w:val="14"/>
          <w:b w:val="1"/>
          <w:bCs w:val="1"/>
          <w:color w:val="666666"/>
        </w:rPr>
        <w:t>C-12</w:t>
      </w:r>
      <w:r>
        <w:rPr>
          <w:sz w:val="20"/>
          <w:szCs w:val="20"/>
          <w:color w:val="auto"/>
        </w:rPr>
        <w:tab/>
      </w:r>
      <w:r>
        <w:rPr>
          <w:rFonts w:ascii="Arial" w:cs="Arial" w:eastAsia="Arial" w:hAnsi="Arial"/>
          <w:sz w:val="14"/>
          <w:szCs w:val="14"/>
          <w:color w:val="666666"/>
        </w:rPr>
        <w:t>Weatherford International plc — 2019 Proxy Statement</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28" w:lineRule="auto"/>
        <w:rPr>
          <w:sz w:val="20"/>
          <w:szCs w:val="20"/>
          <w:color w:val="auto"/>
        </w:rPr>
      </w:pPr>
      <w:r>
        <w:rPr>
          <w:rFonts w:ascii="Arial" w:cs="Arial" w:eastAsia="Arial" w:hAnsi="Arial"/>
          <w:sz w:val="14"/>
          <w:szCs w:val="14"/>
          <w:color w:val="auto"/>
        </w:rPr>
        <w:t>the maximum amount permitted for tax withholding).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87" w:lineRule="exact"/>
        <w:rPr>
          <w:sz w:val="20"/>
          <w:szCs w:val="20"/>
          <w:color w:val="auto"/>
        </w:rPr>
      </w:pPr>
    </w:p>
    <w:p>
      <w:pPr>
        <w:ind w:left="200" w:right="80" w:firstLine="771"/>
        <w:spacing w:after="0" w:line="247" w:lineRule="auto"/>
        <w:rPr>
          <w:sz w:val="20"/>
          <w:szCs w:val="20"/>
          <w:color w:val="auto"/>
        </w:rPr>
      </w:pPr>
      <w:r>
        <w:rPr>
          <w:rFonts w:ascii="Arial" w:cs="Arial" w:eastAsia="Arial" w:hAnsi="Arial"/>
          <w:sz w:val="14"/>
          <w:szCs w:val="14"/>
          <w:color w:val="auto"/>
        </w:rPr>
        <w:t xml:space="preserve">15.5 </w:t>
      </w:r>
      <w:r>
        <w:rPr>
          <w:rFonts w:ascii="Arial" w:cs="Arial" w:eastAsia="Arial" w:hAnsi="Arial"/>
          <w:sz w:val="14"/>
          <w:szCs w:val="14"/>
          <w:b w:val="1"/>
          <w:bCs w:val="1"/>
          <w:color w:val="auto"/>
        </w:rPr>
        <w:t>Gender and Number.</w:t>
      </w:r>
      <w:r>
        <w:rPr>
          <w:rFonts w:ascii="Arial" w:cs="Arial" w:eastAsia="Arial" w:hAnsi="Arial"/>
          <w:sz w:val="14"/>
          <w:szCs w:val="14"/>
          <w:color w:val="auto"/>
        </w:rPr>
        <w:t xml:space="preserve"> If the context requires, words of one gender when used in the Plan shall include the other and words used in the singular or plural shall include the other.</w:t>
      </w:r>
    </w:p>
    <w:p>
      <w:pPr>
        <w:spacing w:after="0" w:line="182" w:lineRule="exact"/>
        <w:rPr>
          <w:sz w:val="20"/>
          <w:szCs w:val="20"/>
          <w:color w:val="auto"/>
        </w:rPr>
      </w:pPr>
    </w:p>
    <w:p>
      <w:pPr>
        <w:ind w:left="200" w:right="40" w:firstLine="771"/>
        <w:spacing w:after="0" w:line="247" w:lineRule="auto"/>
        <w:rPr>
          <w:sz w:val="20"/>
          <w:szCs w:val="20"/>
          <w:color w:val="auto"/>
        </w:rPr>
      </w:pPr>
      <w:r>
        <w:rPr>
          <w:rFonts w:ascii="Arial" w:cs="Arial" w:eastAsia="Arial" w:hAnsi="Arial"/>
          <w:sz w:val="14"/>
          <w:szCs w:val="14"/>
          <w:color w:val="auto"/>
        </w:rPr>
        <w:t xml:space="preserve">15.6 </w:t>
      </w:r>
      <w:r>
        <w:rPr>
          <w:rFonts w:ascii="Arial" w:cs="Arial" w:eastAsia="Arial" w:hAnsi="Arial"/>
          <w:sz w:val="14"/>
          <w:szCs w:val="14"/>
          <w:b w:val="1"/>
          <w:bCs w:val="1"/>
          <w:color w:val="auto"/>
        </w:rPr>
        <w:t>Severability.</w:t>
      </w:r>
      <w:r>
        <w:rPr>
          <w:rFonts w:ascii="Arial" w:cs="Arial" w:eastAsia="Arial" w:hAnsi="Arial"/>
          <w:sz w:val="14"/>
          <w:szCs w:val="14"/>
          <w:color w:val="auto"/>
        </w:rPr>
        <w:t xml:space="preserve">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2" w:lineRule="exact"/>
        <w:rPr>
          <w:sz w:val="20"/>
          <w:szCs w:val="20"/>
          <w:color w:val="auto"/>
        </w:rPr>
      </w:pPr>
    </w:p>
    <w:p>
      <w:pPr>
        <w:ind w:left="200" w:right="280" w:firstLine="771"/>
        <w:spacing w:after="0" w:line="247" w:lineRule="auto"/>
        <w:rPr>
          <w:sz w:val="20"/>
          <w:szCs w:val="20"/>
          <w:color w:val="auto"/>
        </w:rPr>
      </w:pPr>
      <w:r>
        <w:rPr>
          <w:rFonts w:ascii="Arial" w:cs="Arial" w:eastAsia="Arial" w:hAnsi="Arial"/>
          <w:sz w:val="14"/>
          <w:szCs w:val="14"/>
          <w:color w:val="auto"/>
        </w:rPr>
        <w:t xml:space="preserve">15.7 </w:t>
      </w:r>
      <w:r>
        <w:rPr>
          <w:rFonts w:ascii="Arial" w:cs="Arial" w:eastAsia="Arial" w:hAnsi="Arial"/>
          <w:sz w:val="14"/>
          <w:szCs w:val="14"/>
          <w:b w:val="1"/>
          <w:bCs w:val="1"/>
          <w:color w:val="auto"/>
        </w:rPr>
        <w:t>Headings.</w:t>
      </w:r>
      <w:r>
        <w:rPr>
          <w:rFonts w:ascii="Arial" w:cs="Arial" w:eastAsia="Arial" w:hAnsi="Arial"/>
          <w:sz w:val="14"/>
          <w:szCs w:val="14"/>
          <w:color w:val="auto"/>
        </w:rPr>
        <w:t xml:space="preserve"> Headings of Articles and Sections are included for convenience of reference only and do not constitute part of the Plan and shall not be used in construing the terms and provisions of the Plan.</w:t>
      </w:r>
    </w:p>
    <w:p>
      <w:pPr>
        <w:spacing w:after="0" w:line="182" w:lineRule="exact"/>
        <w:rPr>
          <w:sz w:val="20"/>
          <w:szCs w:val="20"/>
          <w:color w:val="auto"/>
        </w:rPr>
      </w:pPr>
    </w:p>
    <w:p>
      <w:pPr>
        <w:ind w:left="200" w:right="200" w:firstLine="771"/>
        <w:spacing w:after="0" w:line="247" w:lineRule="auto"/>
        <w:rPr>
          <w:sz w:val="20"/>
          <w:szCs w:val="20"/>
          <w:color w:val="auto"/>
        </w:rPr>
      </w:pPr>
      <w:r>
        <w:rPr>
          <w:rFonts w:ascii="Arial" w:cs="Arial" w:eastAsia="Arial" w:hAnsi="Arial"/>
          <w:sz w:val="14"/>
          <w:szCs w:val="14"/>
          <w:color w:val="auto"/>
        </w:rPr>
        <w:t xml:space="preserve">15.8 </w:t>
      </w:r>
      <w:r>
        <w:rPr>
          <w:rFonts w:ascii="Arial" w:cs="Arial" w:eastAsia="Arial" w:hAnsi="Arial"/>
          <w:sz w:val="14"/>
          <w:szCs w:val="14"/>
          <w:b w:val="1"/>
          <w:bCs w:val="1"/>
          <w:color w:val="auto"/>
        </w:rPr>
        <w:t>Other Compensation Plans.</w:t>
      </w:r>
      <w:r>
        <w:rPr>
          <w:rFonts w:ascii="Arial" w:cs="Arial" w:eastAsia="Arial" w:hAnsi="Arial"/>
          <w:sz w:val="14"/>
          <w:szCs w:val="14"/>
          <w:color w:val="auto"/>
        </w:rPr>
        <w:t xml:space="preserve"> The adoption of the Plan shall not affect any outstanding options, restricted shares or restricted share units, nor shall the Plan preclude the Company from establishing any other forms of incentive compensation arrangements for Employees or Directors.</w:t>
      </w:r>
    </w:p>
    <w:p>
      <w:pPr>
        <w:spacing w:after="0" w:line="182" w:lineRule="exact"/>
        <w:rPr>
          <w:sz w:val="20"/>
          <w:szCs w:val="20"/>
          <w:color w:val="auto"/>
        </w:rPr>
      </w:pPr>
    </w:p>
    <w:p>
      <w:pPr>
        <w:ind w:left="200" w:right="140" w:firstLine="771"/>
        <w:spacing w:after="0" w:line="247" w:lineRule="auto"/>
        <w:rPr>
          <w:sz w:val="20"/>
          <w:szCs w:val="20"/>
          <w:color w:val="auto"/>
        </w:rPr>
      </w:pPr>
      <w:r>
        <w:rPr>
          <w:rFonts w:ascii="Arial" w:cs="Arial" w:eastAsia="Arial" w:hAnsi="Arial"/>
          <w:sz w:val="14"/>
          <w:szCs w:val="14"/>
          <w:color w:val="auto"/>
        </w:rPr>
        <w:t xml:space="preserve">15.9 </w:t>
      </w:r>
      <w:r>
        <w:rPr>
          <w:rFonts w:ascii="Arial" w:cs="Arial" w:eastAsia="Arial" w:hAnsi="Arial"/>
          <w:sz w:val="14"/>
          <w:szCs w:val="14"/>
          <w:b w:val="1"/>
          <w:bCs w:val="1"/>
          <w:color w:val="auto"/>
        </w:rPr>
        <w:t>Other Awards.</w:t>
      </w:r>
      <w:r>
        <w:rPr>
          <w:rFonts w:ascii="Arial" w:cs="Arial" w:eastAsia="Arial" w:hAnsi="Arial"/>
          <w:sz w:val="14"/>
          <w:szCs w:val="14"/>
          <w:color w:val="auto"/>
        </w:rPr>
        <w:t xml:space="preserve"> The grant of an Award shall not confer upon the Holder the right to receive any future or other Awards under the Plan, whether or not Awards may be granted to similarly situated Holders, or the right to receive future Awards upon the same terms or conditions as previously granted.</w:t>
      </w:r>
    </w:p>
    <w:p>
      <w:pPr>
        <w:spacing w:after="0" w:line="182" w:lineRule="exact"/>
        <w:rPr>
          <w:sz w:val="20"/>
          <w:szCs w:val="20"/>
          <w:color w:val="auto"/>
        </w:rPr>
      </w:pPr>
    </w:p>
    <w:p>
      <w:pPr>
        <w:ind w:left="200" w:right="20" w:firstLine="771"/>
        <w:spacing w:after="0" w:line="232" w:lineRule="auto"/>
        <w:rPr>
          <w:sz w:val="20"/>
          <w:szCs w:val="20"/>
          <w:color w:val="auto"/>
        </w:rPr>
      </w:pPr>
      <w:r>
        <w:rPr>
          <w:rFonts w:ascii="Arial" w:cs="Arial" w:eastAsia="Arial" w:hAnsi="Arial"/>
          <w:sz w:val="14"/>
          <w:szCs w:val="14"/>
          <w:color w:val="auto"/>
        </w:rPr>
        <w:t xml:space="preserve">15.10 </w:t>
      </w:r>
      <w:r>
        <w:rPr>
          <w:rFonts w:ascii="Arial" w:cs="Arial" w:eastAsia="Arial" w:hAnsi="Arial"/>
          <w:sz w:val="14"/>
          <w:szCs w:val="14"/>
          <w:b w:val="1"/>
          <w:bCs w:val="1"/>
          <w:color w:val="auto"/>
        </w:rPr>
        <w:t>Successors.</w:t>
      </w:r>
      <w:r>
        <w:rPr>
          <w:rFonts w:ascii="Arial" w:cs="Arial" w:eastAsia="Arial" w:hAnsi="Arial"/>
          <w:sz w:val="14"/>
          <w:szCs w:val="14"/>
          <w:color w:val="auto"/>
        </w:rPr>
        <w:t xml:space="preserve"> All obligations of the Company under the Plan with respect to Awards granted hereunder shall be binding on any successor to the Company or 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88" w:lineRule="exact"/>
        <w:rPr>
          <w:sz w:val="20"/>
          <w:szCs w:val="20"/>
          <w:color w:val="auto"/>
        </w:rPr>
      </w:pPr>
    </w:p>
    <w:p>
      <w:pPr>
        <w:ind w:left="200" w:right="60" w:firstLine="771"/>
        <w:spacing w:after="0" w:line="247" w:lineRule="auto"/>
        <w:rPr>
          <w:sz w:val="20"/>
          <w:szCs w:val="20"/>
          <w:color w:val="auto"/>
        </w:rPr>
      </w:pPr>
      <w:r>
        <w:rPr>
          <w:rFonts w:ascii="Arial" w:cs="Arial" w:eastAsia="Arial" w:hAnsi="Arial"/>
          <w:sz w:val="14"/>
          <w:szCs w:val="14"/>
          <w:color w:val="auto"/>
        </w:rPr>
        <w:t xml:space="preserve">15.11 </w:t>
      </w:r>
      <w:r>
        <w:rPr>
          <w:rFonts w:ascii="Arial" w:cs="Arial" w:eastAsia="Arial" w:hAnsi="Arial"/>
          <w:sz w:val="14"/>
          <w:szCs w:val="14"/>
          <w:b w:val="1"/>
          <w:bCs w:val="1"/>
          <w:color w:val="auto"/>
        </w:rPr>
        <w:t>Law Limitations/Governmental Approvals.</w:t>
      </w:r>
      <w:r>
        <w:rPr>
          <w:rFonts w:ascii="Arial" w:cs="Arial" w:eastAsia="Arial" w:hAnsi="Arial"/>
          <w:sz w:val="14"/>
          <w:szCs w:val="14"/>
          <w:color w:val="auto"/>
        </w:rPr>
        <w:t xml:space="preserve"> The granting of Awards and the issuance of Shares under the Plan shall be subject to all applicable laws, rules, and regulations, and to such approvals by any governmental agencies or securities exchanges as may be required.</w:t>
      </w:r>
    </w:p>
    <w:p>
      <w:pPr>
        <w:spacing w:after="0" w:line="182" w:lineRule="exact"/>
        <w:rPr>
          <w:sz w:val="20"/>
          <w:szCs w:val="20"/>
          <w:color w:val="auto"/>
        </w:rPr>
      </w:pPr>
    </w:p>
    <w:p>
      <w:pPr>
        <w:ind w:left="200" w:right="120" w:firstLine="771"/>
        <w:spacing w:after="0" w:line="247" w:lineRule="auto"/>
        <w:rPr>
          <w:sz w:val="20"/>
          <w:szCs w:val="20"/>
          <w:color w:val="auto"/>
        </w:rPr>
      </w:pPr>
      <w:r>
        <w:rPr>
          <w:rFonts w:ascii="Arial" w:cs="Arial" w:eastAsia="Arial" w:hAnsi="Arial"/>
          <w:sz w:val="14"/>
          <w:szCs w:val="14"/>
          <w:color w:val="auto"/>
        </w:rPr>
        <w:t xml:space="preserve">15.12 </w:t>
      </w:r>
      <w:r>
        <w:rPr>
          <w:rFonts w:ascii="Arial" w:cs="Arial" w:eastAsia="Arial" w:hAnsi="Arial"/>
          <w:sz w:val="14"/>
          <w:szCs w:val="14"/>
          <w:b w:val="1"/>
          <w:bCs w:val="1"/>
          <w:color w:val="auto"/>
        </w:rPr>
        <w:t>Fractional Shares.</w:t>
      </w:r>
      <w:r>
        <w:rPr>
          <w:rFonts w:ascii="Arial" w:cs="Arial" w:eastAsia="Arial" w:hAnsi="Arial"/>
          <w:sz w:val="14"/>
          <w:szCs w:val="14"/>
          <w:color w:val="auto"/>
        </w:rPr>
        <w:t xml:space="preserve"> No fractional Shares shall be issued or acquired pursuant to the Plan or any Award. If the application of any provision of the Plan or any Award Agreement would yield a fractional Share, such fractional Share shall be rounded down to the next whole Share.</w:t>
      </w:r>
    </w:p>
    <w:p>
      <w:pPr>
        <w:spacing w:after="0" w:line="182" w:lineRule="exact"/>
        <w:rPr>
          <w:sz w:val="20"/>
          <w:szCs w:val="20"/>
          <w:color w:val="auto"/>
        </w:rPr>
      </w:pPr>
    </w:p>
    <w:p>
      <w:pPr>
        <w:ind w:left="200" w:right="40" w:firstLine="771"/>
        <w:spacing w:after="0" w:line="236" w:lineRule="auto"/>
        <w:rPr>
          <w:sz w:val="20"/>
          <w:szCs w:val="20"/>
          <w:color w:val="auto"/>
        </w:rPr>
      </w:pPr>
      <w:r>
        <w:rPr>
          <w:rFonts w:ascii="Arial" w:cs="Arial" w:eastAsia="Arial" w:hAnsi="Arial"/>
          <w:sz w:val="14"/>
          <w:szCs w:val="14"/>
          <w:color w:val="auto"/>
        </w:rPr>
        <w:t xml:space="preserve">15.13 </w:t>
      </w:r>
      <w:r>
        <w:rPr>
          <w:rFonts w:ascii="Arial" w:cs="Arial" w:eastAsia="Arial" w:hAnsi="Arial"/>
          <w:sz w:val="14"/>
          <w:szCs w:val="14"/>
          <w:b w:val="1"/>
          <w:bCs w:val="1"/>
          <w:color w:val="auto"/>
        </w:rPr>
        <w:t>Investment Representations.</w:t>
      </w:r>
      <w:r>
        <w:rPr>
          <w:rFonts w:ascii="Arial" w:cs="Arial" w:eastAsia="Arial" w:hAnsi="Arial"/>
          <w:sz w:val="14"/>
          <w:szCs w:val="14"/>
          <w:color w:val="auto"/>
        </w:rPr>
        <w:t xml:space="preserve"> The Committee may require any person receiving Awards or Shares pursuant to an Award under the Plan to represent and warrant 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87" w:lineRule="exact"/>
        <w:rPr>
          <w:sz w:val="20"/>
          <w:szCs w:val="20"/>
          <w:color w:val="auto"/>
        </w:rPr>
      </w:pPr>
    </w:p>
    <w:p>
      <w:pPr>
        <w:ind w:left="200" w:right="20" w:firstLine="771"/>
        <w:spacing w:after="0" w:line="268" w:lineRule="auto"/>
        <w:rPr>
          <w:sz w:val="20"/>
          <w:szCs w:val="20"/>
          <w:color w:val="auto"/>
        </w:rPr>
      </w:pPr>
      <w:r>
        <w:rPr>
          <w:rFonts w:ascii="Arial" w:cs="Arial" w:eastAsia="Arial" w:hAnsi="Arial"/>
          <w:sz w:val="12"/>
          <w:szCs w:val="12"/>
          <w:color w:val="auto"/>
        </w:rPr>
        <w:t xml:space="preserve">15.14 </w:t>
      </w:r>
      <w:r>
        <w:rPr>
          <w:rFonts w:ascii="Arial" w:cs="Arial" w:eastAsia="Arial" w:hAnsi="Arial"/>
          <w:sz w:val="12"/>
          <w:szCs w:val="12"/>
          <w:b w:val="1"/>
          <w:bCs w:val="1"/>
          <w:color w:val="auto"/>
        </w:rPr>
        <w:t>Persons Residing Outside of Ireland or the United States.</w:t>
      </w:r>
      <w:r>
        <w:rPr>
          <w:rFonts w:ascii="Arial" w:cs="Arial" w:eastAsia="Arial" w:hAnsi="Arial"/>
          <w:sz w:val="12"/>
          <w:szCs w:val="12"/>
          <w:color w:val="auto"/>
        </w:rPr>
        <w:t xml:space="preserve"> Notwithstanding any provision of the Plan to the contrary, in order to comply with the 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326" w:lineRule="exact"/>
        <w:rPr>
          <w:sz w:val="20"/>
          <w:szCs w:val="20"/>
          <w:color w:val="auto"/>
        </w:rPr>
      </w:pPr>
    </w:p>
    <w:p>
      <w:pPr>
        <w:ind w:left="200" w:right="180" w:firstLine="771"/>
        <w:spacing w:after="0" w:line="328" w:lineRule="auto"/>
        <w:rPr>
          <w:sz w:val="20"/>
          <w:szCs w:val="20"/>
          <w:color w:val="auto"/>
        </w:rPr>
      </w:pPr>
      <w:r>
        <w:rPr>
          <w:rFonts w:ascii="Arial" w:cs="Arial" w:eastAsia="Arial" w:hAnsi="Arial"/>
          <w:sz w:val="12"/>
          <w:szCs w:val="12"/>
          <w:color w:val="auto"/>
        </w:rPr>
        <w:t xml:space="preserve">15.15 </w:t>
      </w:r>
      <w:r>
        <w:rPr>
          <w:rFonts w:ascii="Arial" w:cs="Arial" w:eastAsia="Arial" w:hAnsi="Arial"/>
          <w:sz w:val="12"/>
          <w:szCs w:val="12"/>
          <w:b w:val="1"/>
          <w:bCs w:val="1"/>
          <w:color w:val="auto"/>
        </w:rPr>
        <w:t>Governing Law.</w:t>
      </w:r>
      <w:r>
        <w:rPr>
          <w:rFonts w:ascii="Arial" w:cs="Arial" w:eastAsia="Arial" w:hAnsi="Arial"/>
          <w:sz w:val="12"/>
          <w:szCs w:val="12"/>
          <w:color w:val="auto"/>
        </w:rPr>
        <w:t xml:space="preserve"> 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36"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4"/>
          <w:szCs w:val="14"/>
          <w:color w:val="auto"/>
        </w:rPr>
        <w:t>15.16</w:t>
      </w:r>
      <w:r>
        <w:rPr>
          <w:sz w:val="20"/>
          <w:szCs w:val="20"/>
          <w:color w:val="auto"/>
        </w:rPr>
        <w:tab/>
      </w:r>
      <w:r>
        <w:rPr>
          <w:rFonts w:ascii="Arial" w:cs="Arial" w:eastAsia="Arial" w:hAnsi="Arial"/>
          <w:sz w:val="12"/>
          <w:szCs w:val="12"/>
          <w:b w:val="1"/>
          <w:bCs w:val="1"/>
          <w:color w:val="auto"/>
        </w:rPr>
        <w:t xml:space="preserve">Purchase Rights. </w:t>
      </w:r>
      <w:r>
        <w:rPr>
          <w:rFonts w:ascii="Arial" w:cs="Arial" w:eastAsia="Arial" w:hAnsi="Arial"/>
          <w:sz w:val="12"/>
          <w:szCs w:val="12"/>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C-13</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2440"/>
        <w:spacing w:after="0" w:line="281" w:lineRule="auto"/>
        <w:rPr>
          <w:sz w:val="20"/>
          <w:szCs w:val="20"/>
          <w:color w:val="auto"/>
        </w:rPr>
      </w:pPr>
      <w:r>
        <w:rPr>
          <w:rFonts w:ascii="Arial" w:cs="Arial" w:eastAsia="Arial" w:hAnsi="Arial"/>
          <w:sz w:val="46"/>
          <w:szCs w:val="46"/>
          <w:b w:val="1"/>
          <w:bCs w:val="1"/>
          <w:color w:val="C3002F"/>
        </w:rPr>
        <w:t>ANNEX D – SECOND AMENDMENT TO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316865</wp:posOffset>
            </wp:positionV>
            <wp:extent cx="10464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666666"/>
        </w:rPr>
        <w:t>RECITALS</w:t>
      </w:r>
    </w:p>
    <w:p>
      <w:pPr>
        <w:spacing w:after="0" w:line="273" w:lineRule="exact"/>
        <w:rPr>
          <w:sz w:val="20"/>
          <w:szCs w:val="20"/>
          <w:color w:val="auto"/>
        </w:rPr>
      </w:pPr>
    </w:p>
    <w:p>
      <w:pPr>
        <w:ind w:left="200" w:right="280" w:firstLine="4"/>
        <w:spacing w:after="0" w:line="258" w:lineRule="auto"/>
        <w:tabs>
          <w:tab w:leader="none" w:pos="816" w:val="left"/>
        </w:tabs>
        <w:numPr>
          <w:ilvl w:val="0"/>
          <w:numId w:val="250"/>
        </w:numPr>
        <w:rPr>
          <w:rFonts w:ascii="Arial" w:cs="Arial" w:eastAsia="Arial" w:hAnsi="Arial"/>
          <w:sz w:val="14"/>
          <w:szCs w:val="14"/>
          <w:color w:val="auto"/>
        </w:rPr>
      </w:pPr>
      <w:r>
        <w:rPr>
          <w:rFonts w:ascii="Arial" w:cs="Arial" w:eastAsia="Arial" w:hAnsi="Arial"/>
          <w:sz w:val="14"/>
          <w:szCs w:val="14"/>
          <w:color w:val="auto"/>
        </w:rPr>
        <w:t>Weatherford International plc, an Irish public limited company (the “Company”), previously adopted the Weatherford International plc Employee Stock Purchase Plan, amended on January 15, 2019 (the “Plan”);</w:t>
      </w:r>
    </w:p>
    <w:p>
      <w:pPr>
        <w:spacing w:after="0" w:line="153" w:lineRule="exact"/>
        <w:rPr>
          <w:rFonts w:ascii="Arial" w:cs="Arial" w:eastAsia="Arial" w:hAnsi="Arial"/>
          <w:sz w:val="14"/>
          <w:szCs w:val="14"/>
          <w:color w:val="auto"/>
        </w:rPr>
      </w:pPr>
    </w:p>
    <w:p>
      <w:pPr>
        <w:jc w:val="both"/>
        <w:ind w:left="200" w:right="220" w:firstLine="4"/>
        <w:spacing w:after="0" w:line="250" w:lineRule="auto"/>
        <w:tabs>
          <w:tab w:leader="none" w:pos="816" w:val="left"/>
        </w:tabs>
        <w:numPr>
          <w:ilvl w:val="0"/>
          <w:numId w:val="250"/>
        </w:numPr>
        <w:rPr>
          <w:rFonts w:ascii="Arial" w:cs="Arial" w:eastAsia="Arial" w:hAnsi="Arial"/>
          <w:sz w:val="14"/>
          <w:szCs w:val="14"/>
          <w:color w:val="auto"/>
        </w:rPr>
      </w:pPr>
      <w:r>
        <w:rPr>
          <w:rFonts w:ascii="Arial" w:cs="Arial" w:eastAsia="Arial" w:hAnsi="Arial"/>
          <w:sz w:val="14"/>
          <w:szCs w:val="14"/>
          <w:color w:val="auto"/>
        </w:rPr>
        <w:t>Section 20 of the Plan provides that the Board of Directors of the Company (the “Board”) may amend the Plan, provided that no amendment of the Plan shall be made without shareholder approval if shareholder approval is required by applicable law, stock exchange rules or to comply with Section 423 of the U.S. Internal Revenue Code of 1986, as amended;</w:t>
      </w:r>
    </w:p>
    <w:p>
      <w:pPr>
        <w:spacing w:after="0" w:line="158" w:lineRule="exact"/>
        <w:rPr>
          <w:rFonts w:ascii="Arial" w:cs="Arial" w:eastAsia="Arial" w:hAnsi="Arial"/>
          <w:sz w:val="14"/>
          <w:szCs w:val="14"/>
          <w:color w:val="auto"/>
        </w:rPr>
      </w:pPr>
    </w:p>
    <w:p>
      <w:pPr>
        <w:jc w:val="both"/>
        <w:ind w:left="200" w:right="180" w:firstLine="4"/>
        <w:spacing w:after="0" w:line="250" w:lineRule="auto"/>
        <w:tabs>
          <w:tab w:leader="none" w:pos="821" w:val="left"/>
        </w:tabs>
        <w:numPr>
          <w:ilvl w:val="0"/>
          <w:numId w:val="250"/>
        </w:numPr>
        <w:rPr>
          <w:rFonts w:ascii="Arial" w:cs="Arial" w:eastAsia="Arial" w:hAnsi="Arial"/>
          <w:sz w:val="14"/>
          <w:szCs w:val="14"/>
          <w:color w:val="auto"/>
        </w:rPr>
      </w:pPr>
      <w:r>
        <w:rPr>
          <w:rFonts w:ascii="Arial" w:cs="Arial" w:eastAsia="Arial" w:hAnsi="Arial"/>
          <w:sz w:val="14"/>
          <w:szCs w:val="14"/>
          <w:color w:val="auto"/>
        </w:rPr>
        <w:t>The Board, upon the recommendation of the Compensation Committee of the Board and subject to the approval of the Company’s shareholders, has determined that it is advisable to amend the Plan to increase the number of shares available for purchase under the Plan and to adjust the limit on the number of shares which can be purchased during an Offering Period.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NOW, THEREFORE, effective on the date on which this amendment is approved by the shareholders of the Company, the Plan is hereby amended as follows:</w:t>
      </w:r>
    </w:p>
    <w:p>
      <w:pPr>
        <w:spacing w:after="0" w:line="150" w:lineRule="exact"/>
        <w:rPr>
          <w:sz w:val="20"/>
          <w:szCs w:val="20"/>
          <w:color w:val="auto"/>
        </w:rPr>
      </w:pPr>
    </w:p>
    <w:p>
      <w:pPr>
        <w:ind w:left="440" w:hanging="234"/>
        <w:spacing w:after="0"/>
        <w:tabs>
          <w:tab w:leader="none" w:pos="44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By deleting the first sentence of Section 14(a) of the Plan and inserting the following language in lieu thereof:</w:t>
      </w:r>
    </w:p>
    <w:p>
      <w:pPr>
        <w:spacing w:after="0" w:line="136"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Subject to adjustment pursuant to Section 15, the aggregate number of Shares authorized for sale under the Plan is sixty-two million (62,000,000) Shares.</w:t>
      </w:r>
    </w:p>
    <w:p>
      <w:pPr>
        <w:spacing w:after="0" w:line="149" w:lineRule="exact"/>
        <w:rPr>
          <w:rFonts w:ascii="Arial" w:cs="Arial" w:eastAsia="Arial" w:hAnsi="Arial"/>
          <w:sz w:val="14"/>
          <w:szCs w:val="14"/>
          <w:color w:val="auto"/>
        </w:rPr>
      </w:pPr>
    </w:p>
    <w:p>
      <w:pPr>
        <w:ind w:left="440" w:hanging="234"/>
        <w:spacing w:after="0"/>
        <w:tabs>
          <w:tab w:leader="none" w:pos="44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By deleting the first sentence of Section 7 of the Plan and inserting the following language in lieu thereof:</w:t>
      </w:r>
    </w:p>
    <w:p>
      <w:pPr>
        <w:spacing w:after="0" w:line="149" w:lineRule="exact"/>
        <w:rPr>
          <w:rFonts w:ascii="Arial" w:cs="Arial" w:eastAsia="Arial" w:hAnsi="Arial"/>
          <w:sz w:val="14"/>
          <w:szCs w:val="14"/>
          <w:color w:val="auto"/>
        </w:rPr>
      </w:pPr>
    </w:p>
    <w:p>
      <w:pPr>
        <w:ind w:left="420" w:right="20"/>
        <w:spacing w:after="0" w:line="245" w:lineRule="auto"/>
        <w:rPr>
          <w:rFonts w:ascii="Arial" w:cs="Arial" w:eastAsia="Arial" w:hAnsi="Arial"/>
          <w:sz w:val="14"/>
          <w:szCs w:val="14"/>
          <w:color w:val="auto"/>
        </w:rPr>
      </w:pPr>
      <w:r>
        <w:rPr>
          <w:rFonts w:ascii="Arial" w:cs="Arial" w:eastAsia="Arial" w:hAnsi="Arial"/>
          <w:sz w:val="14"/>
          <w:szCs w:val="14"/>
          <w:color w:val="auto"/>
        </w:rPr>
        <w:t>On the Offering Date of each Offering Period, each Eligible Employee participating in such Offering Period shall be granted a purchase right to purchase on each Purchase Date during such Offering Period (at the applicable Purchase Price) up to a number of Shares determined by dividing such Eligible Employee’s payroll deductions or contributions accumulated prior to such Purchase Date by the applicable Purchase Price; provided, however, that in no event shall an Eligible Employee be permitted to purchase during each Offering Period more than 100,000 Shares subject to adjustment pursuant to Section 15, and provided further that such purchase shall be subject to the limitations set forth in Sections 3 and 14.</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Except as expressly amended hereby, in all other respects, the Plan remains unchanged.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foregoing amendment was approved and adopted by the Board on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3"/>
          <w:szCs w:val="13"/>
          <w:b w:val="1"/>
          <w:bCs w:val="1"/>
          <w:color w:val="666666"/>
        </w:rPr>
        <w:t>D-1</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00" w:right="1400"/>
        <w:spacing w:after="0" w:line="269" w:lineRule="auto"/>
        <w:rPr>
          <w:sz w:val="20"/>
          <w:szCs w:val="20"/>
          <w:color w:val="auto"/>
        </w:rPr>
      </w:pPr>
      <w:r>
        <w:rPr>
          <w:rFonts w:ascii="Arial" w:cs="Arial" w:eastAsia="Arial" w:hAnsi="Arial"/>
          <w:sz w:val="47"/>
          <w:szCs w:val="47"/>
          <w:b w:val="1"/>
          <w:bCs w:val="1"/>
          <w:color w:val="C3002F"/>
        </w:rPr>
        <w:t>ANNEX E –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334010</wp:posOffset>
            </wp:positionV>
            <wp:extent cx="146621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right="40"/>
        <w:spacing w:after="0" w:line="272" w:lineRule="auto"/>
        <w:rPr>
          <w:sz w:val="20"/>
          <w:szCs w:val="20"/>
          <w:color w:val="auto"/>
        </w:rPr>
      </w:pPr>
      <w:r>
        <w:rPr>
          <w:rFonts w:ascii="Arial" w:cs="Arial" w:eastAsia="Arial" w:hAnsi="Arial"/>
          <w:sz w:val="12"/>
          <w:szCs w:val="12"/>
          <w:color w:val="auto"/>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for Adjusted EBITDA shown in the following table should not be considered as substitutes for net income or other data prepared and reported in accordance with GAAP, but should be viewed in addition to our reported results prepared in accordance with GAAP.</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Weatherford International plc</w:t>
      </w:r>
    </w:p>
    <w:p>
      <w:pPr>
        <w:spacing w:after="0" w:line="5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Reconciliation of GAAP to Non-GAAP Financial Measures – Adjusted EBITDA</w:t>
      </w:r>
    </w:p>
    <w:p>
      <w:pPr>
        <w:spacing w:after="0" w:line="7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(Unaudited)</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(In Millions)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156"/>
        </w:trPr>
        <w:tc>
          <w:tcPr>
            <w:tcW w:w="5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12/31/2018</w:t>
            </w:r>
          </w:p>
        </w:tc>
        <w:tc>
          <w:tcPr>
            <w:tcW w:w="80" w:type="dxa"/>
            <w:vAlign w:val="bottom"/>
          </w:tcPr>
          <w:p>
            <w:pPr>
              <w:spacing w:after="0"/>
              <w:rPr>
                <w:sz w:val="13"/>
                <w:szCs w:val="13"/>
                <w:color w:val="auto"/>
              </w:rPr>
            </w:pPr>
          </w:p>
        </w:tc>
        <w:tc>
          <w:tcPr>
            <w:tcW w:w="1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12/31/2017</w:t>
            </w: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88"/>
        </w:trPr>
        <w:tc>
          <w:tcPr>
            <w:tcW w:w="5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tcPr>
          <w:p>
            <w:pPr>
              <w:spacing w:after="0"/>
              <w:rPr>
                <w:sz w:val="7"/>
                <w:szCs w:val="7"/>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Net Loss Attributable to Weatherford</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(2,811)</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(2,813)</w:t>
            </w:r>
          </w:p>
        </w:tc>
        <w:tc>
          <w:tcPr>
            <w:tcW w:w="2440" w:type="dxa"/>
            <w:vAlign w:val="bottom"/>
          </w:tcPr>
          <w:p>
            <w:pPr>
              <w:spacing w:after="0"/>
              <w:rPr>
                <w:sz w:val="12"/>
                <w:szCs w:val="12"/>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Net Income Attributable to Noncontrolling Interest</w:t>
            </w: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Net Loss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(2,791)</w:t>
            </w: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(2,793)</w:t>
            </w:r>
          </w:p>
        </w:tc>
        <w:tc>
          <w:tcPr>
            <w:tcW w:w="2440" w:type="dxa"/>
            <w:vAlign w:val="bottom"/>
          </w:tcPr>
          <w:p>
            <w:pPr>
              <w:spacing w:after="0"/>
              <w:rPr>
                <w:sz w:val="12"/>
                <w:szCs w:val="12"/>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Income Tax (Benefit) Provision</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3"/>
                <w:szCs w:val="13"/>
                <w:color w:val="auto"/>
              </w:rPr>
            </w:pPr>
          </w:p>
        </w:tc>
        <w:tc>
          <w:tcPr>
            <w:tcW w:w="2440" w:type="dxa"/>
            <w:vAlign w:val="bottom"/>
          </w:tcPr>
          <w:p>
            <w:pPr>
              <w:spacing w:after="0"/>
              <w:rPr>
                <w:sz w:val="13"/>
                <w:szCs w:val="13"/>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EBITDA</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(1,587)</w:t>
            </w: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(1,276)</w:t>
            </w:r>
          </w:p>
        </w:tc>
        <w:tc>
          <w:tcPr>
            <w:tcW w:w="2440" w:type="dxa"/>
            <w:vAlign w:val="bottom"/>
          </w:tcPr>
          <w:p>
            <w:pPr>
              <w:spacing w:after="0"/>
              <w:rPr>
                <w:sz w:val="12"/>
                <w:szCs w:val="12"/>
                <w:color w:val="auto"/>
              </w:rPr>
            </w:pPr>
          </w:p>
        </w:tc>
      </w:tr>
      <w:tr>
        <w:trPr>
          <w:trHeight w:val="385"/>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 Adjustments: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Goodwill Impairment</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1,917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2440" w:type="dxa"/>
            <w:vAlign w:val="bottom"/>
          </w:tcPr>
          <w:p>
            <w:pPr>
              <w:spacing w:after="0"/>
              <w:rPr>
                <w:sz w:val="13"/>
                <w:szCs w:val="13"/>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Impairments, Asset Write-Downs and Other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Restructuring and Transformation Charges</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3"/>
                <w:szCs w:val="13"/>
                <w:color w:val="auto"/>
              </w:rPr>
            </w:pPr>
          </w:p>
        </w:tc>
        <w:tc>
          <w:tcPr>
            <w:tcW w:w="2440" w:type="dxa"/>
            <w:vAlign w:val="bottom"/>
          </w:tcPr>
          <w:p>
            <w:pPr>
              <w:spacing w:after="0"/>
              <w:rPr>
                <w:sz w:val="13"/>
                <w:szCs w:val="13"/>
                <w:color w:val="auto"/>
              </w:rPr>
            </w:pPr>
          </w:p>
        </w:tc>
      </w:tr>
      <w:tr>
        <w:trPr>
          <w:trHeight w:val="175"/>
        </w:trPr>
        <w:tc>
          <w:tcPr>
            <w:tcW w:w="5400" w:type="dxa"/>
            <w:vAlign w:val="bottom"/>
          </w:tcPr>
          <w:p>
            <w:pPr>
              <w:ind w:left="180"/>
              <w:spacing w:after="0"/>
              <w:rPr>
                <w:sz w:val="20"/>
                <w:szCs w:val="20"/>
                <w:color w:val="auto"/>
              </w:rPr>
            </w:pPr>
            <w:r>
              <w:rPr>
                <w:rFonts w:ascii="Arial" w:cs="Arial" w:eastAsia="Arial" w:hAnsi="Arial"/>
                <w:sz w:val="14"/>
                <w:szCs w:val="14"/>
                <w:color w:val="auto"/>
              </w:rPr>
              <w:t>Gain from Disposition of U.S. Pressure Pumping and Pump-Down Perforating</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69"/>
        </w:trPr>
        <w:tc>
          <w:tcPr>
            <w:tcW w:w="5400" w:type="dxa"/>
            <w:vAlign w:val="bottom"/>
          </w:tcPr>
          <w:p>
            <w:pPr>
              <w:ind w:left="180"/>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2440" w:type="dxa"/>
            <w:vAlign w:val="bottom"/>
          </w:tcPr>
          <w:p>
            <w:pPr>
              <w:spacing w:after="0"/>
              <w:rPr>
                <w:sz w:val="14"/>
                <w:szCs w:val="14"/>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Warrant Fair Value Adjustment</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(70)</w:t>
            </w: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(86)</w:t>
            </w:r>
          </w:p>
        </w:tc>
        <w:tc>
          <w:tcPr>
            <w:tcW w:w="2440" w:type="dxa"/>
            <w:vAlign w:val="bottom"/>
          </w:tcPr>
          <w:p>
            <w:pPr>
              <w:spacing w:after="0"/>
              <w:rPr>
                <w:sz w:val="13"/>
                <w:szCs w:val="13"/>
                <w:color w:val="auto"/>
              </w:rPr>
            </w:pPr>
          </w:p>
        </w:tc>
      </w:tr>
      <w:tr>
        <w:trPr>
          <w:trHeight w:val="196"/>
        </w:trPr>
        <w:tc>
          <w:tcPr>
            <w:tcW w:w="5400" w:type="dxa"/>
            <w:vAlign w:val="bottom"/>
          </w:tcPr>
          <w:p>
            <w:pPr>
              <w:ind w:left="180"/>
              <w:spacing w:after="0"/>
              <w:rPr>
                <w:sz w:val="20"/>
                <w:szCs w:val="20"/>
                <w:color w:val="auto"/>
              </w:rPr>
            </w:pPr>
            <w:r>
              <w:rPr>
                <w:rFonts w:ascii="Arial" w:cs="Arial" w:eastAsia="Arial" w:hAnsi="Arial"/>
                <w:sz w:val="14"/>
                <w:szCs w:val="14"/>
                <w:color w:val="auto"/>
              </w:rPr>
              <w:t>Bond Tender and Call Premium</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40" w:type="dxa"/>
            <w:vAlign w:val="bottom"/>
          </w:tcPr>
          <w:p>
            <w:pPr>
              <w:spacing w:after="0"/>
              <w:rPr>
                <w:sz w:val="17"/>
                <w:szCs w:val="17"/>
                <w:color w:val="auto"/>
              </w:rPr>
            </w:pPr>
          </w:p>
        </w:tc>
      </w:tr>
      <w:tr>
        <w:trPr>
          <w:trHeight w:val="156"/>
        </w:trPr>
        <w:tc>
          <w:tcPr>
            <w:tcW w:w="540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Currency Devaluation Charges</w:t>
            </w: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2440" w:type="dxa"/>
            <w:vAlign w:val="bottom"/>
          </w:tcPr>
          <w:p>
            <w:pPr>
              <w:spacing w:after="0"/>
              <w:rPr>
                <w:sz w:val="13"/>
                <w:szCs w:val="13"/>
                <w:color w:val="auto"/>
              </w:rPr>
            </w:pPr>
          </w:p>
        </w:tc>
      </w:tr>
      <w:tr>
        <w:trPr>
          <w:trHeight w:val="176"/>
        </w:trPr>
        <w:tc>
          <w:tcPr>
            <w:tcW w:w="540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2440" w:type="dxa"/>
            <w:vAlign w:val="bottom"/>
          </w:tcPr>
          <w:p>
            <w:pPr>
              <w:spacing w:after="0"/>
              <w:rPr>
                <w:sz w:val="15"/>
                <w:szCs w:val="15"/>
                <w:color w:val="auto"/>
              </w:rPr>
            </w:pPr>
          </w:p>
        </w:tc>
      </w:tr>
      <w:tr>
        <w:trPr>
          <w:trHeight w:val="34"/>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49"/>
        </w:trPr>
        <w:tc>
          <w:tcPr>
            <w:tcW w:w="5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2"/>
                <w:szCs w:val="12"/>
                <w:color w:val="auto"/>
              </w:rPr>
            </w:pPr>
          </w:p>
        </w:tc>
        <w:tc>
          <w:tcPr>
            <w:tcW w:w="2440" w:type="dxa"/>
            <w:vAlign w:val="bottom"/>
          </w:tcPr>
          <w:p>
            <w:pPr>
              <w:spacing w:after="0"/>
              <w:rPr>
                <w:sz w:val="12"/>
                <w:szCs w:val="12"/>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56"/>
        </w:trPr>
        <w:tc>
          <w:tcPr>
            <w:tcW w:w="5400" w:type="dxa"/>
            <w:vAlign w:val="bottom"/>
            <w:tcBorders>
              <w:bottom w:val="single" w:sz="8" w:color="666666"/>
            </w:tcBorders>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220" w:type="dxa"/>
            <w:vAlign w:val="bottom"/>
            <w:tcBorders>
              <w:bottom w:val="single" w:sz="8" w:color="666666"/>
            </w:tcBorders>
          </w:tcPr>
          <w:p>
            <w:pPr>
              <w:spacing w:after="0"/>
              <w:rPr>
                <w:sz w:val="13"/>
                <w:szCs w:val="13"/>
                <w:color w:val="auto"/>
              </w:rPr>
            </w:pPr>
          </w:p>
        </w:tc>
        <w:tc>
          <w:tcPr>
            <w:tcW w:w="520" w:type="dxa"/>
            <w:vAlign w:val="bottom"/>
            <w:tcBorders>
              <w:bottom w:val="single" w:sz="8" w:color="666666"/>
            </w:tcBorders>
          </w:tcPr>
          <w:p>
            <w:pPr>
              <w:spacing w:after="0"/>
              <w:rPr>
                <w:sz w:val="13"/>
                <w:szCs w:val="13"/>
                <w:color w:val="auto"/>
              </w:rPr>
            </w:pPr>
          </w:p>
        </w:tc>
        <w:tc>
          <w:tcPr>
            <w:tcW w:w="80" w:type="dxa"/>
            <w:vAlign w:val="bottom"/>
            <w:tcBorders>
              <w:bottom w:val="single" w:sz="8" w:color="666666"/>
            </w:tcBorders>
          </w:tcPr>
          <w:p>
            <w:pPr>
              <w:spacing w:after="0"/>
              <w:rPr>
                <w:sz w:val="13"/>
                <w:szCs w:val="13"/>
                <w:color w:val="auto"/>
              </w:rPr>
            </w:pPr>
          </w:p>
        </w:tc>
        <w:tc>
          <w:tcPr>
            <w:tcW w:w="1000" w:type="dxa"/>
            <w:vAlign w:val="bottom"/>
            <w:tcBorders>
              <w:bottom w:val="single" w:sz="8" w:color="666666"/>
            </w:tcBorders>
          </w:tcPr>
          <w:p>
            <w:pPr>
              <w:spacing w:after="0"/>
              <w:rPr>
                <w:sz w:val="13"/>
                <w:szCs w:val="13"/>
                <w:color w:val="auto"/>
              </w:rPr>
            </w:pPr>
          </w:p>
        </w:tc>
        <w:tc>
          <w:tcPr>
            <w:tcW w:w="180" w:type="dxa"/>
            <w:vAlign w:val="bottom"/>
            <w:tcBorders>
              <w:bottom w:val="single" w:sz="8" w:color="666666"/>
            </w:tcBorders>
          </w:tcPr>
          <w:p>
            <w:pPr>
              <w:spacing w:after="0"/>
              <w:rPr>
                <w:sz w:val="13"/>
                <w:szCs w:val="13"/>
                <w:color w:val="auto"/>
              </w:rPr>
            </w:pPr>
          </w:p>
        </w:tc>
        <w:tc>
          <w:tcPr>
            <w:tcW w:w="500" w:type="dxa"/>
            <w:vAlign w:val="bottom"/>
            <w:tcBorders>
              <w:bottom w:val="single" w:sz="8" w:color="666666"/>
            </w:tcBorders>
          </w:tcPr>
          <w:p>
            <w:pPr>
              <w:spacing w:after="0"/>
              <w:rPr>
                <w:sz w:val="13"/>
                <w:szCs w:val="13"/>
                <w:color w:val="auto"/>
              </w:rPr>
            </w:pPr>
          </w:p>
        </w:tc>
        <w:tc>
          <w:tcPr>
            <w:tcW w:w="100" w:type="dxa"/>
            <w:vAlign w:val="bottom"/>
            <w:tcBorders>
              <w:bottom w:val="single" w:sz="8" w:color="666666"/>
            </w:tcBorders>
          </w:tcPr>
          <w:p>
            <w:pPr>
              <w:spacing w:after="0"/>
              <w:rPr>
                <w:sz w:val="13"/>
                <w:szCs w:val="13"/>
                <w:color w:val="auto"/>
              </w:rPr>
            </w:pPr>
          </w:p>
        </w:tc>
        <w:tc>
          <w:tcPr>
            <w:tcW w:w="2440" w:type="dxa"/>
            <w:vAlign w:val="bottom"/>
            <w:tcBorders>
              <w:bottom w:val="single" w:sz="8" w:color="666666"/>
            </w:tcBorders>
          </w:tcPr>
          <w:p>
            <w:pPr>
              <w:spacing w:after="0"/>
              <w:rPr>
                <w:sz w:val="13"/>
                <w:szCs w:val="13"/>
                <w:color w:val="auto"/>
              </w:rPr>
            </w:pPr>
          </w:p>
        </w:tc>
      </w:tr>
    </w:tbl>
    <w:p>
      <w:pPr>
        <w:spacing w:after="0" w:line="95" w:lineRule="exact"/>
        <w:rPr>
          <w:sz w:val="20"/>
          <w:szCs w:val="20"/>
          <w:color w:val="auto"/>
        </w:rPr>
      </w:pPr>
    </w:p>
    <w:p>
      <w:pPr>
        <w:ind w:left="7300"/>
        <w:spacing w:after="0"/>
        <w:tabs>
          <w:tab w:leader="none" w:pos="10980" w:val="left"/>
        </w:tabs>
        <w:rPr>
          <w:sz w:val="20"/>
          <w:szCs w:val="20"/>
          <w:color w:val="auto"/>
        </w:rPr>
      </w:pPr>
      <w:r>
        <w:rPr>
          <w:rFonts w:ascii="Arial" w:cs="Arial" w:eastAsia="Arial" w:hAnsi="Arial"/>
          <w:sz w:val="14"/>
          <w:szCs w:val="14"/>
          <w:color w:val="666666"/>
        </w:rPr>
        <w:t>Weatherford International plc — 2019 Proxy Statement</w:t>
      </w:r>
      <w:r>
        <w:rPr>
          <w:sz w:val="20"/>
          <w:szCs w:val="20"/>
          <w:color w:val="auto"/>
        </w:rPr>
        <w:tab/>
      </w:r>
      <w:r>
        <w:rPr>
          <w:rFonts w:ascii="Arial" w:cs="Arial" w:eastAsia="Arial" w:hAnsi="Arial"/>
          <w:sz w:val="14"/>
          <w:szCs w:val="14"/>
          <w:b w:val="1"/>
          <w:bCs w:val="1"/>
          <w:color w:val="666666"/>
        </w:rPr>
        <w:t>E-1</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06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031990" cy="90906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1078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31990" cy="91078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WEATHERFORD INTERNATIONAL PLC</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ATTN: CHRISTINA M. IBRAHIM</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WESTSTRASSE 1</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6340 BAAR, SWITZERLAND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-622935</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Vote by 5:59 A.M. Central European Time on June 24, 2019 (11:59 P.M. ET on June 23, 2019 for shares held directly and by 5:59 A.M. Central European Time on June 20, 2019 (11:59 P.M. ET on June 19, 2019) for shares held in a Plan. Have your proxy card in hand when you access the web site and follow the instructions to obtain your records and to create an electronic voting instruction form.</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140"/>
        <w:spacing w:after="0" w:line="271" w:lineRule="auto"/>
        <w:rPr>
          <w:sz w:val="20"/>
          <w:szCs w:val="20"/>
          <w:color w:val="auto"/>
        </w:rPr>
      </w:pPr>
      <w:r>
        <w:rPr>
          <w:rFonts w:ascii="Arial" w:cs="Arial" w:eastAsia="Arial" w:hAnsi="Arial"/>
          <w:sz w:val="11"/>
          <w:szCs w:val="11"/>
          <w:color w:val="auto"/>
        </w:rPr>
        <w:t>Use any touch-tone telephone to transmit your voting instructions. Vote by 5:59 A.M. Central European Time on June 24, 2019 (11:59 P.M. ET on June 23, 2019) for shares held directly and by 5:59 A.M. Central European Time on June 20, 2019 (11:59 P.M. ET on June 19, 2019) for shares held in a Plan. Have your proxy card in hand when you call and then follow the instructions.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40" w:space="720"/>
            <w:col w:w="536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260" w:type="dxa"/>
            <w:vAlign w:val="bottom"/>
          </w:tcPr>
          <w:p>
            <w:pPr>
              <w:spacing w:after="0"/>
              <w:rPr>
                <w:sz w:val="13"/>
                <w:szCs w:val="13"/>
                <w:color w:val="auto"/>
              </w:rPr>
            </w:pPr>
          </w:p>
        </w:tc>
      </w:tr>
      <w:tr>
        <w:trPr>
          <w:trHeight w:val="149"/>
        </w:trPr>
        <w:tc>
          <w:tcPr>
            <w:tcW w:w="8160" w:type="dxa"/>
            <w:vAlign w:val="bottom"/>
            <w:tcBorders>
              <w:bottom w:val="single" w:sz="8" w:color="auto"/>
            </w:tcBorders>
          </w:tcPr>
          <w:p>
            <w:pPr>
              <w:ind w:left="6180"/>
              <w:spacing w:after="0"/>
              <w:rPr>
                <w:sz w:val="20"/>
                <w:szCs w:val="20"/>
                <w:color w:val="auto"/>
              </w:rPr>
            </w:pPr>
            <w:r>
              <w:rPr>
                <w:rFonts w:ascii="Arial" w:cs="Arial" w:eastAsia="Arial" w:hAnsi="Arial"/>
                <w:sz w:val="13"/>
                <w:szCs w:val="13"/>
                <w:color w:val="auto"/>
              </w:rPr>
              <w:t>E67827-P22661</w:t>
            </w:r>
          </w:p>
        </w:tc>
        <w:tc>
          <w:tcPr>
            <w:tcW w:w="32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KEEP THIS PORTION FOR YOUR RECORDS</w:t>
            </w:r>
          </w:p>
        </w:tc>
      </w:tr>
      <w:tr>
        <w:trPr>
          <w:trHeight w:val="198"/>
        </w:trPr>
        <w:tc>
          <w:tcPr>
            <w:tcW w:w="8160" w:type="dxa"/>
            <w:vAlign w:val="bottom"/>
          </w:tcPr>
          <w:p>
            <w:pPr>
              <w:ind w:left="34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60" w:type="dxa"/>
            <w:vAlign w:val="bottom"/>
          </w:tcPr>
          <w:p>
            <w:pPr>
              <w:ind w:left="280"/>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54875" cy="488823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4875" cy="4888230"/>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WEATHERFORD INTERNATIONAL PLC</w:t>
      </w:r>
    </w:p>
    <w:p>
      <w:pPr>
        <w:sectPr>
          <w:pgSz w:w="11900" w:h="16838" w:orient="portrait"/>
          <w:cols w:equalWidth="0" w:num="1">
            <w:col w:w="11420"/>
          </w:cols>
          <w:pgMar w:left="240" w:top="460" w:right="239" w:bottom="1440" w:gutter="0" w:footer="0" w:header="0"/>
          <w:type w:val="continuous"/>
        </w:sectPr>
      </w:pP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83" w:lineRule="exact"/>
        <w:rPr>
          <w:sz w:val="20"/>
          <w:szCs w:val="20"/>
          <w:color w:val="auto"/>
        </w:rPr>
      </w:pPr>
    </w:p>
    <w:p>
      <w:pPr>
        <w:ind w:left="880" w:hanging="210"/>
        <w:spacing w:after="0"/>
        <w:tabs>
          <w:tab w:leader="none" w:pos="88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89"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97"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1a.  Mohamed A. Awad</w:t>
      </w:r>
    </w:p>
    <w:p>
      <w:pPr>
        <w:spacing w:after="0" w:line="134"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1b.  Roxanne J. Decyk</w:t>
      </w:r>
    </w:p>
    <w:p>
      <w:pPr>
        <w:spacing w:after="0" w:line="134"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1c.  John D. Gass</w:t>
      </w:r>
    </w:p>
    <w:p>
      <w:pPr>
        <w:spacing w:after="0" w:line="255"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3"/>
          <w:szCs w:val="13"/>
          <w:color w:val="auto"/>
        </w:rPr>
        <w:t>1d.  Emyr Jones Parry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8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20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271"/>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84"/>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2"/>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3540" w:type="dxa"/>
            <w:vAlign w:val="bottom"/>
          </w:tcPr>
          <w:p>
            <w:pPr>
              <w:ind w:left="60"/>
              <w:spacing w:after="0"/>
              <w:rPr>
                <w:sz w:val="20"/>
                <w:szCs w:val="20"/>
                <w:color w:val="auto"/>
              </w:rPr>
            </w:pPr>
            <w:r>
              <w:rPr>
                <w:rFonts w:ascii="Arial" w:cs="Arial" w:eastAsia="Arial" w:hAnsi="Arial"/>
                <w:sz w:val="13"/>
                <w:szCs w:val="13"/>
                <w:color w:val="auto"/>
                <w:w w:val="93"/>
              </w:rPr>
              <w:t>To approve, in an advisory vote, the compensation of our named</w:t>
            </w:r>
          </w:p>
        </w:tc>
      </w:tr>
      <w:tr>
        <w:trPr>
          <w:trHeight w:val="160"/>
        </w:trPr>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executive officers.</w:t>
            </w:r>
          </w:p>
        </w:tc>
      </w:tr>
      <w:tr>
        <w:trPr>
          <w:trHeight w:val="245"/>
        </w:trPr>
        <w:tc>
          <w:tcPr>
            <w:tcW w:w="380" w:type="dxa"/>
            <w:vAlign w:val="bottom"/>
          </w:tcPr>
          <w:p>
            <w:pPr>
              <w:jc w:val="center"/>
              <w:ind w:right="97"/>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3540" w:type="dxa"/>
            <w:vAlign w:val="bottom"/>
          </w:tcPr>
          <w:p>
            <w:pPr>
              <w:ind w:left="60"/>
              <w:spacing w:after="0"/>
              <w:rPr>
                <w:sz w:val="20"/>
                <w:szCs w:val="20"/>
                <w:color w:val="auto"/>
              </w:rPr>
            </w:pPr>
            <w:r>
              <w:rPr>
                <w:rFonts w:ascii="Arial" w:cs="Arial" w:eastAsia="Arial" w:hAnsi="Arial"/>
                <w:sz w:val="13"/>
                <w:szCs w:val="13"/>
                <w:color w:val="auto"/>
                <w:w w:val="87"/>
              </w:rPr>
              <w:t>To approve a reverse stock split (i.e., a consolidation of share capital</w:t>
            </w:r>
          </w:p>
        </w:tc>
      </w:tr>
      <w:tr>
        <w:trPr>
          <w:trHeight w:val="144"/>
        </w:trPr>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Pr>
          <w:p>
            <w:pPr>
              <w:ind w:left="60"/>
              <w:spacing w:after="0" w:line="144" w:lineRule="exact"/>
              <w:rPr>
                <w:sz w:val="20"/>
                <w:szCs w:val="20"/>
                <w:color w:val="auto"/>
              </w:rPr>
            </w:pPr>
            <w:r>
              <w:rPr>
                <w:rFonts w:ascii="Arial" w:cs="Arial" w:eastAsia="Arial" w:hAnsi="Arial"/>
                <w:sz w:val="13"/>
                <w:szCs w:val="13"/>
                <w:color w:val="auto"/>
                <w:w w:val="87"/>
              </w:rPr>
              <w:t>under Irish law) whereby every 20 ordinary shares of $0.001 each be</w:t>
            </w:r>
          </w:p>
        </w:tc>
      </w:tr>
    </w:tbl>
    <w:p>
      <w:pPr>
        <w:jc w:val="center"/>
        <w:ind w:left="-99"/>
        <w:spacing w:after="0"/>
        <w:rPr>
          <w:sz w:val="20"/>
          <w:szCs w:val="20"/>
          <w:color w:val="auto"/>
        </w:rPr>
      </w:pPr>
      <w:r>
        <w:rPr>
          <w:rFonts w:ascii="Arial" w:cs="Arial" w:eastAsia="Arial" w:hAnsi="Arial"/>
          <w:sz w:val="13"/>
          <w:szCs w:val="13"/>
          <w:color w:val="auto"/>
        </w:rPr>
        <w:t>consolidated into 1 ordinary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40" w:val="left"/>
          <w:tab w:leader="none" w:pos="11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00" w:lineRule="exact"/>
        <w:rPr>
          <w:sz w:val="20"/>
          <w:szCs w:val="20"/>
          <w:color w:val="auto"/>
        </w:rPr>
      </w:pPr>
    </w:p>
    <w:p>
      <w:pPr>
        <w:spacing w:after="0" w:line="211" w:lineRule="exact"/>
        <w:rPr>
          <w:sz w:val="20"/>
          <w:szCs w:val="20"/>
          <w:color w:val="auto"/>
        </w:rPr>
      </w:pPr>
    </w:p>
    <w:p>
      <w:pPr>
        <w:ind w:left="60"/>
        <w:spacing w:after="0" w:line="131" w:lineRule="exact"/>
        <w:tabs>
          <w:tab w:leader="none" w:pos="70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75" w:lineRule="exact"/>
        <w:rPr>
          <w:sz w:val="20"/>
          <w:szCs w:val="20"/>
          <w:color w:val="auto"/>
        </w:rPr>
      </w:pPr>
    </w:p>
    <w:p>
      <w:pPr>
        <w:ind w:left="60"/>
        <w:spacing w:after="0" w:line="131" w:lineRule="exact"/>
        <w:tabs>
          <w:tab w:leader="none" w:pos="700" w:val="left"/>
          <w:tab w:leader="none" w:pos="1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407" w:lineRule="exact"/>
        <w:rPr>
          <w:sz w:val="20"/>
          <w:szCs w:val="20"/>
          <w:color w:val="auto"/>
        </w:rPr>
      </w:pPr>
    </w:p>
    <w:p>
      <w:pPr>
        <w:sectPr>
          <w:pgSz w:w="11900" w:h="16838" w:orient="portrait"/>
          <w:cols w:equalWidth="0" w:num="3">
            <w:col w:w="3620" w:space="220"/>
            <w:col w:w="5320" w:space="380"/>
            <w:col w:w="1880"/>
          </w:cols>
          <w:pgMar w:left="240" w:top="460" w:right="239" w:bottom="1440" w:gutter="0" w:footer="0" w:header="0"/>
          <w:type w:val="continuous"/>
        </w:sectPr>
      </w:pPr>
    </w:p>
    <w:p>
      <w:pPr>
        <w:spacing w:after="0" w:line="1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1e.  Francis S. Kalman</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1f.  David S. King</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1g.  William E. Macaulay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1h.  Mark A. McCollum</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1i.  Angela A. Minas</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1j.  Guillermo Ortiz</w:t>
      </w:r>
    </w:p>
    <w:p>
      <w:pPr>
        <w:spacing w:after="0" w:line="107" w:lineRule="exact"/>
        <w:rPr>
          <w:sz w:val="20"/>
          <w:szCs w:val="20"/>
          <w:color w:val="auto"/>
        </w:rPr>
      </w:pPr>
    </w:p>
    <w:p>
      <w:pPr>
        <w:ind w:left="880" w:hanging="210"/>
        <w:spacing w:after="0" w:line="239" w:lineRule="auto"/>
        <w:tabs>
          <w:tab w:leader="none" w:pos="8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To ratify the appointment of KPMG LLP as the Company’s independent registered public accounting firm and auditor for the financial year ending December 31, 2019 and KPMG Chartered Accountants, Dublin, as the Company’s statutory auditor under Irish law to hold office until the close of the 2020 AGM, and to authorize the Board of Directors of the Company, acting through the Audit Committee, to determine the auditors’ remuneration.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5.</w:t>
            </w:r>
          </w:p>
        </w:tc>
        <w:tc>
          <w:tcPr>
            <w:tcW w:w="3540" w:type="dxa"/>
            <w:vAlign w:val="bottom"/>
          </w:tcPr>
          <w:p>
            <w:pPr>
              <w:ind w:left="60"/>
              <w:spacing w:after="0"/>
              <w:rPr>
                <w:sz w:val="20"/>
                <w:szCs w:val="20"/>
                <w:color w:val="auto"/>
              </w:rPr>
            </w:pPr>
            <w:r>
              <w:rPr>
                <w:rFonts w:ascii="Arial" w:cs="Arial" w:eastAsia="Arial" w:hAnsi="Arial"/>
                <w:sz w:val="13"/>
                <w:szCs w:val="13"/>
                <w:color w:val="auto"/>
                <w:w w:val="86"/>
              </w:rPr>
              <w:t>To approve an increase of the Company’s authorized share capital by</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the creation of an additional 33,900,000 ordinary shares.</w:t>
            </w:r>
          </w:p>
        </w:tc>
      </w:tr>
      <w:tr>
        <w:trPr>
          <w:trHeight w:val="297"/>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6.</w:t>
            </w:r>
          </w:p>
        </w:tc>
        <w:tc>
          <w:tcPr>
            <w:tcW w:w="3540" w:type="dxa"/>
            <w:vAlign w:val="bottom"/>
          </w:tcPr>
          <w:p>
            <w:pPr>
              <w:ind w:left="60"/>
              <w:spacing w:after="0"/>
              <w:rPr>
                <w:sz w:val="20"/>
                <w:szCs w:val="20"/>
                <w:color w:val="auto"/>
              </w:rPr>
            </w:pPr>
            <w:r>
              <w:rPr>
                <w:rFonts w:ascii="Arial" w:cs="Arial" w:eastAsia="Arial" w:hAnsi="Arial"/>
                <w:sz w:val="13"/>
                <w:szCs w:val="13"/>
                <w:color w:val="auto"/>
                <w:w w:val="94"/>
              </w:rPr>
              <w:t>To grant the Board the authority to issue shares under Irish law.</w:t>
            </w:r>
          </w:p>
        </w:tc>
      </w:tr>
      <w:tr>
        <w:trPr>
          <w:trHeight w:val="232"/>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7.</w:t>
            </w:r>
          </w:p>
        </w:tc>
        <w:tc>
          <w:tcPr>
            <w:tcW w:w="3540" w:type="dxa"/>
            <w:vAlign w:val="bottom"/>
          </w:tcPr>
          <w:p>
            <w:pPr>
              <w:ind w:left="60"/>
              <w:spacing w:after="0"/>
              <w:rPr>
                <w:sz w:val="20"/>
                <w:szCs w:val="20"/>
                <w:color w:val="auto"/>
              </w:rPr>
            </w:pPr>
            <w:r>
              <w:rPr>
                <w:rFonts w:ascii="Arial" w:cs="Arial" w:eastAsia="Arial" w:hAnsi="Arial"/>
                <w:sz w:val="13"/>
                <w:szCs w:val="13"/>
                <w:color w:val="auto"/>
                <w:w w:val="93"/>
              </w:rPr>
              <w:t>To grant the Board the power to opt-out of statutory pre-emption</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rights under Irish law.</w:t>
            </w:r>
          </w:p>
        </w:tc>
      </w:tr>
      <w:tr>
        <w:trPr>
          <w:trHeight w:val="218"/>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8.</w:t>
            </w:r>
          </w:p>
        </w:tc>
        <w:tc>
          <w:tcPr>
            <w:tcW w:w="3540" w:type="dxa"/>
            <w:vAlign w:val="bottom"/>
          </w:tcPr>
          <w:p>
            <w:pPr>
              <w:ind w:left="60"/>
              <w:spacing w:after="0"/>
              <w:rPr>
                <w:sz w:val="20"/>
                <w:szCs w:val="20"/>
                <w:color w:val="auto"/>
              </w:rPr>
            </w:pPr>
            <w:r>
              <w:rPr>
                <w:rFonts w:ascii="Arial" w:cs="Arial" w:eastAsia="Arial" w:hAnsi="Arial"/>
                <w:sz w:val="13"/>
                <w:szCs w:val="13"/>
                <w:color w:val="auto"/>
                <w:w w:val="88"/>
              </w:rPr>
              <w:t>To approve an amendment and restatement of the Company’s 2010</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Omnibus Incentive Plan.</w:t>
            </w:r>
          </w:p>
        </w:tc>
      </w:tr>
      <w:tr>
        <w:trPr>
          <w:trHeight w:val="24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40"/>
              <w:spacing w:after="0"/>
              <w:rPr>
                <w:sz w:val="20"/>
                <w:szCs w:val="20"/>
                <w:color w:val="auto"/>
              </w:rPr>
            </w:pPr>
            <w:r>
              <w:rPr>
                <w:rFonts w:ascii="Arial" w:cs="Arial" w:eastAsia="Arial" w:hAnsi="Arial"/>
                <w:sz w:val="13"/>
                <w:szCs w:val="13"/>
                <w:color w:val="auto"/>
              </w:rPr>
              <w:t>9.</w:t>
            </w:r>
          </w:p>
        </w:tc>
        <w:tc>
          <w:tcPr>
            <w:tcW w:w="3540" w:type="dxa"/>
            <w:vAlign w:val="bottom"/>
          </w:tcPr>
          <w:p>
            <w:pPr>
              <w:ind w:left="60"/>
              <w:spacing w:after="0"/>
              <w:rPr>
                <w:sz w:val="20"/>
                <w:szCs w:val="20"/>
                <w:color w:val="auto"/>
              </w:rPr>
            </w:pPr>
            <w:r>
              <w:rPr>
                <w:rFonts w:ascii="Arial" w:cs="Arial" w:eastAsia="Arial" w:hAnsi="Arial"/>
                <w:sz w:val="13"/>
                <w:szCs w:val="13"/>
                <w:color w:val="auto"/>
                <w:w w:val="96"/>
              </w:rPr>
              <w:t>To approve an amendment to the Company’s Employee Stock</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Purchase Plan.</w:t>
            </w:r>
          </w:p>
        </w:tc>
      </w:tr>
      <w:tr>
        <w:trPr>
          <w:trHeight w:val="297"/>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gridSpan w:val="2"/>
          </w:tcPr>
          <w:p>
            <w:pPr>
              <w:ind w:left="1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w:t>
            </w:r>
          </w:p>
        </w:tc>
      </w:tr>
      <w:tr>
        <w:trPr>
          <w:trHeight w:val="160"/>
        </w:trPr>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20" w:type="dxa"/>
            <w:vAlign w:val="bottom"/>
            <w:gridSpan w:val="2"/>
          </w:tcPr>
          <w:p>
            <w:pPr>
              <w:ind w:left="140"/>
              <w:spacing w:after="0"/>
              <w:rPr>
                <w:sz w:val="20"/>
                <w:szCs w:val="20"/>
                <w:color w:val="auto"/>
              </w:rPr>
            </w:pPr>
            <w:r>
              <w:rPr>
                <w:rFonts w:ascii="Arial" w:cs="Arial" w:eastAsia="Arial" w:hAnsi="Arial"/>
                <w:sz w:val="13"/>
                <w:szCs w:val="13"/>
                <w:color w:val="auto"/>
              </w:rPr>
              <w:t>before the meeting or any adjournment thereof.</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4"/>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05"/>
        </w:trPr>
        <w:tc>
          <w:tcPr>
            <w:tcW w:w="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48" w:lineRule="exact"/>
        <w:rPr>
          <w:sz w:val="20"/>
          <w:szCs w:val="20"/>
          <w:color w:val="auto"/>
        </w:rPr>
      </w:pPr>
    </w:p>
    <w:p>
      <w:pPr>
        <w:sectPr>
          <w:pgSz w:w="11900" w:h="16838" w:orient="portrait"/>
          <w:cols w:equalWidth="0" w:num="3">
            <w:col w:w="3480" w:space="420"/>
            <w:col w:w="5260" w:space="440"/>
            <w:col w:w="1820"/>
          </w:cols>
          <w:pgMar w:left="240" w:top="460" w:right="239" w:bottom="1440" w:gutter="0" w:footer="0" w:header="0"/>
          <w:type w:val="continuous"/>
        </w:sectPr>
      </w:pPr>
    </w:p>
    <w:p>
      <w:pPr>
        <w:spacing w:after="0" w:line="371" w:lineRule="exact"/>
        <w:rPr>
          <w:sz w:val="20"/>
          <w:szCs w:val="20"/>
          <w:color w:val="auto"/>
        </w:rPr>
      </w:pPr>
    </w:p>
    <w:p>
      <w:pPr>
        <w:ind w:left="660" w:right="1560"/>
        <w:spacing w:after="0" w:line="27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3600" w:val="left"/>
          <w:tab w:leader="none" w:pos="5460" w:val="left"/>
          <w:tab w:leader="none" w:pos="93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60"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Notice and Proxy Statement, Annual Report and Irish Statutory Accounts are available at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 — — — — — —— — — — — — — — — — — — — — — — — — — — — — — — — — — — — — — — — — —</w:t>
      </w:r>
    </w:p>
    <w:p>
      <w:pPr>
        <w:spacing w:after="0" w:line="50" w:lineRule="exact"/>
        <w:rPr>
          <w:sz w:val="20"/>
          <w:szCs w:val="20"/>
          <w:color w:val="auto"/>
        </w:rPr>
      </w:pPr>
    </w:p>
    <w:p>
      <w:pPr>
        <w:ind w:left="10340"/>
        <w:spacing w:after="0"/>
        <w:rPr>
          <w:sz w:val="20"/>
          <w:szCs w:val="20"/>
          <w:color w:val="auto"/>
        </w:rPr>
      </w:pPr>
      <w:r>
        <w:rPr>
          <w:rFonts w:ascii="Arial" w:cs="Arial" w:eastAsia="Arial" w:hAnsi="Arial"/>
          <w:sz w:val="11"/>
          <w:szCs w:val="11"/>
          <w:color w:val="auto"/>
        </w:rPr>
        <w:t>E67828-P22661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263765" cy="33705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3765" cy="33705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WEATHERFORD INTERNATIONAL PLC</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Annual General Meeting of Shareholders</w:t>
      </w:r>
    </w:p>
    <w:p>
      <w:pPr>
        <w:jc w:val="center"/>
        <w:ind w:left="320"/>
        <w:spacing w:after="0" w:line="230" w:lineRule="auto"/>
        <w:rPr>
          <w:sz w:val="20"/>
          <w:szCs w:val="20"/>
          <w:color w:val="auto"/>
        </w:rPr>
      </w:pPr>
      <w:r>
        <w:rPr>
          <w:rFonts w:ascii="Arial" w:cs="Arial" w:eastAsia="Arial" w:hAnsi="Arial"/>
          <w:sz w:val="22"/>
          <w:szCs w:val="22"/>
          <w:b w:val="1"/>
          <w:bCs w:val="1"/>
          <w:color w:val="auto"/>
        </w:rPr>
        <w:t>June 25, 2019 10:00 AM Central European Time</w:t>
      </w:r>
    </w:p>
    <w:p>
      <w:pPr>
        <w:spacing w:after="0" w:line="1" w:lineRule="exact"/>
        <w:rPr>
          <w:sz w:val="20"/>
          <w:szCs w:val="20"/>
          <w:color w:val="auto"/>
        </w:rPr>
      </w:pPr>
    </w:p>
    <w:p>
      <w:pPr>
        <w:jc w:val="center"/>
        <w:ind w:left="32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36"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The shareholder(s) hereby appoint(s) Christina M. Ibrahim and Mark A. McCollum, or either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European Time, on June 25, 2019, at The Lorzensaal Cham, Cham, Canton of Zug, Switzerland, and any adjournment or postponement thereof on the matters more particularly described in the Proxy Statement for the 2019 Annual General Meeting of Shareholders. The undersigned hereby revokes all proxies previously given by the undersigned to vote at the Annual General Meeting of Shareholders.</w:t>
      </w:r>
    </w:p>
    <w:p>
      <w:pPr>
        <w:spacing w:after="0" w:line="201" w:lineRule="exact"/>
        <w:rPr>
          <w:sz w:val="20"/>
          <w:szCs w:val="20"/>
          <w:color w:val="auto"/>
        </w:rPr>
      </w:pPr>
    </w:p>
    <w:p>
      <w:pPr>
        <w:ind w:left="300" w:right="80"/>
        <w:spacing w:after="0" w:line="298" w:lineRule="auto"/>
        <w:rPr>
          <w:sz w:val="20"/>
          <w:szCs w:val="20"/>
          <w:color w:val="auto"/>
        </w:rPr>
      </w:pPr>
      <w:r>
        <w:rPr>
          <w:rFonts w:ascii="Arial" w:cs="Arial" w:eastAsia="Arial" w:hAnsi="Arial"/>
          <w:sz w:val="16"/>
          <w:szCs w:val="16"/>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lvl w:ilvl="1">
      <w:lvlJc w:val="left"/>
      <w:lvlText w:val="%2)"/>
      <w:numFmt w:val="decimal"/>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1)"/>
      <w:numFmt w:val="decimal"/>
      <w:start w:val="1"/>
    </w:lvl>
  </w:abstractNum>
  <w:abstractNum w:abstractNumId="7">
    <w:nsid w:val="75E0858A"/>
    <w:multiLevelType w:val="hybridMultilevel"/>
    <w:lvl w:ilvl="0">
      <w:lvlJc w:val="left"/>
      <w:lvlText w:val="%1."/>
      <w:numFmt w:val="decimal"/>
      <w:start w:val="1"/>
    </w:lvl>
  </w:abstractNum>
  <w:abstractNum w:abstractNumId="8">
    <w:nsid w:val="57A61A29"/>
    <w:multiLevelType w:val="hybridMultilevel"/>
    <w:lvl w:ilvl="0">
      <w:lvlJc w:val="left"/>
      <w:lvlText w:val="%1"/>
      <w:numFmt w:val="decimal"/>
      <w:start w:val="12"/>
    </w:lvl>
  </w:abstractNum>
  <w:abstractNum w:abstractNumId="9">
    <w:nsid w:val="5399C654"/>
    <w:multiLevelType w:val="hybridMultilevel"/>
    <w:lvl w:ilvl="0">
      <w:lvlJc w:val="left"/>
      <w:lvlText w:val="%1"/>
      <w:numFmt w:val="decimal"/>
      <w:start w:val="16"/>
    </w:lvl>
  </w:abstractNum>
  <w:abstractNum w:abstractNumId="10">
    <w:nsid w:val="20EE1348"/>
    <w:multiLevelType w:val="hybridMultilevel"/>
    <w:lvl w:ilvl="0">
      <w:lvlJc w:val="left"/>
      <w:lvlText w:val="%1"/>
      <w:numFmt w:val="decimal"/>
      <w:start w:val="18"/>
    </w:lvl>
  </w:abstractNum>
  <w:abstractNum w:abstractNumId="11">
    <w:nsid w:val="4427069A"/>
    <w:multiLevelType w:val="hybridMultilevel"/>
    <w:lvl w:ilvl="0">
      <w:lvlJc w:val="left"/>
      <w:lvlText w:val="%1"/>
      <w:numFmt w:val="decimal"/>
      <w:start w:val="18"/>
    </w:lvl>
  </w:abstractNum>
  <w:abstractNum w:abstractNumId="12">
    <w:nsid w:val="B37E80A"/>
    <w:multiLevelType w:val="hybridMultilevel"/>
    <w:lvl w:ilvl="0">
      <w:lvlJc w:val="left"/>
      <w:lvlText w:val="2"/>
      <w:numFmt w:val="bullet"/>
      <w:start w:val="1"/>
    </w:lvl>
  </w:abstractNum>
  <w:abstractNum w:abstractNumId="13">
    <w:nsid w:val="2157F6BC"/>
    <w:multiLevelType w:val="hybridMultilevel"/>
    <w:lvl w:ilvl="0">
      <w:lvlJc w:val="left"/>
      <w:lvlText w:val="(%1)"/>
      <w:numFmt w:val="lowerRoman"/>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4"/>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6"/>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abstractNum>
  <w:abstractNum w:abstractNumId="22">
    <w:nsid w:val="24F6AB8E"/>
    <w:multiLevelType w:val="hybridMultilevel"/>
    <w:lvl w:ilvl="0">
      <w:lvlJc w:val="left"/>
      <w:lvlText w:val="•"/>
      <w:numFmt w:val="bullet"/>
      <w:start w:val="1"/>
    </w:lvl>
  </w:abstractNum>
  <w:abstractNum w:abstractNumId="23">
    <w:nsid w:val="634C574C"/>
    <w:multiLevelType w:val="hybridMultilevel"/>
    <w:lvl w:ilvl="0">
      <w:lvlJc w:val="left"/>
      <w:lvlText w:val="8"/>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1"/>
      <w:numFmt w:val="decimal"/>
      <w:start w:val="10"/>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1"/>
      <w:numFmt w:val="decimal"/>
      <w:start w:val="12"/>
    </w:lvl>
  </w:abstractNum>
  <w:abstractNum w:abstractNumId="35">
    <w:nsid w:val="61E74EA3"/>
    <w:multiLevelType w:val="hybridMultilevel"/>
    <w:lvl w:ilvl="0">
      <w:lvlJc w:val="left"/>
      <w:lvlText w:val="%1"/>
      <w:numFmt w:val="decimal"/>
      <w:start w:val="14"/>
    </w:lvl>
  </w:abstractNum>
  <w:abstractNum w:abstractNumId="36">
    <w:nsid w:val="597B4D84"/>
    <w:multiLevelType w:val="hybridMultilevel"/>
    <w:lvl w:ilvl="0">
      <w:lvlJc w:val="left"/>
      <w:lvlText w:val="%1"/>
      <w:numFmt w:val="decimal"/>
      <w:start w:val="16"/>
    </w:lvl>
  </w:abstractNum>
  <w:abstractNum w:abstractNumId="37">
    <w:nsid w:val="F819E7F"/>
    <w:multiLevelType w:val="hybridMultilevel"/>
    <w:lvl w:ilvl="0">
      <w:lvlJc w:val="left"/>
      <w:lvlText w:val="(%1)"/>
      <w:numFmt w:val="decimal"/>
      <w:start w:val="1"/>
    </w:lvl>
  </w:abstractNum>
  <w:abstractNum w:abstractNumId="38">
    <w:nsid w:val="57C7D42D"/>
    <w:multiLevelType w:val="hybridMultilevel"/>
    <w:lvl w:ilvl="0">
      <w:lvlJc w:val="left"/>
      <w:lvlText w:val="(%1)"/>
      <w:numFmt w:val="decimal"/>
      <w:start w:val="3"/>
    </w:lvl>
  </w:abstractNum>
  <w:abstractNum w:abstractNumId="39">
    <w:nsid w:val="312167AD"/>
    <w:multiLevelType w:val="hybridMultilevel"/>
    <w:lvl w:ilvl="0">
      <w:lvlJc w:val="left"/>
      <w:lvlText w:val="(%1)"/>
      <w:numFmt w:val="decimal"/>
      <w:start w:val="1"/>
    </w:lvl>
  </w:abstractNum>
  <w:abstractNum w:abstractNumId="40">
    <w:nsid w:val="631B64D4"/>
    <w:multiLevelType w:val="hybridMultilevel"/>
    <w:lvl w:ilvl="0">
      <w:lvlJc w:val="left"/>
      <w:lvlText w:val="%1"/>
      <w:numFmt w:val="decimal"/>
      <w:start w:val="18"/>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
      <w:numFmt w:val="bullet"/>
      <w:start w:val="1"/>
    </w:lvl>
  </w:abstractNum>
  <w:abstractNum w:abstractNumId="43">
    <w:nsid w:val="6E534CDE"/>
    <w:multiLevelType w:val="hybridMultilevel"/>
    <w:lvl w:ilvl="0">
      <w:lvlJc w:val="left"/>
      <w:lvlText w:val="%1"/>
      <w:numFmt w:val="decimal"/>
      <w:start w:val="20"/>
    </w:lvl>
  </w:abstractNum>
  <w:abstractNum w:abstractNumId="44">
    <w:nsid w:val="1A0DDE32"/>
    <w:multiLevelType w:val="hybridMultilevel"/>
    <w:lvl w:ilvl="0">
      <w:lvlJc w:val="left"/>
      <w:lvlText w:val="%1"/>
      <w:numFmt w:val="decimal"/>
      <w:start w:val="22"/>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1)"/>
      <w:numFmt w:val="lowerLetter"/>
      <w:start w:val="1"/>
    </w:lvl>
  </w:abstractNum>
  <w:abstractNum w:abstractNumId="48">
    <w:nsid w:val="73D4D3C4"/>
    <w:multiLevelType w:val="hybridMultilevel"/>
    <w:lvl w:ilvl="0">
      <w:lvlJc w:val="left"/>
      <w:lvlText w:val="•"/>
      <w:numFmt w:val="bullet"/>
      <w:start w:val="1"/>
    </w:lvl>
  </w:abstractNum>
  <w:abstractNum w:abstractNumId="49">
    <w:nsid w:val="746F2E30"/>
    <w:multiLevelType w:val="hybridMultilevel"/>
    <w:lvl w:ilvl="0">
      <w:lvlJc w:val="left"/>
      <w:lvlText w:val="%1"/>
      <w:numFmt w:val="decimal"/>
      <w:start w:val="24"/>
    </w:lvl>
  </w:abstractNum>
  <w:abstractNum w:abstractNumId="50">
    <w:nsid w:val="6FDE8AF6"/>
    <w:multiLevelType w:val="hybridMultilevel"/>
    <w:lvl w:ilvl="0">
      <w:lvlJc w:val="left"/>
      <w:lvlText w:val="•"/>
      <w:numFmt w:val="bullet"/>
      <w:start w:val="1"/>
    </w:lvl>
  </w:abstractNum>
  <w:abstractNum w:abstractNumId="51">
    <w:nsid w:val="3FC32E20"/>
    <w:multiLevelType w:val="hybridMultilevel"/>
    <w:lvl w:ilvl="0">
      <w:lvlJc w:val="left"/>
      <w:lvlText w:val="(%1)"/>
      <w:numFmt w:val="lowerLetter"/>
      <w:start w:val="1"/>
    </w:lvl>
  </w:abstractNum>
  <w:abstractNum w:abstractNumId="52">
    <w:nsid w:val="49C0E823"/>
    <w:multiLevelType w:val="hybridMultilevel"/>
    <w:lvl w:ilvl="0">
      <w:lvlJc w:val="left"/>
      <w:lvlText w:val="%1"/>
      <w:numFmt w:val="decimal"/>
      <w:start w:val="26"/>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abstractNum>
  <w:abstractNum w:abstractNumId="55">
    <w:nsid w:val="6EAA85FB"/>
    <w:multiLevelType w:val="hybridMultilevel"/>
    <w:lvl w:ilvl="0">
      <w:lvlJc w:val="left"/>
      <w:lvlText w:val="%1"/>
      <w:numFmt w:val="decimal"/>
      <w:start w:val="28"/>
    </w:lvl>
  </w:abstractNum>
  <w:abstractNum w:abstractNumId="56">
    <w:nsid w:val="3F06ECB2"/>
    <w:multiLevelType w:val="hybridMultilevel"/>
    <w:lvl w:ilvl="0">
      <w:lvlJc w:val="left"/>
      <w:lvlText w:val="✓"/>
      <w:numFmt w:val="bullet"/>
      <w:start w:val="1"/>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X"/>
      <w:numFmt w:val="bullet"/>
      <w:start w:val="1"/>
    </w:lvl>
  </w:abstractNum>
  <w:abstractNum w:abstractNumId="59">
    <w:nsid w:val="3F7C2FF4"/>
    <w:multiLevelType w:val="hybridMultilevel"/>
    <w:lvl w:ilvl="0">
      <w:lvlJc w:val="left"/>
      <w:lvlText w:val="•"/>
      <w:numFmt w:val="bullet"/>
      <w:start w:val="1"/>
    </w:lvl>
  </w:abstractNum>
  <w:abstractNum w:abstractNumId="60">
    <w:nsid w:val="25413BEC"/>
    <w:multiLevelType w:val="hybridMultilevel"/>
    <w:lvl w:ilvl="0">
      <w:lvlJc w:val="left"/>
      <w:lvlText w:val="%1"/>
      <w:numFmt w:val="decimal"/>
      <w:start w:val="30"/>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1"/>
      <w:numFmt w:val="decimal"/>
      <w:start w:val="32"/>
    </w:lvl>
  </w:abstractNum>
  <w:abstractNum w:abstractNumId="63">
    <w:nsid w:val="5D205E20"/>
    <w:multiLevelType w:val="hybridMultilevel"/>
    <w:lvl w:ilvl="0">
      <w:lvlJc w:val="left"/>
      <w:lvlText w:val="(%1)"/>
      <w:numFmt w:val="lowerLetter"/>
      <w:start w:val="1"/>
    </w:lvl>
  </w:abstractNum>
  <w:abstractNum w:abstractNumId="64">
    <w:nsid w:val="11CCA8BA"/>
    <w:multiLevelType w:val="hybridMultilevel"/>
    <w:lvl w:ilvl="0">
      <w:lvlJc w:val="left"/>
      <w:lvlText w:val="(%1)"/>
      <w:numFmt w:val="lowerLetter"/>
      <w:start w:val="6"/>
    </w:lvl>
  </w:abstractNum>
  <w:abstractNum w:abstractNumId="65">
    <w:nsid w:val="4D32AB86"/>
    <w:multiLevelType w:val="hybridMultilevel"/>
    <w:lvl w:ilvl="0">
      <w:lvlJc w:val="left"/>
      <w:lvlText w:val="(%1)"/>
      <w:numFmt w:val="decimal"/>
      <w:start w:val="1"/>
    </w:lvl>
  </w:abstractNum>
  <w:abstractNum w:abstractNumId="66">
    <w:nsid w:val="3F07ACC3"/>
    <w:multiLevelType w:val="hybridMultilevel"/>
    <w:lvl w:ilvl="0">
      <w:lvlJc w:val="left"/>
      <w:lvlText w:val="(%1)"/>
      <w:numFmt w:val="decimal"/>
      <w:start w:val="1"/>
    </w:lvl>
  </w:abstractNum>
  <w:abstractNum w:abstractNumId="67">
    <w:nsid w:val="6B47F63E"/>
    <w:multiLevelType w:val="hybridMultilevel"/>
    <w:lvl w:ilvl="0">
      <w:lvlJc w:val="left"/>
      <w:lvlText w:val="%1"/>
      <w:numFmt w:val="decimal"/>
      <w:start w:val="34"/>
    </w:lvl>
  </w:abstractNum>
  <w:abstractNum w:abstractNumId="68">
    <w:nsid w:val="5CB44A05"/>
    <w:multiLevelType w:val="hybridMultilevel"/>
    <w:lvl w:ilvl="0">
      <w:lvlJc w:val="left"/>
      <w:lvlText w:val="(%1)"/>
      <w:numFmt w:val="decimal"/>
      <w:start w:val="4"/>
    </w:lvl>
  </w:abstractNum>
  <w:abstractNum w:abstractNumId="69">
    <w:nsid w:val="16CF80F1"/>
    <w:multiLevelType w:val="hybridMultilevel"/>
    <w:lvl w:ilvl="0">
      <w:lvlJc w:val="left"/>
      <w:lvlText w:val="(%1)"/>
      <w:numFmt w:val="decimal"/>
      <w:start w:val="1"/>
    </w:lvl>
  </w:abstractNum>
  <w:abstractNum w:abstractNumId="70">
    <w:nsid w:val="1C695DEC"/>
    <w:multiLevelType w:val="hybridMultilevel"/>
    <w:lvl w:ilvl="0">
      <w:lvlJc w:val="left"/>
      <w:lvlText w:val="(%1)"/>
      <w:numFmt w:val="lowerLetter"/>
      <w:start w:val="1"/>
    </w:lvl>
  </w:abstractNum>
  <w:abstractNum w:abstractNumId="71">
    <w:nsid w:val="3FCFAED9"/>
    <w:multiLevelType w:val="hybridMultilevel"/>
    <w:lvl w:ilvl="0">
      <w:lvlJc w:val="left"/>
      <w:lvlText w:val="•"/>
      <w:numFmt w:val="bullet"/>
      <w:start w:val="1"/>
    </w:lvl>
  </w:abstractNum>
  <w:abstractNum w:abstractNumId="72">
    <w:nsid w:val="F856867"/>
    <w:multiLevelType w:val="hybridMultilevel"/>
    <w:lvl w:ilvl="0">
      <w:lvlJc w:val="left"/>
      <w:lvlText w:val="%1"/>
      <w:numFmt w:val="decimal"/>
      <w:start w:val="36"/>
    </w:lvl>
  </w:abstractNum>
  <w:abstractNum w:abstractNumId="73">
    <w:nsid w:val="11B1CC33"/>
    <w:multiLevelType w:val="hybridMultilevel"/>
    <w:lvl w:ilvl="0">
      <w:lvlJc w:val="left"/>
      <w:lvlText w:val="(%1)"/>
      <w:numFmt w:val="decimal"/>
      <w:start w:val="1"/>
    </w:lvl>
  </w:abstractNum>
  <w:abstractNum w:abstractNumId="74">
    <w:nsid w:val="2E22FBB7"/>
    <w:multiLevelType w:val="hybridMultilevel"/>
    <w:lvl w:ilvl="0">
      <w:lvlJc w:val="left"/>
      <w:lvlText w:val="(%1)"/>
      <w:numFmt w:val="decimal"/>
      <w:start w:val="1"/>
    </w:lvl>
  </w:abstractNum>
  <w:abstractNum w:abstractNumId="75">
    <w:nsid w:val="29934699"/>
    <w:multiLevelType w:val="hybridMultilevel"/>
    <w:lvl w:ilvl="0">
      <w:lvlJc w:val="left"/>
      <w:lvlText w:val="%1"/>
      <w:numFmt w:val="decimal"/>
      <w:start w:val="38"/>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
      <w:numFmt w:val="bullet"/>
      <w:start w:val="1"/>
    </w:lvl>
  </w:abstractNum>
  <w:abstractNum w:abstractNumId="78">
    <w:nsid w:val="4FA0D2E3"/>
    <w:multiLevelType w:val="hybridMultilevel"/>
    <w:lvl w:ilvl="0">
      <w:lvlJc w:val="left"/>
      <w:lvlText w:val="%1"/>
      <w:numFmt w:val="decimal"/>
      <w:start w:val="40"/>
    </w:lvl>
  </w:abstractNum>
  <w:abstractNum w:abstractNumId="79">
    <w:nsid w:val="6B1D2C14"/>
    <w:multiLevelType w:val="hybridMultilevel"/>
    <w:lvl w:ilvl="0">
      <w:lvlJc w:val="left"/>
      <w:lvlText w:val="•"/>
      <w:numFmt w:val="bullet"/>
      <w:start w:val="1"/>
    </w:lvl>
  </w:abstractNum>
  <w:abstractNum w:abstractNumId="80">
    <w:nsid w:val="68B867D3"/>
    <w:multiLevelType w:val="hybridMultilevel"/>
    <w:lvl w:ilvl="0">
      <w:lvlJc w:val="left"/>
      <w:lvlText w:val="%1"/>
      <w:numFmt w:val="decimal"/>
      <w:start w:val="42"/>
    </w:lvl>
  </w:abstractNum>
  <w:abstractNum w:abstractNumId="81">
    <w:nsid w:val="3F7F5DD9"/>
    <w:multiLevelType w:val="hybridMultilevel"/>
    <w:lvl w:ilvl="0">
      <w:lvlJc w:val="left"/>
      <w:lvlText w:val="•"/>
      <w:numFmt w:val="bullet"/>
      <w:start w:val="1"/>
    </w:lvl>
  </w:abstractNum>
  <w:abstractNum w:abstractNumId="82">
    <w:nsid w:val="2AE05A34"/>
    <w:multiLevelType w:val="hybridMultilevel"/>
    <w:lvl w:ilvl="0">
      <w:lvlJc w:val="left"/>
      <w:lvlText w:val="•"/>
      <w:numFmt w:val="bullet"/>
      <w:start w:val="1"/>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decimal"/>
      <w:start w:val="44"/>
    </w:lvl>
  </w:abstractNum>
  <w:abstractNum w:abstractNumId="85">
    <w:nsid w:val="4DEFDFA0"/>
    <w:multiLevelType w:val="hybridMultilevel"/>
    <w:lvl w:ilvl="0">
      <w:lvlJc w:val="left"/>
      <w:lvlText w:val="(%1)"/>
      <w:numFmt w:val="lowerLetter"/>
      <w:start w:val="2"/>
    </w:lvl>
  </w:abstractNum>
  <w:abstractNum w:abstractNumId="86">
    <w:nsid w:val="2123D5F2"/>
    <w:multiLevelType w:val="hybridMultilevel"/>
    <w:lvl w:ilvl="0">
      <w:lvlJc w:val="left"/>
      <w:lvlText w:val="%1"/>
      <w:numFmt w:val="decimal"/>
      <w:start w:val="46"/>
    </w:lvl>
  </w:abstractNum>
  <w:abstractNum w:abstractNumId="87">
    <w:nsid w:val="135B8110"/>
    <w:multiLevelType w:val="hybridMultilevel"/>
    <w:lvl w:ilvl="0">
      <w:lvlJc w:val="left"/>
      <w:lvlText w:val="(%1)"/>
      <w:numFmt w:val="lowerLetter"/>
      <w:start w:val="1"/>
    </w:lvl>
  </w:abstractNum>
  <w:abstractNum w:abstractNumId="88">
    <w:nsid w:val="94927A8"/>
    <w:multiLevelType w:val="hybridMultilevel"/>
    <w:lvl w:ilvl="0">
      <w:lvlJc w:val="left"/>
      <w:lvlText w:val="%1"/>
      <w:numFmt w:val="decimal"/>
      <w:start w:val="48"/>
    </w:lvl>
  </w:abstractNum>
  <w:abstractNum w:abstractNumId="89">
    <w:nsid w:val="DCDF8F6"/>
    <w:multiLevelType w:val="hybridMultilevel"/>
    <w:lvl w:ilvl="0">
      <w:lvlJc w:val="left"/>
      <w:lvlText w:val="(%1)"/>
      <w:numFmt w:val="lowerLetter"/>
      <w:start w:val="1"/>
    </w:lvl>
  </w:abstractNum>
  <w:abstractNum w:abstractNumId="90">
    <w:nsid w:val="52D7B105"/>
    <w:multiLevelType w:val="hybridMultilevel"/>
    <w:lvl w:ilvl="0">
      <w:lvlJc w:val="left"/>
      <w:lvlText w:val="•"/>
      <w:numFmt w:val="bullet"/>
      <w:start w:val="1"/>
    </w:lvl>
  </w:abstractNum>
  <w:abstractNum w:abstractNumId="91">
    <w:nsid w:val="2E8A6394"/>
    <w:multiLevelType w:val="hybridMultilevel"/>
    <w:lvl w:ilvl="0">
      <w:lvlJc w:val="left"/>
      <w:lvlText w:val="%1"/>
      <w:numFmt w:val="decimal"/>
      <w:start w:val="50"/>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1"/>
      <w:numFmt w:val="decimal"/>
      <w:start w:val="52"/>
    </w:lvl>
  </w:abstractNum>
  <w:abstractNum w:abstractNumId="94">
    <w:nsid w:val="BAAC1B4"/>
    <w:multiLevelType w:val="hybridMultilevel"/>
    <w:lvl w:ilvl="0">
      <w:lvlJc w:val="left"/>
      <w:lvlText w:val="%1"/>
      <w:numFmt w:val="decimal"/>
      <w:start w:val="54"/>
    </w:lvl>
  </w:abstractNum>
  <w:abstractNum w:abstractNumId="95">
    <w:nsid w:val="36B2ACBC"/>
    <w:multiLevelType w:val="hybridMultilevel"/>
    <w:lvl w:ilvl="0">
      <w:lvlJc w:val="left"/>
      <w:lvlText w:val="•"/>
      <w:numFmt w:val="bullet"/>
      <w:start w:val="1"/>
    </w:lvl>
  </w:abstractNum>
  <w:abstractNum w:abstractNumId="96">
    <w:nsid w:val="779D8544"/>
    <w:multiLevelType w:val="hybridMultilevel"/>
    <w:lvl w:ilvl="0">
      <w:lvlJc w:val="left"/>
      <w:lvlText w:val="%1"/>
      <w:numFmt w:val="decimal"/>
      <w:start w:val="56"/>
    </w:lvl>
  </w:abstractNum>
  <w:abstractNum w:abstractNumId="97">
    <w:nsid w:val="4AB26E78"/>
    <w:multiLevelType w:val="hybridMultilevel"/>
    <w:lvl w:ilvl="0">
      <w:lvlJc w:val="left"/>
      <w:lvlText w:val="(%1)"/>
      <w:numFmt w:val="lowerLetter"/>
      <w:start w:val="1"/>
    </w:lvl>
  </w:abstractNum>
  <w:abstractNum w:abstractNumId="98">
    <w:nsid w:val="21FAA2FA"/>
    <w:multiLevelType w:val="hybridMultilevel"/>
    <w:lvl w:ilvl="0">
      <w:lvlJc w:val="left"/>
      <w:lvlText w:val="%1"/>
      <w:numFmt w:val="decimal"/>
      <w:start w:val="58"/>
    </w:lvl>
  </w:abstractNum>
  <w:abstractNum w:abstractNumId="99">
    <w:nsid w:val="5451CF49"/>
    <w:multiLevelType w:val="hybridMultilevel"/>
    <w:lvl w:ilvl="0">
      <w:lvlJc w:val="left"/>
      <w:lvlText w:val="(%1)"/>
      <w:numFmt w:val="decimal"/>
      <w:start w:val="1"/>
    </w:lvl>
  </w:abstractNum>
  <w:abstractNum w:abstractNumId="100">
    <w:nsid w:val="6181EF69"/>
    <w:multiLevelType w:val="hybridMultilevel"/>
    <w:lvl w:ilvl="0">
      <w:lvlJc w:val="left"/>
      <w:lvlText w:val="%1"/>
      <w:numFmt w:val="decimal"/>
      <w:start w:val="60"/>
    </w:lvl>
  </w:abstractNum>
  <w:abstractNum w:abstractNumId="101">
    <w:nsid w:val="3E6400E6"/>
    <w:multiLevelType w:val="hybridMultilevel"/>
    <w:lvl w:ilvl="0">
      <w:lvlJc w:val="left"/>
      <w:lvlText w:val="(%1)"/>
      <w:numFmt w:val="decimal"/>
      <w:start w:val="2"/>
    </w:lvl>
  </w:abstractNum>
  <w:abstractNum w:abstractNumId="102">
    <w:nsid w:val="14217E23"/>
    <w:multiLevelType w:val="hybridMultilevel"/>
    <w:lvl w:ilvl="0">
      <w:lvlJc w:val="left"/>
      <w:lvlText w:val="%1"/>
      <w:numFmt w:val="decimal"/>
      <w:start w:val="62"/>
    </w:lvl>
  </w:abstractNum>
  <w:abstractNum w:abstractNumId="103">
    <w:nsid w:val="710757D0"/>
    <w:multiLevelType w:val="hybridMultilevel"/>
    <w:lvl w:ilvl="0">
      <w:lvlJc w:val="left"/>
      <w:lvlText w:val="%1."/>
      <w:numFmt w:val="decimal"/>
      <w:start w:val="1"/>
    </w:lvl>
  </w:abstractNum>
  <w:abstractNum w:abstractNumId="104">
    <w:nsid w:val="5015CD1A"/>
    <w:multiLevelType w:val="hybridMultilevel"/>
    <w:lvl w:ilvl="0">
      <w:lvlJc w:val="left"/>
      <w:lvlText w:val="%1."/>
      <w:numFmt w:val="decimal"/>
      <w:start w:val="4"/>
    </w:lvl>
  </w:abstractNum>
  <w:abstractNum w:abstractNumId="105">
    <w:nsid w:val="424479DA"/>
    <w:multiLevelType w:val="hybridMultilevel"/>
    <w:lvl w:ilvl="0">
      <w:lvlJc w:val="left"/>
      <w:lvlText w:val="%1"/>
      <w:numFmt w:val="lowerLetter"/>
      <w:start w:val="1"/>
    </w:lvl>
    <w:lvl w:ilvl="1">
      <w:lvlJc w:val="left"/>
      <w:lvlText w:val="(%2)"/>
      <w:numFmt w:val="lowerLetter"/>
      <w:start w:val="35"/>
    </w:lvl>
  </w:abstractNum>
  <w:abstractNum w:abstractNumId="106">
    <w:nsid w:val="1A9A9E69"/>
    <w:multiLevelType w:val="hybridMultilevel"/>
    <w:lvl w:ilvl="0">
      <w:lvlJc w:val="left"/>
      <w:lvlText w:val="(%1)"/>
      <w:numFmt w:val="lowerLetter"/>
      <w:start w:val="3"/>
    </w:lvl>
    <w:lvl w:ilvl="1">
      <w:lvlJc w:val="left"/>
      <w:lvlText w:val="(%2)"/>
      <w:numFmt w:val="lowerLetter"/>
      <w:start w:val="9"/>
    </w:lvl>
  </w:abstractNum>
  <w:abstractNum w:abstractNumId="107">
    <w:nsid w:val="475E256A"/>
    <w:multiLevelType w:val="hybridMultilevel"/>
    <w:lvl w:ilvl="0">
      <w:lvlJc w:val="left"/>
      <w:lvlText w:val="%1"/>
      <w:numFmt w:val="lowerLetter"/>
      <w:start w:val="1"/>
    </w:lvl>
    <w:lvl w:ilvl="1">
      <w:lvlJc w:val="left"/>
      <w:lvlText w:val="(%2)"/>
      <w:numFmt w:val="lowerRoman"/>
      <w:start w:val="2"/>
    </w:lvl>
  </w:abstractNum>
  <w:abstractNum w:abstractNumId="108">
    <w:nsid w:val="368DB37E"/>
    <w:multiLevelType w:val="hybridMultilevel"/>
    <w:lvl w:ilvl="0">
      <w:lvlJc w:val="left"/>
      <w:lvlText w:val="(%1)"/>
      <w:numFmt w:val="lowerLetter"/>
      <w:start w:val="4"/>
    </w:lvl>
    <w:lvl w:ilvl="1">
      <w:lvlJc w:val="left"/>
      <w:lvlText w:val="%2"/>
      <w:numFmt w:val="lowerRoman"/>
      <w:start w:val="1"/>
    </w:lvl>
  </w:abstractNum>
  <w:abstractNum w:abstractNumId="109">
    <w:nsid w:val="6A3B714C"/>
    <w:multiLevelType w:val="hybridMultilevel"/>
    <w:lvl w:ilvl="0">
      <w:lvlJc w:val="left"/>
      <w:lvlText w:val="%1"/>
      <w:numFmt w:val="decimal"/>
      <w:start w:val="1"/>
    </w:lvl>
    <w:lvl w:ilvl="1">
      <w:lvlJc w:val="left"/>
      <w:lvlText w:val="(%2)"/>
      <w:numFmt w:val="lowerLetter"/>
      <w:start w:val="1"/>
    </w:lvl>
  </w:abstractNum>
  <w:abstractNum w:abstractNumId="110">
    <w:nsid w:val="327B517E"/>
    <w:multiLevelType w:val="hybridMultilevel"/>
    <w:lvl w:ilvl="0">
      <w:lvlJc w:val="left"/>
      <w:lvlText w:val="%1."/>
      <w:numFmt w:val="decimal"/>
      <w:start w:val="4"/>
    </w:lvl>
    <w:lvl w:ilvl="1">
      <w:lvlJc w:val="left"/>
      <w:lvlText w:val="%2"/>
      <w:numFmt w:val="lowerLetter"/>
      <w:start w:val="1"/>
    </w:lvl>
  </w:abstractNum>
  <w:abstractNum w:abstractNumId="111">
    <w:nsid w:val="1F461B51"/>
    <w:multiLevelType w:val="hybridMultilevel"/>
    <w:lvl w:ilvl="0">
      <w:lvlJc w:val="left"/>
      <w:lvlText w:val="%1."/>
      <w:numFmt w:val="decimal"/>
      <w:start w:val="5"/>
    </w:lvl>
  </w:abstractNum>
  <w:abstractNum w:abstractNumId="112">
    <w:nsid w:val="29BACF25"/>
    <w:multiLevelType w:val="hybridMultilevel"/>
    <w:lvl w:ilvl="0">
      <w:lvlJc w:val="left"/>
      <w:lvlText w:val="%1."/>
      <w:numFmt w:val="decimal"/>
      <w:start w:val="9"/>
    </w:lvl>
  </w:abstractNum>
  <w:abstractNum w:abstractNumId="113">
    <w:nsid w:val="5D5BABB3"/>
    <w:multiLevelType w:val="hybridMultilevel"/>
    <w:lvl w:ilvl="0">
      <w:lvlJc w:val="left"/>
      <w:lvlText w:val="%1."/>
      <w:numFmt w:val="decimal"/>
      <w:start w:val="13"/>
    </w:lvl>
  </w:abstractNum>
  <w:abstractNum w:abstractNumId="114">
    <w:nsid w:val="51BF6B48"/>
    <w:multiLevelType w:val="hybridMultilevel"/>
    <w:lvl w:ilvl="0">
      <w:lvlJc w:val="left"/>
      <w:lvlText w:val="%1."/>
      <w:numFmt w:val="decimal"/>
      <w:start w:val="14"/>
    </w:lvl>
    <w:lvl w:ilvl="1">
      <w:lvlJc w:val="left"/>
      <w:lvlText w:val="(%2)"/>
      <w:numFmt w:val="lowerLetter"/>
      <w:start w:val="1"/>
    </w:lvl>
  </w:abstractNum>
  <w:abstractNum w:abstractNumId="115">
    <w:nsid w:val="7E0F6384"/>
    <w:multiLevelType w:val="hybridMultilevel"/>
    <w:lvl w:ilvl="0">
      <w:lvlJc w:val="left"/>
      <w:lvlText w:val="(%1)"/>
      <w:numFmt w:val="lowerLetter"/>
      <w:start w:val="2"/>
    </w:lvl>
    <w:lvl w:ilvl="1">
      <w:lvlJc w:val="left"/>
      <w:lvlText w:val="(%2)"/>
      <w:numFmt w:val="upperLetter"/>
      <w:start w:val="1"/>
    </w:lvl>
  </w:abstractNum>
  <w:abstractNum w:abstractNumId="116">
    <w:nsid w:val="2B4B8B53"/>
    <w:multiLevelType w:val="hybridMultilevel"/>
    <w:lvl w:ilvl="0">
      <w:lvlJc w:val="left"/>
      <w:lvlText w:val="%1."/>
      <w:numFmt w:val="decimal"/>
      <w:start w:val="19"/>
    </w:lvl>
  </w:abstractNum>
  <w:abstractNum w:abstractNumId="117">
    <w:nsid w:val="72E3413A"/>
    <w:multiLevelType w:val="hybridMultilevel"/>
    <w:lvl w:ilvl="0">
      <w:lvlJc w:val="left"/>
      <w:lvlText w:val="%1."/>
      <w:numFmt w:val="decimal"/>
      <w:start w:val="27"/>
    </w:lvl>
  </w:abstractNum>
  <w:abstractNum w:abstractNumId="118">
    <w:nsid w:val="116AE494"/>
    <w:multiLevelType w:val="hybridMultilevel"/>
    <w:lvl w:ilvl="0">
      <w:lvlJc w:val="left"/>
      <w:lvlText w:val="%1."/>
      <w:numFmt w:val="decimal"/>
      <w:start w:val="29"/>
    </w:lvl>
  </w:abstractNum>
  <w:abstractNum w:abstractNumId="119">
    <w:nsid w:val="3494B2FB"/>
    <w:multiLevelType w:val="hybridMultilevel"/>
    <w:lvl w:ilvl="0">
      <w:lvlJc w:val="left"/>
      <w:lvlText w:val="%1."/>
      <w:numFmt w:val="decimal"/>
      <w:start w:val="35"/>
    </w:lvl>
  </w:abstractNum>
  <w:abstractNum w:abstractNumId="120">
    <w:nsid w:val="B13A31"/>
    <w:multiLevelType w:val="hybridMultilevel"/>
    <w:lvl w:ilvl="0">
      <w:lvlJc w:val="left"/>
      <w:lvlText w:val="%1."/>
      <w:numFmt w:val="decimal"/>
      <w:start w:val="44"/>
    </w:lvl>
  </w:abstractNum>
  <w:abstractNum w:abstractNumId="121">
    <w:nsid w:val="64429599"/>
    <w:multiLevelType w:val="hybridMultilevel"/>
    <w:lvl w:ilvl="0">
      <w:lvlJc w:val="left"/>
      <w:lvlText w:val="%1."/>
      <w:numFmt w:val="decimal"/>
      <w:start w:val="45"/>
    </w:lvl>
  </w:abstractNum>
  <w:abstractNum w:abstractNumId="122">
    <w:nsid w:val="631F1690"/>
    <w:multiLevelType w:val="hybridMultilevel"/>
    <w:lvl w:ilvl="0">
      <w:lvlJc w:val="left"/>
      <w:lvlText w:val="%1."/>
      <w:numFmt w:val="decimal"/>
      <w:start w:val="47"/>
    </w:lvl>
  </w:abstractNum>
  <w:abstractNum w:abstractNumId="123">
    <w:nsid w:val="25973E32"/>
    <w:multiLevelType w:val="hybridMultilevel"/>
    <w:lvl w:ilvl="0">
      <w:lvlJc w:val="left"/>
      <w:lvlText w:val="%1."/>
      <w:numFmt w:val="decimal"/>
      <w:start w:val="48"/>
    </w:lvl>
  </w:abstractNum>
  <w:abstractNum w:abstractNumId="124">
    <w:nsid w:val="EAD6F57"/>
    <w:multiLevelType w:val="hybridMultilevel"/>
    <w:lvl w:ilvl="0">
      <w:lvlJc w:val="left"/>
      <w:lvlText w:val="%1."/>
      <w:numFmt w:val="decimal"/>
      <w:start w:val="52"/>
    </w:lvl>
  </w:abstractNum>
  <w:abstractNum w:abstractNumId="125">
    <w:nsid w:val="6EC9D844"/>
    <w:multiLevelType w:val="hybridMultilevel"/>
    <w:lvl w:ilvl="0">
      <w:lvlJc w:val="left"/>
      <w:lvlText w:val="%1."/>
      <w:numFmt w:val="decimal"/>
      <w:start w:val="55"/>
    </w:lvl>
  </w:abstractNum>
  <w:abstractNum w:abstractNumId="126">
    <w:nsid w:val="5C49EAEE"/>
    <w:multiLevelType w:val="hybridMultilevel"/>
    <w:lvl w:ilvl="0">
      <w:lvlJc w:val="left"/>
      <w:lvlText w:val="%1"/>
      <w:numFmt w:val="decimal"/>
      <w:start w:val="1"/>
    </w:lvl>
    <w:lvl w:ilvl="1">
      <w:lvlJc w:val="left"/>
      <w:lvlText w:val="(%2)"/>
      <w:numFmt w:val="lowerLetter"/>
      <w:start w:val="1"/>
    </w:lvl>
  </w:abstractNum>
  <w:abstractNum w:abstractNumId="127">
    <w:nsid w:val="64AF49B"/>
    <w:multiLevelType w:val="hybridMultilevel"/>
    <w:lvl w:ilvl="0">
      <w:lvlJc w:val="left"/>
      <w:lvlText w:val="%1."/>
      <w:numFmt w:val="decimal"/>
      <w:start w:val="60"/>
    </w:lvl>
    <w:lvl w:ilvl="1">
      <w:lvlJc w:val="left"/>
      <w:lvlText w:val="%2"/>
      <w:numFmt w:val="lowerLetter"/>
      <w:start w:val="1"/>
    </w:lvl>
  </w:abstractNum>
  <w:abstractNum w:abstractNumId="128">
    <w:nsid w:val="397C46BC"/>
    <w:multiLevelType w:val="hybridMultilevel"/>
    <w:lvl w:ilvl="0">
      <w:lvlJc w:val="left"/>
      <w:lvlText w:val="%1."/>
      <w:numFmt w:val="decimal"/>
      <w:start w:val="67"/>
    </w:lvl>
  </w:abstractNum>
  <w:abstractNum w:abstractNumId="129">
    <w:nsid w:val="7E448DE9"/>
    <w:multiLevelType w:val="hybridMultilevel"/>
    <w:lvl w:ilvl="0">
      <w:lvlJc w:val="left"/>
      <w:lvlText w:val="%1."/>
      <w:numFmt w:val="decimal"/>
      <w:start w:val="68"/>
    </w:lvl>
  </w:abstractNum>
  <w:abstractNum w:abstractNumId="130">
    <w:nsid w:val="5A9CC3E5"/>
    <w:multiLevelType w:val="hybridMultilevel"/>
    <w:lvl w:ilvl="0">
      <w:lvlJc w:val="left"/>
      <w:lvlText w:val="%1."/>
      <w:numFmt w:val="decimal"/>
      <w:start w:val="72"/>
    </w:lvl>
  </w:abstractNum>
  <w:abstractNum w:abstractNumId="131">
    <w:nsid w:val="1AFE3625"/>
    <w:multiLevelType w:val="hybridMultilevel"/>
    <w:lvl w:ilvl="0">
      <w:lvlJc w:val="left"/>
      <w:lvlText w:val="%1."/>
      <w:numFmt w:val="decimal"/>
      <w:start w:val="74"/>
    </w:lvl>
  </w:abstractNum>
  <w:abstractNum w:abstractNumId="132">
    <w:nsid w:val="3CA88ECF"/>
    <w:multiLevelType w:val="hybridMultilevel"/>
    <w:lvl w:ilvl="0">
      <w:lvlJc w:val="left"/>
      <w:lvlText w:val="%1."/>
      <w:numFmt w:val="decimal"/>
      <w:start w:val="77"/>
    </w:lvl>
  </w:abstractNum>
  <w:abstractNum w:abstractNumId="133">
    <w:nsid w:val="6EBE4208"/>
    <w:multiLevelType w:val="hybridMultilevel"/>
    <w:lvl w:ilvl="0">
      <w:lvlJc w:val="left"/>
      <w:lvlText w:val="%1."/>
      <w:numFmt w:val="decimal"/>
      <w:start w:val="85"/>
    </w:lvl>
  </w:abstractNum>
  <w:abstractNum w:abstractNumId="134">
    <w:nsid w:val="C058DF5"/>
    <w:multiLevelType w:val="hybridMultilevel"/>
    <w:lvl w:ilvl="0">
      <w:lvlJc w:val="left"/>
      <w:lvlText w:val="%1."/>
      <w:numFmt w:val="decimal"/>
      <w:start w:val="87"/>
    </w:lvl>
  </w:abstractNum>
  <w:abstractNum w:abstractNumId="135">
    <w:nsid w:val="CBE5BE9"/>
    <w:multiLevelType w:val="hybridMultilevel"/>
    <w:lvl w:ilvl="0">
      <w:lvlJc w:val="left"/>
      <w:lvlText w:val="%1."/>
      <w:numFmt w:val="decimal"/>
      <w:start w:val="88"/>
    </w:lvl>
  </w:abstractNum>
  <w:abstractNum w:abstractNumId="136">
    <w:nsid w:val="3102BBE2"/>
    <w:multiLevelType w:val="hybridMultilevel"/>
    <w:lvl w:ilvl="0">
      <w:lvlJc w:val="left"/>
      <w:lvlText w:val="%1."/>
      <w:numFmt w:val="decimal"/>
      <w:start w:val="93"/>
    </w:lvl>
  </w:abstractNum>
  <w:abstractNum w:abstractNumId="137">
    <w:nsid w:val="26A02C5E"/>
    <w:multiLevelType w:val="hybridMultilevel"/>
    <w:lvl w:ilvl="0">
      <w:lvlJc w:val="left"/>
      <w:lvlText w:val="%1."/>
      <w:numFmt w:val="decimal"/>
      <w:start w:val="99"/>
    </w:lvl>
  </w:abstractNum>
  <w:abstractNum w:abstractNumId="138">
    <w:nsid w:val="541C8153"/>
    <w:multiLevelType w:val="hybridMultilevel"/>
    <w:lvl w:ilvl="0">
      <w:lvlJc w:val="left"/>
      <w:lvlText w:val="%1."/>
      <w:numFmt w:val="decimal"/>
      <w:start w:val="100"/>
    </w:lvl>
  </w:abstractNum>
  <w:abstractNum w:abstractNumId="139">
    <w:nsid w:val="67906F60"/>
    <w:multiLevelType w:val="hybridMultilevel"/>
    <w:lvl w:ilvl="0">
      <w:lvlJc w:val="left"/>
      <w:lvlText w:val="%1."/>
      <w:numFmt w:val="decimal"/>
      <w:start w:val="102"/>
    </w:lvl>
  </w:abstractNum>
  <w:abstractNum w:abstractNumId="140">
    <w:nsid w:val="10DB9DAA"/>
    <w:multiLevelType w:val="hybridMultilevel"/>
    <w:lvl w:ilvl="0">
      <w:lvlJc w:val="left"/>
      <w:lvlText w:val="%1."/>
      <w:numFmt w:val="decimal"/>
      <w:start w:val="105"/>
    </w:lvl>
  </w:abstractNum>
  <w:abstractNum w:abstractNumId="141">
    <w:nsid w:val="697D2D2"/>
    <w:multiLevelType w:val="hybridMultilevel"/>
    <w:lvl w:ilvl="0">
      <w:lvlJc w:val="left"/>
      <w:lvlText w:val="%1."/>
      <w:numFmt w:val="decimal"/>
      <w:start w:val="112"/>
    </w:lvl>
  </w:abstractNum>
  <w:abstractNum w:abstractNumId="142">
    <w:nsid w:val="6D68AB2"/>
    <w:multiLevelType w:val="hybridMultilevel"/>
    <w:lvl w:ilvl="0">
      <w:lvlJc w:val="left"/>
      <w:lvlText w:val="%1."/>
      <w:numFmt w:val="decimal"/>
      <w:start w:val="113"/>
    </w:lvl>
  </w:abstractNum>
  <w:abstractNum w:abstractNumId="143">
    <w:nsid w:val="3A966CD0"/>
    <w:multiLevelType w:val="hybridMultilevel"/>
    <w:lvl w:ilvl="0">
      <w:lvlJc w:val="left"/>
      <w:lvlText w:val="%1."/>
      <w:numFmt w:val="decimal"/>
      <w:start w:val="114"/>
    </w:lvl>
  </w:abstractNum>
  <w:abstractNum w:abstractNumId="144">
    <w:nsid w:val="63F37E85"/>
    <w:multiLevelType w:val="hybridMultilevel"/>
    <w:lvl w:ilvl="0">
      <w:lvlJc w:val="left"/>
      <w:lvlText w:val="(%1)"/>
      <w:numFmt w:val="lowerLetter"/>
      <w:start w:val="1"/>
    </w:lvl>
  </w:abstractNum>
  <w:abstractNum w:abstractNumId="145">
    <w:nsid w:val="5895F5FA"/>
    <w:multiLevelType w:val="hybridMultilevel"/>
    <w:lvl w:ilvl="0">
      <w:lvlJc w:val="left"/>
      <w:lvlText w:val="%1."/>
      <w:numFmt w:val="decimal"/>
      <w:start w:val="117"/>
    </w:lvl>
  </w:abstractNum>
  <w:abstractNum w:abstractNumId="146">
    <w:nsid w:val="38A5D054"/>
    <w:multiLevelType w:val="hybridMultilevel"/>
    <w:lvl w:ilvl="0">
      <w:lvlJc w:val="left"/>
      <w:lvlText w:val="%1."/>
      <w:numFmt w:val="decimal"/>
      <w:start w:val="122"/>
    </w:lvl>
  </w:abstractNum>
  <w:abstractNum w:abstractNumId="147">
    <w:nsid w:val="F3F09D8"/>
    <w:multiLevelType w:val="hybridMultilevel"/>
    <w:lvl w:ilvl="0">
      <w:lvlJc w:val="left"/>
      <w:lvlText w:val="%1."/>
      <w:numFmt w:val="decimal"/>
      <w:start w:val="124"/>
    </w:lvl>
  </w:abstractNum>
  <w:abstractNum w:abstractNumId="148">
    <w:nsid w:val="4B793735"/>
    <w:multiLevelType w:val="hybridMultilevel"/>
    <w:lvl w:ilvl="0">
      <w:lvlJc w:val="left"/>
      <w:lvlText w:val="%1."/>
      <w:numFmt w:val="decimal"/>
      <w:start w:val="127"/>
    </w:lvl>
  </w:abstractNum>
  <w:abstractNum w:abstractNumId="149">
    <w:nsid w:val="4A10B4E8"/>
    <w:multiLevelType w:val="hybridMultilevel"/>
    <w:lvl w:ilvl="0">
      <w:lvlJc w:val="left"/>
      <w:lvlText w:val="%1."/>
      <w:numFmt w:val="decimal"/>
      <w:start w:val="130"/>
    </w:lvl>
  </w:abstractNum>
  <w:abstractNum w:abstractNumId="150">
    <w:nsid w:val="43D3BCD4"/>
    <w:multiLevelType w:val="hybridMultilevel"/>
    <w:lvl w:ilvl="0">
      <w:lvlJc w:val="left"/>
      <w:lvlText w:val="%1."/>
      <w:numFmt w:val="decimal"/>
      <w:start w:val="134"/>
    </w:lvl>
  </w:abstractNum>
  <w:abstractNum w:abstractNumId="151">
    <w:nsid w:val="4C2A7166"/>
    <w:multiLevelType w:val="hybridMultilevel"/>
    <w:lvl w:ilvl="0">
      <w:lvlJc w:val="left"/>
      <w:lvlText w:val="%1."/>
      <w:numFmt w:val="decimal"/>
      <w:start w:val="135"/>
    </w:lvl>
  </w:abstractNum>
  <w:abstractNum w:abstractNumId="152">
    <w:nsid w:val="2E534A82"/>
    <w:multiLevelType w:val="hybridMultilevel"/>
    <w:lvl w:ilvl="0">
      <w:lvlJc w:val="left"/>
      <w:lvlText w:val="%1."/>
      <w:numFmt w:val="decimal"/>
      <w:start w:val="137"/>
    </w:lvl>
  </w:abstractNum>
  <w:abstractNum w:abstractNumId="153">
    <w:nsid w:val="26F2D364"/>
    <w:multiLevelType w:val="hybridMultilevel"/>
    <w:lvl w:ilvl="0">
      <w:lvlJc w:val="left"/>
      <w:lvlText w:val="%1."/>
      <w:numFmt w:val="decimal"/>
      <w:start w:val="144"/>
    </w:lvl>
  </w:abstractNum>
  <w:abstractNum w:abstractNumId="154">
    <w:nsid w:val="71C1AF98"/>
    <w:multiLevelType w:val="hybridMultilevel"/>
    <w:lvl w:ilvl="0">
      <w:lvlJc w:val="left"/>
      <w:lvlText w:val="(%1)"/>
      <w:numFmt w:val="lowerLetter"/>
      <w:start w:val="1"/>
    </w:lvl>
  </w:abstractNum>
  <w:abstractNum w:abstractNumId="155">
    <w:nsid w:val="3D00B9D9"/>
    <w:multiLevelType w:val="hybridMultilevel"/>
    <w:lvl w:ilvl="0">
      <w:lvlJc w:val="left"/>
      <w:lvlText w:val="%1."/>
      <w:numFmt w:val="decimal"/>
      <w:start w:val="148"/>
    </w:lvl>
  </w:abstractNum>
  <w:abstractNum w:abstractNumId="156">
    <w:nsid w:val="15BCABA8"/>
    <w:multiLevelType w:val="hybridMultilevel"/>
    <w:lvl w:ilvl="0">
      <w:lvlJc w:val="left"/>
      <w:lvlText w:val="%1."/>
      <w:numFmt w:val="decimal"/>
      <w:start w:val="149"/>
    </w:lvl>
  </w:abstractNum>
  <w:abstractNum w:abstractNumId="157">
    <w:nsid w:val="4E0B9A87"/>
    <w:multiLevelType w:val="hybridMultilevel"/>
    <w:lvl w:ilvl="0">
      <w:lvlJc w:val="left"/>
      <w:lvlText w:val="%1."/>
      <w:numFmt w:val="decimal"/>
      <w:start w:val="150"/>
    </w:lvl>
  </w:abstractNum>
  <w:abstractNum w:abstractNumId="158">
    <w:nsid w:val="434BAE75"/>
    <w:multiLevelType w:val="hybridMultilevel"/>
    <w:lvl w:ilvl="0">
      <w:lvlJc w:val="left"/>
      <w:lvlText w:val="%1."/>
      <w:numFmt w:val="decimal"/>
      <w:start w:val="153"/>
    </w:lvl>
  </w:abstractNum>
  <w:abstractNum w:abstractNumId="159">
    <w:nsid w:val="4F38F265"/>
    <w:multiLevelType w:val="hybridMultilevel"/>
    <w:lvl w:ilvl="0">
      <w:lvlJc w:val="left"/>
      <w:lvlText w:val="(%1)"/>
      <w:numFmt w:val="lowerLetter"/>
      <w:start w:val="1"/>
    </w:lvl>
  </w:abstractNum>
  <w:abstractNum w:abstractNumId="160">
    <w:nsid w:val="4C502870"/>
    <w:multiLevelType w:val="hybridMultilevel"/>
    <w:lvl w:ilvl="0">
      <w:lvlJc w:val="left"/>
      <w:lvlText w:val="%1."/>
      <w:numFmt w:val="decimal"/>
      <w:start w:val="154"/>
    </w:lvl>
  </w:abstractNum>
  <w:abstractNum w:abstractNumId="161">
    <w:nsid w:val="1DE8725A"/>
    <w:multiLevelType w:val="hybridMultilevel"/>
    <w:lvl w:ilvl="0">
      <w:lvlJc w:val="left"/>
      <w:lvlText w:val="%1."/>
      <w:numFmt w:val="decimal"/>
      <w:start w:val="156"/>
    </w:lvl>
  </w:abstractNum>
  <w:abstractNum w:abstractNumId="162">
    <w:nsid w:val="6A37288A"/>
    <w:multiLevelType w:val="hybridMultilevel"/>
    <w:lvl w:ilvl="0">
      <w:lvlJc w:val="left"/>
      <w:lvlText w:val="%1."/>
      <w:numFmt w:val="decimal"/>
      <w:start w:val="157"/>
    </w:lvl>
  </w:abstractNum>
  <w:abstractNum w:abstractNumId="163">
    <w:nsid w:val="8F8B73F"/>
    <w:multiLevelType w:val="hybridMultilevel"/>
    <w:lvl w:ilvl="0">
      <w:lvlJc w:val="left"/>
      <w:lvlText w:val="%1."/>
      <w:numFmt w:val="decimal"/>
      <w:start w:val="159"/>
    </w:lvl>
  </w:abstractNum>
  <w:abstractNum w:abstractNumId="164">
    <w:nsid w:val="CA6B462"/>
    <w:multiLevelType w:val="hybridMultilevel"/>
    <w:lvl w:ilvl="0">
      <w:lvlJc w:val="left"/>
      <w:lvlText w:val="%1."/>
      <w:numFmt w:val="decimal"/>
      <w:start w:val="160"/>
    </w:lvl>
  </w:abstractNum>
  <w:abstractNum w:abstractNumId="165">
    <w:nsid w:val="763CB680"/>
    <w:multiLevelType w:val="hybridMultilevel"/>
    <w:lvl w:ilvl="0">
      <w:lvlJc w:val="left"/>
      <w:lvlText w:val="(%1)"/>
      <w:numFmt w:val="lowerLetter"/>
      <w:start w:val="1"/>
    </w:lvl>
  </w:abstractNum>
  <w:abstractNum w:abstractNumId="166">
    <w:nsid w:val="15B71329"/>
    <w:multiLevelType w:val="hybridMultilevel"/>
    <w:lvl w:ilvl="0">
      <w:lvlJc w:val="left"/>
      <w:lvlText w:val="%1."/>
      <w:numFmt w:val="decimal"/>
      <w:start w:val="163"/>
    </w:lvl>
  </w:abstractNum>
  <w:abstractNum w:abstractNumId="167">
    <w:nsid w:val="3DA97044"/>
    <w:multiLevelType w:val="hybridMultilevel"/>
    <w:lvl w:ilvl="0">
      <w:lvlJc w:val="left"/>
      <w:lvlText w:val="(%1)"/>
      <w:numFmt w:val="lowerLetter"/>
      <w:start w:val="1"/>
    </w:lvl>
  </w:abstractNum>
  <w:abstractNum w:abstractNumId="168">
    <w:nsid w:val="1CDCE2DE"/>
    <w:multiLevelType w:val="hybridMultilevel"/>
    <w:lvl w:ilvl="0">
      <w:lvlJc w:val="left"/>
      <w:lvlText w:val="%1."/>
      <w:numFmt w:val="decimal"/>
      <w:start w:val="1"/>
    </w:lvl>
  </w:abstractNum>
  <w:abstractNum w:abstractNumId="169">
    <w:nsid w:val="69D3947C"/>
    <w:multiLevelType w:val="hybridMultilevel"/>
    <w:lvl w:ilvl="0">
      <w:lvlJc w:val="left"/>
      <w:lvlText w:val="%1."/>
      <w:numFmt w:val="decimal"/>
      <w:start w:val="4"/>
    </w:lvl>
  </w:abstractNum>
  <w:abstractNum w:abstractNumId="170">
    <w:nsid w:val="2539DFA5"/>
    <w:multiLevelType w:val="hybridMultilevel"/>
    <w:lvl w:ilvl="0">
      <w:lvlJc w:val="left"/>
      <w:lvlText w:val="%1"/>
      <w:numFmt w:val="lowerLetter"/>
      <w:start w:val="1"/>
    </w:lvl>
    <w:lvl w:ilvl="1">
      <w:lvlJc w:val="left"/>
      <w:lvlText w:val="(%2)"/>
      <w:numFmt w:val="lowerLetter"/>
      <w:start w:val="35"/>
    </w:lvl>
  </w:abstractNum>
  <w:abstractNum w:abstractNumId="171">
    <w:nsid w:val="2DB88089"/>
    <w:multiLevelType w:val="hybridMultilevel"/>
    <w:lvl w:ilvl="0">
      <w:lvlJc w:val="left"/>
      <w:lvlText w:val="(%1)"/>
      <w:numFmt w:val="lowerLetter"/>
      <w:start w:val="3"/>
    </w:lvl>
    <w:lvl w:ilvl="1">
      <w:lvlJc w:val="left"/>
      <w:lvlText w:val="(%2)"/>
      <w:numFmt w:val="lowerLetter"/>
      <w:start w:val="9"/>
    </w:lvl>
  </w:abstractNum>
  <w:abstractNum w:abstractNumId="172">
    <w:nsid w:val="706B674E"/>
    <w:multiLevelType w:val="hybridMultilevel"/>
    <w:lvl w:ilvl="0">
      <w:lvlJc w:val="left"/>
      <w:lvlText w:val="%1"/>
      <w:numFmt w:val="lowerLetter"/>
      <w:start w:val="1"/>
    </w:lvl>
    <w:lvl w:ilvl="1">
      <w:lvlJc w:val="left"/>
      <w:lvlText w:val="(%2)"/>
      <w:numFmt w:val="lowerRoman"/>
      <w:start w:val="2"/>
    </w:lvl>
  </w:abstractNum>
  <w:abstractNum w:abstractNumId="173">
    <w:nsid w:val="2C106A57"/>
    <w:multiLevelType w:val="hybridMultilevel"/>
    <w:lvl w:ilvl="0">
      <w:lvlJc w:val="left"/>
      <w:lvlText w:val="(%1)"/>
      <w:numFmt w:val="lowerLetter"/>
      <w:start w:val="4"/>
    </w:lvl>
    <w:lvl w:ilvl="1">
      <w:lvlJc w:val="left"/>
      <w:lvlText w:val="%2"/>
      <w:numFmt w:val="lowerRoman"/>
      <w:start w:val="1"/>
    </w:lvl>
  </w:abstractNum>
  <w:abstractNum w:abstractNumId="174">
    <w:nsid w:val="684EED59"/>
    <w:multiLevelType w:val="hybridMultilevel"/>
    <w:lvl w:ilvl="0">
      <w:lvlJc w:val="left"/>
      <w:lvlText w:val="%1"/>
      <w:numFmt w:val="decimal"/>
      <w:start w:val="1"/>
    </w:lvl>
    <w:lvl w:ilvl="1">
      <w:lvlJc w:val="left"/>
      <w:lvlText w:val="(%2)"/>
      <w:numFmt w:val="lowerLetter"/>
      <w:start w:val="1"/>
    </w:lvl>
  </w:abstractNum>
  <w:abstractNum w:abstractNumId="175">
    <w:nsid w:val="545EE5D3"/>
    <w:multiLevelType w:val="hybridMultilevel"/>
    <w:lvl w:ilvl="0">
      <w:lvlJc w:val="left"/>
      <w:lvlText w:val="%1."/>
      <w:numFmt w:val="decimal"/>
      <w:start w:val="4"/>
    </w:lvl>
    <w:lvl w:ilvl="1">
      <w:lvlJc w:val="left"/>
      <w:lvlText w:val="%2"/>
      <w:numFmt w:val="lowerLetter"/>
      <w:start w:val="1"/>
    </w:lvl>
  </w:abstractNum>
  <w:abstractNum w:abstractNumId="176">
    <w:nsid w:val="4A66051"/>
    <w:multiLevelType w:val="hybridMultilevel"/>
    <w:lvl w:ilvl="0">
      <w:lvlJc w:val="left"/>
      <w:lvlText w:val="%1."/>
      <w:numFmt w:val="decimal"/>
      <w:start w:val="5"/>
    </w:lvl>
  </w:abstractNum>
  <w:abstractNum w:abstractNumId="177">
    <w:nsid w:val="20F4BDAD"/>
    <w:multiLevelType w:val="hybridMultilevel"/>
    <w:lvl w:ilvl="0">
      <w:lvlJc w:val="left"/>
      <w:lvlText w:val="%1."/>
      <w:numFmt w:val="decimal"/>
      <w:start w:val="9"/>
    </w:lvl>
  </w:abstractNum>
  <w:abstractNum w:abstractNumId="178">
    <w:nsid w:val="639DEFAC"/>
    <w:multiLevelType w:val="hybridMultilevel"/>
    <w:lvl w:ilvl="0">
      <w:lvlJc w:val="left"/>
      <w:lvlText w:val="%1."/>
      <w:numFmt w:val="decimal"/>
      <w:start w:val="13"/>
    </w:lvl>
  </w:abstractNum>
  <w:abstractNum w:abstractNumId="179">
    <w:nsid w:val="501F9786"/>
    <w:multiLevelType w:val="hybridMultilevel"/>
    <w:lvl w:ilvl="0">
      <w:lvlJc w:val="left"/>
      <w:lvlText w:val="%1."/>
      <w:numFmt w:val="decimal"/>
      <w:start w:val="14"/>
    </w:lvl>
  </w:abstractNum>
  <w:abstractNum w:abstractNumId="180">
    <w:nsid w:val="6B057295"/>
    <w:multiLevelType w:val="hybridMultilevel"/>
    <w:lvl w:ilvl="0">
      <w:lvlJc w:val="left"/>
      <w:lvlText w:val="%1."/>
      <w:numFmt w:val="decimal"/>
      <w:start w:val="18"/>
    </w:lvl>
    <w:lvl w:ilvl="1">
      <w:lvlJc w:val="left"/>
      <w:lvlText w:val="(%2)"/>
      <w:numFmt w:val="lowerLetter"/>
      <w:start w:val="1"/>
    </w:lvl>
    <w:lvl w:ilvl="2">
      <w:lvlJc w:val="left"/>
      <w:lvlText w:val="(%3)"/>
      <w:numFmt w:val="upperLetter"/>
      <w:start w:val="1"/>
    </w:lvl>
  </w:abstractNum>
  <w:abstractNum w:abstractNumId="181">
    <w:nsid w:val="2771AC80"/>
    <w:multiLevelType w:val="hybridMultilevel"/>
    <w:lvl w:ilvl="0">
      <w:lvlJc w:val="left"/>
      <w:lvlText w:val="%1."/>
      <w:numFmt w:val="decimal"/>
      <w:start w:val="19"/>
    </w:lvl>
  </w:abstractNum>
  <w:abstractNum w:abstractNumId="182">
    <w:nsid w:val="1C4A08EC"/>
    <w:multiLevelType w:val="hybridMultilevel"/>
    <w:lvl w:ilvl="0">
      <w:lvlJc w:val="left"/>
      <w:lvlText w:val="%1."/>
      <w:numFmt w:val="decimal"/>
      <w:start w:val="27"/>
    </w:lvl>
  </w:abstractNum>
  <w:abstractNum w:abstractNumId="183">
    <w:nsid w:val="1958BD17"/>
    <w:multiLevelType w:val="hybridMultilevel"/>
    <w:lvl w:ilvl="0">
      <w:lvlJc w:val="left"/>
      <w:lvlText w:val="%1."/>
      <w:numFmt w:val="decimal"/>
      <w:start w:val="29"/>
    </w:lvl>
  </w:abstractNum>
  <w:abstractNum w:abstractNumId="184">
    <w:nsid w:val="4E647FE4"/>
    <w:multiLevelType w:val="hybridMultilevel"/>
    <w:lvl w:ilvl="0">
      <w:lvlJc w:val="left"/>
      <w:lvlText w:val="%1."/>
      <w:numFmt w:val="decimal"/>
      <w:start w:val="32"/>
    </w:lvl>
  </w:abstractNum>
  <w:abstractNum w:abstractNumId="185">
    <w:nsid w:val="E0BB885"/>
    <w:multiLevelType w:val="hybridMultilevel"/>
    <w:lvl w:ilvl="0">
      <w:lvlJc w:val="left"/>
      <w:lvlText w:val="%1."/>
      <w:numFmt w:val="decimal"/>
      <w:start w:val="34"/>
    </w:lvl>
  </w:abstractNum>
  <w:abstractNum w:abstractNumId="186">
    <w:nsid w:val="565976F1"/>
    <w:multiLevelType w:val="hybridMultilevel"/>
    <w:lvl w:ilvl="0">
      <w:lvlJc w:val="left"/>
      <w:lvlText w:val="%1."/>
      <w:numFmt w:val="decimal"/>
      <w:start w:val="35"/>
    </w:lvl>
  </w:abstractNum>
  <w:abstractNum w:abstractNumId="187">
    <w:nsid w:val="64212B8C"/>
    <w:multiLevelType w:val="hybridMultilevel"/>
    <w:lvl w:ilvl="0">
      <w:lvlJc w:val="left"/>
      <w:lvlText w:val="%1."/>
      <w:numFmt w:val="decimal"/>
      <w:start w:val="44"/>
    </w:lvl>
  </w:abstractNum>
  <w:abstractNum w:abstractNumId="188">
    <w:nsid w:val="5C17530C"/>
    <w:multiLevelType w:val="hybridMultilevel"/>
    <w:lvl w:ilvl="0">
      <w:lvlJc w:val="left"/>
      <w:lvlText w:val="%1."/>
      <w:numFmt w:val="decimal"/>
      <w:start w:val="45"/>
    </w:lvl>
  </w:abstractNum>
  <w:abstractNum w:abstractNumId="189">
    <w:nsid w:val="19A52566"/>
    <w:multiLevelType w:val="hybridMultilevel"/>
    <w:lvl w:ilvl="0">
      <w:lvlJc w:val="left"/>
      <w:lvlText w:val="%1."/>
      <w:numFmt w:val="decimal"/>
      <w:start w:val="47"/>
    </w:lvl>
  </w:abstractNum>
  <w:abstractNum w:abstractNumId="190">
    <w:nsid w:val="335A1DF1"/>
    <w:multiLevelType w:val="hybridMultilevel"/>
    <w:lvl w:ilvl="0">
      <w:lvlJc w:val="left"/>
      <w:lvlText w:val="%1."/>
      <w:numFmt w:val="decimal"/>
      <w:start w:val="48"/>
    </w:lvl>
  </w:abstractNum>
  <w:abstractNum w:abstractNumId="191">
    <w:nsid w:val="28677B7C"/>
    <w:multiLevelType w:val="hybridMultilevel"/>
    <w:lvl w:ilvl="0">
      <w:lvlJc w:val="left"/>
      <w:lvlText w:val="%1."/>
      <w:numFmt w:val="decimal"/>
      <w:start w:val="52"/>
    </w:lvl>
  </w:abstractNum>
  <w:abstractNum w:abstractNumId="192">
    <w:nsid w:val="378D97C0"/>
    <w:multiLevelType w:val="hybridMultilevel"/>
    <w:lvl w:ilvl="0">
      <w:lvlJc w:val="left"/>
      <w:lvlText w:val="%1."/>
      <w:numFmt w:val="decimal"/>
      <w:start w:val="55"/>
    </w:lvl>
  </w:abstractNum>
  <w:abstractNum w:abstractNumId="193">
    <w:nsid w:val="1D91467C"/>
    <w:multiLevelType w:val="hybridMultilevel"/>
    <w:lvl w:ilvl="0">
      <w:lvlJc w:val="left"/>
      <w:lvlText w:val="%1"/>
      <w:numFmt w:val="decimal"/>
      <w:start w:val="1"/>
    </w:lvl>
    <w:lvl w:ilvl="1">
      <w:lvlJc w:val="left"/>
      <w:lvlText w:val="(%2)"/>
      <w:numFmt w:val="lowerLetter"/>
      <w:start w:val="1"/>
    </w:lvl>
  </w:abstractNum>
  <w:abstractNum w:abstractNumId="194">
    <w:nsid w:val="316032BB"/>
    <w:multiLevelType w:val="hybridMultilevel"/>
    <w:lvl w:ilvl="0">
      <w:lvlJc w:val="left"/>
      <w:lvlText w:val="%1."/>
      <w:numFmt w:val="decimal"/>
      <w:start w:val="60"/>
    </w:lvl>
    <w:lvl w:ilvl="1">
      <w:lvlJc w:val="left"/>
      <w:lvlText w:val="%2"/>
      <w:numFmt w:val="lowerLetter"/>
      <w:start w:val="1"/>
    </w:lvl>
  </w:abstractNum>
  <w:abstractNum w:abstractNumId="195">
    <w:nsid w:val="44344C22"/>
    <w:multiLevelType w:val="hybridMultilevel"/>
    <w:lvl w:ilvl="0">
      <w:lvlJc w:val="left"/>
      <w:lvlText w:val="%1."/>
      <w:numFmt w:val="decimal"/>
      <w:start w:val="67"/>
    </w:lvl>
  </w:abstractNum>
  <w:abstractNum w:abstractNumId="196">
    <w:nsid w:val="13CDFCFC"/>
    <w:multiLevelType w:val="hybridMultilevel"/>
    <w:lvl w:ilvl="0">
      <w:lvlJc w:val="left"/>
      <w:lvlText w:val="%1."/>
      <w:numFmt w:val="decimal"/>
      <w:start w:val="68"/>
    </w:lvl>
  </w:abstractNum>
  <w:abstractNum w:abstractNumId="197">
    <w:nsid w:val="471745E4"/>
    <w:multiLevelType w:val="hybridMultilevel"/>
    <w:lvl w:ilvl="0">
      <w:lvlJc w:val="left"/>
      <w:lvlText w:val="%1."/>
      <w:numFmt w:val="decimal"/>
      <w:start w:val="72"/>
    </w:lvl>
  </w:abstractNum>
  <w:abstractNum w:abstractNumId="198">
    <w:nsid w:val="1DDBC66"/>
    <w:multiLevelType w:val="hybridMultilevel"/>
    <w:lvl w:ilvl="0">
      <w:lvlJc w:val="left"/>
      <w:lvlText w:val="%1."/>
      <w:numFmt w:val="decimal"/>
      <w:start w:val="74"/>
    </w:lvl>
  </w:abstractNum>
  <w:abstractNum w:abstractNumId="199">
    <w:nsid w:val="30AADFDA"/>
    <w:multiLevelType w:val="hybridMultilevel"/>
    <w:lvl w:ilvl="0">
      <w:lvlJc w:val="left"/>
      <w:lvlText w:val="%1."/>
      <w:numFmt w:val="decimal"/>
      <w:start w:val="77"/>
    </w:lvl>
  </w:abstractNum>
  <w:abstractNum w:abstractNumId="200">
    <w:nsid w:val="30EADA61"/>
    <w:multiLevelType w:val="hybridMultilevel"/>
    <w:lvl w:ilvl="0">
      <w:lvlJc w:val="left"/>
      <w:lvlText w:val="%1."/>
      <w:numFmt w:val="decimal"/>
      <w:start w:val="85"/>
    </w:lvl>
  </w:abstractNum>
  <w:abstractNum w:abstractNumId="201">
    <w:nsid w:val="27179C0B"/>
    <w:multiLevelType w:val="hybridMultilevel"/>
    <w:lvl w:ilvl="0">
      <w:lvlJc w:val="left"/>
      <w:lvlText w:val="%1."/>
      <w:numFmt w:val="decimal"/>
      <w:start w:val="87"/>
    </w:lvl>
  </w:abstractNum>
  <w:abstractNum w:abstractNumId="202">
    <w:nsid w:val="5E636063"/>
    <w:multiLevelType w:val="hybridMultilevel"/>
    <w:lvl w:ilvl="0">
      <w:lvlJc w:val="left"/>
      <w:lvlText w:val="%1."/>
      <w:numFmt w:val="decimal"/>
      <w:start w:val="89"/>
    </w:lvl>
  </w:abstractNum>
  <w:abstractNum w:abstractNumId="203">
    <w:nsid w:val="215641AF"/>
    <w:multiLevelType w:val="hybridMultilevel"/>
    <w:lvl w:ilvl="0">
      <w:lvlJc w:val="left"/>
      <w:lvlText w:val="%1."/>
      <w:numFmt w:val="decimal"/>
      <w:start w:val="93"/>
    </w:lvl>
  </w:abstractNum>
  <w:abstractNum w:abstractNumId="204">
    <w:nsid w:val="53280662"/>
    <w:multiLevelType w:val="hybridMultilevel"/>
    <w:lvl w:ilvl="0">
      <w:lvlJc w:val="left"/>
      <w:lvlText w:val="%1."/>
      <w:numFmt w:val="decimal"/>
      <w:start w:val="99"/>
    </w:lvl>
  </w:abstractNum>
  <w:abstractNum w:abstractNumId="205">
    <w:nsid w:val="46B24DBC"/>
    <w:multiLevelType w:val="hybridMultilevel"/>
    <w:lvl w:ilvl="0">
      <w:lvlJc w:val="left"/>
      <w:lvlText w:val="%1."/>
      <w:numFmt w:val="decimal"/>
      <w:start w:val="100"/>
    </w:lvl>
  </w:abstractNum>
  <w:abstractNum w:abstractNumId="206">
    <w:nsid w:val="75B52783"/>
    <w:multiLevelType w:val="hybridMultilevel"/>
    <w:lvl w:ilvl="0">
      <w:lvlJc w:val="left"/>
      <w:lvlText w:val="%1."/>
      <w:numFmt w:val="decimal"/>
      <w:start w:val="102"/>
    </w:lvl>
  </w:abstractNum>
  <w:abstractNum w:abstractNumId="207">
    <w:nsid w:val="57CE66B4"/>
    <w:multiLevelType w:val="hybridMultilevel"/>
    <w:lvl w:ilvl="0">
      <w:lvlJc w:val="left"/>
      <w:lvlText w:val="%1."/>
      <w:numFmt w:val="decimal"/>
      <w:start w:val="105"/>
    </w:lvl>
  </w:abstractNum>
  <w:abstractNum w:abstractNumId="208">
    <w:nsid w:val="67A70B69"/>
    <w:multiLevelType w:val="hybridMultilevel"/>
    <w:lvl w:ilvl="0">
      <w:lvlJc w:val="left"/>
      <w:lvlText w:val="%1."/>
      <w:numFmt w:val="decimal"/>
      <w:start w:val="112"/>
    </w:lvl>
  </w:abstractNum>
  <w:abstractNum w:abstractNumId="209">
    <w:nsid w:val="5953172F"/>
    <w:multiLevelType w:val="hybridMultilevel"/>
    <w:lvl w:ilvl="0">
      <w:lvlJc w:val="left"/>
      <w:lvlText w:val="%1."/>
      <w:numFmt w:val="decimal"/>
      <w:start w:val="113"/>
    </w:lvl>
  </w:abstractNum>
  <w:abstractNum w:abstractNumId="210">
    <w:nsid w:val="27EDFE3A"/>
    <w:multiLevelType w:val="hybridMultilevel"/>
    <w:lvl w:ilvl="0">
      <w:lvlJc w:val="left"/>
      <w:lvlText w:val="%1."/>
      <w:numFmt w:val="decimal"/>
      <w:start w:val="114"/>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1."/>
      <w:numFmt w:val="decimal"/>
      <w:start w:val="117"/>
    </w:lvl>
  </w:abstractNum>
  <w:abstractNum w:abstractNumId="213">
    <w:nsid w:val="44380727"/>
    <w:multiLevelType w:val="hybridMultilevel"/>
    <w:lvl w:ilvl="0">
      <w:lvlJc w:val="left"/>
      <w:lvlText w:val="%1."/>
      <w:numFmt w:val="decimal"/>
      <w:start w:val="124"/>
    </w:lvl>
  </w:abstractNum>
  <w:abstractNum w:abstractNumId="214">
    <w:nsid w:val="6C053B16"/>
    <w:multiLevelType w:val="hybridMultilevel"/>
    <w:lvl w:ilvl="0">
      <w:lvlJc w:val="left"/>
      <w:lvlText w:val="%1."/>
      <w:numFmt w:val="decimal"/>
      <w:start w:val="127"/>
    </w:lvl>
  </w:abstractNum>
  <w:abstractNum w:abstractNumId="215">
    <w:nsid w:val="4F294393"/>
    <w:multiLevelType w:val="hybridMultilevel"/>
    <w:lvl w:ilvl="0">
      <w:lvlJc w:val="left"/>
      <w:lvlText w:val="%1."/>
      <w:numFmt w:val="decimal"/>
      <w:start w:val="131"/>
    </w:lvl>
  </w:abstractNum>
  <w:abstractNum w:abstractNumId="216">
    <w:nsid w:val="5243BFAC"/>
    <w:multiLevelType w:val="hybridMultilevel"/>
    <w:lvl w:ilvl="0">
      <w:lvlJc w:val="left"/>
      <w:lvlText w:val="%1."/>
      <w:numFmt w:val="decimal"/>
      <w:start w:val="134"/>
    </w:lvl>
  </w:abstractNum>
  <w:abstractNum w:abstractNumId="217">
    <w:nsid w:val="425EB207"/>
    <w:multiLevelType w:val="hybridMultilevel"/>
    <w:lvl w:ilvl="0">
      <w:lvlJc w:val="left"/>
      <w:lvlText w:val="%1."/>
      <w:numFmt w:val="decimal"/>
      <w:start w:val="135"/>
    </w:lvl>
  </w:abstractNum>
  <w:abstractNum w:abstractNumId="218">
    <w:nsid w:val="334A6F1F"/>
    <w:multiLevelType w:val="hybridMultilevel"/>
    <w:lvl w:ilvl="0">
      <w:lvlJc w:val="left"/>
      <w:lvlText w:val="%1."/>
      <w:numFmt w:val="decimal"/>
      <w:start w:val="137"/>
    </w:lvl>
  </w:abstractNum>
  <w:abstractNum w:abstractNumId="219">
    <w:nsid w:val="2E5B12B8"/>
    <w:multiLevelType w:val="hybridMultilevel"/>
    <w:lvl w:ilvl="0">
      <w:lvlJc w:val="left"/>
      <w:lvlText w:val="%1."/>
      <w:numFmt w:val="decimal"/>
      <w:start w:val="145"/>
    </w:lvl>
  </w:abstractNum>
  <w:abstractNum w:abstractNumId="220">
    <w:nsid w:val="5C03D76D"/>
    <w:multiLevelType w:val="hybridMultilevel"/>
    <w:lvl w:ilvl="0">
      <w:lvlJc w:val="left"/>
      <w:lvlText w:val="(%1)"/>
      <w:numFmt w:val="lowerLetter"/>
      <w:start w:val="1"/>
    </w:lvl>
  </w:abstractNum>
  <w:abstractNum w:abstractNumId="221">
    <w:nsid w:val="66A48D11"/>
    <w:multiLevelType w:val="hybridMultilevel"/>
    <w:lvl w:ilvl="0">
      <w:lvlJc w:val="left"/>
      <w:lvlText w:val="%1."/>
      <w:numFmt w:val="decimal"/>
      <w:start w:val="148"/>
    </w:lvl>
  </w:abstractNum>
  <w:abstractNum w:abstractNumId="222">
    <w:nsid w:val="56C28E34"/>
    <w:multiLevelType w:val="hybridMultilevel"/>
    <w:lvl w:ilvl="0">
      <w:lvlJc w:val="left"/>
      <w:lvlText w:val="%1."/>
      <w:numFmt w:val="decimal"/>
      <w:start w:val="149"/>
    </w:lvl>
  </w:abstractNum>
  <w:abstractNum w:abstractNumId="223">
    <w:nsid w:val="13916F2D"/>
    <w:multiLevelType w:val="hybridMultilevel"/>
    <w:lvl w:ilvl="0">
      <w:lvlJc w:val="left"/>
      <w:lvlText w:val="%1."/>
      <w:numFmt w:val="decimal"/>
      <w:start w:val="152"/>
    </w:lvl>
  </w:abstractNum>
  <w:abstractNum w:abstractNumId="224">
    <w:nsid w:val="435D38D"/>
    <w:multiLevelType w:val="hybridMultilevel"/>
    <w:lvl w:ilvl="0">
      <w:lvlJc w:val="left"/>
      <w:lvlText w:val="%1."/>
      <w:numFmt w:val="decimal"/>
      <w:start w:val="153"/>
    </w:lvl>
  </w:abstractNum>
  <w:abstractNum w:abstractNumId="225">
    <w:nsid w:val="822C0EF"/>
    <w:multiLevelType w:val="hybridMultilevel"/>
    <w:lvl w:ilvl="0">
      <w:lvlJc w:val="left"/>
      <w:lvlText w:val="(%1)"/>
      <w:numFmt w:val="lowerLetter"/>
      <w:start w:val="1"/>
    </w:lvl>
  </w:abstractNum>
  <w:abstractNum w:abstractNumId="226">
    <w:nsid w:val="57C5BB4F"/>
    <w:multiLevelType w:val="hybridMultilevel"/>
    <w:lvl w:ilvl="0">
      <w:lvlJc w:val="left"/>
      <w:lvlText w:val="%1."/>
      <w:numFmt w:val="decimal"/>
      <w:start w:val="154"/>
    </w:lvl>
  </w:abstractNum>
  <w:abstractNum w:abstractNumId="227">
    <w:nsid w:val="1803D089"/>
    <w:multiLevelType w:val="hybridMultilevel"/>
    <w:lvl w:ilvl="0">
      <w:lvlJc w:val="left"/>
      <w:lvlText w:val="%1."/>
      <w:numFmt w:val="decimal"/>
      <w:start w:val="156"/>
    </w:lvl>
  </w:abstractNum>
  <w:abstractNum w:abstractNumId="228">
    <w:nsid w:val="4F3A06D4"/>
    <w:multiLevelType w:val="hybridMultilevel"/>
    <w:lvl w:ilvl="0">
      <w:lvlJc w:val="left"/>
      <w:lvlText w:val="%1."/>
      <w:numFmt w:val="decimal"/>
      <w:start w:val="157"/>
    </w:lvl>
  </w:abstractNum>
  <w:abstractNum w:abstractNumId="229">
    <w:nsid w:val="59A377B6"/>
    <w:multiLevelType w:val="hybridMultilevel"/>
    <w:lvl w:ilvl="0">
      <w:lvlJc w:val="left"/>
      <w:lvlText w:val="%1."/>
      <w:numFmt w:val="decimal"/>
      <w:start w:val="159"/>
    </w:lvl>
  </w:abstractNum>
  <w:abstractNum w:abstractNumId="230">
    <w:nsid w:val="48AEB063"/>
    <w:multiLevelType w:val="hybridMultilevel"/>
    <w:lvl w:ilvl="0">
      <w:lvlJc w:val="left"/>
      <w:lvlText w:val="%1."/>
      <w:numFmt w:val="decimal"/>
      <w:start w:val="160"/>
    </w:lvl>
  </w:abstractNum>
  <w:abstractNum w:abstractNumId="231">
    <w:nsid w:val="24E135"/>
    <w:multiLevelType w:val="hybridMultilevel"/>
    <w:lvl w:ilvl="0">
      <w:lvlJc w:val="left"/>
      <w:lvlText w:val="(%1)"/>
      <w:numFmt w:val="lowerLetter"/>
      <w:start w:val="1"/>
    </w:lvl>
  </w:abstractNum>
  <w:abstractNum w:abstractNumId="232">
    <w:nsid w:val="BB13C1"/>
    <w:multiLevelType w:val="hybridMultilevel"/>
    <w:lvl w:ilvl="0">
      <w:lvlJc w:val="left"/>
      <w:lvlText w:val="%1."/>
      <w:numFmt w:val="decimal"/>
      <w:start w:val="163"/>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lowerLetter"/>
      <w:start w:val="1"/>
    </w:lvl>
  </w:abstractNum>
  <w:abstractNum w:abstractNumId="235">
    <w:nsid w:val="53E31A24"/>
    <w:multiLevelType w:val="hybridMultilevel"/>
    <w:lvl w:ilvl="0">
      <w:lvlJc w:val="left"/>
      <w:lvlText w:val="%1"/>
      <w:numFmt w:val="lowerLetter"/>
      <w:start w:val="1"/>
    </w:lvl>
    <w:lvl w:ilvl="1">
      <w:lvlJc w:val="left"/>
      <w:lvlText w:val="(%2)"/>
      <w:numFmt w:val="lowerLetter"/>
      <w:start w:val="4"/>
    </w:lvl>
  </w:abstractNum>
  <w:abstractNum w:abstractNumId="236">
    <w:nsid w:val="6DC45E83"/>
    <w:multiLevelType w:val="hybridMultilevel"/>
    <w:lvl w:ilvl="0">
      <w:lvlJc w:val="left"/>
      <w:lvlText w:val="(%1)"/>
      <w:numFmt w:val="lowerLetter"/>
      <w:start w:val="35"/>
    </w:lvl>
    <w:lvl w:ilvl="1">
      <w:lvlJc w:val="left"/>
      <w:lvlText w:val="%2"/>
      <w:numFmt w:val="lowerLetter"/>
      <w:start w:val="1"/>
    </w:lvl>
  </w:abstractNum>
  <w:abstractNum w:abstractNumId="237">
    <w:nsid w:val="17304A67"/>
    <w:multiLevelType w:val="hybridMultilevel"/>
    <w:lvl w:ilvl="0">
      <w:lvlJc w:val="left"/>
      <w:lvlText w:val="(%1)"/>
      <w:numFmt w:val="lowerLetter"/>
      <w:start w:val="3"/>
    </w:lvl>
  </w:abstractNum>
  <w:abstractNum w:abstractNumId="238">
    <w:nsid w:val="2BB180D8"/>
    <w:multiLevelType w:val="hybridMultilevel"/>
    <w:lvl w:ilvl="0">
      <w:lvlJc w:val="left"/>
      <w:lvlText w:val="%1"/>
      <w:numFmt w:val="lowerRoman"/>
      <w:start w:val="1"/>
    </w:lvl>
    <w:lvl w:ilvl="1">
      <w:lvlJc w:val="left"/>
      <w:lvlText w:val="(%2)"/>
      <w:numFmt w:val="lowerLetter"/>
      <w:start w:val="1"/>
    </w:lvl>
  </w:abstractNum>
  <w:abstractNum w:abstractNumId="239">
    <w:nsid w:val="556B69ED"/>
    <w:multiLevelType w:val="hybridMultilevel"/>
    <w:lvl w:ilvl="0">
      <w:lvlJc w:val="left"/>
      <w:lvlText w:val="(%1)"/>
      <w:numFmt w:val="lowerRoman"/>
      <w:start w:val="4"/>
    </w:lvl>
    <w:lvl w:ilvl="1">
      <w:lvlJc w:val="left"/>
      <w:lvlText w:val="(%2)"/>
      <w:numFmt w:val="lowerLetter"/>
      <w:start w:val="2"/>
    </w:lvl>
  </w:abstractNum>
  <w:abstractNum w:abstractNumId="240">
    <w:nsid w:val="70836196"/>
    <w:multiLevelType w:val="hybridMultilevel"/>
    <w:lvl w:ilvl="0">
      <w:lvlJc w:val="left"/>
      <w:lvlText w:val="(%1)"/>
      <w:numFmt w:val="lowerLetter"/>
      <w:start w:val="6"/>
    </w:lvl>
  </w:abstractNum>
  <w:abstractNum w:abstractNumId="241">
    <w:nsid w:val="539F7F12"/>
    <w:multiLevelType w:val="hybridMultilevel"/>
    <w:lvl w:ilvl="0">
      <w:lvlJc w:val="left"/>
      <w:lvlText w:val="%1"/>
      <w:numFmt w:val="decimal"/>
      <w:start w:val="1"/>
    </w:lvl>
    <w:lvl w:ilvl="1">
      <w:lvlJc w:val="left"/>
      <w:lvlText w:val="(%2)"/>
      <w:numFmt w:val="lowerLetter"/>
      <w:start w:val="1"/>
    </w:lvl>
  </w:abstractNum>
  <w:abstractNum w:abstractNumId="242">
    <w:nsid w:val="2817E7EC"/>
    <w:multiLevelType w:val="hybridMultilevel"/>
    <w:lvl w:ilvl="0">
      <w:lvlJc w:val="left"/>
      <w:lvlText w:val="(%1)"/>
      <w:numFmt w:val="decimal"/>
      <w:start w:val="3"/>
    </w:lvl>
    <w:lvl w:ilvl="1">
      <w:lvlJc w:val="left"/>
      <w:lvlText w:val="(%2)"/>
      <w:numFmt w:val="lowerLetter"/>
      <w:start w:val="2"/>
    </w:lvl>
  </w:abstractNum>
  <w:abstractNum w:abstractNumId="243">
    <w:nsid w:val="71482545"/>
    <w:multiLevelType w:val="hybridMultilevel"/>
    <w:lvl w:ilvl="0">
      <w:lvlJc w:val="left"/>
      <w:lvlText w:val="(%1)"/>
      <w:numFmt w:val="lowerLetter"/>
      <w:start w:val="2"/>
    </w:lvl>
  </w:abstractNum>
  <w:abstractNum w:abstractNumId="244">
    <w:nsid w:val="17D78639"/>
    <w:multiLevelType w:val="hybridMultilevel"/>
    <w:lvl w:ilvl="0">
      <w:lvlJc w:val="left"/>
      <w:lvlText w:val="%1"/>
      <w:numFmt w:val="lowerLetter"/>
      <w:start w:val="1"/>
    </w:lvl>
    <w:lvl w:ilvl="1">
      <w:lvlJc w:val="left"/>
      <w:lvlText w:val="(%2)"/>
      <w:numFmt w:val="lowerLetter"/>
      <w:start w:val="1"/>
    </w:lvl>
  </w:abstractNum>
  <w:abstractNum w:abstractNumId="245">
    <w:nsid w:val="141D2302"/>
    <w:multiLevelType w:val="hybridMultilevel"/>
    <w:lvl w:ilvl="0">
      <w:lvlJc w:val="left"/>
      <w:lvlText w:val="(%1)"/>
      <w:numFmt w:val="lowerLetter"/>
      <w:start w:val="9"/>
    </w:lvl>
    <w:lvl w:ilvl="1">
      <w:lvlJc w:val="left"/>
      <w:lvlText w:val="(%2)"/>
      <w:numFmt w:val="lowerLetter"/>
      <w:start w:val="2"/>
    </w:lvl>
  </w:abstractNum>
  <w:abstractNum w:abstractNumId="246">
    <w:nsid w:val="407168D8"/>
    <w:multiLevelType w:val="hybridMultilevel"/>
    <w:lvl w:ilvl="0">
      <w:lvlJc w:val="left"/>
      <w:lvlText w:val="(%1)"/>
      <w:numFmt w:val="lowerLetter"/>
      <w:start w:val="1"/>
    </w:lvl>
  </w:abstractNum>
  <w:abstractNum w:abstractNumId="247">
    <w:nsid w:val="6A1B45E5"/>
    <w:multiLevelType w:val="hybridMultilevel"/>
    <w:lvl w:ilvl="0">
      <w:lvlJc w:val="left"/>
      <w:lvlText w:val="(%1)"/>
      <w:numFmt w:val="lowerLetter"/>
      <w:start w:val="11"/>
    </w:lvl>
  </w:abstractNum>
  <w:abstractNum w:abstractNumId="248">
    <w:nsid w:val="567BD50A"/>
    <w:multiLevelType w:val="hybridMultilevel"/>
    <w:lvl w:ilvl="0">
      <w:lvlJc w:val="left"/>
      <w:lvlText w:val="(%1)"/>
      <w:numFmt w:val="lowerLetter"/>
      <w:start w:val="1"/>
    </w:lvl>
  </w:abstractNum>
  <w:abstractNum w:abstractNumId="249">
    <w:nsid w:val="73BBD7F8"/>
    <w:multiLevelType w:val="hybridMultilevel"/>
    <w:lvl w:ilvl="0">
      <w:lvlJc w:val="left"/>
      <w:lvlText w:val="%1."/>
      <w:numFmt w:val="upperLetter"/>
      <w:start w:val="1"/>
    </w:lvl>
  </w:abstractNum>
  <w:abstractNum w:abstractNumId="250">
    <w:nsid w:val="1876589D"/>
    <w:multiLevelType w:val="hybridMultilevel"/>
    <w:lvl w:ilvl="0">
      <w:lvlJc w:val="left"/>
      <w:lvlText w:val="%1."/>
      <w:numFmt w:val="decimal"/>
      <w:start w:val="1"/>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2019-12-03T01:36:33Z</dcterms:created>
  <dcterms:modified xsi:type="dcterms:W3CDTF">2019-12-03T01:36:33Z</dcterms:modified>
</cp:coreProperties>
</file>