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-199390</wp:posOffset>
            </wp:positionV>
            <wp:extent cx="65862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21, 2018</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945"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February 21, 2018, Weatherford International, LLC, a Delaware limited liability company (“Weatherford Delaware”) and an indirect wholly owned subsidiary of Weatherford International plc, an Irish public limited company (“Weatherford Ireland”), entered into a purchase agreement (the “Purchase Agreement”) with Weatherford Ireland, Weatherford International Ltd., a Bermuda exempted company and an indirect wholly owned subsidiary of Weatherford Ireland (“Weatherford Bermuda” and, together with Weatherford Delaware and Weatherford Ireland, the “Weatherford Parties”), and Deutsche Bank Securities Inc. as representative of the several initial purchasers named in Schedule I thereto (the “Initial Purchasers”). The Purchase Agreement provides for the offer and sale (the “Offering”) by Weatherford Delaware, and the purchase by the Initial Purchasers, of $600 million aggregate principal amount of Weatherford Delaware’s 9.875% senior notes due 2025 (the “Notes”).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Offering is expected to close on February 28, 2018, subject to customary closing conditions. The sale of the Notes will not be not registered under the Securities Act of 1933, as amended (the “Securities Act”), and the Notes will be sold on a private placement basis to persons reasonably believed to be qualified institutional buyers under Rule 144A under the Securities Act and outside the United States to non-U.S. persons in compliance with Regulation S under the Securities Act.</w:t>
      </w: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Purchase Agreement contains customary representations, warranties, covenants and agreements by the Weatherford Parties and the Initial Purchasers, including indemnification for certain liabilities under the Securities Act,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intend to use the net proceeds from the Offering to repay in full Weatherford Bermuda’s 6.00% senior notes due March 2018, to fund a tender offer to purchase for cash any and all of Weatherford Bermuda’s 9.625% senior notes due 2019 (the “Tender Offer”) and pay any related fees and expenses thereof and the remaining net proceeds for debt repayment, including amounts due under the Weatherford Parties’ revolving senior credit facility the (“Credit Facility”). Weatherford Bermuda has retained the Initial Purchasers and certain of their affiliates to act as dealer managers in connection with the Tender Offer and has agreed to pay these dealer managers a customary fee for their services in connection with the Tender Offer, as well as to reimburse them for their reasonable out-of-pocket expenses.</w:t>
      </w:r>
    </w:p>
    <w:p>
      <w:pPr>
        <w:spacing w:after="0" w:line="19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Additionally, affiliates of the Initial Purchasers are lenders under the Credit Facility and will receive a portion of the net proceeds from the Notes Offering to the extent such proceeds are used to repay borrowings under the Credit Facility. Further, the Initial Purchasers and their affiliates have performed commercial banking, investment banking and advisory services for the Weatherford Parties from time to time for which they have received customary fees and reimbursement of expenses. The Initial Purchasers or their affiliates may, from time to time, engage in transactions with and perform services for the Weatherford Parties in the ordinary course of their business for which they may receive customary fees and reimbursement of expenses.</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 copy of the Purchase Agreement is attached to this Current Report on Form 8-K as Exhibit 1.1 and is incorporated into this Item 1.01. The foregoing is only a brief description of the material terms of the Purchase Agreement and does not purport to be a complete description of the rights and obligations of the parties thereunder, and such description is qualified in its entirety by reference to this Exhibit.</w:t>
      </w:r>
    </w:p>
    <w:p>
      <w:pPr>
        <w:sectPr>
          <w:pgSz w:w="11900" w:h="16838" w:orient="portrait"/>
          <w:cols w:equalWidth="0" w:num="1">
            <w:col w:w="11420"/>
          </w:cols>
          <w:pgMar w:left="240" w:top="742" w:right="239" w:bottom="1440" w:gutter="0" w:footer="0" w:header="0"/>
        </w:sectPr>
      </w:pPr>
    </w:p>
    <w:bookmarkStart w:id="2" w:name="page3"/>
    <w:bookmarkEnd w:id="2"/>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February 21, 2018, Weatherford Ireland issued a news release announcing the pricing of the Offering. A copy of the press release is furnished herewith as Exhibit 99.1 and is incorporated herein by reference.</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provided pursuant to this Item 7.01, including Exhibit 99.1, is “furnished” and shall not be deemed to be “filed” with the Securities and Exchange Commission or incorporated by reference in any filing under the Securities Exchange Act of 1934, as amended, or the Securities Act, except as shall be expressly set forth by specific reference in any such filings.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Item 9.01</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54"/>
        </w:trPr>
        <w:tc>
          <w:tcPr>
            <w:tcW w:w="640" w:type="dxa"/>
            <w:vAlign w:val="bottom"/>
          </w:tcPr>
          <w:p>
            <w:pPr>
              <w:spacing w:after="0"/>
              <w:rPr>
                <w:sz w:val="24"/>
                <w:szCs w:val="24"/>
                <w:color w:val="auto"/>
              </w:rPr>
            </w:pPr>
          </w:p>
        </w:tc>
        <w:tc>
          <w:tcPr>
            <w:tcW w:w="980" w:type="dxa"/>
            <w:vAlign w:val="bottom"/>
            <w:gridSpan w:val="3"/>
          </w:tcPr>
          <w:p>
            <w:pPr>
              <w:jc w:val="center"/>
              <w:ind w:right="760"/>
              <w:spacing w:after="0"/>
              <w:rPr>
                <w:sz w:val="20"/>
                <w:szCs w:val="20"/>
                <w:color w:val="auto"/>
              </w:rPr>
            </w:pPr>
            <w:r>
              <w:rPr>
                <w:rFonts w:ascii="Arial" w:cs="Arial" w:eastAsia="Arial" w:hAnsi="Arial"/>
                <w:sz w:val="18"/>
                <w:szCs w:val="18"/>
                <w:color w:val="auto"/>
                <w:w w:val="99"/>
              </w:rPr>
              <w:t>(d)</w:t>
            </w:r>
          </w:p>
        </w:tc>
        <w:tc>
          <w:tcPr>
            <w:tcW w:w="980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905"/>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ind w:left="510"/>
              <w:spacing w:after="0" w:line="19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1.</w:t>
              </w:r>
              <w:r>
                <w:rPr>
                  <w:rFonts w:ascii="Arial" w:cs="Arial" w:eastAsia="Arial" w:hAnsi="Arial"/>
                  <w:sz w:val="18"/>
                  <w:szCs w:val="18"/>
                  <w:u w:val="single" w:color="auto"/>
                  <w:color w:val="0000FF"/>
                  <w:w w:val="87"/>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w w:val="97"/>
              </w:rPr>
              <w:t>Purchase Agreement, dated February 21, 2018, by and among Weatherford International, LLC, Weatherford International plc,</w:t>
            </w:r>
          </w:p>
        </w:tc>
      </w:tr>
      <w:tr>
        <w:trPr>
          <w:trHeight w:val="222"/>
        </w:trPr>
        <w:tc>
          <w:tcPr>
            <w:tcW w:w="64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Weatherford International Ltd., and Deutsche Bank Securities Inc., on behalf of itself and the several Initial Purchasers named in</w:t>
            </w:r>
          </w:p>
        </w:tc>
      </w:tr>
      <w:tr>
        <w:trPr>
          <w:trHeight w:val="230"/>
        </w:trPr>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Schedule I to the Purchase Agreement.</w:t>
            </w:r>
          </w:p>
        </w:tc>
      </w:tr>
      <w:tr>
        <w:trPr>
          <w:trHeight w:val="230"/>
        </w:trPr>
        <w:tc>
          <w:tcPr>
            <w:tcW w:w="900" w:type="dxa"/>
            <w:vAlign w:val="bottom"/>
            <w:gridSpan w:val="2"/>
          </w:tcPr>
          <w:p>
            <w:pPr>
              <w:jc w:val="center"/>
              <w:ind w:left="510"/>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February 21, 2018, relating to the pricing of the Offering.</w:t>
            </w:r>
          </w:p>
        </w:tc>
      </w:tr>
      <w:tr>
        <w:trPr>
          <w:trHeight w:val="20"/>
        </w:trPr>
        <w:tc>
          <w:tcPr>
            <w:tcW w:w="6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1175"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23,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ind w:left="510"/>
              <w:spacing w:after="0" w:line="19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1.</w:t>
              </w:r>
              <w:r>
                <w:rPr>
                  <w:rFonts w:ascii="Arial" w:cs="Arial" w:eastAsia="Arial" w:hAnsi="Arial"/>
                  <w:sz w:val="18"/>
                  <w:szCs w:val="18"/>
                  <w:u w:val="single" w:color="auto"/>
                  <w:color w:val="0000FF"/>
                  <w:w w:val="87"/>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w w:val="97"/>
              </w:rPr>
              <w:t>Purchase Agreement, dated February 21, 2018, by and among Weatherford International, LLC, Weatherford International plc,</w:t>
            </w:r>
          </w:p>
        </w:tc>
      </w:tr>
      <w:tr>
        <w:trPr>
          <w:trHeight w:val="222"/>
        </w:trPr>
        <w:tc>
          <w:tcPr>
            <w:tcW w:w="64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Weatherford International Ltd., and Deutsche Bank Securities Inc., on behalf of itself and the several Initial Purchasers named in</w:t>
            </w:r>
          </w:p>
        </w:tc>
      </w:tr>
      <w:tr>
        <w:trPr>
          <w:trHeight w:val="230"/>
        </w:trPr>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Schedule I to the Purchase Agreement.</w:t>
            </w:r>
          </w:p>
        </w:tc>
      </w:tr>
      <w:tr>
        <w:trPr>
          <w:trHeight w:val="230"/>
        </w:trPr>
        <w:tc>
          <w:tcPr>
            <w:tcW w:w="900" w:type="dxa"/>
            <w:vAlign w:val="bottom"/>
            <w:gridSpan w:val="2"/>
          </w:tcPr>
          <w:p>
            <w:pPr>
              <w:jc w:val="center"/>
              <w:ind w:left="510"/>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February 21, 2018, relating to the pricing of the Offering.</w:t>
            </w:r>
          </w:p>
        </w:tc>
      </w:tr>
      <w:tr>
        <w:trPr>
          <w:trHeight w:val="20"/>
        </w:trPr>
        <w:tc>
          <w:tcPr>
            <w:tcW w:w="6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$600,000,000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9.875% Senior Notes due 2025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21,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 Wall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 of the several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Initial Purchasers named in Schedule I 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Weatherford International, LLC, a Delaware limited liability company (the “</w:t>
      </w:r>
      <w:r>
        <w:rPr>
          <w:rFonts w:ascii="Arial" w:cs="Arial" w:eastAsia="Arial" w:hAnsi="Arial"/>
          <w:sz w:val="19"/>
          <w:szCs w:val="19"/>
          <w:b w:val="1"/>
          <w:bCs w:val="1"/>
          <w:color w:val="auto"/>
        </w:rPr>
        <w:t>Company</w:t>
      </w:r>
      <w:r>
        <w:rPr>
          <w:rFonts w:ascii="Arial" w:cs="Arial" w:eastAsia="Arial" w:hAnsi="Arial"/>
          <w:sz w:val="19"/>
          <w:szCs w:val="19"/>
          <w:color w:val="auto"/>
        </w:rPr>
        <w:t>”), proposes to sell to you and the other initial purchasers named in Schedule I hereto (each, an “</w:t>
      </w:r>
      <w:r>
        <w:rPr>
          <w:rFonts w:ascii="Arial" w:cs="Arial" w:eastAsia="Arial" w:hAnsi="Arial"/>
          <w:sz w:val="19"/>
          <w:szCs w:val="19"/>
          <w:b w:val="1"/>
          <w:bCs w:val="1"/>
          <w:color w:val="auto"/>
        </w:rPr>
        <w:t>Initial Purchaser</w:t>
      </w:r>
      <w:r>
        <w:rPr>
          <w:rFonts w:ascii="Arial" w:cs="Arial" w:eastAsia="Arial" w:hAnsi="Arial"/>
          <w:sz w:val="19"/>
          <w:szCs w:val="19"/>
          <w:color w:val="auto"/>
        </w:rPr>
        <w:t>” and, collectively, the “</w:t>
      </w:r>
      <w:r>
        <w:rPr>
          <w:rFonts w:ascii="Arial" w:cs="Arial" w:eastAsia="Arial" w:hAnsi="Arial"/>
          <w:sz w:val="19"/>
          <w:szCs w:val="19"/>
          <w:b w:val="1"/>
          <w:bCs w:val="1"/>
          <w:color w:val="auto"/>
        </w:rPr>
        <w:t>Initial Purchasers</w:t>
      </w:r>
      <w:r>
        <w:rPr>
          <w:rFonts w:ascii="Arial" w:cs="Arial" w:eastAsia="Arial" w:hAnsi="Arial"/>
          <w:sz w:val="19"/>
          <w:szCs w:val="19"/>
          <w:color w:val="auto"/>
        </w:rPr>
        <w:t>”), for whom you are acting as representative (in such capacity, the “</w:t>
      </w:r>
      <w:r>
        <w:rPr>
          <w:rFonts w:ascii="Arial" w:cs="Arial" w:eastAsia="Arial" w:hAnsi="Arial"/>
          <w:sz w:val="19"/>
          <w:szCs w:val="19"/>
          <w:b w:val="1"/>
          <w:bCs w:val="1"/>
          <w:color w:val="auto"/>
        </w:rPr>
        <w:t>Representative</w:t>
      </w:r>
      <w:r>
        <w:rPr>
          <w:rFonts w:ascii="Arial" w:cs="Arial" w:eastAsia="Arial" w:hAnsi="Arial"/>
          <w:sz w:val="19"/>
          <w:szCs w:val="19"/>
          <w:color w:val="auto"/>
        </w:rPr>
        <w:t>”), $600,000,000 principal amount of its 9.875% senior notes due 2025 (the “</w:t>
      </w:r>
      <w:r>
        <w:rPr>
          <w:rFonts w:ascii="Arial" w:cs="Arial" w:eastAsia="Arial" w:hAnsi="Arial"/>
          <w:sz w:val="19"/>
          <w:szCs w:val="19"/>
          <w:b w:val="1"/>
          <w:bCs w:val="1"/>
          <w:color w:val="auto"/>
        </w:rPr>
        <w:t>Notes</w:t>
      </w:r>
      <w:r>
        <w:rPr>
          <w:rFonts w:ascii="Arial" w:cs="Arial" w:eastAsia="Arial" w:hAnsi="Arial"/>
          <w:sz w:val="19"/>
          <w:szCs w:val="19"/>
          <w:color w:val="auto"/>
        </w:rPr>
        <w:t>”). As used herein, the term “</w:t>
      </w:r>
      <w:r>
        <w:rPr>
          <w:rFonts w:ascii="Arial" w:cs="Arial" w:eastAsia="Arial" w:hAnsi="Arial"/>
          <w:sz w:val="19"/>
          <w:szCs w:val="19"/>
          <w:b w:val="1"/>
          <w:bCs w:val="1"/>
          <w:color w:val="auto"/>
        </w:rPr>
        <w:t>Securities</w:t>
      </w:r>
      <w:r>
        <w:rPr>
          <w:rFonts w:ascii="Arial" w:cs="Arial" w:eastAsia="Arial" w:hAnsi="Arial"/>
          <w:sz w:val="19"/>
          <w:szCs w:val="19"/>
          <w:color w:val="auto"/>
        </w:rPr>
        <w:t>” collectively refers to the Notes and the Guarantees (as defined below). The Securities are to be issued under an Indenture, dated June 18, 2007 (the “</w:t>
      </w:r>
      <w:r>
        <w:rPr>
          <w:rFonts w:ascii="Arial" w:cs="Arial" w:eastAsia="Arial" w:hAnsi="Arial"/>
          <w:sz w:val="19"/>
          <w:szCs w:val="19"/>
          <w:b w:val="1"/>
          <w:bCs w:val="1"/>
          <w:color w:val="auto"/>
        </w:rPr>
        <w:t>Base Indenture</w:t>
      </w:r>
      <w:r>
        <w:rPr>
          <w:rFonts w:ascii="Arial" w:cs="Arial" w:eastAsia="Arial" w:hAnsi="Arial"/>
          <w:sz w:val="19"/>
          <w:szCs w:val="19"/>
          <w:color w:val="auto"/>
        </w:rPr>
        <w:t>”), as heretofore amended and supplemented by the Second, Third, Fourth and Fifth Supplemental Indentures, and as to be amended and supplemented by a Sixth Supplemental Indenture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to be dated as of the Closing Date (as defined below), among the Company, the Guarantors (as defined below) and Deutsche Bank Trust Company Americas, as trustee (the “</w:t>
      </w:r>
      <w:r>
        <w:rPr>
          <w:rFonts w:ascii="Arial" w:cs="Arial" w:eastAsia="Arial" w:hAnsi="Arial"/>
          <w:sz w:val="19"/>
          <w:szCs w:val="19"/>
          <w:b w:val="1"/>
          <w:bCs w:val="1"/>
          <w:color w:val="auto"/>
        </w:rPr>
        <w:t>Trustee</w:t>
      </w:r>
      <w:r>
        <w:rPr>
          <w:rFonts w:ascii="Arial" w:cs="Arial" w:eastAsia="Arial" w:hAnsi="Arial"/>
          <w:sz w:val="19"/>
          <w:szCs w:val="19"/>
          <w:color w:val="auto"/>
        </w:rPr>
        <w:t>”) (the Base Indenture, as so amended and supplemented, the “</w:t>
      </w:r>
      <w:r>
        <w:rPr>
          <w:rFonts w:ascii="Arial" w:cs="Arial" w:eastAsia="Arial" w:hAnsi="Arial"/>
          <w:sz w:val="19"/>
          <w:szCs w:val="19"/>
          <w:b w:val="1"/>
          <w:bCs w:val="1"/>
          <w:color w:val="auto"/>
        </w:rPr>
        <w:t>Indenture</w:t>
      </w:r>
      <w:r>
        <w:rPr>
          <w:rFonts w:ascii="Arial" w:cs="Arial" w:eastAsia="Arial" w:hAnsi="Arial"/>
          <w:sz w:val="19"/>
          <w:szCs w:val="19"/>
          <w:color w:val="auto"/>
        </w:rPr>
        <w:t>”), and will be fully and unconditionally guaranteed on a senior unsecured basis (the “</w:t>
      </w:r>
      <w:r>
        <w:rPr>
          <w:rFonts w:ascii="Arial" w:cs="Arial" w:eastAsia="Arial" w:hAnsi="Arial"/>
          <w:sz w:val="19"/>
          <w:szCs w:val="19"/>
          <w:b w:val="1"/>
          <w:bCs w:val="1"/>
          <w:color w:val="auto"/>
        </w:rPr>
        <w:t>Guarantees</w:t>
      </w:r>
      <w:r>
        <w:rPr>
          <w:rFonts w:ascii="Arial" w:cs="Arial" w:eastAsia="Arial" w:hAnsi="Arial"/>
          <w:sz w:val="19"/>
          <w:szCs w:val="19"/>
          <w:color w:val="auto"/>
        </w:rPr>
        <w:t>”) by Weatherford International plc, an Irish public limited company (the “</w:t>
      </w:r>
      <w:r>
        <w:rPr>
          <w:rFonts w:ascii="Arial" w:cs="Arial" w:eastAsia="Arial" w:hAnsi="Arial"/>
          <w:sz w:val="19"/>
          <w:szCs w:val="19"/>
          <w:b w:val="1"/>
          <w:bCs w:val="1"/>
          <w:color w:val="auto"/>
        </w:rPr>
        <w:t>Parent Guarantor</w:t>
      </w:r>
      <w:r>
        <w:rPr>
          <w:rFonts w:ascii="Arial" w:cs="Arial" w:eastAsia="Arial" w:hAnsi="Arial"/>
          <w:sz w:val="19"/>
          <w:szCs w:val="19"/>
          <w:color w:val="auto"/>
        </w:rPr>
        <w:t>”), and Weatherford International Ltd., a Bermuda exempted company (“</w:t>
      </w:r>
      <w:r>
        <w:rPr>
          <w:rFonts w:ascii="Arial" w:cs="Arial" w:eastAsia="Arial" w:hAnsi="Arial"/>
          <w:sz w:val="19"/>
          <w:szCs w:val="19"/>
          <w:b w:val="1"/>
          <w:bCs w:val="1"/>
          <w:color w:val="auto"/>
        </w:rPr>
        <w:t>Weatherford Bermuda</w:t>
      </w:r>
      <w:r>
        <w:rPr>
          <w:rFonts w:ascii="Arial" w:cs="Arial" w:eastAsia="Arial" w:hAnsi="Arial"/>
          <w:sz w:val="19"/>
          <w:szCs w:val="19"/>
          <w:color w:val="auto"/>
        </w:rPr>
        <w:t>” and, together with the Parent Guarantor, the “</w:t>
      </w:r>
      <w:r>
        <w:rPr>
          <w:rFonts w:ascii="Arial" w:cs="Arial" w:eastAsia="Arial" w:hAnsi="Arial"/>
          <w:sz w:val="19"/>
          <w:szCs w:val="19"/>
          <w:b w:val="1"/>
          <w:bCs w:val="1"/>
          <w:color w:val="auto"/>
        </w:rPr>
        <w:t>Guarantors</w:t>
      </w:r>
      <w:r>
        <w:rPr>
          <w:rFonts w:ascii="Arial" w:cs="Arial" w:eastAsia="Arial" w:hAnsi="Arial"/>
          <w:sz w:val="19"/>
          <w:szCs w:val="19"/>
          <w:color w:val="auto"/>
        </w:rPr>
        <w:t>”), as set forth in the Indenture.</w:t>
      </w:r>
    </w:p>
    <w:p>
      <w:pPr>
        <w:spacing w:after="0" w:line="1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The holders of the Securities will be entitled to the benefits of a registration rights agreement, to be dated as of the Closing Date (the “</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among the Company, the Guarantors and the Initial Purchasers, pursuant to which the Company and the Guarantors will agree to file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circumstances set forth therein, (i) a registration statement under the Act (as defined below) relating to another series of debt securities of the Company with terms substantially identical to the Notes (the “</w:t>
      </w:r>
      <w:r>
        <w:rPr>
          <w:rFonts w:ascii="Arial" w:cs="Arial" w:eastAsia="Arial" w:hAnsi="Arial"/>
          <w:sz w:val="19"/>
          <w:szCs w:val="19"/>
          <w:b w:val="1"/>
          <w:bCs w:val="1"/>
          <w:color w:val="auto"/>
        </w:rPr>
        <w:t>Exchange Notes</w:t>
      </w:r>
      <w:r>
        <w:rPr>
          <w:rFonts w:ascii="Arial" w:cs="Arial" w:eastAsia="Arial" w:hAnsi="Arial"/>
          <w:sz w:val="19"/>
          <w:szCs w:val="19"/>
          <w:color w:val="auto"/>
        </w:rPr>
        <w:t>”) to be offered in exchange for the Notes (the “</w:t>
      </w:r>
      <w:r>
        <w:rPr>
          <w:rFonts w:ascii="Arial" w:cs="Arial" w:eastAsia="Arial" w:hAnsi="Arial"/>
          <w:sz w:val="19"/>
          <w:szCs w:val="19"/>
          <w:b w:val="1"/>
          <w:bCs w:val="1"/>
          <w:color w:val="auto"/>
        </w:rPr>
        <w:t>Exchange Offer</w:t>
      </w:r>
      <w:r>
        <w:rPr>
          <w:rFonts w:ascii="Arial" w:cs="Arial" w:eastAsia="Arial" w:hAnsi="Arial"/>
          <w:sz w:val="19"/>
          <w:szCs w:val="19"/>
          <w:color w:val="auto"/>
        </w:rPr>
        <w:t>”) and (ii) to the extent required by the Registration Rights Agreement, a shelf registration statement pursuant to Rule 415 under the Act relating to the resale by certain holders of</w:t>
      </w:r>
    </w:p>
    <w:p>
      <w:pPr>
        <w:sectPr>
          <w:pgSz w:w="11900" w:h="16838" w:orient="portrait"/>
          <w:cols w:equalWidth="0" w:num="1">
            <w:col w:w="11420"/>
          </w:cols>
          <w:pgMar w:left="240" w:top="895" w:right="2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21"/>
          <w:szCs w:val="21"/>
          <w:color w:val="auto"/>
        </w:rPr>
        <w:t>the Notes, and in each case, to use its best efforts to cause such registration statement to be declared effective. The Exchange Notes and the Guarantees attached hereto are herein collectively referred to as the “</w:t>
      </w:r>
      <w:r>
        <w:rPr>
          <w:rFonts w:ascii="Arial" w:cs="Arial" w:eastAsia="Arial" w:hAnsi="Arial"/>
          <w:sz w:val="21"/>
          <w:szCs w:val="21"/>
          <w:b w:val="1"/>
          <w:bCs w:val="1"/>
          <w:color w:val="auto"/>
        </w:rPr>
        <w:t>Exchange Securities</w:t>
      </w:r>
      <w:r>
        <w:rPr>
          <w:rFonts w:ascii="Arial" w:cs="Arial" w:eastAsia="Arial" w:hAnsi="Arial"/>
          <w:sz w:val="21"/>
          <w:szCs w:val="21"/>
          <w:color w:val="auto"/>
        </w:rPr>
        <w:t>.”</w:t>
      </w:r>
    </w:p>
    <w:p>
      <w:pPr>
        <w:spacing w:after="0" w:line="1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The Company understands that the Initial Purchasers propose to make an offering of the Securities on the terms and in the manner set forth herein and in the Pricing Disclosure Package (as defined below) and agrees that the Initial Purchasers may resell, subject to the conditions set forth herein, all or a portion of the Securities to purchasers (the “</w:t>
      </w:r>
      <w:r>
        <w:rPr>
          <w:rFonts w:ascii="Arial" w:cs="Arial" w:eastAsia="Arial" w:hAnsi="Arial"/>
          <w:sz w:val="21"/>
          <w:szCs w:val="21"/>
          <w:b w:val="1"/>
          <w:bCs w:val="1"/>
          <w:color w:val="auto"/>
        </w:rPr>
        <w:t>Subsequent Purchasers</w:t>
      </w:r>
      <w:r>
        <w:rPr>
          <w:rFonts w:ascii="Arial" w:cs="Arial" w:eastAsia="Arial" w:hAnsi="Arial"/>
          <w:sz w:val="21"/>
          <w:szCs w:val="21"/>
          <w:color w:val="auto"/>
        </w:rPr>
        <w:t>”) on the terms set forth in the Pricing Disclosure Package (the first time when sales of the Securities are made is referred to as the “</w:t>
      </w:r>
      <w:r>
        <w:rPr>
          <w:rFonts w:ascii="Arial" w:cs="Arial" w:eastAsia="Arial" w:hAnsi="Arial"/>
          <w:sz w:val="21"/>
          <w:szCs w:val="21"/>
          <w:b w:val="1"/>
          <w:bCs w:val="1"/>
          <w:color w:val="auto"/>
        </w:rPr>
        <w:t>Time</w:t>
      </w:r>
      <w:r>
        <w:rPr>
          <w:rFonts w:ascii="Arial" w:cs="Arial" w:eastAsia="Arial" w:hAnsi="Arial"/>
          <w:sz w:val="21"/>
          <w:szCs w:val="21"/>
          <w:color w:val="auto"/>
        </w:rPr>
        <w:t xml:space="preserve"> </w:t>
      </w:r>
      <w:r>
        <w:rPr>
          <w:rFonts w:ascii="Arial" w:cs="Arial" w:eastAsia="Arial" w:hAnsi="Arial"/>
          <w:sz w:val="21"/>
          <w:szCs w:val="21"/>
          <w:b w:val="1"/>
          <w:bCs w:val="1"/>
          <w:color w:val="auto"/>
        </w:rPr>
        <w:t>of Sale</w:t>
      </w:r>
      <w:r>
        <w:rPr>
          <w:rFonts w:ascii="Arial" w:cs="Arial" w:eastAsia="Arial" w:hAnsi="Arial"/>
          <w:sz w:val="21"/>
          <w:szCs w:val="21"/>
          <w:color w:val="auto"/>
        </w:rPr>
        <w:t>”). The Securities are to be offered and sold to or through the Initial Purchasers without being registered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Commission under the Act, in reliance upon exemptions therefrom. Pursuant to the terms of the Securities and the Indenture, investors who acquire the Securities will be deemed to have agreed that the Securities may only be resold or otherwise transferred, after the date hereof, if such Securities are registered for sale under the Act or if an exemption from the registration requirements of the Act is available (including the exemptions afforded by Rule 144A under the Act (“</w:t>
      </w:r>
      <w:r>
        <w:rPr>
          <w:rFonts w:ascii="Arial" w:cs="Arial" w:eastAsia="Arial" w:hAnsi="Arial"/>
          <w:sz w:val="21"/>
          <w:szCs w:val="21"/>
          <w:b w:val="1"/>
          <w:bCs w:val="1"/>
          <w:color w:val="auto"/>
        </w:rPr>
        <w:t>Rule 144A</w:t>
      </w:r>
      <w:r>
        <w:rPr>
          <w:rFonts w:ascii="Arial" w:cs="Arial" w:eastAsia="Arial" w:hAnsi="Arial"/>
          <w:sz w:val="21"/>
          <w:szCs w:val="21"/>
          <w:color w:val="auto"/>
        </w:rPr>
        <w:t>”) or Regulation S under the Act (“</w:t>
      </w:r>
      <w:r>
        <w:rPr>
          <w:rFonts w:ascii="Arial" w:cs="Arial" w:eastAsia="Arial" w:hAnsi="Arial"/>
          <w:sz w:val="21"/>
          <w:szCs w:val="21"/>
          <w:b w:val="1"/>
          <w:bCs w:val="1"/>
          <w:color w:val="auto"/>
        </w:rPr>
        <w:t>Regulation S</w:t>
      </w:r>
      <w:r>
        <w:rPr>
          <w:rFonts w:ascii="Arial" w:cs="Arial" w:eastAsia="Arial" w:hAnsi="Arial"/>
          <w:sz w:val="21"/>
          <w:szCs w:val="21"/>
          <w:color w:val="auto"/>
        </w:rPr>
        <w:t>”)).</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The Company has prepared and delivered to the Initial Purchasers a Preliminary Offering Memorandum, dated February 21, 2018 (the “</w:t>
      </w:r>
      <w:r>
        <w:rPr>
          <w:rFonts w:ascii="Arial" w:cs="Arial" w:eastAsia="Arial" w:hAnsi="Arial"/>
          <w:sz w:val="22"/>
          <w:szCs w:val="22"/>
          <w:b w:val="1"/>
          <w:bCs w:val="1"/>
          <w:color w:val="auto"/>
        </w:rPr>
        <w:t>Preliminary Memorandum</w:t>
      </w:r>
      <w:r>
        <w:rPr>
          <w:rFonts w:ascii="Arial" w:cs="Arial" w:eastAsia="Arial" w:hAnsi="Arial"/>
          <w:sz w:val="22"/>
          <w:szCs w:val="22"/>
          <w:color w:val="auto"/>
        </w:rPr>
        <w:t>”), and has prepared and delivered to the Initial Purchasers a Pricing Supplement, dated February 21, 2018 (the “</w:t>
      </w:r>
      <w:r>
        <w:rPr>
          <w:rFonts w:ascii="Arial" w:cs="Arial" w:eastAsia="Arial" w:hAnsi="Arial"/>
          <w:sz w:val="22"/>
          <w:szCs w:val="22"/>
          <w:b w:val="1"/>
          <w:bCs w:val="1"/>
          <w:color w:val="auto"/>
        </w:rPr>
        <w:t>Pricing Supplement</w:t>
      </w:r>
      <w:r>
        <w:rPr>
          <w:rFonts w:ascii="Arial" w:cs="Arial" w:eastAsia="Arial" w:hAnsi="Arial"/>
          <w:sz w:val="22"/>
          <w:szCs w:val="22"/>
          <w:color w:val="auto"/>
        </w:rPr>
        <w:t>”), describing the terms of the Securities, each for use by each Initial Purchaser in connection with its solicitation of offers to purchase the Securities. The Preliminary Memorandum and the Pricing Supplement are herein referred to as the “</w:t>
      </w:r>
      <w:r>
        <w:rPr>
          <w:rFonts w:ascii="Arial" w:cs="Arial" w:eastAsia="Arial" w:hAnsi="Arial"/>
          <w:sz w:val="22"/>
          <w:szCs w:val="22"/>
          <w:b w:val="1"/>
          <w:bCs w:val="1"/>
          <w:color w:val="auto"/>
        </w:rPr>
        <w:t>Pricing Disclosure Package</w:t>
      </w:r>
      <w:r>
        <w:rPr>
          <w:rFonts w:ascii="Arial" w:cs="Arial" w:eastAsia="Arial" w:hAnsi="Arial"/>
          <w:sz w:val="22"/>
          <w:szCs w:val="22"/>
          <w:color w:val="auto"/>
        </w:rPr>
        <w:t>.” Promptly after this Agreement is executed and delivered, the Company will prepare and deliver to the Initial Purchasers a Final Offering Memorandum dated the date hereof (the “</w:t>
      </w:r>
      <w:r>
        <w:rPr>
          <w:rFonts w:ascii="Arial" w:cs="Arial" w:eastAsia="Arial" w:hAnsi="Arial"/>
          <w:sz w:val="22"/>
          <w:szCs w:val="22"/>
          <w:b w:val="1"/>
          <w:bCs w:val="1"/>
          <w:color w:val="auto"/>
        </w:rPr>
        <w:t>Final Memorandum</w:t>
      </w:r>
      <w:r>
        <w:rPr>
          <w:rFonts w:ascii="Arial" w:cs="Arial" w:eastAsia="Arial" w:hAnsi="Arial"/>
          <w:sz w:val="22"/>
          <w:szCs w:val="22"/>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hereby confirms its agreements with the Initial Purchasers as follows:</w:t>
      </w:r>
    </w:p>
    <w:p>
      <w:pPr>
        <w:spacing w:after="0" w:line="220" w:lineRule="exact"/>
        <w:rPr>
          <w:sz w:val="20"/>
          <w:szCs w:val="20"/>
          <w:color w:val="auto"/>
        </w:rPr>
      </w:pPr>
    </w:p>
    <w:p>
      <w:pPr>
        <w:jc w:val="both"/>
        <w:ind w:firstLine="1305"/>
        <w:spacing w:after="0" w:line="248" w:lineRule="auto"/>
        <w:tabs>
          <w:tab w:leader="none" w:pos="2107"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and the Guarantors jointly and severally represent and warrant to, and agree with, the Initial Purchasers as set forth below in this Section 1 (references in this Section 1 to the “</w:t>
      </w:r>
      <w:r>
        <w:rPr>
          <w:rFonts w:ascii="Arial" w:cs="Arial" w:eastAsia="Arial" w:hAnsi="Arial"/>
          <w:sz w:val="22"/>
          <w:szCs w:val="22"/>
          <w:b w:val="1"/>
          <w:bCs w:val="1"/>
          <w:color w:val="auto"/>
        </w:rPr>
        <w:t>Offering</w:t>
      </w:r>
      <w:r>
        <w:rPr>
          <w:rFonts w:ascii="Arial" w:cs="Arial" w:eastAsia="Arial" w:hAnsi="Arial"/>
          <w:sz w:val="22"/>
          <w:szCs w:val="22"/>
          <w:color w:val="auto"/>
        </w:rPr>
        <w:t xml:space="preserve"> </w:t>
      </w:r>
      <w:r>
        <w:rPr>
          <w:rFonts w:ascii="Arial" w:cs="Arial" w:eastAsia="Arial" w:hAnsi="Arial"/>
          <w:sz w:val="22"/>
          <w:szCs w:val="22"/>
          <w:b w:val="1"/>
          <w:bCs w:val="1"/>
          <w:color w:val="auto"/>
        </w:rPr>
        <w:t>Memorandum</w:t>
      </w:r>
      <w:r>
        <w:rPr>
          <w:rFonts w:ascii="Arial" w:cs="Arial" w:eastAsia="Arial" w:hAnsi="Arial"/>
          <w:sz w:val="22"/>
          <w:szCs w:val="22"/>
          <w:color w:val="auto"/>
        </w:rPr>
        <w:t>” are to (x) the Pricing Disclosure Package in the case of representations and warranties made as of the date hereof</w:t>
      </w:r>
      <w:r>
        <w:rPr>
          <w:rFonts w:ascii="Arial" w:cs="Arial" w:eastAsia="Arial" w:hAnsi="Arial"/>
          <w:sz w:val="22"/>
          <w:szCs w:val="22"/>
          <w:b w:val="1"/>
          <w:bCs w:val="1"/>
          <w:color w:val="auto"/>
        </w:rPr>
        <w:t xml:space="preserve"> </w:t>
      </w:r>
      <w:r>
        <w:rPr>
          <w:rFonts w:ascii="Arial" w:cs="Arial" w:eastAsia="Arial" w:hAnsi="Arial"/>
          <w:sz w:val="22"/>
          <w:szCs w:val="22"/>
          <w:color w:val="auto"/>
        </w:rPr>
        <w:t>and (y) the Pricing Disclosure Package and the Final Memorandum in the case of representations and warranties made as of the Closing Date).</w:t>
      </w:r>
    </w:p>
    <w:p>
      <w:pPr>
        <w:spacing w:after="0" w:line="233" w:lineRule="exact"/>
        <w:rPr>
          <w:sz w:val="20"/>
          <w:szCs w:val="20"/>
          <w:color w:val="auto"/>
        </w:rPr>
      </w:pPr>
    </w:p>
    <w:p>
      <w:pPr>
        <w:jc w:val="both"/>
        <w:ind w:left="660" w:firstLine="645"/>
        <w:spacing w:after="0" w:line="247" w:lineRule="auto"/>
        <w:tabs>
          <w:tab w:leader="none" w:pos="2196" w:val="left"/>
        </w:tabs>
        <w:numPr>
          <w:ilvl w:val="0"/>
          <w:numId w:val="3"/>
        </w:numPr>
        <w:rPr>
          <w:rFonts w:ascii="Arial" w:cs="Arial" w:eastAsia="Arial" w:hAnsi="Arial"/>
          <w:sz w:val="22"/>
          <w:szCs w:val="22"/>
          <w:color w:val="auto"/>
        </w:rPr>
      </w:pPr>
      <w:r>
        <w:rPr>
          <w:rFonts w:ascii="Arial" w:cs="Arial" w:eastAsia="Arial" w:hAnsi="Arial"/>
          <w:sz w:val="22"/>
          <w:szCs w:val="22"/>
          <w:color w:val="auto"/>
        </w:rPr>
        <w:t>Subject to compliance by the Initial Purchasers with the representations and warranties set forth in Section 2 hereof and with the procedures set forth in Section 8 hereof, it is not necessary in connection with the offer, sale and delivery of the Securities to the Initial Purchasers and to each Subsequent Purchaser in the manner contemplated by this Agreement and the Offering Memorandum to register the Securities under the Act or, until such time as the Exchange Securities are issued pursuant to an effective registration statement, to qualify the Indenture under the Trust Indenture Act (as defined below).</w:t>
      </w:r>
    </w:p>
    <w:p>
      <w:pPr>
        <w:spacing w:after="0" w:line="234" w:lineRule="exact"/>
        <w:rPr>
          <w:rFonts w:ascii="Arial" w:cs="Arial" w:eastAsia="Arial" w:hAnsi="Arial"/>
          <w:sz w:val="22"/>
          <w:szCs w:val="22"/>
          <w:color w:val="auto"/>
        </w:rPr>
      </w:pPr>
    </w:p>
    <w:p>
      <w:pPr>
        <w:jc w:val="both"/>
        <w:ind w:left="660" w:firstLine="645"/>
        <w:spacing w:after="0" w:line="292" w:lineRule="auto"/>
        <w:tabs>
          <w:tab w:leader="none" w:pos="2209" w:val="left"/>
        </w:tabs>
        <w:numPr>
          <w:ilvl w:val="0"/>
          <w:numId w:val="3"/>
        </w:numPr>
        <w:rPr>
          <w:rFonts w:ascii="Arial" w:cs="Arial" w:eastAsia="Arial" w:hAnsi="Arial"/>
          <w:sz w:val="19"/>
          <w:szCs w:val="19"/>
          <w:color w:val="auto"/>
        </w:rPr>
      </w:pPr>
      <w:r>
        <w:rPr>
          <w:rFonts w:ascii="Arial" w:cs="Arial" w:eastAsia="Arial" w:hAnsi="Arial"/>
          <w:sz w:val="19"/>
          <w:szCs w:val="19"/>
          <w:color w:val="auto"/>
        </w:rPr>
        <w:t>None of the Company, its affiliates (as such term is defined in Rule 501 under the Act) (each, an “</w:t>
      </w:r>
      <w:r>
        <w:rPr>
          <w:rFonts w:ascii="Arial" w:cs="Arial" w:eastAsia="Arial" w:hAnsi="Arial"/>
          <w:sz w:val="19"/>
          <w:szCs w:val="19"/>
          <w:b w:val="1"/>
          <w:bCs w:val="1"/>
          <w:color w:val="auto"/>
        </w:rPr>
        <w:t>Affiliate</w:t>
      </w:r>
      <w:r>
        <w:rPr>
          <w:rFonts w:ascii="Arial" w:cs="Arial" w:eastAsia="Arial" w:hAnsi="Arial"/>
          <w:sz w:val="19"/>
          <w:szCs w:val="19"/>
          <w:color w:val="auto"/>
        </w:rPr>
        <w:t>”), or 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Act. None of the Company, its Affiliates, or any person acting on its or any of their behalf (other than the Initial Purchasers, as to whom the Company makes no representation or</w:t>
      </w:r>
    </w:p>
    <w:p>
      <w:pPr>
        <w:sectPr>
          <w:pgSz w:w="11900" w:h="16838" w:orient="portrait"/>
          <w:cols w:equalWidth="0" w:num="1">
            <w:col w:w="11420"/>
          </w:cols>
          <w:pgMar w:left="240" w:top="591" w:right="239" w:bottom="1440" w:gutter="0" w:footer="0" w:header="0"/>
        </w:sectPr>
      </w:pPr>
    </w:p>
    <w:bookmarkStart w:id="7" w:name="page8"/>
    <w:bookmarkEnd w:id="7"/>
    <w:p>
      <w:pPr>
        <w:jc w:val="both"/>
        <w:ind w:left="4"/>
        <w:spacing w:after="0" w:line="292" w:lineRule="auto"/>
        <w:rPr>
          <w:sz w:val="20"/>
          <w:szCs w:val="20"/>
          <w:color w:val="auto"/>
        </w:rPr>
      </w:pPr>
      <w:r>
        <w:rPr>
          <w:rFonts w:ascii="Arial" w:cs="Arial" w:eastAsia="Arial" w:hAnsi="Arial"/>
          <w:sz w:val="19"/>
          <w:szCs w:val="19"/>
          <w:color w:val="auto"/>
        </w:rPr>
        <w:t>warranty) has engaged or will engage, in connection with the offering of the Securities, in any form of general solicitation or general advertising within the meaning of Rule 502 under the Act. With respect to those Securities sold in reliance upon Regulation S, (i) none of the Company, its Affiliates or any person acting on its or their behalf (other than the Initial Purchasers, as to whom the Company makes no representation or warranty) has engaged or will engage in any directed selling efforts within the meaning of Regulation S and (ii) each of the Company and its Affiliates and any person acting on its or their behalf (other than the Initial Purchasers, as to whom the Company makes no representation or warranty) has complied and will comply with the offering restrictions set forth in Regulation S.</w:t>
      </w:r>
    </w:p>
    <w:p>
      <w:pPr>
        <w:spacing w:after="0" w:line="192" w:lineRule="exact"/>
        <w:rPr>
          <w:sz w:val="20"/>
          <w:szCs w:val="20"/>
          <w:color w:val="auto"/>
        </w:rPr>
      </w:pPr>
    </w:p>
    <w:p>
      <w:pPr>
        <w:jc w:val="both"/>
        <w:ind w:left="4" w:right="20" w:firstLine="645"/>
        <w:spacing w:after="0" w:line="253" w:lineRule="auto"/>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Securities are eligible for resale pursuant to Rule 144A and will not be, at the Closing Date, of the same class as securities listed on a national securities exchange registered under Section 6 of the Exchange Act (as defined below) or quoted in a U.S. automated interdealer quotation system.</w:t>
      </w:r>
    </w:p>
    <w:p>
      <w:pPr>
        <w:spacing w:after="0" w:line="226" w:lineRule="exact"/>
        <w:rPr>
          <w:rFonts w:ascii="Arial" w:cs="Arial" w:eastAsia="Arial" w:hAnsi="Arial"/>
          <w:sz w:val="22"/>
          <w:szCs w:val="22"/>
          <w:color w:val="auto"/>
        </w:rPr>
      </w:pPr>
    </w:p>
    <w:p>
      <w:pPr>
        <w:jc w:val="both"/>
        <w:ind w:left="4" w:firstLine="645"/>
        <w:spacing w:after="0" w:line="259" w:lineRule="auto"/>
        <w:tabs>
          <w:tab w:leader="none" w:pos="1552" w:val="left"/>
        </w:tabs>
        <w:numPr>
          <w:ilvl w:val="1"/>
          <w:numId w:val="4"/>
        </w:numPr>
        <w:rPr>
          <w:rFonts w:ascii="Arial" w:cs="Arial" w:eastAsia="Arial" w:hAnsi="Arial"/>
          <w:sz w:val="21"/>
          <w:szCs w:val="21"/>
          <w:color w:val="auto"/>
        </w:rPr>
      </w:pPr>
      <w:r>
        <w:rPr>
          <w:rFonts w:ascii="Arial" w:cs="Arial" w:eastAsia="Arial" w:hAnsi="Arial"/>
          <w:sz w:val="21"/>
          <w:szCs w:val="21"/>
          <w:color w:val="auto"/>
        </w:rPr>
        <w:t>Neither the Pricing Disclosure Package, as of the Time of Sale, nor the Final Memorandum, as of its date or (as amended or supplemented in accordance with Section 5(a), as applicable) as of the Closing Date, contains or represents any untrue statement of a material fact or omits to state any material fact necessary in order to make the statements therein, in the light of the circumstances under which they were made, not misleading. The preceding sentence does not apply to statements in or omissions from the Pricing Disclosure Package, the Final Memorandum or any amendment or supplement thereto based upon and in conformity with written information furnished to the Company or the Guarantors by or on behalf of the Initial Purchasers specifically for use therein, it being understood and agreed that the only such information furnished by or on behalf of the Initial Purchasers consists of the information described as such in Section 9 hereof.</w:t>
      </w:r>
    </w:p>
    <w:p>
      <w:pPr>
        <w:spacing w:after="0" w:line="126" w:lineRule="exact"/>
        <w:rPr>
          <w:rFonts w:ascii="Arial" w:cs="Arial" w:eastAsia="Arial" w:hAnsi="Arial"/>
          <w:sz w:val="21"/>
          <w:szCs w:val="21"/>
          <w:color w:val="auto"/>
        </w:rPr>
      </w:pPr>
    </w:p>
    <w:p>
      <w:pPr>
        <w:jc w:val="both"/>
        <w:ind w:left="4" w:firstLine="645"/>
        <w:spacing w:after="0" w:line="288" w:lineRule="auto"/>
        <w:tabs>
          <w:tab w:leader="none" w:pos="1540"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Company and the Guarantors have not prepared, made, used, authorized, approved or distributed and will not prepare, make, use, authorize, approve or distribute any written communication that constitutes an offer to sell or solicitation of an offer to buy the Securities other than (i) the Pricing Disclosure Package, (ii) the Final Memorandum and</w:t>
      </w:r>
    </w:p>
    <w:p>
      <w:pPr>
        <w:spacing w:after="0" w:line="1" w:lineRule="exact"/>
        <w:rPr>
          <w:rFonts w:ascii="Arial" w:cs="Arial" w:eastAsia="Arial" w:hAnsi="Arial"/>
          <w:sz w:val="19"/>
          <w:szCs w:val="19"/>
          <w:color w:val="auto"/>
        </w:rPr>
      </w:pPr>
    </w:p>
    <w:p>
      <w:pPr>
        <w:jc w:val="both"/>
        <w:ind w:left="4" w:hanging="4"/>
        <w:spacing w:after="0" w:line="287" w:lineRule="auto"/>
        <w:tabs>
          <w:tab w:leader="none" w:pos="404"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electronic road show or other written communications, in each case used in accordance with Section 5(a). Each such communication by the Company, the Guarantors or their agents and representatives pursuant to clause (iii) of the preceding sentence (each, a “</w:t>
      </w:r>
      <w:r>
        <w:rPr>
          <w:rFonts w:ascii="Arial" w:cs="Arial" w:eastAsia="Arial" w:hAnsi="Arial"/>
          <w:sz w:val="19"/>
          <w:szCs w:val="19"/>
          <w:b w:val="1"/>
          <w:bCs w:val="1"/>
          <w:color w:val="auto"/>
        </w:rPr>
        <w:t>Company Additional Written Communication</w:t>
      </w:r>
      <w:r>
        <w:rPr>
          <w:rFonts w:ascii="Arial" w:cs="Arial" w:eastAsia="Arial" w:hAnsi="Arial"/>
          <w:sz w:val="19"/>
          <w:szCs w:val="19"/>
          <w:color w:val="auto"/>
        </w:rPr>
        <w: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each such Company Additional Written Communication made in reliance upon and in conformity with information furnished to the Company in writing by or on behalf of the Initial Purchasers expressly for use in any Company Additional Written Communication.</w:t>
      </w:r>
    </w:p>
    <w:p>
      <w:pPr>
        <w:spacing w:after="0" w:line="33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91" w:right="239" w:bottom="1440" w:gutter="0" w:footer="0" w:header="0"/>
        </w:sectPr>
      </w:pPr>
    </w:p>
    <w:bookmarkStart w:id="8" w:name="page9"/>
    <w:bookmarkEnd w:id="8"/>
    <w:p>
      <w:pPr>
        <w:jc w:val="both"/>
        <w:ind w:left="-540" w:firstLine="645"/>
        <w:spacing w:after="0" w:line="294" w:lineRule="auto"/>
        <w:tabs>
          <w:tab w:leader="none" w:pos="972"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documents incorporated or deemed to be incorporated by reference in the Offering Memorandum, when they became effective or at the time they were or hereafter are filed with the Commission (collectively the “</w:t>
      </w:r>
      <w:r>
        <w:rPr>
          <w:rFonts w:ascii="Arial" w:cs="Arial" w:eastAsia="Arial" w:hAnsi="Arial"/>
          <w:sz w:val="19"/>
          <w:szCs w:val="19"/>
          <w:b w:val="1"/>
          <w:bCs w:val="1"/>
          <w:color w:val="auto"/>
        </w:rPr>
        <w:t>Incorporated Documents</w:t>
      </w:r>
      <w:r>
        <w:rPr>
          <w:rFonts w:ascii="Arial" w:cs="Arial" w:eastAsia="Arial" w:hAnsi="Arial"/>
          <w:sz w:val="19"/>
          <w:szCs w:val="19"/>
          <w:color w:val="auto"/>
        </w:rPr>
        <w:t>”) complied and will comply in all material respects with the requirements of the Exchange Act. Each such Incorporated Document,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95" w:lineRule="exact"/>
        <w:rPr>
          <w:rFonts w:ascii="Arial" w:cs="Arial" w:eastAsia="Arial" w:hAnsi="Arial"/>
          <w:sz w:val="19"/>
          <w:szCs w:val="19"/>
          <w:color w:val="auto"/>
        </w:rPr>
      </w:pPr>
    </w:p>
    <w:p>
      <w:pPr>
        <w:jc w:val="both"/>
        <w:ind w:left="-540" w:firstLine="645"/>
        <w:spacing w:after="0" w:line="253" w:lineRule="auto"/>
        <w:tabs>
          <w:tab w:leader="none" w:pos="1009"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interactive data in the eXtensible Business Reporting Language included or incorporated by reference in the Offering Memorandum fairly presents the information called for in all material respects and has been prepared in accordance with the Commission’s rules and guidelines applicable thereto.</w:t>
      </w:r>
    </w:p>
    <w:p>
      <w:pPr>
        <w:spacing w:after="0" w:line="131" w:lineRule="exact"/>
        <w:rPr>
          <w:rFonts w:ascii="Arial" w:cs="Arial" w:eastAsia="Arial" w:hAnsi="Arial"/>
          <w:sz w:val="22"/>
          <w:szCs w:val="22"/>
          <w:color w:val="auto"/>
        </w:rPr>
      </w:pPr>
    </w:p>
    <w:p>
      <w:pPr>
        <w:jc w:val="both"/>
        <w:ind w:left="-540" w:firstLine="645"/>
        <w:spacing w:after="0" w:line="271" w:lineRule="auto"/>
        <w:tabs>
          <w:tab w:leader="none" w:pos="1009"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accounting firm that certified the financial statements and supporting schedules of the Company included or incorporated by reference in the Offering Memorandum is an independent registered public accounting firm as required by the Act, the Exchange Act and the Public Company Accounting Oversight Board.</w:t>
      </w:r>
    </w:p>
    <w:p>
      <w:pPr>
        <w:spacing w:after="0" w:line="113" w:lineRule="exact"/>
        <w:rPr>
          <w:rFonts w:ascii="Arial" w:cs="Arial" w:eastAsia="Arial" w:hAnsi="Arial"/>
          <w:sz w:val="21"/>
          <w:szCs w:val="21"/>
          <w:color w:val="auto"/>
        </w:rPr>
      </w:pPr>
    </w:p>
    <w:p>
      <w:pPr>
        <w:jc w:val="both"/>
        <w:ind w:left="-540" w:firstLine="645"/>
        <w:spacing w:after="0" w:line="286" w:lineRule="auto"/>
        <w:tabs>
          <w:tab w:leader="none" w:pos="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consolidated financial statements included or incorporated by reference in the Offering Memorandum present fairly in all material respects the balance sheets of the Parent Guarantor and its consolidated subsidiaries at the dates indicated and the statements of operations, comprehensive income, shareholders’ equity and cash flows of the Parent Guarantor and its consolidated subsidiaries for the periods specified, all prepared in conformity with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(subject, in the case of interim statements, to normal year-end audit adjustments); the consolidated financial statements and the related financial statement schedules included in the Offering Memorandum comply as to form in all material respects with the applicable accounting requirements of the Act and the Exchange Act and the related rules and regulations adopted by the Commission; and neither the Company nor either Guarantor has any material contingent obligation that is not disclosed in such financial statements or in the Offering Memorandum. The supporting schedules, if any, included in the Offering Memorandum present fairly in accordance with GAAP the information required to be stated therein. The capitalization table and the ratio of earnings to fixed charges included in the Final Memorandum and the Pricing Disclosure Package present fairly the information shown therein and have been prepared on a basis consistent with that of the audited financial statements included in the Offering Memorandum.</w:t>
      </w:r>
    </w:p>
    <w:p>
      <w:pPr>
        <w:spacing w:after="0" w:line="113" w:lineRule="exact"/>
        <w:rPr>
          <w:rFonts w:ascii="Arial" w:cs="Arial" w:eastAsia="Arial" w:hAnsi="Arial"/>
          <w:sz w:val="19"/>
          <w:szCs w:val="19"/>
          <w:color w:val="auto"/>
        </w:rPr>
      </w:pPr>
    </w:p>
    <w:p>
      <w:pPr>
        <w:jc w:val="both"/>
        <w:ind w:left="-540" w:firstLine="645"/>
        <w:spacing w:after="0" w:line="289" w:lineRule="auto"/>
        <w:tabs>
          <w:tab w:leader="none" w:pos="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Since the respective dates as of which information is given in the Offering Memorandum, except as otherwise stated therein, (i) there has been no material adverse change in the consolidated financial position, shareholders’ equity, prospects, results of operations or business of the Company, the Parent Guarantor and their respective subsidiaries considered as one enterprise, whether or not arising in the ordinary course of business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(ii) there have been no transactions entered into by the Company, either of the Guarantors or any of their respective subsidiaries, other than those in the ordinary course of business, which are material with respect to the Company, the Parent Guarantor and their respective subsidiaries considered as one enterprise, and (iii) there has been no dividend or distribution of any kind declared, paid or made by either the Company (other than to the Parent Guarantor or its wholly owned subsidiaries) or the Parent Guarantor on any class of its share capital.</w:t>
      </w: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1009" w:right="239" w:bottom="1440" w:gutter="0" w:footer="0" w:header="0"/>
        </w:sectPr>
      </w:pPr>
    </w:p>
    <w:bookmarkStart w:id="9" w:name="page10"/>
    <w:bookmarkEnd w:id="9"/>
    <w:p>
      <w:pPr>
        <w:jc w:val="both"/>
        <w:ind w:left="-540" w:firstLine="645"/>
        <w:spacing w:after="0" w:line="285" w:lineRule="auto"/>
        <w:tabs>
          <w:tab w:leader="none" w:pos="100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has been duly organized and is validly existing as a limited liability company in good standing under the laws of the State of Delaware and has limited liability power and authority to own, lease and operate its properties and to conduct its business as described in the Offering Memorandum and to enter into and perform its obligations under this Agreement, the Indenture and the Notes;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Offering Memorandum and to enter into and perform its obligations under this Agreement, the Indenture and its Guarantee; Weatherford Bermuda has been duly organized and is validly existing as an exempted company in good standing under the laws of Bermuda and has corporate power and authority to own, lease and operate its properties and to conduct its business as described in the Offering Memorandum and to enter into and perform its obligations under this Agreement, the Indenture and its Guarantee; the Company is duly qualified as a foreign corporation to transact business 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the Parent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 Weatherford Bermuda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104" w:lineRule="exact"/>
        <w:rPr>
          <w:rFonts w:ascii="Arial" w:cs="Arial" w:eastAsia="Arial" w:hAnsi="Arial"/>
          <w:sz w:val="19"/>
          <w:szCs w:val="19"/>
          <w:color w:val="auto"/>
        </w:rPr>
      </w:pPr>
    </w:p>
    <w:p>
      <w:pPr>
        <w:jc w:val="both"/>
        <w:ind w:left="-540" w:firstLine="645"/>
        <w:spacing w:after="0" w:line="290" w:lineRule="auto"/>
        <w:tabs>
          <w:tab w:leader="none" w:pos="9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All of the subsidiaries (as defined in Rule 405 under the Act) of the Company and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102" w:lineRule="exact"/>
        <w:rPr>
          <w:rFonts w:ascii="Arial" w:cs="Arial" w:eastAsia="Arial" w:hAnsi="Arial"/>
          <w:sz w:val="19"/>
          <w:szCs w:val="19"/>
          <w:color w:val="auto"/>
        </w:rPr>
      </w:pPr>
    </w:p>
    <w:p>
      <w:pPr>
        <w:jc w:val="both"/>
        <w:ind w:left="-540" w:firstLine="645"/>
        <w:spacing w:after="0" w:line="292" w:lineRule="auto"/>
        <w:tabs>
          <w:tab w:leader="none" w:pos="106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Parent Guarantor’s authorized equity capitalization is as set forth in the Offering Memorandum, and all of the issued shares of the Parent Guarantor conform to the description thereof contained in the Offering Memorandum; the issued ordinary shares, par value $0.001 USD per share (the “</w:t>
      </w:r>
      <w:r>
        <w:rPr>
          <w:rFonts w:ascii="Arial" w:cs="Arial" w:eastAsia="Arial" w:hAnsi="Arial"/>
          <w:sz w:val="19"/>
          <w:szCs w:val="19"/>
          <w:b w:val="1"/>
          <w:bCs w:val="1"/>
          <w:color w:val="auto"/>
        </w:rPr>
        <w:t>Ordinary Shares</w:t>
      </w:r>
      <w:r>
        <w:rPr>
          <w:rFonts w:ascii="Arial" w:cs="Arial" w:eastAsia="Arial" w:hAnsi="Arial"/>
          <w:sz w:val="19"/>
          <w:szCs w:val="19"/>
          <w:color w:val="auto"/>
        </w:rPr>
        <w:t>”), of the Parent Guarantor have been duly and validly authorized and issued, are fully paid and non-assessable; and, except as set forth in the Offering Memorandum, no options, warrants or other rights to purchase, agreements or other obligations to issue, or rights to convert any obligations into or exchange any securities for, shares of capital stock of or ownership interests in the Company or the Parent Guarantor are outstanding; the Company is an indirect, wholly owned subsidiary of the Parent Guarantor.</w:t>
      </w: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91" w:right="239" w:bottom="1440" w:gutter="0" w:footer="0" w:header="0"/>
        </w:sectPr>
      </w:pPr>
    </w:p>
    <w:bookmarkStart w:id="10" w:name="page11"/>
    <w:bookmarkEnd w:id="10"/>
    <w:p>
      <w:pPr>
        <w:jc w:val="both"/>
        <w:ind w:left="-540" w:firstLine="645"/>
        <w:spacing w:after="0" w:line="288" w:lineRule="auto"/>
        <w:tabs>
          <w:tab w:leader="none" w:pos="1009" w:val="left"/>
        </w:tabs>
        <w:numPr>
          <w:ilvl w:val="0"/>
          <w:numId w:val="8"/>
        </w:numPr>
        <w:rPr>
          <w:rFonts w:ascii="Arial" w:cs="Arial" w:eastAsia="Arial" w:hAnsi="Arial"/>
          <w:sz w:val="19"/>
          <w:szCs w:val="19"/>
          <w:color w:val="auto"/>
        </w:rPr>
      </w:pPr>
      <w:r>
        <w:rPr>
          <w:rFonts w:ascii="Arial" w:cs="Arial" w:eastAsia="Arial" w:hAnsi="Arial"/>
          <w:sz w:val="19"/>
          <w:szCs w:val="19"/>
          <w:color w:val="auto"/>
        </w:rPr>
        <w:t>All the outstanding shares of capital stock of each subsidiary of each of the Company and the Parent Guarantor have been duly and validly authorized and issued and are fully paid and non-assessable and, except as otherwise set forth in the Offering Memorandum and other than the equity interests in joint ventures that are held by third parties, all outstanding shares of capital stock of each subsidiary of each of the Company and the Parent Guarantor are owned by the Company or the Parent Guarantor, as the case may be, either directly or through wholly owned subsidiaries, free and clear of all liens, encumbrances, equities or claims except for liens, encumbrances, equities or claims permitted or arising under or in connection with that certain Term Loan Agreement, dated May 4, 2016, as amended, by and among Weatherford Bermuda, as borrower, the Parent Guarantor, as guarantor, the lenders party thereto and J.P. Morgan Chase Bank, N.A., as administrative agent and lender; and the Ordinary Shares are duly listed, and admitted and authorized for trading on the New York Stock Exchange.</w:t>
      </w:r>
    </w:p>
    <w:p>
      <w:pPr>
        <w:spacing w:after="0" w:line="106" w:lineRule="exact"/>
        <w:rPr>
          <w:rFonts w:ascii="Arial" w:cs="Arial" w:eastAsia="Arial" w:hAnsi="Arial"/>
          <w:sz w:val="19"/>
          <w:szCs w:val="19"/>
          <w:color w:val="auto"/>
        </w:rPr>
      </w:pPr>
    </w:p>
    <w:p>
      <w:pPr>
        <w:ind w:left="1000" w:hanging="895"/>
        <w:spacing w:after="0"/>
        <w:tabs>
          <w:tab w:leader="none" w:pos="1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the Company and the Guarantors.</w:t>
      </w:r>
    </w:p>
    <w:p>
      <w:pPr>
        <w:spacing w:after="0" w:line="200" w:lineRule="exact"/>
        <w:rPr>
          <w:rFonts w:ascii="Arial" w:cs="Arial" w:eastAsia="Arial" w:hAnsi="Arial"/>
          <w:sz w:val="19"/>
          <w:szCs w:val="19"/>
          <w:color w:val="auto"/>
        </w:rPr>
      </w:pPr>
    </w:p>
    <w:p>
      <w:pPr>
        <w:jc w:val="both"/>
        <w:ind w:left="-540" w:firstLine="645"/>
        <w:spacing w:after="0" w:line="247" w:lineRule="auto"/>
        <w:tabs>
          <w:tab w:leader="none" w:pos="100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Registration Rights Agreement has been duly authorized and, on the Closing Date, will have been duly executed and delivered by, and will constitute a valid and binding agreement of, the Company and the Guarantors, enforceable against the Company and the Guarantors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indemnification may be limited by applicable law.</w:t>
      </w:r>
    </w:p>
    <w:p>
      <w:pPr>
        <w:spacing w:after="0" w:line="139" w:lineRule="exact"/>
        <w:rPr>
          <w:rFonts w:ascii="Arial" w:cs="Arial" w:eastAsia="Arial" w:hAnsi="Arial"/>
          <w:sz w:val="22"/>
          <w:szCs w:val="22"/>
          <w:color w:val="auto"/>
        </w:rPr>
      </w:pPr>
    </w:p>
    <w:p>
      <w:pPr>
        <w:jc w:val="both"/>
        <w:ind w:left="-540" w:firstLine="645"/>
        <w:spacing w:after="0" w:line="289" w:lineRule="auto"/>
        <w:tabs>
          <w:tab w:leader="none" w:pos="1009" w:val="left"/>
        </w:tabs>
        <w:numPr>
          <w:ilvl w:val="0"/>
          <w:numId w:val="8"/>
        </w:numPr>
        <w:rPr>
          <w:rFonts w:ascii="Arial" w:cs="Arial" w:eastAsia="Arial" w:hAnsi="Arial"/>
          <w:sz w:val="19"/>
          <w:szCs w:val="19"/>
          <w:color w:val="auto"/>
        </w:rPr>
      </w:pPr>
      <w:r>
        <w:rPr>
          <w:rFonts w:ascii="Arial" w:cs="Arial" w:eastAsia="Arial" w:hAnsi="Arial"/>
          <w:sz w:val="19"/>
          <w:szCs w:val="19"/>
          <w:color w:val="auto"/>
        </w:rPr>
        <w:t>Each of the Base Indenture and the Second, Third, Fourth and Fifth Supplemental Indentures thereto has been duly authorized, executed and delivered by the Company and the Guarantors, and the Supplemental Indenture has been duly authorized by the Company and the Guarantors. Each of the Base Indenture and the Second, Third, Fourth and Fifth Supplemental Indentures thereto constitutes, and the Supplemental Indenture, when executed and delivered by the Company and the Guarantors, will constitute, a valid and binding agreement of the Company and the Guarantors, enforceable against the Company and the Guarantors in accordance with 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103" w:lineRule="exact"/>
        <w:rPr>
          <w:rFonts w:ascii="Arial" w:cs="Arial" w:eastAsia="Arial" w:hAnsi="Arial"/>
          <w:sz w:val="19"/>
          <w:szCs w:val="19"/>
          <w:color w:val="auto"/>
        </w:rPr>
      </w:pPr>
    </w:p>
    <w:p>
      <w:pPr>
        <w:jc w:val="both"/>
        <w:ind w:left="-540" w:firstLine="645"/>
        <w:spacing w:after="0" w:line="288" w:lineRule="auto"/>
        <w:tabs>
          <w:tab w:leader="none" w:pos="97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Securities have been duly authorized and, at the Closing Date, will have been duly executed by the Company and each of the Guarantors, as the case may be, for issuance and sale pursuant to this Agreement. The Securities, when authenticated, issued and delivered in the manner provided for in the Indenture and delivered against payment of the purchase price therefor as provided in this Agreement, will have been duly executed, authenticated, issued and delivered and will constitute valid and binding obligations of the Company and the Guarantors, as the case may be, enforceable against the Company and each Guarantor, as the case may be,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1009" w:right="239" w:bottom="1440" w:gutter="0" w:footer="0" w:header="0"/>
        </w:sectPr>
      </w:pPr>
    </w:p>
    <w:bookmarkStart w:id="11" w:name="page12"/>
    <w:bookmarkEnd w:id="11"/>
    <w:p>
      <w:pPr>
        <w:ind w:left="4" w:right="20" w:firstLine="645"/>
        <w:spacing w:after="0" w:line="343" w:lineRule="auto"/>
        <w:tabs>
          <w:tab w:leader="none" w:pos="1528"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Securities, the Registration Rights Agreement, the Exchange Securities and the Indenture will conform in all material respects to the respective statements relating thereto contained in the Offering Memorandum.</w:t>
      </w:r>
    </w:p>
    <w:p>
      <w:pPr>
        <w:spacing w:after="0" w:line="50" w:lineRule="exact"/>
        <w:rPr>
          <w:rFonts w:ascii="Arial" w:cs="Arial" w:eastAsia="Arial" w:hAnsi="Arial"/>
          <w:sz w:val="19"/>
          <w:szCs w:val="19"/>
          <w:color w:val="auto"/>
        </w:rPr>
      </w:pPr>
    </w:p>
    <w:p>
      <w:pPr>
        <w:jc w:val="both"/>
        <w:ind w:left="4" w:firstLine="645"/>
        <w:spacing w:after="0" w:line="291" w:lineRule="auto"/>
        <w:tabs>
          <w:tab w:leader="none" w:pos="1504" w:val="left"/>
        </w:tabs>
        <w:numPr>
          <w:ilvl w:val="1"/>
          <w:numId w:val="9"/>
        </w:numPr>
        <w:rPr>
          <w:rFonts w:ascii="Arial" w:cs="Arial" w:eastAsia="Arial" w:hAnsi="Arial"/>
          <w:sz w:val="19"/>
          <w:szCs w:val="19"/>
          <w:color w:val="auto"/>
        </w:rPr>
      </w:pPr>
      <w:r>
        <w:rPr>
          <w:rFonts w:ascii="Arial" w:cs="Arial" w:eastAsia="Arial" w:hAnsi="Arial"/>
          <w:sz w:val="19"/>
          <w:szCs w:val="19"/>
          <w:color w:val="auto"/>
        </w:rPr>
        <w:t>Neither the Company, either of the Guarantors nor any of their respective subsidiaries is (i) in violation of its charter, constitution, memorandum and articles of association or bye-laws or similar governing document, as applicable,</w:t>
      </w:r>
    </w:p>
    <w:p>
      <w:pPr>
        <w:spacing w:after="0" w:line="1" w:lineRule="exact"/>
        <w:rPr>
          <w:rFonts w:ascii="Arial" w:cs="Arial" w:eastAsia="Arial" w:hAnsi="Arial"/>
          <w:sz w:val="19"/>
          <w:szCs w:val="19"/>
          <w:color w:val="auto"/>
        </w:rPr>
      </w:pPr>
    </w:p>
    <w:p>
      <w:pPr>
        <w:jc w:val="both"/>
        <w:ind w:left="4" w:hanging="4"/>
        <w:spacing w:after="0" w:line="283" w:lineRule="auto"/>
        <w:tabs>
          <w:tab w:leader="none" w:pos="32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w:t>
      </w:r>
      <w:r>
        <w:rPr>
          <w:rFonts w:ascii="Arial" w:cs="Arial" w:eastAsia="Arial" w:hAnsi="Arial"/>
          <w:sz w:val="19"/>
          <w:szCs w:val="19"/>
          <w:b w:val="1"/>
          <w:bCs w:val="1"/>
          <w:color w:val="auto"/>
        </w:rPr>
        <w:t>Agreements and Instruments</w:t>
      </w:r>
      <w:r>
        <w:rPr>
          <w:rFonts w:ascii="Arial" w:cs="Arial" w:eastAsia="Arial" w:hAnsi="Arial"/>
          <w:sz w:val="19"/>
          <w:szCs w:val="19"/>
          <w:color w:val="auto"/>
        </w:rPr>
        <w:t>”)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the Indenture, the Registration Rights Agreement and the Securities and the consummation of the transactions contemplated herein and in the Offering Memorandum (including the issuance and sale of the Securities and the use of the proceeds from the sale of the Securities as described in the Offering Memorandum under the caption “Use of Proceeds”) and compliance by the Company and the Guarantors with their respective obligations hereunder and under the Indenture, the Registration Rights Agreement and the Securities and the fulfillment of the terms hereof or thereof,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either of the Guarantors or any of their respective subsidiaries pursuant to, the Agreements and Instruments, (ii) result in any violation of the provisions of the charter, articles or memorandum of association, organizational regulations or bye-laws (or similar governing document) of the Company or either Guarantor or any of their respective subsidiaries or (iii) result in any violation of any applicable law, statute, rule, regulation, judgment, order, writ or decree of any government, government instrumentality or court, domestic or foreign, having jurisdiction over the Company or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w:t>
      </w:r>
      <w:r>
        <w:rPr>
          <w:rFonts w:ascii="Arial" w:cs="Arial" w:eastAsia="Arial" w:hAnsi="Arial"/>
          <w:sz w:val="19"/>
          <w:szCs w:val="19"/>
          <w:b w:val="1"/>
          <w:bCs w:val="1"/>
          <w:color w:val="auto"/>
        </w:rPr>
        <w:t>Repayment Event</w:t>
      </w:r>
      <w:r>
        <w:rPr>
          <w:rFonts w:ascii="Arial" w:cs="Arial" w:eastAsia="Arial" w:hAnsi="Arial"/>
          <w:sz w:val="19"/>
          <w:szCs w:val="19"/>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either Guarantor or any of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591" w:right="239" w:bottom="1440" w:gutter="0" w:footer="0" w:header="0"/>
        </w:sectPr>
      </w:pPr>
    </w:p>
    <w:bookmarkStart w:id="12" w:name="page13"/>
    <w:bookmarkEnd w:id="12"/>
    <w:p>
      <w:pPr>
        <w:jc w:val="both"/>
        <w:ind w:left="-540" w:firstLine="645"/>
        <w:spacing w:after="0" w:line="288" w:lineRule="auto"/>
        <w:tabs>
          <w:tab w:leader="none" w:pos="1009" w:val="left"/>
        </w:tabs>
        <w:numPr>
          <w:ilvl w:val="0"/>
          <w:numId w:val="11"/>
        </w:numPr>
        <w:rPr>
          <w:rFonts w:ascii="Arial" w:cs="Arial" w:eastAsia="Arial" w:hAnsi="Arial"/>
          <w:sz w:val="19"/>
          <w:szCs w:val="19"/>
          <w:color w:val="auto"/>
        </w:rPr>
      </w:pPr>
      <w:r>
        <w:rPr>
          <w:rFonts w:ascii="Arial" w:cs="Arial" w:eastAsia="Arial" w:hAnsi="Arial"/>
          <w:sz w:val="19"/>
          <w:szCs w:val="19"/>
          <w:color w:val="auto"/>
        </w:rPr>
        <w:t>With respect to the ordinary share options (the “</w:t>
      </w:r>
      <w:r>
        <w:rPr>
          <w:rFonts w:ascii="Arial" w:cs="Arial" w:eastAsia="Arial" w:hAnsi="Arial"/>
          <w:sz w:val="19"/>
          <w:szCs w:val="19"/>
          <w:b w:val="1"/>
          <w:bCs w:val="1"/>
          <w:color w:val="auto"/>
        </w:rPr>
        <w:t>Ordinary Share Options</w:t>
      </w:r>
      <w:r>
        <w:rPr>
          <w:rFonts w:ascii="Arial" w:cs="Arial" w:eastAsia="Arial" w:hAnsi="Arial"/>
          <w:sz w:val="19"/>
          <w:szCs w:val="19"/>
          <w:color w:val="auto"/>
        </w:rPr>
        <w:t>”) granted pursuant to the ordinary share-based compensation plans of the Parent Guarantor and its subsidiaries (the “</w:t>
      </w:r>
      <w:r>
        <w:rPr>
          <w:rFonts w:ascii="Arial" w:cs="Arial" w:eastAsia="Arial" w:hAnsi="Arial"/>
          <w:sz w:val="19"/>
          <w:szCs w:val="19"/>
          <w:b w:val="1"/>
          <w:bCs w:val="1"/>
          <w:color w:val="auto"/>
        </w:rPr>
        <w:t>Parent Ordinary Share</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(i) each grant of an Ordinary Share Option was duly authorized no later than the date on which the grant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 Option was by its terms to be effective by all necessary corporate action, including, as applicable, approval by the board of directors of the Parent Guarantor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Parent Ordinary Share Plans, the Act, the Exchange Act and all other applicable laws and regulatory rules or requirements. The Parent Guarantor has not knowingly granted, and there is no and has been no policy or practice of the Parent Guarantor of granting, Ordinary Share Options prior to, or otherwise coordinating the grant of Ordinary Share Options with, the release or other public announcement of material information regarding the Parent Guarantor or its subsidiaries or their results of operations or prospects.</w:t>
      </w:r>
    </w:p>
    <w:p>
      <w:pPr>
        <w:spacing w:after="0" w:line="363" w:lineRule="exact"/>
        <w:rPr>
          <w:rFonts w:ascii="Arial" w:cs="Arial" w:eastAsia="Arial" w:hAnsi="Arial"/>
          <w:sz w:val="19"/>
          <w:szCs w:val="19"/>
          <w:color w:val="auto"/>
        </w:rPr>
      </w:pPr>
    </w:p>
    <w:p>
      <w:pPr>
        <w:jc w:val="both"/>
        <w:ind w:left="-540" w:firstLine="645"/>
        <w:spacing w:after="0" w:line="248" w:lineRule="auto"/>
        <w:tabs>
          <w:tab w:leader="none" w:pos="1009"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 labor dispute with the employees of the Company, either Guarantor or any of their respective subsidiaries exists or, to the knowledge of the Company or either Guarantor, is imminent, which would reasonably be expected to have a Material Adverse Effect; and there are no significant unfair labor practice complaints pending against the Company, either Guarantor or any of their respective subsidiaries or, to the knowledge of the Company or either Guarantor, threatened against any of them.</w:t>
      </w:r>
    </w:p>
    <w:p>
      <w:pPr>
        <w:spacing w:after="0" w:line="138" w:lineRule="exact"/>
        <w:rPr>
          <w:rFonts w:ascii="Arial" w:cs="Arial" w:eastAsia="Arial" w:hAnsi="Arial"/>
          <w:sz w:val="22"/>
          <w:szCs w:val="22"/>
          <w:color w:val="auto"/>
        </w:rPr>
      </w:pPr>
    </w:p>
    <w:p>
      <w:pPr>
        <w:jc w:val="both"/>
        <w:ind w:left="-540" w:firstLine="645"/>
        <w:spacing w:after="0" w:line="258" w:lineRule="auto"/>
        <w:tabs>
          <w:tab w:leader="none" w:pos="1056" w:val="left"/>
        </w:tabs>
        <w:numPr>
          <w:ilvl w:val="0"/>
          <w:numId w:val="11"/>
        </w:numPr>
        <w:rPr>
          <w:rFonts w:ascii="Arial" w:cs="Arial" w:eastAsia="Arial" w:hAnsi="Arial"/>
          <w:sz w:val="21"/>
          <w:szCs w:val="21"/>
          <w:color w:val="auto"/>
        </w:rPr>
      </w:pPr>
      <w:r>
        <w:rPr>
          <w:rFonts w:ascii="Arial" w:cs="Arial" w:eastAsia="Arial" w:hAnsi="Arial"/>
          <w:sz w:val="21"/>
          <w:szCs w:val="21"/>
          <w:color w:val="auto"/>
        </w:rPr>
        <w:t>Except as described in the Offering Memorandum, there is no action, suit, proceeding, inquiry or investigation before or brought by any court or governmental agency or body, domestic or foreign, now pending, or, to the knowledge of the Company or either Guarantor, threatened, against or affecting the Company, either Guarantor or any of their respective subsidiaries,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 hereunder; the aggregate of all pending legal or governmental proceedings to which the Company, the Guarantors or any of their respective subsidiaries is a party or of which any of their respective property or assets is the subject which are not described in the Offering Memorandum, including ordinary routine litigation incidental to the business, would not reasonably be expected to result in a Material Adverse Effect.</w:t>
      </w:r>
    </w:p>
    <w:p>
      <w:pPr>
        <w:spacing w:after="0" w:line="132" w:lineRule="exact"/>
        <w:rPr>
          <w:rFonts w:ascii="Arial" w:cs="Arial" w:eastAsia="Arial" w:hAnsi="Arial"/>
          <w:sz w:val="21"/>
          <w:szCs w:val="21"/>
          <w:color w:val="auto"/>
        </w:rPr>
      </w:pPr>
    </w:p>
    <w:p>
      <w:pPr>
        <w:jc w:val="both"/>
        <w:ind w:left="-540" w:firstLine="645"/>
        <w:spacing w:after="0" w:line="247" w:lineRule="auto"/>
        <w:tabs>
          <w:tab w:leader="none" w:pos="1009"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1003" w:right="239" w:bottom="1440" w:gutter="0" w:footer="0" w:header="0"/>
        </w:sectPr>
      </w:pPr>
    </w:p>
    <w:bookmarkStart w:id="13" w:name="page14"/>
    <w:bookmarkEnd w:id="13"/>
    <w:p>
      <w:pPr>
        <w:jc w:val="both"/>
        <w:ind w:left="-540" w:firstLine="645"/>
        <w:spacing w:after="0" w:line="250" w:lineRule="auto"/>
        <w:tabs>
          <w:tab w:leader="none" w:pos="1009"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None of the Company, the Guarantors or any of their affiliates has taken, nor will the Company, the Guarantors or any of their affiliates take, directly or indirectly, any action which is designed to or which has constituted or which would be expected to cause or result in stabilization or manipulation of the price of any security of the Company or either Guarantor to facilitate the sale or resale of the Securities.</w:t>
      </w:r>
    </w:p>
    <w:p>
      <w:pPr>
        <w:spacing w:after="0" w:line="134" w:lineRule="exact"/>
        <w:rPr>
          <w:rFonts w:ascii="Arial" w:cs="Arial" w:eastAsia="Arial" w:hAnsi="Arial"/>
          <w:sz w:val="22"/>
          <w:szCs w:val="22"/>
          <w:color w:val="auto"/>
        </w:rPr>
      </w:pPr>
    </w:p>
    <w:p>
      <w:pPr>
        <w:jc w:val="both"/>
        <w:ind w:left="-540" w:firstLine="645"/>
        <w:spacing w:after="0" w:line="258" w:lineRule="auto"/>
        <w:tabs>
          <w:tab w:leader="none" w:pos="996" w:val="left"/>
        </w:tabs>
        <w:numPr>
          <w:ilvl w:val="0"/>
          <w:numId w:val="12"/>
        </w:numPr>
        <w:rPr>
          <w:rFonts w:ascii="Arial" w:cs="Arial" w:eastAsia="Arial" w:hAnsi="Arial"/>
          <w:sz w:val="21"/>
          <w:szCs w:val="21"/>
          <w:color w:val="auto"/>
        </w:rPr>
      </w:pPr>
      <w:r>
        <w:rPr>
          <w:rFonts w:ascii="Arial" w:cs="Arial" w:eastAsia="Arial" w:hAnsi="Arial"/>
          <w:sz w:val="21"/>
          <w:szCs w:val="21"/>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or for the due execution, delivery or performance of the Indenture by the Company and each Guarantor, except (i) as may be required under the Act or state or securities laws and the Companies Act 1981 of Bermuda or (ii) as have already been made, obtained or rendered, as applicable, and except where the failure to so make, obtain or render, singly or in the aggregate, would not reasonably be expected to result in a Material Adverse Effect or (iii) for the order of the Commission declaring effective the Exchange Offer Registration Statement or, if required, the Shelf Registration Statement (each as defined in the Registration Rights Agreement).</w:t>
      </w:r>
    </w:p>
    <w:p>
      <w:pPr>
        <w:spacing w:after="0" w:line="132" w:lineRule="exact"/>
        <w:rPr>
          <w:sz w:val="20"/>
          <w:szCs w:val="20"/>
          <w:color w:val="auto"/>
        </w:rPr>
      </w:pPr>
    </w:p>
    <w:p>
      <w:pPr>
        <w:jc w:val="both"/>
        <w:ind w:left="-540" w:firstLine="645"/>
        <w:spacing w:after="0" w:line="287" w:lineRule="auto"/>
        <w:tabs>
          <w:tab w:leader="none" w:pos="1092"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Company, the Guarantors and their respective subsidiaries possess such permits, licenses, approvals, consents and other authorizations (collectively, “</w:t>
      </w:r>
      <w:r>
        <w:rPr>
          <w:rFonts w:ascii="Arial" w:cs="Arial" w:eastAsia="Arial" w:hAnsi="Arial"/>
          <w:sz w:val="19"/>
          <w:szCs w:val="19"/>
          <w:b w:val="1"/>
          <w:bCs w:val="1"/>
          <w:color w:val="auto"/>
        </w:rPr>
        <w:t>Governmental Licenses</w:t>
      </w:r>
      <w:r>
        <w:rPr>
          <w:rFonts w:ascii="Arial" w:cs="Arial" w:eastAsia="Arial" w:hAnsi="Arial"/>
          <w:sz w:val="19"/>
          <w:szCs w:val="19"/>
          <w:color w:val="auto"/>
        </w:rPr>
        <w:t>”)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the Guarantors nor any of their respective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05" w:lineRule="exact"/>
        <w:rPr>
          <w:rFonts w:ascii="Arial" w:cs="Arial" w:eastAsia="Arial" w:hAnsi="Arial"/>
          <w:sz w:val="19"/>
          <w:szCs w:val="19"/>
          <w:color w:val="auto"/>
        </w:rPr>
      </w:pPr>
    </w:p>
    <w:p>
      <w:pPr>
        <w:jc w:val="both"/>
        <w:ind w:left="-540" w:firstLine="564"/>
        <w:spacing w:after="0" w:line="287" w:lineRule="auto"/>
        <w:tabs>
          <w:tab w:leader="none" w:pos="599"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the Guarantors and their respective subsidiaries have good and indefeasible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 (i) are described in the Offering Memorandum or (ii)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Offering Memorandum,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(i)</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1009" w:right="23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22"/>
          <w:szCs w:val="22"/>
          <w:color w:val="auto"/>
        </w:rPr>
        <w:t>are described in the Offering Memorandum or (ii) would not, singly or in the aggregate, reasonably be expected to result in a Material Adverse Effect.</w:t>
      </w:r>
    </w:p>
    <w:p>
      <w:pPr>
        <w:spacing w:after="0" w:line="121" w:lineRule="exact"/>
        <w:rPr>
          <w:sz w:val="20"/>
          <w:szCs w:val="20"/>
          <w:color w:val="auto"/>
        </w:rPr>
      </w:pPr>
    </w:p>
    <w:p>
      <w:pPr>
        <w:jc w:val="both"/>
        <w:ind w:firstLine="564"/>
        <w:spacing w:after="0" w:line="265" w:lineRule="auto"/>
        <w:tabs>
          <w:tab w:leader="none" w:pos="1176" w:val="left"/>
        </w:tabs>
        <w:numPr>
          <w:ilvl w:val="0"/>
          <w:numId w:val="15"/>
        </w:numPr>
        <w:rPr>
          <w:rFonts w:ascii="Arial" w:cs="Arial" w:eastAsia="Arial" w:hAnsi="Arial"/>
          <w:sz w:val="21"/>
          <w:szCs w:val="21"/>
          <w:color w:val="auto"/>
        </w:rPr>
      </w:pPr>
      <w:r>
        <w:rPr>
          <w:rFonts w:ascii="Arial" w:cs="Arial" w:eastAsia="Arial" w:hAnsi="Arial"/>
          <w:sz w:val="21"/>
          <w:szCs w:val="21"/>
          <w:color w:val="auto"/>
        </w:rPr>
        <w:t>Except as described in the Offering Memorandum, there are no stock or transfer taxes, stamp duties or other similar fees or charges under Federal law, the laws of any state or the laws of Bermuda, Ireland or Switzerland or any political subdivision thereof, required to be paid in connection with the execution and delivery of this Agreement or the issuance, sale or delivery by the Company and the Guarantors of the Securities.</w:t>
      </w:r>
    </w:p>
    <w:p>
      <w:pPr>
        <w:spacing w:after="0" w:line="121" w:lineRule="exact"/>
        <w:rPr>
          <w:rFonts w:ascii="Arial" w:cs="Arial" w:eastAsia="Arial" w:hAnsi="Arial"/>
          <w:sz w:val="21"/>
          <w:szCs w:val="21"/>
          <w:color w:val="auto"/>
        </w:rPr>
      </w:pPr>
    </w:p>
    <w:p>
      <w:pPr>
        <w:jc w:val="both"/>
        <w:ind w:firstLine="564"/>
        <w:spacing w:after="0" w:line="250" w:lineRule="auto"/>
        <w:tabs>
          <w:tab w:leader="none" w:pos="1275" w:val="left"/>
        </w:tabs>
        <w:numPr>
          <w:ilvl w:val="0"/>
          <w:numId w:val="15"/>
        </w:numPr>
        <w:rPr>
          <w:rFonts w:ascii="Arial" w:cs="Arial" w:eastAsia="Arial" w:hAnsi="Arial"/>
          <w:sz w:val="22"/>
          <w:szCs w:val="22"/>
          <w:color w:val="auto"/>
        </w:rPr>
      </w:pPr>
      <w:r>
        <w:rPr>
          <w:rFonts w:ascii="Arial" w:cs="Arial" w:eastAsia="Arial" w:hAnsi="Arial"/>
          <w:sz w:val="22"/>
          <w:szCs w:val="22"/>
          <w:color w:val="auto"/>
        </w:rPr>
        <w:t>Neither the Company nor either Guarantor is, and upon the issuance and sale of the Securities as herein contemplated and the application of the net proceeds therefrom as described in the Offering Memorandum, will be, an “investment company” or an entity “controlled” by an “investment company,” as such terms are defined in the U.S. Investment Company Act of 1940, as amended.</w:t>
      </w:r>
    </w:p>
    <w:p>
      <w:pPr>
        <w:spacing w:after="0" w:line="134" w:lineRule="exact"/>
        <w:rPr>
          <w:rFonts w:ascii="Arial" w:cs="Arial" w:eastAsia="Arial" w:hAnsi="Arial"/>
          <w:sz w:val="22"/>
          <w:szCs w:val="22"/>
          <w:color w:val="auto"/>
        </w:rPr>
      </w:pPr>
    </w:p>
    <w:p>
      <w:pPr>
        <w:jc w:val="both"/>
        <w:ind w:firstLine="564"/>
        <w:spacing w:after="0" w:line="285" w:lineRule="auto"/>
        <w:tabs>
          <w:tab w:leader="none" w:pos="113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Except as described in the Offering Memorandum and except as would not, singly or in the aggregate, result in a Material Adverse Effect, (i) neither the Company, the Guarantors nor any of their respective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or safety, the environment (including, without limitation, ambient air, surface water, groundwater, land surface or subsurface strata) or natural resources (including, without limitation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9"/>
          <w:szCs w:val="19"/>
          <w:b w:val="1"/>
          <w:bCs w:val="1"/>
          <w:color w:val="auto"/>
        </w:rPr>
        <w:t>Hazardous Materials</w:t>
      </w:r>
      <w:r>
        <w:rPr>
          <w:rFonts w:ascii="Arial" w:cs="Arial" w:eastAsia="Arial" w:hAnsi="Arial"/>
          <w:sz w:val="19"/>
          <w:szCs w:val="19"/>
          <w:color w:val="auto"/>
        </w:rPr>
        <w:t>”) or to the manufacture, processing, distribution, use, treatment, storage, disposal, transport or handling of Hazardous Materials (collectively, “</w:t>
      </w:r>
      <w:r>
        <w:rPr>
          <w:rFonts w:ascii="Arial" w:cs="Arial" w:eastAsia="Arial" w:hAnsi="Arial"/>
          <w:sz w:val="19"/>
          <w:szCs w:val="19"/>
          <w:b w:val="1"/>
          <w:bCs w:val="1"/>
          <w:color w:val="auto"/>
        </w:rPr>
        <w:t>Environmental Laws</w:t>
      </w:r>
      <w:r>
        <w:rPr>
          <w:rFonts w:ascii="Arial" w:cs="Arial" w:eastAsia="Arial" w:hAnsi="Arial"/>
          <w:sz w:val="19"/>
          <w:szCs w:val="19"/>
          <w:color w:val="auto"/>
        </w:rPr>
        <w:t>”), (ii) the Company, the Guarantors and their respective subsidiaries have all permits, authorizations and other approvals required under any applicable Environmental Laws and are each in compliance with their requirements, (iii) there are no pending or, to the knowledge of the Company or the Guarantors, threatened administrative, regulatory or judicial actions, suits, demands, demand letters, claims, liens, notices of noncompliance or violation, investigation or proceedings relating to any Environmental Law (including, without limitation, for the investigation or remediation of any disposal or release of Hazardous Materials) against the Company, the Guarantors or any of their respective subsidiaries and (iv) there are no events or circumstances that would reasonably be expected to result in costs (including, without limitation, capital expenditures) or in liabilities (including, without limitation, orders for clean-up or remediation, or an action, suit or proceeding by any private party or governmental body or agency) incurred by, against or affecting the Company, the Guarantors or any of their respective subsidiaries relating to Hazardous Materials or any Environmental Laws.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591" w:right="239" w:bottom="1440" w:gutter="0" w:footer="0" w:header="0"/>
        </w:sectPr>
      </w:pPr>
    </w:p>
    <w:bookmarkStart w:id="15" w:name="page16"/>
    <w:bookmarkEnd w:id="15"/>
    <w:p>
      <w:pPr>
        <w:jc w:val="both"/>
        <w:ind w:left="4" w:firstLine="564"/>
        <w:spacing w:after="0" w:line="263" w:lineRule="auto"/>
        <w:tabs>
          <w:tab w:leader="none" w:pos="1091" w:val="left"/>
        </w:tabs>
        <w:numPr>
          <w:ilvl w:val="1"/>
          <w:numId w:val="16"/>
        </w:numPr>
        <w:rPr>
          <w:rFonts w:ascii="Arial" w:cs="Arial" w:eastAsia="Arial" w:hAnsi="Arial"/>
          <w:sz w:val="21"/>
          <w:szCs w:val="21"/>
          <w:color w:val="auto"/>
        </w:rPr>
      </w:pPr>
      <w:r>
        <w:rPr>
          <w:rFonts w:ascii="Arial" w:cs="Arial" w:eastAsia="Arial" w:hAnsi="Arial"/>
          <w:sz w:val="21"/>
          <w:szCs w:val="21"/>
          <w:color w:val="auto"/>
        </w:rPr>
        <w:t>All material tax returns required to be filed by the Company or the Guarantors have been timely filed or are in the process of being filed, and all material taxes and other assessments of a similar nature (whether imposed directly or through withholding) including any interest, additions to tax or penalties applicable thereto due or claimed to be due from the Company or the Guarantors have been timely paid, other than such tax returns, taxes or other assessments (i) being contested in good faith or (ii) for which adequate reserves have been provided.</w:t>
      </w:r>
    </w:p>
    <w:p>
      <w:pPr>
        <w:spacing w:after="0" w:line="121" w:lineRule="exact"/>
        <w:rPr>
          <w:rFonts w:ascii="Arial" w:cs="Arial" w:eastAsia="Arial" w:hAnsi="Arial"/>
          <w:sz w:val="21"/>
          <w:szCs w:val="21"/>
          <w:color w:val="auto"/>
        </w:rPr>
      </w:pPr>
    </w:p>
    <w:p>
      <w:pPr>
        <w:jc w:val="both"/>
        <w:ind w:left="4" w:firstLine="564"/>
        <w:spacing w:after="0" w:line="290" w:lineRule="auto"/>
        <w:tabs>
          <w:tab w:leader="none" w:pos="1201" w:val="left"/>
        </w:tabs>
        <w:numPr>
          <w:ilvl w:val="1"/>
          <w:numId w:val="16"/>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otherwise than as set forth or contemplated in the Offering Memorandum; and, since such 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Offering Memorandum.</w:t>
      </w:r>
    </w:p>
    <w:p>
      <w:pPr>
        <w:spacing w:after="0" w:line="102" w:lineRule="exact"/>
        <w:rPr>
          <w:rFonts w:ascii="Arial" w:cs="Arial" w:eastAsia="Arial" w:hAnsi="Arial"/>
          <w:sz w:val="19"/>
          <w:szCs w:val="19"/>
          <w:color w:val="auto"/>
        </w:rPr>
      </w:pPr>
    </w:p>
    <w:p>
      <w:pPr>
        <w:jc w:val="both"/>
        <w:ind w:left="4" w:firstLine="564"/>
        <w:spacing w:after="0" w:line="250" w:lineRule="auto"/>
        <w:tabs>
          <w:tab w:leader="none" w:pos="1197"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Company, the Guarantors and each of their respective subsidiaries carry, or are covered by, insurance in such amounts and covering such risks as they reasonably deem sufficient for the conduct of their respective businesses and the value of their respective properties, and neither the Company, the Guarantors nor any of their respective subsidiaries has received notice of cancellation or non-renewal of such insurance.</w:t>
      </w:r>
    </w:p>
    <w:p>
      <w:pPr>
        <w:spacing w:after="0" w:line="134" w:lineRule="exact"/>
        <w:rPr>
          <w:rFonts w:ascii="Arial" w:cs="Arial" w:eastAsia="Arial" w:hAnsi="Arial"/>
          <w:sz w:val="22"/>
          <w:szCs w:val="22"/>
          <w:color w:val="auto"/>
        </w:rPr>
      </w:pPr>
    </w:p>
    <w:p>
      <w:pPr>
        <w:jc w:val="both"/>
        <w:ind w:left="4" w:firstLine="564"/>
        <w:spacing w:after="0" w:line="294" w:lineRule="auto"/>
        <w:tabs>
          <w:tab w:leader="none" w:pos="10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95" w:lineRule="exact"/>
        <w:rPr>
          <w:rFonts w:ascii="Arial" w:cs="Arial" w:eastAsia="Arial" w:hAnsi="Arial"/>
          <w:sz w:val="19"/>
          <w:szCs w:val="19"/>
          <w:color w:val="auto"/>
        </w:rPr>
      </w:pPr>
    </w:p>
    <w:p>
      <w:pPr>
        <w:jc w:val="both"/>
        <w:ind w:left="4" w:firstLine="564"/>
        <w:spacing w:after="0" w:line="284" w:lineRule="auto"/>
        <w:tabs>
          <w:tab w:leader="none" w:pos="1159" w:val="left"/>
        </w:tabs>
        <w:numPr>
          <w:ilvl w:val="1"/>
          <w:numId w:val="16"/>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nor, to the knowledge of the Company or the Guarantors, any director, officer, agent, employee, affiliate or other person acting on behalf of the Company, the Guarantors or any of their respective subsidiaries (i) has used any funds for any unlawful contribution, gift, property, entertainment or other unlawful expense related to political activity, (ii) has made, taken or will take any action to further or facilitate any offer, payment, gift, promise to pay, or any offer, gift or promise of anything else of value, directly or indirectly, to any person knowing that all or a portion of the payment will be offered, given or promised to anyone to improperly influence official action, to obtain or retain business for the Company, the Guarantors or any of their respective subsidiaries, or to secure an improper advantage for the Company, the Guarantors or any of their respective subsidiaries,</w:t>
      </w:r>
    </w:p>
    <w:p>
      <w:pPr>
        <w:spacing w:after="0" w:line="2" w:lineRule="exact"/>
        <w:rPr>
          <w:rFonts w:ascii="Arial" w:cs="Arial" w:eastAsia="Arial" w:hAnsi="Arial"/>
          <w:sz w:val="19"/>
          <w:szCs w:val="19"/>
          <w:color w:val="auto"/>
        </w:rPr>
      </w:pPr>
    </w:p>
    <w:p>
      <w:pPr>
        <w:jc w:val="both"/>
        <w:ind w:left="4" w:hanging="4"/>
        <w:spacing w:after="0" w:line="244" w:lineRule="auto"/>
        <w:tabs>
          <w:tab w:leader="none" w:pos="4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has made, offered, taken, or will make, offer or take any act in furtherance of any bribe, unlawful rebate, payoff, influence payment, property, gift, kickback or other unlawful payment or (iv) is aware of or has taken any action, directly or indirectly, that could result in a violation or a sanction for violation by such persons of the Foreign Corrupt Practices Act of 1977 (the “</w:t>
      </w:r>
      <w:r>
        <w:rPr>
          <w:rFonts w:ascii="Arial" w:cs="Arial" w:eastAsia="Arial" w:hAnsi="Arial"/>
          <w:sz w:val="22"/>
          <w:szCs w:val="22"/>
          <w:b w:val="1"/>
          <w:bCs w:val="1"/>
          <w:color w:val="auto"/>
        </w:rPr>
        <w:t>FCPA</w:t>
      </w:r>
      <w:r>
        <w:rPr>
          <w:rFonts w:ascii="Arial" w:cs="Arial" w:eastAsia="Arial" w:hAnsi="Arial"/>
          <w:sz w:val="22"/>
          <w:szCs w:val="22"/>
          <w:color w:val="auto"/>
        </w:rPr>
        <w:t>”) or the U.K. Bribery Act 2010, each as may be amended, or similar law of any other relevant jurisdiction, or the rules or regulations thereunder; and the Company, the Guarantors and their respective subsidiaries and, to the knowledge</w:t>
      </w:r>
    </w:p>
    <w:p>
      <w:pPr>
        <w:spacing w:after="0" w:line="37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4"/>
          </w:cols>
          <w:pgMar w:left="896" w:top="1009" w:right="239" w:bottom="1440" w:gutter="0" w:footer="0" w:header="0"/>
        </w:sectPr>
      </w:pPr>
    </w:p>
    <w:bookmarkStart w:id="16" w:name="page17"/>
    <w:bookmarkEnd w:id="16"/>
    <w:p>
      <w:pPr>
        <w:jc w:val="both"/>
        <w:ind w:left="4"/>
        <w:spacing w:after="0" w:line="265" w:lineRule="auto"/>
        <w:rPr>
          <w:sz w:val="20"/>
          <w:szCs w:val="20"/>
          <w:color w:val="auto"/>
        </w:rPr>
      </w:pPr>
      <w:r>
        <w:rPr>
          <w:rFonts w:ascii="Arial" w:cs="Arial" w:eastAsia="Arial" w:hAnsi="Arial"/>
          <w:sz w:val="21"/>
          <w:szCs w:val="21"/>
          <w:color w:val="auto"/>
        </w:rPr>
        <w:t>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FCPA or the U.K. Bribery Act 2010, each as may be amended, or similar law of any other relevant jurisdiction, or the rules or regulations thereunder.</w:t>
      </w:r>
    </w:p>
    <w:p>
      <w:pPr>
        <w:spacing w:after="0" w:line="122" w:lineRule="exact"/>
        <w:rPr>
          <w:sz w:val="20"/>
          <w:szCs w:val="20"/>
          <w:color w:val="auto"/>
        </w:rPr>
      </w:pPr>
    </w:p>
    <w:p>
      <w:pPr>
        <w:jc w:val="both"/>
        <w:ind w:left="4" w:firstLine="564"/>
        <w:spacing w:after="0" w:line="286" w:lineRule="auto"/>
        <w:tabs>
          <w:tab w:leader="none" w:pos="1172"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operations of the Company, the Guarantors and their respective subsidiaries are and have been conducted at all times in compliance with applicable financial recordkeeping and reporting requirements, including without limitation, those of Title 18 U.S. Code section 1956 and 1957, the Bank Secrecy Act of 1970, otherwise known as the Currency and Foreign Transactions Reporting Act, as amended, the money laundering statutes of all applicable jurisdictions where the Company, the Guarantors or any of their respective subsidiaries conducts business, the rules and regulations thereunder, and any related or similar rules, regulations or guidelines issued, administered or enforced by any governmental agency having jurisdiction over the Company, the Guarantors or any of their respective subsidiaries, and any international anti-money laundering guidelines, principles or procedures issued by an intergovernmental group or organization, such as the Financial Action Task Force on Money Laundering, of which the United States is a member and with which designation the United States representative to the group or organization continues to concur, and any Executive Order, directive, or regulation pursuant to the authority or to the enforcement of any of the foregoing, or any orders or licenses issued thereunder (collectively, the “</w:t>
      </w:r>
      <w:r>
        <w:rPr>
          <w:rFonts w:ascii="Arial" w:cs="Arial" w:eastAsia="Arial" w:hAnsi="Arial"/>
          <w:sz w:val="19"/>
          <w:szCs w:val="19"/>
          <w:b w:val="1"/>
          <w:bCs w:val="1"/>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365" w:lineRule="exact"/>
        <w:rPr>
          <w:rFonts w:ascii="Arial" w:cs="Arial" w:eastAsia="Arial" w:hAnsi="Arial"/>
          <w:sz w:val="19"/>
          <w:szCs w:val="19"/>
          <w:color w:val="auto"/>
        </w:rPr>
      </w:pPr>
    </w:p>
    <w:p>
      <w:pPr>
        <w:jc w:val="both"/>
        <w:ind w:left="4" w:firstLine="564"/>
        <w:spacing w:after="0" w:line="283" w:lineRule="auto"/>
        <w:tabs>
          <w:tab w:leader="none" w:pos="1159" w:val="left"/>
        </w:tabs>
        <w:numPr>
          <w:ilvl w:val="1"/>
          <w:numId w:val="18"/>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9"/>
          <w:szCs w:val="19"/>
          <w:b w:val="1"/>
          <w:bCs w:val="1"/>
          <w:color w:val="auto"/>
        </w:rPr>
        <w:t>Sanctions</w:t>
      </w:r>
      <w:r>
        <w:rPr>
          <w:rFonts w:ascii="Arial" w:cs="Arial" w:eastAsia="Arial" w:hAnsi="Arial"/>
          <w:sz w:val="19"/>
          <w:szCs w:val="19"/>
          <w:color w:val="auto"/>
        </w:rPr>
        <w:t>” and each such person, a “</w:t>
      </w:r>
      <w:r>
        <w:rPr>
          <w:rFonts w:ascii="Arial" w:cs="Arial" w:eastAsia="Arial" w:hAnsi="Arial"/>
          <w:sz w:val="19"/>
          <w:szCs w:val="19"/>
          <w:b w:val="1"/>
          <w:bCs w:val="1"/>
          <w:color w:val="auto"/>
        </w:rPr>
        <w:t>Sanctioned</w:t>
      </w:r>
      <w:r>
        <w:rPr>
          <w:rFonts w:ascii="Arial" w:cs="Arial" w:eastAsia="Arial" w:hAnsi="Arial"/>
          <w:sz w:val="19"/>
          <w:szCs w:val="19"/>
          <w:color w:val="auto"/>
        </w:rPr>
        <w:t xml:space="preserve"> </w:t>
      </w:r>
      <w:r>
        <w:rPr>
          <w:rFonts w:ascii="Arial" w:cs="Arial" w:eastAsia="Arial" w:hAnsi="Arial"/>
          <w:sz w:val="19"/>
          <w:szCs w:val="19"/>
          <w:b w:val="1"/>
          <w:bCs w:val="1"/>
          <w:color w:val="auto"/>
        </w:rPr>
        <w:t>Person</w:t>
      </w:r>
      <w:r>
        <w:rPr>
          <w:rFonts w:ascii="Arial" w:cs="Arial" w:eastAsia="Arial" w:hAnsi="Arial"/>
          <w:sz w:val="19"/>
          <w:szCs w:val="19"/>
          <w:color w:val="auto"/>
        </w:rPr>
        <w:t>”), (ii) is located, organized or resident in a country or territory that is, or whose government is, currently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of Sanctions (collectively, “</w:t>
      </w:r>
      <w:r>
        <w:rPr>
          <w:rFonts w:ascii="Arial" w:cs="Arial" w:eastAsia="Arial" w:hAnsi="Arial"/>
          <w:sz w:val="19"/>
          <w:szCs w:val="19"/>
          <w:b w:val="1"/>
          <w:bCs w:val="1"/>
          <w:color w:val="auto"/>
        </w:rPr>
        <w:t>Sanctioned Countries</w:t>
      </w:r>
      <w:r>
        <w:rPr>
          <w:rFonts w:ascii="Arial" w:cs="Arial" w:eastAsia="Arial" w:hAnsi="Arial"/>
          <w:sz w:val="19"/>
          <w:szCs w:val="19"/>
          <w:color w:val="auto"/>
        </w:rPr>
        <w:t>” and each, a “</w:t>
      </w:r>
      <w:r>
        <w:rPr>
          <w:rFonts w:ascii="Arial" w:cs="Arial" w:eastAsia="Arial" w:hAnsi="Arial"/>
          <w:sz w:val="19"/>
          <w:szCs w:val="19"/>
          <w:b w:val="1"/>
          <w:bCs w:val="1"/>
          <w:color w:val="auto"/>
        </w:rPr>
        <w:t>Sanctioned Country</w:t>
      </w:r>
      <w:r>
        <w:rPr>
          <w:rFonts w:ascii="Arial" w:cs="Arial" w:eastAsia="Arial" w:hAnsi="Arial"/>
          <w:sz w:val="19"/>
          <w:szCs w:val="19"/>
          <w:color w:val="auto"/>
        </w:rPr>
        <w:t>”) (including, without limitation, the Crimea region, Cuba, Iran, North Korea, Sudan and Syria), (iii) is designated as a ‘specially designated national’ or a ‘blocked person’ by the United States, (iv) have engaged in during the past five years, are now engaged in, or will engage in any dealings or transactions with any person that at the time of the dealing or transaction is or was the subject or the target of Sanctions or with any Sanctioned Country, or (v) will, directly or indirectly, use the proceeds of this offering, or lend, contribute or otherwise make available such proceeds to any subsidiary, joint venture partner or other individual or entity</w:t>
      </w:r>
    </w:p>
    <w:p>
      <w:pPr>
        <w:spacing w:after="0" w:line="2" w:lineRule="exact"/>
        <w:rPr>
          <w:rFonts w:ascii="Arial" w:cs="Arial" w:eastAsia="Arial" w:hAnsi="Arial"/>
          <w:sz w:val="19"/>
          <w:szCs w:val="19"/>
          <w:color w:val="auto"/>
        </w:rPr>
      </w:pPr>
    </w:p>
    <w:p>
      <w:pPr>
        <w:jc w:val="both"/>
        <w:ind w:left="4" w:hanging="4"/>
        <w:spacing w:after="0" w:line="258" w:lineRule="auto"/>
        <w:tabs>
          <w:tab w:leader="none" w:pos="364" w:val="left"/>
        </w:tabs>
        <w:numPr>
          <w:ilvl w:val="0"/>
          <w:numId w:val="19"/>
        </w:numPr>
        <w:rPr>
          <w:rFonts w:ascii="Arial" w:cs="Arial" w:eastAsia="Arial" w:hAnsi="Arial"/>
          <w:sz w:val="21"/>
          <w:szCs w:val="21"/>
          <w:color w:val="auto"/>
        </w:rPr>
      </w:pPr>
      <w:r>
        <w:rPr>
          <w:rFonts w:ascii="Arial" w:cs="Arial" w:eastAsia="Arial" w:hAnsi="Arial"/>
          <w:sz w:val="21"/>
          <w:szCs w:val="21"/>
          <w:color w:val="auto"/>
        </w:rPr>
        <w:t>to fund or facilitate any activities of or business with any person, or in any country or territory, that, at the time of such funding or facilitating, is the subject or target of Sanctions, (B) to fund or facilitate any activities of or business in any Sanctioned Country in violation of Sanctions or (C) in any other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3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4"/>
          </w:cols>
          <w:pgMar w:left="896" w:top="591" w:right="239" w:bottom="1440" w:gutter="0" w:footer="0" w:header="0"/>
        </w:sectPr>
      </w:pPr>
    </w:p>
    <w:bookmarkStart w:id="17" w:name="page18"/>
    <w:bookmarkEnd w:id="17"/>
    <w:p>
      <w:pPr>
        <w:jc w:val="both"/>
        <w:ind w:left="-540" w:firstLine="564"/>
        <w:spacing w:after="0" w:line="247" w:lineRule="auto"/>
        <w:tabs>
          <w:tab w:leader="none" w:pos="72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Company, the Guarantors and their respective Affiliates and all persons acting on their behalf (other than the Initial Purchasers,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 under Regulation S. Each of the Company and the Guarantors is a “reporting issuer”, as defined in Rule 902 under Regulation S.</w:t>
      </w:r>
    </w:p>
    <w:p>
      <w:pPr>
        <w:spacing w:after="0" w:line="139" w:lineRule="exact"/>
        <w:rPr>
          <w:rFonts w:ascii="Arial" w:cs="Arial" w:eastAsia="Arial" w:hAnsi="Arial"/>
          <w:sz w:val="22"/>
          <w:szCs w:val="22"/>
          <w:color w:val="auto"/>
        </w:rPr>
      </w:pPr>
    </w:p>
    <w:p>
      <w:pPr>
        <w:jc w:val="both"/>
        <w:ind w:left="-540" w:firstLine="564"/>
        <w:spacing w:after="0" w:line="302" w:lineRule="auto"/>
        <w:tabs>
          <w:tab w:leader="none" w:pos="657" w:val="left"/>
        </w:tabs>
        <w:numPr>
          <w:ilvl w:val="0"/>
          <w:numId w:val="20"/>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88" w:lineRule="exact"/>
        <w:rPr>
          <w:rFonts w:ascii="Arial" w:cs="Arial" w:eastAsia="Arial" w:hAnsi="Arial"/>
          <w:sz w:val="19"/>
          <w:szCs w:val="19"/>
          <w:color w:val="auto"/>
        </w:rPr>
      </w:pPr>
    </w:p>
    <w:p>
      <w:pPr>
        <w:jc w:val="both"/>
        <w:ind w:left="-540" w:firstLine="564"/>
        <w:spacing w:after="0" w:line="250" w:lineRule="auto"/>
        <w:tabs>
          <w:tab w:leader="none" w:pos="609" w:val="left"/>
        </w:tabs>
        <w:numPr>
          <w:ilvl w:val="0"/>
          <w:numId w:val="20"/>
        </w:numPr>
        <w:rPr>
          <w:rFonts w:ascii="Arial" w:cs="Arial" w:eastAsia="Arial" w:hAnsi="Arial"/>
          <w:sz w:val="22"/>
          <w:szCs w:val="22"/>
          <w:color w:val="auto"/>
        </w:rPr>
      </w:pPr>
      <w:r>
        <w:rPr>
          <w:rFonts w:ascii="Arial" w:cs="Arial" w:eastAsia="Arial" w:hAnsi="Arial"/>
          <w:sz w:val="22"/>
          <w:szCs w:val="22"/>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134" w:lineRule="exact"/>
        <w:rPr>
          <w:rFonts w:ascii="Arial" w:cs="Arial" w:eastAsia="Arial" w:hAnsi="Arial"/>
          <w:sz w:val="22"/>
          <w:szCs w:val="22"/>
          <w:color w:val="auto"/>
        </w:rPr>
      </w:pPr>
    </w:p>
    <w:p>
      <w:pPr>
        <w:jc w:val="both"/>
        <w:ind w:left="-540" w:firstLine="564"/>
        <w:spacing w:after="0" w:line="289" w:lineRule="auto"/>
        <w:tabs>
          <w:tab w:leader="none" w:pos="693" w:val="left"/>
        </w:tabs>
        <w:numPr>
          <w:ilvl w:val="0"/>
          <w:numId w:val="20"/>
        </w:numPr>
        <w:rPr>
          <w:rFonts w:ascii="Arial" w:cs="Arial" w:eastAsia="Arial" w:hAnsi="Arial"/>
          <w:sz w:val="19"/>
          <w:szCs w:val="19"/>
          <w:color w:val="auto"/>
        </w:rPr>
      </w:pPr>
      <w:r>
        <w:rPr>
          <w:rFonts w:ascii="Arial" w:cs="Arial" w:eastAsia="Arial" w:hAnsi="Arial"/>
          <w:sz w:val="19"/>
          <w:szCs w:val="19"/>
          <w:color w:val="auto"/>
        </w:rPr>
        <w:t>(i) The Company and each Guarantor has established and maintains disclosure controls and procedures (as such term is defined in Rules 13a-15(e) and 15d- 15(e) under the Exchange Act); (ii) such disclosure controls and procedures are designed to ensure that information required to be disclosed by the Company or the Guarantors, as applicable,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03" w:lineRule="exact"/>
        <w:rPr>
          <w:rFonts w:ascii="Arial" w:cs="Arial" w:eastAsia="Arial" w:hAnsi="Arial"/>
          <w:sz w:val="19"/>
          <w:szCs w:val="19"/>
          <w:color w:val="auto"/>
        </w:rPr>
      </w:pPr>
    </w:p>
    <w:p>
      <w:pPr>
        <w:jc w:val="both"/>
        <w:ind w:left="-540" w:firstLine="564"/>
        <w:spacing w:after="0" w:line="286" w:lineRule="auto"/>
        <w:tabs>
          <w:tab w:leader="none" w:pos="649" w:val="left"/>
        </w:tabs>
        <w:numPr>
          <w:ilvl w:val="0"/>
          <w:numId w:val="20"/>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Offering Memorandum, there has not been (i) any material weaknesses in internal controls; or (ii) any fraud, whether or not material, that involves management or other employees who have a significant role in the internal controls of the Parent Guarantor. Since the date of the latest audited financial statements included or incorporated by reference in the Offering Memorandum,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w:t>
      </w:r>
      <w:r>
        <w:rPr>
          <w:rFonts w:ascii="Arial" w:cs="Arial" w:eastAsia="Arial" w:hAnsi="Arial"/>
          <w:sz w:val="19"/>
          <w:szCs w:val="19"/>
          <w:b w:val="1"/>
          <w:bCs w:val="1"/>
          <w:color w:val="auto"/>
        </w:rPr>
        <w:t>Reporting Controls</w:t>
      </w:r>
      <w:r>
        <w:rPr>
          <w:rFonts w:ascii="Arial" w:cs="Arial" w:eastAsia="Arial" w:hAnsi="Arial"/>
          <w:sz w:val="19"/>
          <w:szCs w:val="19"/>
          <w:color w:val="auto"/>
        </w:rPr>
        <w:t>”),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 any differences; and (E) regarding the reliability of financial reporting and the preparation of financial statements for external purposes in accordance with GAAP and include, without limitation, those processes specifically</w:t>
      </w: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591" w:right="239" w:bottom="1440" w:gutter="0" w:footer="0" w:header="0"/>
        </w:sectPr>
      </w:pPr>
    </w:p>
    <w:bookmarkStart w:id="18" w:name="page19"/>
    <w:bookmarkEnd w:id="18"/>
    <w:p>
      <w:pPr>
        <w:ind w:left="660"/>
        <w:spacing w:after="0" w:line="263" w:lineRule="auto"/>
        <w:rPr>
          <w:sz w:val="20"/>
          <w:szCs w:val="20"/>
          <w:color w:val="auto"/>
        </w:rPr>
      </w:pPr>
      <w:r>
        <w:rPr>
          <w:rFonts w:ascii="Arial" w:cs="Arial" w:eastAsia="Arial" w:hAnsi="Arial"/>
          <w:sz w:val="22"/>
          <w:szCs w:val="22"/>
          <w:color w:val="auto"/>
        </w:rPr>
        <w:t>referred to in Rule 13a-15(f) and Rule 15d-15(f) and (ii) to the knowledge of the Company or the Parent Guarantor, effective to perform the functions for which they are maintained.</w:t>
      </w:r>
    </w:p>
    <w:p>
      <w:pPr>
        <w:spacing w:after="0" w:line="121" w:lineRule="exact"/>
        <w:rPr>
          <w:sz w:val="20"/>
          <w:szCs w:val="20"/>
          <w:color w:val="auto"/>
        </w:rPr>
      </w:pPr>
    </w:p>
    <w:p>
      <w:pPr>
        <w:jc w:val="both"/>
        <w:ind w:left="660" w:firstLine="564"/>
        <w:spacing w:after="0" w:line="297" w:lineRule="auto"/>
        <w:tabs>
          <w:tab w:leader="none" w:pos="1807"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Under the current laws and regulations of Ireland and any political subdivision thereof or therein having the power to tax, payments on the Notes shall be paid free and clear, and without any deduction or withholding for or on account of, any current or future taxes, levies, imposts, duties, charges or other deductions or withholdings levied in Ireland or any political subdivision thereof or therein having the power to tax and without the necessity of obtaining any governmental authorization in Ireland or any political subdivision thereof or therein having the power to tax.</w:t>
      </w:r>
    </w:p>
    <w:p>
      <w:pPr>
        <w:spacing w:after="0" w:line="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Any certificate signed by any officer of the Company or either Guarantor and delivered to the Initial Purchasers or counsel for the Initial Purchasers in connection with the offering of the Securities shall be deemed a representation and warranty by the Company or such Guarantor, as the case may be, as to matters covered thereby, to each Initial Purchaser.</w:t>
      </w:r>
    </w:p>
    <w:p>
      <w:pPr>
        <w:spacing w:after="0" w:line="200" w:lineRule="exact"/>
        <w:rPr>
          <w:sz w:val="20"/>
          <w:szCs w:val="20"/>
          <w:color w:val="auto"/>
        </w:rPr>
      </w:pPr>
    </w:p>
    <w:p>
      <w:pPr>
        <w:spacing w:after="0" w:line="224" w:lineRule="exact"/>
        <w:rPr>
          <w:sz w:val="20"/>
          <w:szCs w:val="20"/>
          <w:color w:val="auto"/>
        </w:rPr>
      </w:pPr>
    </w:p>
    <w:p>
      <w:pPr>
        <w:jc w:val="both"/>
        <w:ind w:left="660" w:firstLine="1293"/>
        <w:spacing w:after="0" w:line="297" w:lineRule="auto"/>
        <w:tabs>
          <w:tab w:leader="none" w:pos="2767"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Purchase and Sale</w:t>
      </w:r>
      <w:r>
        <w:rPr>
          <w:rFonts w:ascii="Arial" w:cs="Arial" w:eastAsia="Arial" w:hAnsi="Arial"/>
          <w:sz w:val="19"/>
          <w:szCs w:val="19"/>
          <w:color w:val="auto"/>
        </w:rPr>
        <w:t>. Subject to the terms and conditions and in reliance upon the representations and warranties herein set forth, the Company and the Guarantors agree to sell to the Initial Purchasers, and each Initial Purchaser, severally and not jointly, agrees to purchase from the Company and the Guarantors, the total principal amount of Securities set forth opposite the name of such Initial Purchaser in Schedule I hereto at the purchase price of 98.09% of the principal amount of the Notes, payable on the Closing Date.</w:t>
      </w:r>
    </w:p>
    <w:p>
      <w:pPr>
        <w:spacing w:after="0" w:line="147" w:lineRule="exact"/>
        <w:rPr>
          <w:rFonts w:ascii="Arial" w:cs="Arial" w:eastAsia="Arial" w:hAnsi="Arial"/>
          <w:sz w:val="19"/>
          <w:szCs w:val="19"/>
          <w:color w:val="auto"/>
        </w:rPr>
      </w:pPr>
    </w:p>
    <w:p>
      <w:pPr>
        <w:jc w:val="both"/>
        <w:ind w:left="660" w:firstLine="1293"/>
        <w:spacing w:after="0" w:line="290" w:lineRule="auto"/>
        <w:tabs>
          <w:tab w:leader="none" w:pos="2767"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Securities shall be made on the date and at the time specified in Schedule II hereto or at such time on such later date not more than three Business Days (as defined below) after the foregoing date as the Representative shall designate, which date and time may be postponed by agreement between the Representative and the Company (such date and time of delivery and payment for the Securities being herein called the “</w:t>
      </w:r>
      <w:r>
        <w:rPr>
          <w:rFonts w:ascii="Arial" w:cs="Arial" w:eastAsia="Arial" w:hAnsi="Arial"/>
          <w:sz w:val="19"/>
          <w:szCs w:val="19"/>
          <w:b w:val="1"/>
          <w:bCs w:val="1"/>
          <w:color w:val="auto"/>
        </w:rPr>
        <w:t>Closing Date</w:t>
      </w:r>
      <w:r>
        <w:rPr>
          <w:rFonts w:ascii="Arial" w:cs="Arial" w:eastAsia="Arial" w:hAnsi="Arial"/>
          <w:sz w:val="19"/>
          <w:szCs w:val="19"/>
          <w:color w:val="auto"/>
        </w:rPr>
        <w:t>”). Delivery of the Securities shall be made to the Initial Purchasers against payment by the Initial Purchasers of the purchase price therefor to or upon the order of the Company by wire transfer payable in same-day funds to an account specified by the Company. Delivery of the Securities shall be made through the facilities of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unless the Representative shall otherwise instruct.</w:t>
      </w:r>
    </w:p>
    <w:p>
      <w:pPr>
        <w:spacing w:after="0" w:line="156" w:lineRule="exact"/>
        <w:rPr>
          <w:rFonts w:ascii="Arial" w:cs="Arial" w:eastAsia="Arial" w:hAnsi="Arial"/>
          <w:sz w:val="19"/>
          <w:szCs w:val="19"/>
          <w:color w:val="auto"/>
        </w:rPr>
      </w:pPr>
    </w:p>
    <w:p>
      <w:pPr>
        <w:ind w:left="660" w:firstLine="1293"/>
        <w:spacing w:after="0" w:line="263" w:lineRule="auto"/>
        <w:tabs>
          <w:tab w:leader="none" w:pos="276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Initial Purchasers as Qualified Institutional Buyers</w:t>
      </w:r>
      <w:r>
        <w:rPr>
          <w:rFonts w:ascii="Arial" w:cs="Arial" w:eastAsia="Arial" w:hAnsi="Arial"/>
          <w:sz w:val="22"/>
          <w:szCs w:val="22"/>
          <w:color w:val="auto"/>
        </w:rPr>
        <w:t>. Each Initial Purchaser severally and not jointly represents and warrants to, and agrees with, the Company that:</w:t>
      </w:r>
    </w:p>
    <w:p>
      <w:pPr>
        <w:spacing w:after="0" w:line="174" w:lineRule="exact"/>
        <w:rPr>
          <w:rFonts w:ascii="Arial" w:cs="Arial" w:eastAsia="Arial" w:hAnsi="Arial"/>
          <w:sz w:val="22"/>
          <w:szCs w:val="22"/>
          <w:color w:val="auto"/>
        </w:rPr>
      </w:pPr>
    </w:p>
    <w:p>
      <w:pPr>
        <w:jc w:val="both"/>
        <w:ind w:left="660" w:firstLine="645"/>
        <w:spacing w:after="0" w:line="271" w:lineRule="auto"/>
        <w:tabs>
          <w:tab w:leader="none" w:pos="2196" w:val="left"/>
        </w:tabs>
        <w:numPr>
          <w:ilvl w:val="0"/>
          <w:numId w:val="23"/>
        </w:numPr>
        <w:rPr>
          <w:rFonts w:ascii="Arial" w:cs="Arial" w:eastAsia="Arial" w:hAnsi="Arial"/>
          <w:sz w:val="21"/>
          <w:szCs w:val="21"/>
          <w:color w:val="auto"/>
        </w:rPr>
      </w:pPr>
      <w:r>
        <w:rPr>
          <w:rFonts w:ascii="Arial" w:cs="Arial" w:eastAsia="Arial" w:hAnsi="Arial"/>
          <w:sz w:val="21"/>
          <w:szCs w:val="21"/>
          <w:color w:val="auto"/>
        </w:rPr>
        <w:t>it will offer and sell Securities only to (A) persons who it reasonably believes are “qualified institutional buyers” within the meaning of Rule 144A (“</w:t>
      </w:r>
      <w:r>
        <w:rPr>
          <w:rFonts w:ascii="Arial" w:cs="Arial" w:eastAsia="Arial" w:hAnsi="Arial"/>
          <w:sz w:val="21"/>
          <w:szCs w:val="21"/>
          <w:b w:val="1"/>
          <w:bCs w:val="1"/>
          <w:color w:val="auto"/>
        </w:rPr>
        <w:t>Qualified Institutional Buyers</w:t>
      </w:r>
      <w:r>
        <w:rPr>
          <w:rFonts w:ascii="Arial" w:cs="Arial" w:eastAsia="Arial" w:hAnsi="Arial"/>
          <w:sz w:val="21"/>
          <w:szCs w:val="21"/>
          <w:color w:val="auto"/>
        </w:rPr>
        <w:t xml:space="preserve">”) in transactions meeting the requirements of Rule 144A or (B) upon the terms and conditions set forth in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to this Agreement;</w:t>
      </w:r>
    </w:p>
    <w:p>
      <w:pPr>
        <w:spacing w:after="0" w:line="167" w:lineRule="exact"/>
        <w:rPr>
          <w:rFonts w:ascii="Arial" w:cs="Arial" w:eastAsia="Arial" w:hAnsi="Arial"/>
          <w:sz w:val="21"/>
          <w:szCs w:val="21"/>
          <w:color w:val="auto"/>
        </w:rPr>
      </w:pPr>
    </w:p>
    <w:p>
      <w:pPr>
        <w:ind w:left="2200" w:hanging="895"/>
        <w:spacing w:after="0"/>
        <w:tabs>
          <w:tab w:leader="none" w:pos="22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it is an institutional “accredited investor” within the meaning of Rule 501(a)(1), (2), (3) or (7) under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Act;</w:t>
      </w:r>
    </w:p>
    <w:p>
      <w:pPr>
        <w:spacing w:after="0" w:line="201" w:lineRule="exact"/>
        <w:rPr>
          <w:rFonts w:ascii="Arial" w:cs="Arial" w:eastAsia="Arial" w:hAnsi="Arial"/>
          <w:sz w:val="19"/>
          <w:szCs w:val="19"/>
          <w:color w:val="auto"/>
        </w:rPr>
      </w:pPr>
    </w:p>
    <w:p>
      <w:pPr>
        <w:ind w:left="660" w:firstLine="645"/>
        <w:spacing w:after="0" w:line="263" w:lineRule="auto"/>
        <w:tabs>
          <w:tab w:leader="none" w:pos="2196" w:val="left"/>
        </w:tabs>
        <w:numPr>
          <w:ilvl w:val="0"/>
          <w:numId w:val="23"/>
        </w:numPr>
        <w:rPr>
          <w:rFonts w:ascii="Arial" w:cs="Arial" w:eastAsia="Arial" w:hAnsi="Arial"/>
          <w:sz w:val="22"/>
          <w:szCs w:val="22"/>
          <w:color w:val="auto"/>
        </w:rPr>
      </w:pPr>
      <w:r>
        <w:rPr>
          <w:rFonts w:ascii="Arial" w:cs="Arial" w:eastAsia="Arial" w:hAnsi="Arial"/>
          <w:sz w:val="22"/>
          <w:szCs w:val="22"/>
          <w:color w:val="auto"/>
        </w:rPr>
        <w:t>it will not offer or sell Securities by any form of general solicitation or general advertising, including but not limited to the methods described in Rule 502(c) under the Act; and</w:t>
      </w:r>
    </w:p>
    <w:p>
      <w:pPr>
        <w:spacing w:after="0" w:line="174"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0"/>
          <w:numId w:val="23"/>
        </w:numPr>
        <w:rPr>
          <w:rFonts w:ascii="Arial" w:cs="Arial" w:eastAsia="Arial" w:hAnsi="Arial"/>
          <w:sz w:val="22"/>
          <w:szCs w:val="22"/>
          <w:color w:val="auto"/>
        </w:rPr>
      </w:pPr>
      <w:r>
        <w:rPr>
          <w:rFonts w:ascii="Arial" w:cs="Arial" w:eastAsia="Arial" w:hAnsi="Arial"/>
          <w:sz w:val="22"/>
          <w:szCs w:val="22"/>
          <w:color w:val="auto"/>
        </w:rPr>
        <w:t>it will not offer or sell Securities in the European Economic Area in circumstances which would require the publication of a prospectus pursuant to the Prospectus Directive or otherwise. “Prospectus Directive” means Directive 2003/71/EC and amendments thereto, including the 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19" w:name="page20"/>
    <w:bookmarkEnd w:id="19"/>
    <w:p>
      <w:pPr>
        <w:ind w:left="660" w:right="20"/>
        <w:spacing w:after="0" w:line="263" w:lineRule="auto"/>
        <w:rPr>
          <w:sz w:val="20"/>
          <w:szCs w:val="20"/>
          <w:color w:val="auto"/>
        </w:rPr>
      </w:pPr>
      <w:r>
        <w:rPr>
          <w:rFonts w:ascii="Arial" w:cs="Arial" w:eastAsia="Arial" w:hAnsi="Arial"/>
          <w:sz w:val="22"/>
          <w:szCs w:val="22"/>
          <w:color w:val="auto"/>
        </w:rPr>
        <w:t>PD Amending Directive and includes any relevant implementing measure in any member state of the European Economic Area. “2010 PD Amending Directive” means Directive 2010/73/EU.</w:t>
      </w:r>
    </w:p>
    <w:p>
      <w:pPr>
        <w:spacing w:after="0" w:line="21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1"/>
          <w:szCs w:val="21"/>
          <w:color w:val="auto"/>
        </w:rPr>
        <w:t>5.</w:t>
      </w:r>
      <w:r>
        <w:rPr>
          <w:sz w:val="20"/>
          <w:szCs w:val="20"/>
          <w:color w:val="auto"/>
        </w:rPr>
        <w:tab/>
      </w:r>
      <w:r>
        <w:rPr>
          <w:rFonts w:ascii="Arial" w:cs="Arial" w:eastAsia="Arial" w:hAnsi="Arial"/>
          <w:sz w:val="21"/>
          <w:szCs w:val="21"/>
          <w:u w:val="single" w:color="auto"/>
          <w:color w:val="auto"/>
        </w:rPr>
        <w:t>Agreements</w:t>
      </w:r>
      <w:r>
        <w:rPr>
          <w:rFonts w:ascii="Arial" w:cs="Arial" w:eastAsia="Arial" w:hAnsi="Arial"/>
          <w:sz w:val="21"/>
          <w:szCs w:val="21"/>
          <w:color w:val="auto"/>
        </w:rPr>
        <w:t>. The Company and the Guarantors jointly and severally agree with each Initial</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Purchaser that:</w:t>
      </w:r>
    </w:p>
    <w:p>
      <w:pPr>
        <w:spacing w:after="0" w:line="242" w:lineRule="exact"/>
        <w:rPr>
          <w:sz w:val="20"/>
          <w:szCs w:val="20"/>
          <w:color w:val="auto"/>
        </w:rPr>
      </w:pPr>
    </w:p>
    <w:p>
      <w:pPr>
        <w:jc w:val="both"/>
        <w:ind w:left="660" w:firstLine="645"/>
        <w:spacing w:after="0" w:line="288" w:lineRule="auto"/>
        <w:tabs>
          <w:tab w:leader="none" w:pos="2196" w:val="left"/>
        </w:tabs>
        <w:numPr>
          <w:ilvl w:val="0"/>
          <w:numId w:val="24"/>
        </w:numPr>
        <w:rPr>
          <w:rFonts w:ascii="Arial" w:cs="Arial" w:eastAsia="Arial" w:hAnsi="Arial"/>
          <w:sz w:val="19"/>
          <w:szCs w:val="19"/>
          <w:color w:val="auto"/>
        </w:rPr>
      </w:pPr>
      <w:r>
        <w:rPr>
          <w:rFonts w:ascii="Arial" w:cs="Arial" w:eastAsia="Arial" w:hAnsi="Arial"/>
          <w:sz w:val="19"/>
          <w:szCs w:val="19"/>
          <w:color w:val="auto"/>
        </w:rPr>
        <w:t>As promptly as practicable following the Time of Sale and in any event not later than the second Business Day following the date hereof, the Company will prepare and deliver to the Initial Purchasers the Final Memorandum, which shall consist of the Preliminary Memorandum as modified only by the information contained in the Pricing Supplement. The Company will not amend or supplement the Preliminary Memorandum or the Pricing Supplement. The Company will not amend or supplement the Final Memorandum prior to the Closing Date unless the Representative shall previously have been furnished a copy of the proposed amendment or supplement at least two Business Days prior to the proposed use or filing, and shall not have objected to such amendment or supplement. Before making, preparing, using, authorizing, approving or distributing any Company Additional Written Communication, the Company will furnish to the Representative a copy of such written communication for review and will not make, prepare, use, authorize, approve or distribute any such written communication to which the Representative reasonably objects.</w:t>
      </w:r>
    </w:p>
    <w:p>
      <w:pPr>
        <w:spacing w:after="0" w:line="160" w:lineRule="exact"/>
        <w:rPr>
          <w:rFonts w:ascii="Arial" w:cs="Arial" w:eastAsia="Arial" w:hAnsi="Arial"/>
          <w:sz w:val="19"/>
          <w:szCs w:val="19"/>
          <w:color w:val="auto"/>
        </w:rPr>
      </w:pPr>
    </w:p>
    <w:p>
      <w:pPr>
        <w:jc w:val="both"/>
        <w:ind w:left="660" w:firstLine="645"/>
        <w:spacing w:after="0" w:line="285" w:lineRule="auto"/>
        <w:tabs>
          <w:tab w:leader="none" w:pos="2209"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at any time prior to the Closing Date (i) any event shall occur or condition shall exist as a result of which any of the Pricing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Pricing Disclosure Package to comply with law, the Company and the Guarantors will immediately notify the Representative thereof and forthwith prepare and (subject to Section 5(a) hereof) furnish to the Initial Purchasers such amendments or supplements to any of the Pricing Disclosure Package as may be necessary so that the statements in any of the Pricing Disclosure Package as so amended or supplemented will not, in the light of the circumstances under which they were made, be misleading or so that any of the Pricing Disclosure Package will comply with all applicable law. If, prior to the completion of the placement of the Securities by the Initial Purchasers with the Subsequent Purchasers, any event shall occur or condition exist as a result of which it is necessary to amend or supplement the Final Memorandum, as then amended or supplemented, in order to make the statements therein, in the light of the circumstances when the Final Memorandum is delivered to a Subsequent Purchaser, not misleading, or if in the judgment of the Representative or counsel for the Initial Purchasers it is otherwise necessary to amend or supplement the Final Memorandum to comply with law, the Company and the Guarantors agree to promptly prepare (subject to Section 5 hereof) and furnish at its own expense to the Initial Purchasers, amendments or supplements to the Final Memorandum so that the statements in the Final Memorandum as so amended or supplemented will not, in the light of the circumstances at the Closing Date and at the time of sale of Securities, be misleading or so that the Final Memorandum, as amended or supplemented, will comply with all applicable law.</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Following the consummation of the Exchange Offer or the effectiveness of an applicable shelf registration statement and for so long as the Securities are outstanding, if, in the judgment of the Representative, the Initial Purchasers or any of their respective affiliates (as such term is defined in the Act) are required to deliver a prospectus in connection with sales of, or market making activities with respect to, the Securities, the Company and the Guarantors agree to periodically amend the applicable registration statement so that the information contained therein complies with the requirements of Section 10 of the Act, to amend the applicable registration statement or supplement the related prospectus or the documents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20" w:name="page21"/>
    <w:bookmarkEnd w:id="20"/>
    <w:p>
      <w:pPr>
        <w:jc w:val="both"/>
        <w:spacing w:after="0" w:line="248" w:lineRule="auto"/>
        <w:rPr>
          <w:sz w:val="20"/>
          <w:szCs w:val="20"/>
          <w:color w:val="auto"/>
        </w:rPr>
      </w:pPr>
      <w:r>
        <w:rPr>
          <w:rFonts w:ascii="Arial" w:cs="Arial" w:eastAsia="Arial" w:hAnsi="Arial"/>
          <w:sz w:val="22"/>
          <w:szCs w:val="22"/>
          <w:color w:val="auto"/>
        </w:rPr>
        <w:t>incorporated therein when necessary to reflect any material changes in the information provided therein so that the registration statement and the prospectus will not contain any untrue statement of a material fact or omit to state any material fact necessary in order to make the statements therein, in the light of the circumstances existing as of the date the prospectus is so delivered, not misleading and to provide the Initial Purchasers with copies of each amendment or supplement filed and such other documents as the Initial Purchasers may reasonably request.</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hereby expressly acknowledges that the indemnification and contribution provisions of Section 9 hereof are specifically applicable and relate to each offering memorandum, registration statement, prospectus, amendment or supplement referred to in this Section 5.</w:t>
      </w:r>
    </w:p>
    <w:p>
      <w:pPr>
        <w:spacing w:after="0" w:line="186" w:lineRule="exact"/>
        <w:rPr>
          <w:sz w:val="20"/>
          <w:szCs w:val="20"/>
          <w:color w:val="auto"/>
        </w:rPr>
      </w:pPr>
    </w:p>
    <w:p>
      <w:pPr>
        <w:ind w:left="660" w:firstLine="645"/>
        <w:spacing w:after="0" w:line="263" w:lineRule="auto"/>
        <w:tabs>
          <w:tab w:leader="none" w:pos="21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and the Guarantors will use the net proceeds received by them from the sale of the Securities in the manner specified in the Final Memorandum under “Use of Proceeds.”</w:t>
      </w:r>
    </w:p>
    <w:p>
      <w:pPr>
        <w:spacing w:after="0" w:line="174"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agrees to furnish the Initial Purchasers, without charge, as many copies of the Pricing Disclosure Package and the Final Memorandum and any amendments and supplements thereto as they shall reasonably request.</w:t>
      </w:r>
    </w:p>
    <w:p>
      <w:pPr>
        <w:spacing w:after="0" w:line="185" w:lineRule="exact"/>
        <w:rPr>
          <w:rFonts w:ascii="Arial" w:cs="Arial" w:eastAsia="Arial" w:hAnsi="Arial"/>
          <w:sz w:val="22"/>
          <w:szCs w:val="22"/>
          <w:color w:val="auto"/>
        </w:rPr>
      </w:pPr>
    </w:p>
    <w:p>
      <w:pPr>
        <w:jc w:val="both"/>
        <w:ind w:left="660" w:firstLine="645"/>
        <w:spacing w:after="0" w:line="246" w:lineRule="auto"/>
        <w:tabs>
          <w:tab w:leader="none" w:pos="21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and the Guarantors will arrange, if necessary, for the qualification of the Securities for sale under the laws of such jurisdictions as the Representative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(iii) take any action that could subject them to taxation in any such jurisdiction if they are not otherwise so subject, or (iv) publish a prospectus pursuant to the Prospectus Directive or otherwise.</w:t>
      </w:r>
    </w:p>
    <w:p>
      <w:pPr>
        <w:spacing w:after="0" w:line="194" w:lineRule="exact"/>
        <w:rPr>
          <w:rFonts w:ascii="Arial" w:cs="Arial" w:eastAsia="Arial" w:hAnsi="Arial"/>
          <w:sz w:val="22"/>
          <w:szCs w:val="22"/>
          <w:color w:val="auto"/>
        </w:rPr>
      </w:pPr>
    </w:p>
    <w:p>
      <w:pPr>
        <w:jc w:val="both"/>
        <w:ind w:left="660" w:firstLine="645"/>
        <w:spacing w:after="0" w:line="288" w:lineRule="auto"/>
        <w:tabs>
          <w:tab w:leader="none" w:pos="2172"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and the Guarantors will not, without the prior written consent of the Representative,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the Guarantors or any Affiliate of the Company or the Guarantors or any person in privity with the Company or the Guarantors or any Affiliate of the Company or the Guarantors),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bank borrowings, overdrafts, working capital borrowing and facilities, short term loans and cash management requirements (and guarantees thereof)) issued or guaranteed by the Company (other than the Notes) or publicly announce an intention to effect any such transaction, until the calendar day set forth on Schedule II hereto.</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firstLine="645"/>
        <w:spacing w:after="0" w:line="261" w:lineRule="auto"/>
        <w:tabs>
          <w:tab w:leader="none" w:pos="2209"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Company agrees that it will not and will cause its Affiliates not to make any offer or sale of securities of the Company of any class if, as a result of the doctrine of “integration” referred to in Rule 502 under the Act, such offer or sale would render invalid (for the purpose of (i) the sale of the Securities by the Company to the Initial Purchasers, (ii) the resale of the Securities by the Initial Purchasers to Subsequent Purchasers or (iii) the resale of the Securities by such Subsequent Purchasers to others) the exemption from the registration requirements of the Act provided by Section 4(a)(2) thereof or by Rule 144A or by Regulation S thereunder or otherwise.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21" w:name="page22"/>
    <w:bookmarkEnd w:id="21"/>
    <w:p>
      <w:pPr>
        <w:jc w:val="both"/>
        <w:ind w:left="-540" w:firstLine="645"/>
        <w:spacing w:after="0" w:line="246" w:lineRule="auto"/>
        <w:tabs>
          <w:tab w:leader="none" w:pos="100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agrees that it will not and will not permit any of its Affiliates or any other person acting on its or their behalf (other than the Initial Purchasers, as to which no covenant is given) to (i) solicit offers for, or offer or sell, the Securities by means of any form of general solicitation or general advertising within the meaning of Rule 502(c) of Regulation D or in any manner involving a public offering within the meaning of Section 4(a)(2) of the Act or (ii) engage in any directed selling efforts with respect to the Securities within the meaning of Regulation S, and the Company will and will cause all such persons to comply with the offering restrictions requirement of Regulation S with respect to the Securities.</w:t>
      </w:r>
    </w:p>
    <w:p>
      <w:pPr>
        <w:spacing w:after="0" w:line="197" w:lineRule="exact"/>
        <w:rPr>
          <w:rFonts w:ascii="Arial" w:cs="Arial" w:eastAsia="Arial" w:hAnsi="Arial"/>
          <w:sz w:val="22"/>
          <w:szCs w:val="22"/>
          <w:color w:val="auto"/>
        </w:rPr>
      </w:pPr>
    </w:p>
    <w:p>
      <w:pPr>
        <w:ind w:left="-540" w:right="20" w:firstLine="645"/>
        <w:spacing w:after="0" w:line="263" w:lineRule="auto"/>
        <w:tabs>
          <w:tab w:leader="none" w:pos="9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will not, and will not permit any of its affiliates (as defined in Rule 144 under the Act) to resell any of the Notes that have been reacquired by any of them.</w:t>
      </w:r>
    </w:p>
    <w:p>
      <w:pPr>
        <w:spacing w:after="0" w:line="174" w:lineRule="exact"/>
        <w:rPr>
          <w:rFonts w:ascii="Arial" w:cs="Arial" w:eastAsia="Arial" w:hAnsi="Arial"/>
          <w:sz w:val="22"/>
          <w:szCs w:val="22"/>
          <w:color w:val="auto"/>
        </w:rPr>
      </w:pPr>
    </w:p>
    <w:p>
      <w:pPr>
        <w:jc w:val="both"/>
        <w:ind w:left="-540" w:firstLine="645"/>
        <w:spacing w:after="0" w:line="250" w:lineRule="auto"/>
        <w:tabs>
          <w:tab w:leader="none" w:pos="9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188" w:lineRule="exact"/>
        <w:rPr>
          <w:rFonts w:ascii="Arial" w:cs="Arial" w:eastAsia="Arial" w:hAnsi="Arial"/>
          <w:sz w:val="22"/>
          <w:szCs w:val="22"/>
          <w:color w:val="auto"/>
        </w:rPr>
      </w:pPr>
    </w:p>
    <w:p>
      <w:pPr>
        <w:jc w:val="both"/>
        <w:ind w:left="-540" w:firstLine="645"/>
        <w:spacing w:after="0" w:line="284" w:lineRule="auto"/>
        <w:tabs>
          <w:tab w:leader="none" w:pos="1009"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Each of the Company and the Guarantors agrees, jointly and severally,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 (ii) all necessary issue, transfer and other stamp taxes in connection with the issuance and sale of the Securities to the Initial Purchasers, (iii) all fees and expenses of the Company’s and the Guarantors’ counsel, independent public or certified public accountants and other advisors, (iv) all costs and expenses incurred in connection with the preparation, printing, filing, shipping and distribution of the Pricing Disclosure Package and the Final Memorandum (including financial statements and exhibits), and all amendments and supplements thereto, this Agreement, the Registration Rights Agreement, the Securities, the Exchange Securities and the Indenture, (v) all filing fees, attorneys’ fees and expenses incurred by the Company, the Guarantors or the Initial Purchasers in connection with qualifying or registering (or obtaining exemptions from the qualification or registration of) all or any part of the Securities for offer and sale under the securities laws of the several states of the United States, the provinces of Canada or other jurisdictions designated by the Representative (including, without limitation, the cost of preparing, printing and mailing preliminary and final blue sky or legal investment memoranda and any related supplements to the Pricing Disclosure Package or the Final Memorandum), (vi) the fees and expenses of the Trustee, including the fees and disbursements of counsel for the Trustee in connection with the Indenture, the Securities and the Exchange Securities, (vii) any fees payable in connection with the rating of the Securities or the Exchange Securities with the ratings agencies, (viii) any filing fees incident to, and any reasonable fees and disbursements of counsel to the Initial Purchasers in connection with the review by FINRA, if any, of the terms of the sale of the Securities or the Exchange Securities, (ix) all fees and expenses (including reasonable fees and expenses of counsel) of the Company and the Guarantors in connection with approval of the Securities by DTC for “book-entry” transfer, and the performance by the Company and the Guarantors of their respective other obligations under this Agreement and (x) all expenses incident to the “road show” for the offering of the Securities, including travel expenses; provided, however, that Initial Purchasers will pay 50% of the cost of any chartered airplane. Except as provided in this Section 5 and Sections 6 and 9 hereof, the Initial Purchasers shall pay their own expenses, including the fees and disbursements of their counsel.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1440" w:top="591" w:right="239" w:bottom="1440" w:gutter="0" w:footer="0" w:header="0"/>
        </w:sectPr>
      </w:pPr>
    </w:p>
    <w:bookmarkStart w:id="22" w:name="page23"/>
    <w:bookmarkEnd w:id="22"/>
    <w:p>
      <w:pPr>
        <w:ind w:left="660" w:firstLine="645"/>
        <w:spacing w:after="0" w:line="287" w:lineRule="auto"/>
        <w:tabs>
          <w:tab w:leader="none" w:pos="21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Company and the Guarantors will cooperate with the Initial Purchasers and use commercially reasonable efforts to permit the Securities to be eligible for clearance and settlement through the facilities of DTC.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305"/>
        <w:spacing w:after="0" w:line="297" w:lineRule="auto"/>
        <w:tabs>
          <w:tab w:leader="none" w:pos="210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Initial Purchasers</w:t>
      </w:r>
      <w:r>
        <w:rPr>
          <w:rFonts w:ascii="Arial" w:cs="Arial" w:eastAsia="Arial" w:hAnsi="Arial"/>
          <w:sz w:val="19"/>
          <w:szCs w:val="19"/>
          <w:color w:val="auto"/>
        </w:rPr>
        <w:t>. The several obligations of the Initial Purchasers to purchase the Securities shall be subject to the accuracy of the representations and warranties on the part of the Company contained herein as of the Execution Time (as defined below), the Closing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188" w:lineRule="exact"/>
        <w:rPr>
          <w:sz w:val="20"/>
          <w:szCs w:val="20"/>
          <w:color w:val="auto"/>
        </w:rPr>
      </w:pPr>
    </w:p>
    <w:p>
      <w:pPr>
        <w:jc w:val="both"/>
        <w:ind w:left="660" w:firstLine="645"/>
        <w:spacing w:after="0" w:line="250" w:lineRule="auto"/>
        <w:tabs>
          <w:tab w:leader="none" w:pos="219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the Guarantors shall have requested and caused Latham &amp; Watkins LLP, counsel for the Company and the Guarantors, to have furnished to the Initial Purchasers their opinion and negative assurance letters, each dated the Closing Date, and addressed to the Initial Purchasers, to the effect set forth in Annex A-1 and Annex A-2, respectively.</w:t>
      </w:r>
    </w:p>
    <w:p>
      <w:pPr>
        <w:spacing w:after="0" w:line="188" w:lineRule="exact"/>
        <w:rPr>
          <w:rFonts w:ascii="Arial" w:cs="Arial" w:eastAsia="Arial" w:hAnsi="Arial"/>
          <w:sz w:val="22"/>
          <w:szCs w:val="22"/>
          <w:color w:val="auto"/>
        </w:rPr>
      </w:pPr>
    </w:p>
    <w:p>
      <w:pPr>
        <w:jc w:val="both"/>
        <w:ind w:left="660" w:firstLine="645"/>
        <w:spacing w:after="0" w:line="312" w:lineRule="auto"/>
        <w:tabs>
          <w:tab w:leader="none" w:pos="220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and the Guarantors shall have requested and caused the Executive Vice President, General Counsel &amp; Corporate Secretary of the Company and the Guarantors, to have furnished to the Initial Purchasers her opinion, dated the Closing Date, and addressed to the Initial Purchasers, to the effect set forth in Annex B.</w:t>
      </w:r>
    </w:p>
    <w:p>
      <w:pPr>
        <w:spacing w:after="0" w:line="133" w:lineRule="exact"/>
        <w:rPr>
          <w:rFonts w:ascii="Arial" w:cs="Arial" w:eastAsia="Arial" w:hAnsi="Arial"/>
          <w:sz w:val="19"/>
          <w:szCs w:val="19"/>
          <w:color w:val="auto"/>
        </w:rPr>
      </w:pPr>
    </w:p>
    <w:p>
      <w:pPr>
        <w:jc w:val="both"/>
        <w:ind w:left="660" w:firstLine="645"/>
        <w:spacing w:after="0" w:line="253" w:lineRule="auto"/>
        <w:tabs>
          <w:tab w:leader="none" w:pos="219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the Guarantors shall have requested and caused Conyers Dill &amp; Pearman Limited, special Bermuda counsel for Weatherford Bermuda, to have furnished to the Initial Purchasers their opinion, dated the Closing Date, and addressed to the Initial Purchasers, to the effect set forth in Annex C.</w:t>
      </w:r>
    </w:p>
    <w:p>
      <w:pPr>
        <w:spacing w:after="0" w:line="185"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the Guarantors shall have requested and caused Matheson, special Ireland counsel for the Parent Guarantor, to have furnished to the Initial Purchasers their opinion, dated the Closing Date, and addressed to the Initial Purchasers, to the effect set forth in Annex D.</w:t>
      </w:r>
    </w:p>
    <w:p>
      <w:pPr>
        <w:spacing w:after="0" w:line="185" w:lineRule="exact"/>
        <w:rPr>
          <w:rFonts w:ascii="Arial" w:cs="Arial" w:eastAsia="Arial" w:hAnsi="Arial"/>
          <w:sz w:val="22"/>
          <w:szCs w:val="22"/>
          <w:color w:val="auto"/>
        </w:rPr>
      </w:pPr>
    </w:p>
    <w:p>
      <w:pPr>
        <w:jc w:val="both"/>
        <w:ind w:left="660" w:firstLine="645"/>
        <w:spacing w:after="0" w:line="249" w:lineRule="auto"/>
        <w:tabs>
          <w:tab w:leader="none" w:pos="219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the Guarantors shall have requested and caused PwC Switzerland, special advisor for the Parent Guarantor, to have furnished to the Initial Purchasers their opinion, dated the Closing Date, and addressed to the Initial Purchasers, to the effect set forth in Annex E.</w:t>
      </w:r>
    </w:p>
    <w:p>
      <w:pPr>
        <w:jc w:val="both"/>
        <w:ind w:left="660" w:right="20" w:firstLine="645"/>
        <w:spacing w:after="0" w:line="295" w:lineRule="auto"/>
        <w:tabs>
          <w:tab w:leader="none" w:pos="2172"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Initial Purchasers shall have received from Kirkland &amp; Ellis LLP, counsel for the Initial Purchasers, such opinion or opinions, dated the Closing Date, and addressed to the Initial Purchasers, with respect to such matters as the Initial Purchasers may reasonably require, and the Company and the Guarantors shall have furnished to such counsel such documents as they request for the purpose of enabling them to pass upon such matters.</w:t>
      </w:r>
    </w:p>
    <w:p>
      <w:pPr>
        <w:spacing w:after="0" w:line="150" w:lineRule="exact"/>
        <w:rPr>
          <w:rFonts w:ascii="Arial" w:cs="Arial" w:eastAsia="Arial" w:hAnsi="Arial"/>
          <w:sz w:val="19"/>
          <w:szCs w:val="19"/>
          <w:color w:val="auto"/>
        </w:rPr>
      </w:pPr>
    </w:p>
    <w:p>
      <w:pPr>
        <w:jc w:val="both"/>
        <w:ind w:left="660" w:firstLine="645"/>
        <w:spacing w:after="0" w:line="247" w:lineRule="auto"/>
        <w:tabs>
          <w:tab w:leader="none" w:pos="22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Initial Purchasers shall have received from Appleby (Bermuda) Limited, special Bermuda counsel for the Initial Purchasers, such opinion or opinions, dated the Closing Date, and addressed to the Initial Purchasers, with respect to the issuance and sale of the Securities, the Indenture, the Pricing Disclosure Package, the Final Memorandum (together with any supplement thereto) and other related matters as the Initial Purchasers may reasonably require, and the Company and the Guarantors shall have furnished to such counsel such documents as they request for the purpose of enabling them to pass upon such matters.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23" w:name="page24"/>
    <w:bookmarkEnd w:id="23"/>
    <w:p>
      <w:pPr>
        <w:jc w:val="both"/>
        <w:ind w:left="-540" w:firstLine="645"/>
        <w:spacing w:after="0" w:line="247" w:lineRule="auto"/>
        <w:tabs>
          <w:tab w:leader="none" w:pos="100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Initial Purchasers shall have received from A&amp;L Goodbody, special Ireland counsel for the Initial Purchasers such opinion or opinions, dated the Closing Date, and addressed to the Initial Purchasers, with respect to the issuance and sale of the Securities, the Indenture, the Pricing Disclosure Package, the Final Memorandum (together with any supplement thereto) and other related matters as the Initial Purchasers may reasonably require, and the Company and the Guarantors shall have furnished to such counsel such documents as they request for the purpose of enabling them to pass upon such matters.</w:t>
      </w:r>
    </w:p>
    <w:p>
      <w:pPr>
        <w:spacing w:after="0" w:line="193" w:lineRule="exact"/>
        <w:rPr>
          <w:rFonts w:ascii="Arial" w:cs="Arial" w:eastAsia="Arial" w:hAnsi="Arial"/>
          <w:sz w:val="22"/>
          <w:szCs w:val="22"/>
          <w:color w:val="auto"/>
        </w:rPr>
      </w:pPr>
    </w:p>
    <w:p>
      <w:pPr>
        <w:jc w:val="both"/>
        <w:ind w:left="-540" w:firstLine="645"/>
        <w:spacing w:after="0" w:line="261" w:lineRule="auto"/>
        <w:tabs>
          <w:tab w:leader="none" w:pos="9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Company and the Guarantors shall have furnished to the Initial Purchasers a certificate of the Company and the Guarantors, signed by the Executive Vice President and Chief Financial Officer of the Company and by the Chairman of the Board or the President and the principal financial or accounting officer of the Guarantors, dated the Closing Date, to the effect that the signers of such certificate have carefully examined the Pricing Disclosure Package, the Final Memorandum and any supplements or amendments thereto, as well as each electronic road show used in connection with the offering of the Securities, and this Agreement and that:</w:t>
      </w:r>
    </w:p>
    <w:p>
      <w:pPr>
        <w:spacing w:after="0" w:line="180" w:lineRule="exact"/>
        <w:rPr>
          <w:rFonts w:ascii="Arial" w:cs="Arial" w:eastAsia="Arial" w:hAnsi="Arial"/>
          <w:sz w:val="21"/>
          <w:szCs w:val="21"/>
          <w:color w:val="auto"/>
        </w:rPr>
      </w:pPr>
    </w:p>
    <w:p>
      <w:pPr>
        <w:jc w:val="both"/>
        <w:ind w:left="100" w:firstLine="653"/>
        <w:spacing w:after="0" w:line="265" w:lineRule="auto"/>
        <w:tabs>
          <w:tab w:leader="none" w:pos="1600"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 and</w:t>
      </w:r>
    </w:p>
    <w:p>
      <w:pPr>
        <w:spacing w:after="0" w:line="175" w:lineRule="exact"/>
        <w:rPr>
          <w:rFonts w:ascii="Arial" w:cs="Arial" w:eastAsia="Arial" w:hAnsi="Arial"/>
          <w:sz w:val="21"/>
          <w:szCs w:val="21"/>
          <w:color w:val="auto"/>
        </w:rPr>
      </w:pPr>
    </w:p>
    <w:p>
      <w:pPr>
        <w:jc w:val="both"/>
        <w:ind w:left="100" w:firstLine="653"/>
        <w:spacing w:after="0" w:line="247" w:lineRule="auto"/>
        <w:tabs>
          <w:tab w:leader="none" w:pos="16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Pricing Disclosure Package and the Final Memorandum (exclusive of any supplement thereto), there has been no material adverse effect on the condition (financial or otherwise), prospects,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supplement thereto).</w:t>
      </w:r>
    </w:p>
    <w:p>
      <w:pPr>
        <w:spacing w:after="0" w:line="193" w:lineRule="exact"/>
        <w:rPr>
          <w:rFonts w:ascii="Arial" w:cs="Arial" w:eastAsia="Arial" w:hAnsi="Arial"/>
          <w:sz w:val="22"/>
          <w:szCs w:val="22"/>
          <w:color w:val="auto"/>
        </w:rPr>
      </w:pPr>
    </w:p>
    <w:p>
      <w:pPr>
        <w:jc w:val="both"/>
        <w:ind w:left="-540" w:firstLine="645"/>
        <w:spacing w:after="0" w:line="297" w:lineRule="auto"/>
        <w:tabs>
          <w:tab w:leader="none" w:pos="9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Immediately following the Execution Time, the Initial Purchasers shall receive from KPMG LLP a letter, dated as of the date of this Agreement, and addressed to the Initial Purchasers, in form and substance satisfactory to the Initial Purchasers, containing statements and information of the type ordinarily included in accountants’ “comfort letters” to Initial Purchasers with respect to the financial statements and certain financial information relating to the Parent Guarantor and its subsidiaries contained in the Pricing Disclosure Package and other customary matters.</w:t>
      </w:r>
    </w:p>
    <w:p>
      <w:pPr>
        <w:spacing w:after="0" w:line="147" w:lineRule="exact"/>
        <w:rPr>
          <w:rFonts w:ascii="Arial" w:cs="Arial" w:eastAsia="Arial" w:hAnsi="Arial"/>
          <w:sz w:val="19"/>
          <w:szCs w:val="19"/>
          <w:color w:val="auto"/>
        </w:rPr>
      </w:pPr>
    </w:p>
    <w:p>
      <w:pPr>
        <w:jc w:val="both"/>
        <w:ind w:left="-540" w:firstLine="645"/>
        <w:spacing w:after="0" w:line="294" w:lineRule="auto"/>
        <w:tabs>
          <w:tab w:leader="none" w:pos="1009"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the Closing Date, the Initial Purchasers shall have received from KPMG LLP a letter, dated as of the Closing Date, and addressed to the Initial Purchasers, to the effect that they reaffirm the statements made in the letter furnished pursuant to subsection of this Section, except that the cut-off date for certain procedures performed by them shall be a date not more than two Business Days prior to the Closing Date, and providing information of the type ordinarily included in accountants’ “comfort letters” to underwriters with respect to the financial statements and certain financial information relating to the Parent Guarantor and its subsidiaries contained in the Final Memorandum.</w:t>
      </w:r>
    </w:p>
    <w:p>
      <w:pPr>
        <w:spacing w:after="0" w:line="149" w:lineRule="exact"/>
        <w:rPr>
          <w:rFonts w:ascii="Arial" w:cs="Arial" w:eastAsia="Arial" w:hAnsi="Arial"/>
          <w:sz w:val="19"/>
          <w:szCs w:val="19"/>
          <w:color w:val="auto"/>
        </w:rPr>
      </w:pPr>
    </w:p>
    <w:p>
      <w:pPr>
        <w:jc w:val="both"/>
        <w:ind w:left="-540" w:firstLine="645"/>
        <w:spacing w:after="0" w:line="250" w:lineRule="auto"/>
        <w:tabs>
          <w:tab w:leader="none" w:pos="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Weatherford Bermuda shall have received and provided to the Initial Purchasers an assurance from the Minister of Finance under the Exempted Undertakings Tax Protection Act, 1966 that, in the event of there being enacted in Bermuda any legislation imposing tax computed on profits or income or computed on any capital asset, gain or appreciation, or any tax in the nature of estate</w:t>
      </w: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591" w:right="239" w:bottom="1440" w:gutter="0" w:footer="0" w:header="0"/>
        </w:sectPr>
      </w:pPr>
    </w:p>
    <w:bookmarkStart w:id="24" w:name="page25"/>
    <w:bookmarkEnd w:id="24"/>
    <w:p>
      <w:pPr>
        <w:jc w:val="both"/>
        <w:ind w:left="660"/>
        <w:spacing w:after="0" w:line="250" w:lineRule="auto"/>
        <w:rPr>
          <w:sz w:val="20"/>
          <w:szCs w:val="20"/>
          <w:color w:val="auto"/>
        </w:rPr>
      </w:pPr>
      <w:r>
        <w:rPr>
          <w:rFonts w:ascii="Arial" w:cs="Arial" w:eastAsia="Arial" w:hAnsi="Arial"/>
          <w:sz w:val="22"/>
          <w:szCs w:val="22"/>
          <w:color w:val="auto"/>
        </w:rPr>
        <w:t>duty or inheritance tax, then the imposition of any such tax shall not until 31 March 2035 be applicable to Weatherford Bermuda or any of its operations or its shares, debentures or other obligations, except insofar as such tax applies to persons ordinarily resident in Bermuda or to tax payable in accordance with the provisions of the Land Tax Act 1967 or otherwise payable in relation to any land leased to Weatherford Bermuda.</w:t>
      </w:r>
    </w:p>
    <w:p>
      <w:pPr>
        <w:spacing w:after="0" w:line="188" w:lineRule="exact"/>
        <w:rPr>
          <w:sz w:val="20"/>
          <w:szCs w:val="20"/>
          <w:color w:val="auto"/>
        </w:rPr>
      </w:pPr>
    </w:p>
    <w:p>
      <w:pPr>
        <w:jc w:val="both"/>
        <w:ind w:left="660" w:firstLine="645"/>
        <w:spacing w:after="0" w:line="288" w:lineRule="auto"/>
        <w:tabs>
          <w:tab w:leader="none" w:pos="22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Subsequent to the Execution Time or, if earlier, the dates as of which information is given in the Pricing Disclosure Package and the Final Memorandum (exclusive of any amendment or supplement thereto), there shall not have been (i) any change or decrease specified in the letter or letters referred to in paragraph (j) of this Section 6, or (ii) any change, or any development involving a 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160" w:lineRule="exact"/>
        <w:rPr>
          <w:rFonts w:ascii="Arial" w:cs="Arial" w:eastAsia="Arial" w:hAnsi="Arial"/>
          <w:sz w:val="19"/>
          <w:szCs w:val="19"/>
          <w:color w:val="auto"/>
        </w:rPr>
      </w:pPr>
    </w:p>
    <w:p>
      <w:pPr>
        <w:ind w:left="2200" w:hanging="895"/>
        <w:spacing w:after="0"/>
        <w:tabs>
          <w:tab w:leader="none" w:pos="22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660" w:firstLine="645"/>
        <w:spacing w:after="0" w:line="271" w:lineRule="auto"/>
        <w:tabs>
          <w:tab w:leader="none" w:pos="2209" w:val="left"/>
        </w:tabs>
        <w:numPr>
          <w:ilvl w:val="0"/>
          <w:numId w:val="31"/>
        </w:numPr>
        <w:rPr>
          <w:rFonts w:ascii="Arial" w:cs="Arial" w:eastAsia="Arial" w:hAnsi="Arial"/>
          <w:sz w:val="21"/>
          <w:szCs w:val="21"/>
          <w:color w:val="auto"/>
        </w:rPr>
      </w:pPr>
      <w:r>
        <w:rPr>
          <w:rFonts w:ascii="Arial" w:cs="Arial" w:eastAsia="Arial" w:hAnsi="Arial"/>
          <w:sz w:val="21"/>
          <w:szCs w:val="21"/>
          <w:color w:val="auto"/>
        </w:rPr>
        <w:t>For the purpose of effecting delivery of the Securities in book-entry form, the Company agrees to issue, in the name of Cede &amp; Co., such Securities being issued to the Initial Purchasers and to instruct Cede &amp; Co. to deliver the book-entry interest in such Securities to broker accounts as directed by the Initial Purchasers.</w:t>
      </w:r>
    </w:p>
    <w:p>
      <w:pPr>
        <w:spacing w:after="0" w:line="167" w:lineRule="exact"/>
        <w:rPr>
          <w:rFonts w:ascii="Arial" w:cs="Arial" w:eastAsia="Arial" w:hAnsi="Arial"/>
          <w:sz w:val="21"/>
          <w:szCs w:val="21"/>
          <w:color w:val="auto"/>
        </w:rPr>
      </w:pPr>
    </w:p>
    <w:p>
      <w:pPr>
        <w:jc w:val="both"/>
        <w:ind w:left="660" w:firstLine="645"/>
        <w:spacing w:after="0" w:line="248" w:lineRule="auto"/>
        <w:tabs>
          <w:tab w:leader="none" w:pos="220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and the Guarantors shall have executed and delivered the Indenture, in form and substance reasonably satisfactory to the Initial Purchasers, and the Initial Purchasers shall have received such executed counterparts. The Company and the Guarantors shall have executed and delivered the Registration Rights Agreement, in form and substance reasonably satisfactory to the Initial Purchasers, and the Initial Purchasers shall have received such executed counterparts.</w:t>
      </w:r>
    </w:p>
    <w:p>
      <w:pPr>
        <w:spacing w:after="0" w:line="192" w:lineRule="exact"/>
        <w:rPr>
          <w:rFonts w:ascii="Arial" w:cs="Arial" w:eastAsia="Arial" w:hAnsi="Arial"/>
          <w:sz w:val="22"/>
          <w:szCs w:val="22"/>
          <w:color w:val="auto"/>
        </w:rPr>
      </w:pPr>
    </w:p>
    <w:p>
      <w:pPr>
        <w:ind w:left="660" w:firstLine="645"/>
        <w:spacing w:after="0" w:line="287" w:lineRule="auto"/>
        <w:tabs>
          <w:tab w:leader="none" w:pos="2209" w:val="left"/>
        </w:tabs>
        <w:numPr>
          <w:ilvl w:val="0"/>
          <w:numId w:val="31"/>
        </w:numPr>
        <w:rPr>
          <w:rFonts w:ascii="Arial" w:cs="Arial" w:eastAsia="Arial" w:hAnsi="Arial"/>
          <w:sz w:val="21"/>
          <w:szCs w:val="21"/>
          <w:color w:val="auto"/>
        </w:rPr>
      </w:pPr>
      <w:r>
        <w:rPr>
          <w:rFonts w:ascii="Arial" w:cs="Arial" w:eastAsia="Arial" w:hAnsi="Arial"/>
          <w:sz w:val="21"/>
          <w:szCs w:val="21"/>
          <w:color w:val="auto"/>
        </w:rPr>
        <w:t>Prior to the Closing Date, the Company and the Guarantors shall have furnished to the Initial Purchasers such further information, certificates and documents as the Initial Purchasers may reasonably request.</w:t>
      </w:r>
    </w:p>
    <w:p>
      <w:pPr>
        <w:spacing w:after="0" w:line="15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Initial Purchasers, this Agreement and all obligations of the Initial Purchasers hereunder may be canceled on, or at any time prior to, the Closing Date by the Representative. Notice of such cancellation shall be given to the Company and the Guarantors in writing or by telephone or facsimile confirmed in writing.</w:t>
      </w:r>
    </w:p>
    <w:p>
      <w:pPr>
        <w:spacing w:after="0" w:line="14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The documents required to be delivered by this Section 6 shall be delivered at the office of Latham &amp; Watkins LLP, special counsel to the Company and the Guarantors, at 811 Main Street, Suite 3700, Houston, Texas 77002, on the Closing Date.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25" w:name="page26"/>
    <w:bookmarkEnd w:id="25"/>
    <w:p>
      <w:pPr>
        <w:jc w:val="both"/>
        <w:ind w:left="80" w:firstLine="1306"/>
        <w:spacing w:after="0" w:line="292" w:lineRule="auto"/>
        <w:tabs>
          <w:tab w:leader="none" w:pos="2106"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Reimbursement of the Initial Purchasers’ Expenses</w:t>
      </w:r>
      <w:r>
        <w:rPr>
          <w:rFonts w:ascii="Arial" w:cs="Arial" w:eastAsia="Arial" w:hAnsi="Arial"/>
          <w:sz w:val="19"/>
          <w:szCs w:val="19"/>
          <w:color w:val="auto"/>
        </w:rPr>
        <w:t>. If the sale of the Securities provided for herein is not consummated because any condition to the obligations of the Initial Purchasers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Initial Purchasers, the Company and the Guarantors will reimburse the Initial Purchasers for all reasonable documented out-of-pocket expenses (including reasonable fees and disbursements of counsel) that shall have been incurred by it in connection with the proposed purchase and sale of the Securities.</w:t>
      </w:r>
    </w:p>
    <w:p>
      <w:pPr>
        <w:spacing w:after="0" w:line="151" w:lineRule="exact"/>
        <w:rPr>
          <w:rFonts w:ascii="Arial" w:cs="Arial" w:eastAsia="Arial" w:hAnsi="Arial"/>
          <w:sz w:val="19"/>
          <w:szCs w:val="19"/>
          <w:color w:val="auto"/>
        </w:rPr>
      </w:pPr>
    </w:p>
    <w:p>
      <w:pPr>
        <w:jc w:val="both"/>
        <w:ind w:left="80" w:firstLine="1306"/>
        <w:spacing w:after="0" w:line="253" w:lineRule="auto"/>
        <w:tabs>
          <w:tab w:leader="none" w:pos="2106"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Offer, Sale and Resale Procedures</w:t>
      </w:r>
      <w:r>
        <w:rPr>
          <w:rFonts w:ascii="Arial" w:cs="Arial" w:eastAsia="Arial" w:hAnsi="Arial"/>
          <w:sz w:val="22"/>
          <w:szCs w:val="22"/>
          <w:color w:val="auto"/>
        </w:rPr>
        <w:t>. Each of the Initial Purchasers, on the one hand, and the Company and each of the Guarantors, on the other hand, hereby agree to observe the following procedures in connection with the offer and sale of the Securities:</w:t>
      </w:r>
    </w:p>
    <w:p>
      <w:pPr>
        <w:spacing w:after="0" w:line="226" w:lineRule="exact"/>
        <w:rPr>
          <w:rFonts w:ascii="Arial" w:cs="Arial" w:eastAsia="Arial" w:hAnsi="Arial"/>
          <w:sz w:val="22"/>
          <w:szCs w:val="22"/>
          <w:color w:val="auto"/>
        </w:rPr>
      </w:pPr>
    </w:p>
    <w:p>
      <w:pPr>
        <w:jc w:val="both"/>
        <w:ind w:left="660" w:firstLine="645"/>
        <w:spacing w:after="0" w:line="292" w:lineRule="auto"/>
        <w:tabs>
          <w:tab w:leader="none" w:pos="2196" w:val="left"/>
        </w:tabs>
        <w:numPr>
          <w:ilvl w:val="0"/>
          <w:numId w:val="33"/>
        </w:numPr>
        <w:rPr>
          <w:rFonts w:ascii="Arial" w:cs="Arial" w:eastAsia="Arial" w:hAnsi="Arial"/>
          <w:sz w:val="19"/>
          <w:szCs w:val="19"/>
          <w:color w:val="auto"/>
        </w:rPr>
      </w:pPr>
      <w:r>
        <w:rPr>
          <w:rFonts w:ascii="Arial" w:cs="Arial" w:eastAsia="Arial" w:hAnsi="Arial"/>
          <w:sz w:val="19"/>
          <w:szCs w:val="19"/>
          <w:color w:val="auto"/>
        </w:rPr>
        <w:t>Offers and sales of the Securities will be made only by the Initial Purchasers or Affiliates thereof qualified to do so in the jurisdictions in which such offers or sales are made. Each such offer or sale shall only be made to persons whom the offeror or seller reasonably believes to be Qualified Institutional Buyers or non-U.S. persons outside the United States to whom the offeror or seller reasonably believes offers and sales of the Securities may be made in reliance upon Regulation S upon the terms and conditions set forth in Annex I hereto, which Annex I is hereby expressly made a part hereof. Offers and sales of the Securities will not be made in the European Economic Area in circumstances which would require the publication of a prospectus pursuant to the Prospectus Directive or otherwise.</w:t>
      </w:r>
    </w:p>
    <w:p>
      <w:pPr>
        <w:spacing w:after="0" w:line="151" w:lineRule="exact"/>
        <w:rPr>
          <w:rFonts w:ascii="Arial" w:cs="Arial" w:eastAsia="Arial" w:hAnsi="Arial"/>
          <w:sz w:val="19"/>
          <w:szCs w:val="19"/>
          <w:color w:val="auto"/>
        </w:rPr>
      </w:pPr>
    </w:p>
    <w:p>
      <w:pPr>
        <w:ind w:left="660" w:right="20" w:firstLine="645"/>
        <w:spacing w:after="0" w:line="263" w:lineRule="auto"/>
        <w:tabs>
          <w:tab w:leader="none" w:pos="2209"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 general solicitation or general advertising (within the meaning of Rule 502 under the Act) will be used in the United States in connection with the offering of the Securities.</w:t>
      </w:r>
    </w:p>
    <w:p>
      <w:pPr>
        <w:spacing w:after="0" w:line="174" w:lineRule="exact"/>
        <w:rPr>
          <w:rFonts w:ascii="Arial" w:cs="Arial" w:eastAsia="Arial" w:hAnsi="Arial"/>
          <w:sz w:val="22"/>
          <w:szCs w:val="22"/>
          <w:color w:val="auto"/>
        </w:rPr>
      </w:pPr>
    </w:p>
    <w:p>
      <w:pPr>
        <w:jc w:val="both"/>
        <w:ind w:left="660" w:firstLine="645"/>
        <w:spacing w:after="0" w:line="250" w:lineRule="auto"/>
        <w:tabs>
          <w:tab w:leader="none" w:pos="21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Upon original issuance by the Company, and until such time as the same is no longer required under the applicable requirements of the Act, the Notes (and all securities issued in exchange therefor or in substitution thereof, other than the Exchange Notes) shall bear a legend in substantially the form set forth under “Transfer Restrictions” in the Preliminary Memorandum.</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Following the sale of the Securities by the Initial Purchasers to Subsequent Purchasers pursuant to the terms hereof, the Initial Purchasers shall not be liable or responsible to the Company for any losses, damages or liabilities suffered or incurred by the Company, including any losses, damages or liabilities under the Act, arising from or relating to any resale or transfer of any Security.</w:t>
      </w:r>
    </w:p>
    <w:p>
      <w:pPr>
        <w:spacing w:after="0" w:line="188" w:lineRule="exact"/>
        <w:rPr>
          <w:sz w:val="20"/>
          <w:szCs w:val="20"/>
          <w:color w:val="auto"/>
        </w:rPr>
      </w:pPr>
    </w:p>
    <w:p>
      <w:pPr>
        <w:ind w:left="2120" w:hanging="734"/>
        <w:spacing w:after="0"/>
        <w:tabs>
          <w:tab w:leader="none" w:pos="212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90" w:lineRule="auto"/>
        <w:tabs>
          <w:tab w:leader="none" w:pos="2196" w:val="left"/>
        </w:tabs>
        <w:numPr>
          <w:ilvl w:val="0"/>
          <w:numId w:val="35"/>
        </w:numPr>
        <w:rPr>
          <w:rFonts w:ascii="Arial" w:cs="Arial" w:eastAsia="Arial" w:hAnsi="Arial"/>
          <w:sz w:val="19"/>
          <w:szCs w:val="19"/>
          <w:color w:val="auto"/>
        </w:rPr>
      </w:pPr>
      <w:r>
        <w:rPr>
          <w:rFonts w:ascii="Arial" w:cs="Arial" w:eastAsia="Arial" w:hAnsi="Arial"/>
          <w:sz w:val="19"/>
          <w:szCs w:val="19"/>
          <w:color w:val="auto"/>
        </w:rPr>
        <w:t>Each of the Company and the Guarantors agrees to indemnify and hold harmless each Initial Purchaser, its Affiliates, directors, officers and employees,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Memorandum, the Pricing Supplement, any Company Additional Written Communication or the Final Memorandum, or in any amendment thereof or supplement thereto,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63" w:right="239" w:bottom="1440" w:gutter="0" w:footer="0" w:header="0"/>
        </w:sectPr>
      </w:pPr>
    </w:p>
    <w:bookmarkStart w:id="26" w:name="page27"/>
    <w:bookmarkEnd w:id="26"/>
    <w:p>
      <w:pPr>
        <w:jc w:val="both"/>
        <w:ind w:left="4"/>
        <w:spacing w:after="0" w:line="288" w:lineRule="auto"/>
        <w:rPr>
          <w:sz w:val="20"/>
          <w:szCs w:val="20"/>
          <w:color w:val="auto"/>
        </w:rPr>
      </w:pPr>
      <w:r>
        <w:rPr>
          <w:rFonts w:ascii="Arial" w:cs="Arial" w:eastAsia="Arial" w:hAnsi="Arial"/>
          <w:sz w:val="19"/>
          <w:szCs w:val="19"/>
          <w:color w:val="auto"/>
        </w:rPr>
        <w:t xml:space="preserve">arise out of or are based upon the omission or alleged omission to state therein a material fact necessary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such Initial Purchaser specifically for inclusion therein, it being understood and agreed that the only such information furnished by or on behalf of any Initial Purchaser consists of the information described as such in Section 9(b) hereof. This indemnity agreement will be in addition to any liability which the Company or the Guarantors may otherwise have.</w:t>
      </w:r>
    </w:p>
    <w:p>
      <w:pPr>
        <w:spacing w:after="0" w:line="160" w:lineRule="exact"/>
        <w:rPr>
          <w:sz w:val="20"/>
          <w:szCs w:val="20"/>
          <w:color w:val="auto"/>
        </w:rPr>
      </w:pPr>
    </w:p>
    <w:p>
      <w:pPr>
        <w:jc w:val="both"/>
        <w:ind w:left="4" w:firstLine="645"/>
        <w:spacing w:after="0" w:line="284" w:lineRule="auto"/>
        <w:tabs>
          <w:tab w:leader="none" w:pos="1552" w:val="left"/>
        </w:tabs>
        <w:numPr>
          <w:ilvl w:val="1"/>
          <w:numId w:val="36"/>
        </w:numPr>
        <w:rPr>
          <w:rFonts w:ascii="Arial" w:cs="Arial" w:eastAsia="Arial" w:hAnsi="Arial"/>
          <w:sz w:val="19"/>
          <w:szCs w:val="19"/>
          <w:color w:val="auto"/>
        </w:rPr>
      </w:pPr>
      <w:r>
        <w:rPr>
          <w:rFonts w:ascii="Arial" w:cs="Arial" w:eastAsia="Arial" w:hAnsi="Arial"/>
          <w:sz w:val="19"/>
          <w:szCs w:val="19"/>
          <w:color w:val="auto"/>
        </w:rPr>
        <w:t>Each Initial Purchaser agrees, severally and not jointly, to indemnify and hold harmless the Company and the Guarantors, each of their respective directors or members and each person who controls the Company or the Guarantors within the meaning of either the Act or the Exchange Act, to the same extent as the foregoing indemnity from the Company and the Guarantors to such Initial Purchaser, but only with reference to written information relating to such Initial Purchaser furnished to the Company and the Guarantors by or on behalf of such Initial Purchaser specifically for inclusion in the documents referred to in the foregoing indemnity. This indemnity agreement will be in addition to any liability which each Initial Purchaser may otherwise have. Each of the Company and the Guarantors acknowledges that the statements set forth</w:t>
      </w:r>
    </w:p>
    <w:p>
      <w:pPr>
        <w:spacing w:after="0" w:line="4" w:lineRule="exact"/>
        <w:rPr>
          <w:rFonts w:ascii="Arial" w:cs="Arial" w:eastAsia="Arial" w:hAnsi="Arial"/>
          <w:sz w:val="19"/>
          <w:szCs w:val="19"/>
          <w:color w:val="auto"/>
        </w:rPr>
      </w:pPr>
    </w:p>
    <w:p>
      <w:pPr>
        <w:jc w:val="both"/>
        <w:ind w:left="4" w:hanging="4"/>
        <w:spacing w:after="0" w:line="244" w:lineRule="auto"/>
        <w:tabs>
          <w:tab w:leader="none" w:pos="31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last paragraph of the cover page regarding delivery of the Securities and (ii) under the heading “Plan of Distribution,” in the last three paragraphs before the heading “-Other Relationships” in the Preliminary Memorandum and the Final Memorandum constitute the only information furnished in writing by or on behalf of any Initial Purchaser for inclusion in the Preliminary Memorandum, the Pricing Supplement, any Company Additional Written Communication or the Final Memorandum.</w:t>
      </w:r>
    </w:p>
    <w:p>
      <w:pPr>
        <w:spacing w:after="0" w:line="195" w:lineRule="exact"/>
        <w:rPr>
          <w:rFonts w:ascii="Arial" w:cs="Arial" w:eastAsia="Arial" w:hAnsi="Arial"/>
          <w:sz w:val="22"/>
          <w:szCs w:val="22"/>
          <w:color w:val="auto"/>
        </w:rPr>
      </w:pPr>
    </w:p>
    <w:p>
      <w:pPr>
        <w:jc w:val="both"/>
        <w:ind w:left="4" w:firstLine="645"/>
        <w:spacing w:after="0" w:line="285" w:lineRule="auto"/>
        <w:tabs>
          <w:tab w:leader="none" w:pos="15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4"/>
          </w:cols>
          <w:pgMar w:left="896" w:top="591" w:right="239" w:bottom="1440" w:gutter="0" w:footer="0" w:header="0"/>
        </w:sectPr>
      </w:pPr>
    </w:p>
    <w:bookmarkStart w:id="27" w:name="page28"/>
    <w:bookmarkEnd w:id="27"/>
    <w:p>
      <w:pPr>
        <w:jc w:val="both"/>
        <w:spacing w:after="0" w:line="285" w:lineRule="auto"/>
        <w:rPr>
          <w:sz w:val="20"/>
          <w:szCs w:val="20"/>
          <w:color w:val="auto"/>
        </w:rPr>
      </w:pPr>
      <w:r>
        <w:rPr>
          <w:rFonts w:ascii="Arial" w:cs="Arial" w:eastAsia="Arial" w:hAnsi="Arial"/>
          <w:sz w:val="19"/>
          <w:szCs w:val="19"/>
          <w:color w:val="auto"/>
        </w:rPr>
        <w:t>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9(a)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 by or on behalf of any indemnified party.</w:t>
      </w:r>
    </w:p>
    <w:p>
      <w:pPr>
        <w:spacing w:after="0" w:line="200" w:lineRule="exact"/>
        <w:rPr>
          <w:sz w:val="20"/>
          <w:szCs w:val="20"/>
          <w:color w:val="auto"/>
        </w:rPr>
      </w:pPr>
    </w:p>
    <w:p>
      <w:pPr>
        <w:spacing w:after="0" w:line="216" w:lineRule="exact"/>
        <w:rPr>
          <w:sz w:val="20"/>
          <w:szCs w:val="20"/>
          <w:color w:val="auto"/>
        </w:rPr>
      </w:pPr>
    </w:p>
    <w:p>
      <w:pPr>
        <w:jc w:val="both"/>
        <w:ind w:firstLine="645"/>
        <w:spacing w:after="0" w:line="285" w:lineRule="auto"/>
        <w:tabs>
          <w:tab w:leader="none" w:pos="1549"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or (c) of this Section 9 is unavailable to or insufficient to hold harmless an indemnified party for any reason, the Company, the Guarantors and each Initial Purchaser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9"/>
          <w:szCs w:val="19"/>
          <w:b w:val="1"/>
          <w:bCs w:val="1"/>
          <w:color w:val="auto"/>
        </w:rPr>
        <w:t>Losses</w:t>
      </w:r>
      <w:r>
        <w:rPr>
          <w:rFonts w:ascii="Arial" w:cs="Arial" w:eastAsia="Arial" w:hAnsi="Arial"/>
          <w:sz w:val="19"/>
          <w:szCs w:val="19"/>
          <w:color w:val="auto"/>
        </w:rPr>
        <w:t>”) to which the Company, the Guarantors and such Initial Purchaser may be subject in such proportion as is appropriate to reflect the relative benefits received by the Company and the Guarantors, on the one hand, and by such Initial Purchaser, on the other, from the offering of the Securities. If the allocation provided by the immediately preceding sentence is unavailable for any reason, the Company, the Guarantors and each Initial Purchaser severally shall contribute in such proportion as is appropriate to reflect not only such relative benefits but also the relative fault of the Company and the Guarantors, on the one hand, and of such Initial Purchaser,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each Initial Purchaser shall be deemed to be equal to the total discount received by such Initial Purchaser, in each case as set forth on the cover page of the Final Memorandum. Relative fault shall be determined by reference to, among other things, whether any untrue or any alleged untrue statement of a material fact or the omission or alleged omission to state a material fact relates to information provided by the Company or the Guarantors, on the one hand, or any Initial Purchaser, on the other, the intent of the parties and their relative knowledge, access to information and opportunity to correct or prevent such untrue statement or omission. The Company, the Guarantors and each Initial Purchaser agree that it would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900" w:top="591" w:right="239" w:bottom="1440" w:gutter="0" w:footer="0" w:header="0"/>
        </w:sectPr>
      </w:pPr>
    </w:p>
    <w:bookmarkStart w:id="28" w:name="page29"/>
    <w:bookmarkEnd w:id="28"/>
    <w:p>
      <w:pPr>
        <w:jc w:val="both"/>
        <w:ind w:left="580"/>
        <w:spacing w:after="0" w:line="286" w:lineRule="auto"/>
        <w:rPr>
          <w:sz w:val="20"/>
          <w:szCs w:val="20"/>
          <w:color w:val="auto"/>
        </w:rPr>
      </w:pPr>
      <w:r>
        <w:rPr>
          <w:rFonts w:ascii="Arial" w:cs="Arial" w:eastAsia="Arial" w:hAnsi="Arial"/>
          <w:sz w:val="19"/>
          <w:szCs w:val="19"/>
          <w:color w:val="auto"/>
        </w:rPr>
        <w:t>not be just and equitable if contribution were determined by pro rata allocation or any other method of allocation which does not take account of the equitable considerations referred to above. Notwithstanding the provisions of this paragraph (d), in no event shall any Initial Purchaser be required to contribute any amount in excess of the amount by which the total discount received by such Initial Purchaser with respect to the offering of the Securities exceeds the amount of any damages that such Initial Purchaser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9, each person who controls any Initial Purchaser within the meaning of either the Act or the Exchange Act and each director, officer, employee, affiliate and agent of such Initial Purchaser shall have the same rights to contribution as such Initial Purchaser, and each person who controls the Company or the Guarantors within the meaning of either the Act or the Exchange Act and each director or member of the Company or the Guarantors shall have the same rights to contribution as the Company and the Guarantors, subject in each case to the applicable terms and conditions of this paragraph (d).</w:t>
      </w:r>
    </w:p>
    <w:p>
      <w:pPr>
        <w:spacing w:after="0" w:line="167" w:lineRule="exact"/>
        <w:rPr>
          <w:sz w:val="20"/>
          <w:szCs w:val="20"/>
          <w:color w:val="auto"/>
        </w:rPr>
      </w:pPr>
    </w:p>
    <w:p>
      <w:pPr>
        <w:jc w:val="both"/>
        <w:ind w:firstLine="1306"/>
        <w:spacing w:after="0" w:line="258" w:lineRule="auto"/>
        <w:tabs>
          <w:tab w:leader="none" w:pos="2134"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shall be subject to termination in the absolute discretion of the Representative, by notice given to the Company prior to delivery of and payment for the Securities, if at any time prior to such delivery and payment (i) (A) trading in the Parent Guarantor’s Ordinary Shares or any securities of the Parent Guarantor shall have been suspended or limited by the Commission or the New York Stock Exchange or (B) 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 impractical or inadvisable to proceed with the offering or delivery of the Securities as contemplated by the Preliminary Memorandum, the Pricing Supplement or the Final Memorandum (exclusive of any amendment or supplement thereto).</w:t>
      </w:r>
    </w:p>
    <w:p>
      <w:pPr>
        <w:spacing w:after="0" w:line="180" w:lineRule="exact"/>
        <w:rPr>
          <w:rFonts w:ascii="Arial" w:cs="Arial" w:eastAsia="Arial" w:hAnsi="Arial"/>
          <w:sz w:val="21"/>
          <w:szCs w:val="21"/>
          <w:color w:val="auto"/>
        </w:rPr>
      </w:pPr>
    </w:p>
    <w:p>
      <w:pPr>
        <w:jc w:val="both"/>
        <w:ind w:firstLine="1306"/>
        <w:spacing w:after="0" w:line="294" w:lineRule="auto"/>
        <w:tabs>
          <w:tab w:leader="none" w:pos="212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Representations and Indemnities to Survive</w:t>
      </w:r>
      <w:r>
        <w:rPr>
          <w:rFonts w:ascii="Arial" w:cs="Arial" w:eastAsia="Arial" w:hAnsi="Arial"/>
          <w:sz w:val="19"/>
          <w:szCs w:val="19"/>
          <w:color w:val="auto"/>
        </w:rPr>
        <w:t>. The respective agreements, representations, warranties, indemnities, rights of contribution and other statements of the Company, the Guarantors or their respective officers and of the Initial Purchasers set forth in or made pursuant to this Agreement will remain in full force and effect, regardless of any investigation made by or on behalf of any Initial Purchaser or the Company, the Guarantors or any of the officers, directors, employees, affiliates or controlling persons referred to in Section 9 hereof, and will survive delivery of and payment for the Securities. The provisions of Sections 7 and 9 hereof shall survive the termination or cancellation of this Agreement.</w:t>
      </w:r>
    </w:p>
    <w:p>
      <w:pPr>
        <w:spacing w:after="0" w:line="149" w:lineRule="exact"/>
        <w:rPr>
          <w:rFonts w:ascii="Arial" w:cs="Arial" w:eastAsia="Arial" w:hAnsi="Arial"/>
          <w:sz w:val="19"/>
          <w:szCs w:val="19"/>
          <w:color w:val="auto"/>
        </w:rPr>
      </w:pPr>
    </w:p>
    <w:p>
      <w:pPr>
        <w:ind w:left="2140" w:hanging="834"/>
        <w:spacing w:after="0"/>
        <w:tabs>
          <w:tab w:leader="none" w:pos="214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Recognition of Bail-In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580" w:firstLine="645"/>
        <w:spacing w:after="0" w:line="302" w:lineRule="auto"/>
        <w:tabs>
          <w:tab w:leader="none" w:pos="2116"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and to the exclusion of any other term of this Agreement or any other agreements, arrangements or understanding between the Initial Purchasers and the Company and the Guarantors, the Company and each of the Guarantors acknowledges and accepts that a BRRD Liability arising under this Agreement may be subject to the exercise of Bail-in Powers by the Relevant Resolution Authority, and acknowledges, accepts, and agrees to be bound by:</w:t>
      </w:r>
    </w:p>
    <w:p>
      <w:pPr>
        <w:spacing w:after="0" w:line="142" w:lineRule="exact"/>
        <w:rPr>
          <w:rFonts w:ascii="Arial" w:cs="Arial" w:eastAsia="Arial" w:hAnsi="Arial"/>
          <w:sz w:val="19"/>
          <w:szCs w:val="19"/>
          <w:color w:val="auto"/>
        </w:rPr>
      </w:pPr>
    </w:p>
    <w:p>
      <w:pPr>
        <w:ind w:left="1220" w:firstLine="653"/>
        <w:spacing w:after="0" w:line="263" w:lineRule="auto"/>
        <w:tabs>
          <w:tab w:leader="none" w:pos="2720"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effect of the exercise of Bail-in Powers by the Relevant Resolution Authority in relation to any BRRD Liability of the Initial Purchasers to the Company or a</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591" w:right="239" w:bottom="1440" w:gutter="0" w:footer="0" w:header="0"/>
        </w:sectPr>
      </w:pPr>
    </w:p>
    <w:bookmarkStart w:id="29" w:name="page30"/>
    <w:bookmarkEnd w:id="29"/>
    <w:p>
      <w:pPr>
        <w:ind w:left="100"/>
        <w:spacing w:after="0" w:line="263" w:lineRule="auto"/>
        <w:rPr>
          <w:sz w:val="20"/>
          <w:szCs w:val="20"/>
          <w:color w:val="auto"/>
        </w:rPr>
      </w:pPr>
      <w:r>
        <w:rPr>
          <w:rFonts w:ascii="Arial" w:cs="Arial" w:eastAsia="Arial" w:hAnsi="Arial"/>
          <w:sz w:val="22"/>
          <w:szCs w:val="22"/>
          <w:color w:val="auto"/>
        </w:rPr>
        <w:t>Guarantor under this Agreement, that (without limitation) may include and result in any of the following, or some combination thereof:</w:t>
      </w:r>
    </w:p>
    <w:p>
      <w:pPr>
        <w:spacing w:after="0" w:line="175" w:lineRule="exact"/>
        <w:rPr>
          <w:sz w:val="20"/>
          <w:szCs w:val="20"/>
          <w:color w:val="auto"/>
        </w:rPr>
      </w:pPr>
    </w:p>
    <w:p>
      <w:pPr>
        <w:ind w:left="2200" w:hanging="799"/>
        <w:spacing w:after="0"/>
        <w:tabs>
          <w:tab w:leader="none" w:pos="2200" w:val="left"/>
        </w:tabs>
        <w:numPr>
          <w:ilvl w:val="2"/>
          <w:numId w:val="41"/>
        </w:numPr>
        <w:rPr>
          <w:rFonts w:ascii="Arial" w:cs="Arial" w:eastAsia="Arial" w:hAnsi="Arial"/>
          <w:sz w:val="19"/>
          <w:szCs w:val="19"/>
          <w:color w:val="auto"/>
        </w:rPr>
      </w:pPr>
      <w:r>
        <w:rPr>
          <w:rFonts w:ascii="Arial" w:cs="Arial" w:eastAsia="Arial" w:hAnsi="Arial"/>
          <w:sz w:val="19"/>
          <w:szCs w:val="19"/>
          <w:color w:val="auto"/>
        </w:rPr>
        <w:t>the reduction of all, or a portion, of the BRRD Liability or outstanding amounts due thereon;</w:t>
      </w:r>
    </w:p>
    <w:p>
      <w:pPr>
        <w:spacing w:after="0" w:line="254" w:lineRule="exact"/>
        <w:rPr>
          <w:rFonts w:ascii="Arial" w:cs="Arial" w:eastAsia="Arial" w:hAnsi="Arial"/>
          <w:sz w:val="19"/>
          <w:szCs w:val="19"/>
          <w:color w:val="auto"/>
        </w:rPr>
      </w:pPr>
    </w:p>
    <w:p>
      <w:pPr>
        <w:jc w:val="both"/>
        <w:ind w:left="760" w:firstLine="641"/>
        <w:spacing w:after="0" w:line="253" w:lineRule="auto"/>
        <w:tabs>
          <w:tab w:leader="none" w:pos="2219"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conversion of all, or a portion, of the BRRD Liability into shares, other securities or other obligations of the relevant Initial Purchaser(s) or another person, and the issue to or conferral on the Company or a Guarantor of such shares, securities or obligations;</w:t>
      </w:r>
    </w:p>
    <w:p>
      <w:pPr>
        <w:spacing w:after="0" w:line="185" w:lineRule="exact"/>
        <w:rPr>
          <w:rFonts w:ascii="Arial" w:cs="Arial" w:eastAsia="Arial" w:hAnsi="Arial"/>
          <w:sz w:val="22"/>
          <w:szCs w:val="22"/>
          <w:color w:val="auto"/>
        </w:rPr>
      </w:pPr>
    </w:p>
    <w:p>
      <w:pPr>
        <w:ind w:left="2200" w:hanging="799"/>
        <w:spacing w:after="0"/>
        <w:tabs>
          <w:tab w:leader="none" w:pos="2200"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cancellation of the BRRD Liability;</w:t>
      </w:r>
    </w:p>
    <w:p>
      <w:pPr>
        <w:spacing w:after="0" w:line="219" w:lineRule="exact"/>
        <w:rPr>
          <w:rFonts w:ascii="Arial" w:cs="Arial" w:eastAsia="Arial" w:hAnsi="Arial"/>
          <w:sz w:val="22"/>
          <w:szCs w:val="22"/>
          <w:color w:val="auto"/>
        </w:rPr>
      </w:pPr>
    </w:p>
    <w:p>
      <w:pPr>
        <w:ind w:left="760" w:firstLine="641"/>
        <w:spacing w:after="0" w:line="287" w:lineRule="auto"/>
        <w:tabs>
          <w:tab w:leader="none" w:pos="2219" w:val="left"/>
        </w:tabs>
        <w:numPr>
          <w:ilvl w:val="2"/>
          <w:numId w:val="41"/>
        </w:numPr>
        <w:rPr>
          <w:rFonts w:ascii="Arial" w:cs="Arial" w:eastAsia="Arial" w:hAnsi="Arial"/>
          <w:sz w:val="21"/>
          <w:szCs w:val="21"/>
          <w:color w:val="auto"/>
        </w:rPr>
      </w:pPr>
      <w:r>
        <w:rPr>
          <w:rFonts w:ascii="Arial" w:cs="Arial" w:eastAsia="Arial" w:hAnsi="Arial"/>
          <w:sz w:val="21"/>
          <w:szCs w:val="21"/>
          <w:color w:val="auto"/>
        </w:rPr>
        <w:t>the amendment or alteration of any interest, if applicable, thereon, the maturity or the dates on which any payments are due, including by suspending payment for a temporary period;</w:t>
      </w:r>
    </w:p>
    <w:p>
      <w:pPr>
        <w:spacing w:after="0" w:line="151" w:lineRule="exact"/>
        <w:rPr>
          <w:rFonts w:ascii="Arial" w:cs="Arial" w:eastAsia="Arial" w:hAnsi="Arial"/>
          <w:sz w:val="21"/>
          <w:szCs w:val="21"/>
          <w:color w:val="auto"/>
        </w:rPr>
      </w:pPr>
    </w:p>
    <w:p>
      <w:pPr>
        <w:ind w:left="100" w:firstLine="653"/>
        <w:spacing w:after="0" w:line="287" w:lineRule="auto"/>
        <w:tabs>
          <w:tab w:leader="none" w:pos="1660"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variation of the terms of this Agreement, as deemed necessary by the Relevant Resolution Authority, to give effect to the exercise of Bail-in Powers by the Relevant Resolution Authority.</w:t>
      </w:r>
    </w:p>
    <w:p>
      <w:pPr>
        <w:spacing w:after="0" w:line="151" w:lineRule="exact"/>
        <w:rPr>
          <w:rFonts w:ascii="Arial" w:cs="Arial" w:eastAsia="Arial" w:hAnsi="Arial"/>
          <w:sz w:val="21"/>
          <w:szCs w:val="21"/>
          <w:color w:val="auto"/>
        </w:rPr>
      </w:pPr>
    </w:p>
    <w:p>
      <w:pPr>
        <w:ind w:left="1000" w:hanging="895"/>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For purposes of this Section 12:</w:t>
      </w:r>
    </w:p>
    <w:p>
      <w:pPr>
        <w:spacing w:after="0" w:line="260" w:lineRule="exact"/>
        <w:rPr>
          <w:rFonts w:ascii="Arial" w:cs="Arial" w:eastAsia="Arial" w:hAnsi="Arial"/>
          <w:sz w:val="22"/>
          <w:szCs w:val="22"/>
          <w:color w:val="auto"/>
        </w:rPr>
      </w:pPr>
    </w:p>
    <w:p>
      <w:pPr>
        <w:jc w:val="both"/>
        <w:ind w:left="100" w:firstLine="653"/>
        <w:spacing w:after="0" w:line="271" w:lineRule="auto"/>
        <w:tabs>
          <w:tab w:leader="none" w:pos="16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68" w:lineRule="exact"/>
        <w:rPr>
          <w:sz w:val="20"/>
          <w:szCs w:val="20"/>
          <w:color w:val="auto"/>
        </w:rPr>
      </w:pPr>
    </w:p>
    <w:p>
      <w:pPr>
        <w:ind w:left="100" w:firstLine="653"/>
        <w:spacing w:after="0" w:line="263" w:lineRule="auto"/>
        <w:tabs>
          <w:tab w:leader="none" w:pos="1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Powers</w:t>
      </w:r>
      <w:r>
        <w:rPr>
          <w:rFonts w:ascii="Arial" w:cs="Arial" w:eastAsia="Arial" w:hAnsi="Arial"/>
          <w:sz w:val="22"/>
          <w:szCs w:val="22"/>
          <w:color w:val="auto"/>
        </w:rPr>
        <w:t>” means any Write-down and Conversion Powers as defined in the EU Bail-in Legislation Schedule in relation to the relevant Bail-in Legislation.</w:t>
      </w:r>
    </w:p>
    <w:p>
      <w:pPr>
        <w:spacing w:after="0" w:line="174" w:lineRule="exact"/>
        <w:rPr>
          <w:rFonts w:ascii="Arial" w:cs="Arial" w:eastAsia="Arial" w:hAnsi="Arial"/>
          <w:sz w:val="22"/>
          <w:szCs w:val="22"/>
          <w:color w:val="auto"/>
        </w:rPr>
      </w:pPr>
    </w:p>
    <w:p>
      <w:pPr>
        <w:ind w:left="100" w:firstLine="653"/>
        <w:spacing w:after="0" w:line="263" w:lineRule="auto"/>
        <w:tabs>
          <w:tab w:leader="none" w:pos="1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BRRD</w:t>
      </w:r>
      <w:r>
        <w:rPr>
          <w:rFonts w:ascii="Arial" w:cs="Arial" w:eastAsia="Arial" w:hAnsi="Arial"/>
          <w:sz w:val="22"/>
          <w:szCs w:val="22"/>
          <w:color w:val="auto"/>
        </w:rPr>
        <w:t>” means Directive 2014/59/EU establishing a framework for the recovery and resolution of credit institutions and investment firms.</w:t>
      </w:r>
    </w:p>
    <w:p>
      <w:pPr>
        <w:spacing w:after="0" w:line="174" w:lineRule="exact"/>
        <w:rPr>
          <w:rFonts w:ascii="Arial" w:cs="Arial" w:eastAsia="Arial" w:hAnsi="Arial"/>
          <w:sz w:val="22"/>
          <w:szCs w:val="22"/>
          <w:color w:val="auto"/>
        </w:rPr>
      </w:pPr>
    </w:p>
    <w:p>
      <w:pPr>
        <w:ind w:left="100" w:firstLine="653"/>
        <w:spacing w:after="0" w:line="263" w:lineRule="auto"/>
        <w:tabs>
          <w:tab w:leader="none" w:pos="170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BRRD Liability</w:t>
      </w:r>
      <w:r>
        <w:rPr>
          <w:rFonts w:ascii="Arial" w:cs="Arial" w:eastAsia="Arial" w:hAnsi="Arial"/>
          <w:sz w:val="22"/>
          <w:szCs w:val="22"/>
          <w:color w:val="auto"/>
        </w:rPr>
        <w:t>” means a liability in respect of which the relevant Bail-in Powers in the applicable Bail-in Legislation may be exercised.</w:t>
      </w:r>
    </w:p>
    <w:p>
      <w:pPr>
        <w:spacing w:after="0" w:line="174" w:lineRule="exact"/>
        <w:rPr>
          <w:rFonts w:ascii="Arial" w:cs="Arial" w:eastAsia="Arial" w:hAnsi="Arial"/>
          <w:sz w:val="22"/>
          <w:szCs w:val="22"/>
          <w:color w:val="auto"/>
        </w:rPr>
      </w:pPr>
    </w:p>
    <w:p>
      <w:pPr>
        <w:jc w:val="both"/>
        <w:ind w:left="100" w:firstLine="653"/>
        <w:spacing w:after="0" w:line="253" w:lineRule="auto"/>
        <w:tabs>
          <w:tab w:leader="none" w:pos="1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document described as such, then in effect, and published by the Loan Market Association (or any successor person) from time to time at http://www.lma.eu.com/pages.aspx?p=499.</w:t>
      </w:r>
    </w:p>
    <w:p>
      <w:pPr>
        <w:spacing w:after="0" w:line="185" w:lineRule="exact"/>
        <w:rPr>
          <w:rFonts w:ascii="Arial" w:cs="Arial" w:eastAsia="Arial" w:hAnsi="Arial"/>
          <w:sz w:val="22"/>
          <w:szCs w:val="22"/>
          <w:color w:val="auto"/>
        </w:rPr>
      </w:pPr>
    </w:p>
    <w:p>
      <w:pPr>
        <w:ind w:left="100" w:firstLine="653"/>
        <w:spacing w:after="0" w:line="263" w:lineRule="auto"/>
        <w:tabs>
          <w:tab w:leader="none" w:pos="170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Resolution Authority</w:t>
      </w:r>
      <w:r>
        <w:rPr>
          <w:rFonts w:ascii="Arial" w:cs="Arial" w:eastAsia="Arial" w:hAnsi="Arial"/>
          <w:sz w:val="22"/>
          <w:szCs w:val="22"/>
          <w:color w:val="auto"/>
        </w:rPr>
        <w:t>” means the resolution authority with the ability to exercise any Bail-in Powers in relation to any of the Initial Purchasers.</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1440" w:top="591" w:right="239" w:bottom="1440" w:gutter="0" w:footer="0" w:header="0"/>
        </w:sectPr>
      </w:pPr>
    </w:p>
    <w:bookmarkStart w:id="30" w:name="page31"/>
    <w:bookmarkEnd w:id="30"/>
    <w:p>
      <w:pPr>
        <w:jc w:val="both"/>
        <w:ind w:firstLine="1306"/>
        <w:spacing w:after="0" w:line="247" w:lineRule="auto"/>
        <w:tabs>
          <w:tab w:leader="none" w:pos="213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will be in writing and effective only on receipt, and, if sent to the Initial Purchasers, will be mailed, delivered or telefaxed to Deutsche Bank Securities Inc., 60 Wall Street, New York, New York 10005, Attention: Leveraged Debt Capital Markets, 2nd Floor, with a copy to the attention of the General Counsel, 36th Floor (Fax: (646) 374-1071); or, if sent to the Company or the Guarantors, will be mailed or delivered to Weststrasse 1, Baar, 6340, Switzerland, and confirmed to it at c/o Weatherford International, LLC, 2000 St. James Place, Houston, Texas 77056, U.S.A., attention of General Counsel.</w:t>
      </w:r>
    </w:p>
    <w:p>
      <w:pPr>
        <w:spacing w:after="0" w:line="193" w:lineRule="exact"/>
        <w:rPr>
          <w:rFonts w:ascii="Arial" w:cs="Arial" w:eastAsia="Arial" w:hAnsi="Arial"/>
          <w:sz w:val="22"/>
          <w:szCs w:val="22"/>
          <w:color w:val="auto"/>
        </w:rPr>
      </w:pPr>
    </w:p>
    <w:p>
      <w:pPr>
        <w:jc w:val="both"/>
        <w:ind w:firstLine="1306"/>
        <w:spacing w:after="0" w:line="253" w:lineRule="auto"/>
        <w:tabs>
          <w:tab w:leader="none" w:pos="213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85" w:lineRule="exact"/>
        <w:rPr>
          <w:rFonts w:ascii="Arial" w:cs="Arial" w:eastAsia="Arial" w:hAnsi="Arial"/>
          <w:sz w:val="22"/>
          <w:szCs w:val="22"/>
          <w:color w:val="auto"/>
        </w:rPr>
      </w:pPr>
    </w:p>
    <w:p>
      <w:pPr>
        <w:jc w:val="both"/>
        <w:ind w:firstLine="1306"/>
        <w:spacing w:after="0" w:line="258" w:lineRule="auto"/>
        <w:tabs>
          <w:tab w:leader="none" w:pos="213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No Fiduciary Duty</w:t>
      </w:r>
      <w:r>
        <w:rPr>
          <w:rFonts w:ascii="Arial" w:cs="Arial" w:eastAsia="Arial" w:hAnsi="Arial"/>
          <w:sz w:val="21"/>
          <w:szCs w:val="21"/>
          <w:color w:val="auto"/>
        </w:rPr>
        <w:t>. Each of the Company and the Guarantors hereby acknowledges that (i) the purchase and sale of the Securities pursuant to this Agreement is an arm’s-length commercial transaction between the Company and the Guarantors, on the one hand, and each Initial Purchaser and any Affiliate through which it may be acting, on the other, (ii) each Initial Purchaser is acting as principal and not as an agent or fiduciary of either the Company or the Guarantors and (iii) the Company’s engagement of each Initial Purchaser in connection with the offering and the process leading up to the offering is as an independent contractor and not in any other capacity. Furthermore, each of the Company and the Guarantors agrees that it is solely responsible for making its own judgments in connection with the offering (irrespective of whether any Initial Purchaser has advised or is currently advising the Company or the Guarantors on related or other matters). Each of the Company and the Guarantors agrees that it will not claim that any Initial Purchaser has rendered advisory services of any nature or respect, or owe an agency, fiduciary or similar duty to either the Company or the Guarantors, in connection with such transaction or the process leading thereto.</w:t>
      </w:r>
    </w:p>
    <w:p>
      <w:pPr>
        <w:spacing w:after="0" w:line="183" w:lineRule="exact"/>
        <w:rPr>
          <w:rFonts w:ascii="Arial" w:cs="Arial" w:eastAsia="Arial" w:hAnsi="Arial"/>
          <w:sz w:val="21"/>
          <w:szCs w:val="21"/>
          <w:color w:val="auto"/>
        </w:rPr>
      </w:pPr>
    </w:p>
    <w:p>
      <w:pPr>
        <w:ind w:firstLine="1306"/>
        <w:spacing w:after="0" w:line="287" w:lineRule="auto"/>
        <w:tabs>
          <w:tab w:leader="none" w:pos="213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supersedes all prior agreements and understandings (whether written or oral) between the Company, the Guarantors and the Initial Purchasers with respect to the subject matter hereof.</w:t>
      </w:r>
    </w:p>
    <w:p>
      <w:pPr>
        <w:spacing w:after="0" w:line="151" w:lineRule="exact"/>
        <w:rPr>
          <w:rFonts w:ascii="Arial" w:cs="Arial" w:eastAsia="Arial" w:hAnsi="Arial"/>
          <w:sz w:val="21"/>
          <w:szCs w:val="21"/>
          <w:color w:val="auto"/>
        </w:rPr>
      </w:pPr>
    </w:p>
    <w:p>
      <w:pPr>
        <w:jc w:val="both"/>
        <w:ind w:firstLine="1306"/>
        <w:spacing w:after="0" w:line="253" w:lineRule="auto"/>
        <w:tabs>
          <w:tab w:leader="none" w:pos="213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85" w:lineRule="exact"/>
        <w:rPr>
          <w:rFonts w:ascii="Arial" w:cs="Arial" w:eastAsia="Arial" w:hAnsi="Arial"/>
          <w:sz w:val="22"/>
          <w:szCs w:val="22"/>
          <w:color w:val="auto"/>
        </w:rPr>
      </w:pPr>
    </w:p>
    <w:p>
      <w:pPr>
        <w:jc w:val="both"/>
        <w:ind w:firstLine="1306"/>
        <w:spacing w:after="0" w:line="287" w:lineRule="auto"/>
        <w:tabs>
          <w:tab w:leader="none" w:pos="213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 and Waiver</w:t>
      </w:r>
      <w:r>
        <w:rPr>
          <w:rFonts w:ascii="Arial" w:cs="Arial" w:eastAsia="Arial" w:hAnsi="Arial"/>
          <w:sz w:val="19"/>
          <w:szCs w:val="19"/>
          <w:color w:val="auto"/>
        </w:rPr>
        <w:t>. By the execution and delivery of this Agreement, the Company and the Guarantors submit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or Parent Guarantor has or hereafter may acquire any immunity from jurisdiction of any court (including, without limitation, any court in the United States, the State 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the Parent Guarantor hereby irrevocably waive such immunity, and 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591" w:right="239" w:bottom="1440" w:gutter="0" w:footer="0" w:header="0"/>
        </w:sectPr>
      </w:pPr>
    </w:p>
    <w:bookmarkStart w:id="31" w:name="page32"/>
    <w:bookmarkEnd w:id="31"/>
    <w:p>
      <w:pPr>
        <w:ind w:left="80" w:right="20"/>
        <w:spacing w:after="0" w:line="263" w:lineRule="auto"/>
        <w:rPr>
          <w:sz w:val="20"/>
          <w:szCs w:val="20"/>
          <w:color w:val="auto"/>
        </w:rPr>
      </w:pPr>
      <w:r>
        <w:rPr>
          <w:rFonts w:ascii="Arial" w:cs="Arial" w:eastAsia="Arial" w:hAnsi="Arial"/>
          <w:sz w:val="22"/>
          <w:szCs w:val="22"/>
          <w:color w:val="auto"/>
        </w:rPr>
        <w:t>defense based on such immunity, in respect of their respective obligations under the above-referenced documents and the transactions contemplated thereby, to the fullest extent permitted by law.</w:t>
      </w:r>
    </w:p>
    <w:p>
      <w:pPr>
        <w:spacing w:after="0" w:line="175" w:lineRule="exact"/>
        <w:rPr>
          <w:sz w:val="20"/>
          <w:szCs w:val="20"/>
          <w:color w:val="auto"/>
        </w:rPr>
      </w:pPr>
    </w:p>
    <w:p>
      <w:pPr>
        <w:jc w:val="both"/>
        <w:ind w:firstLine="1378"/>
        <w:spacing w:after="0" w:line="258" w:lineRule="auto"/>
        <w:rPr>
          <w:sz w:val="20"/>
          <w:szCs w:val="20"/>
          <w:color w:val="auto"/>
        </w:rPr>
      </w:pPr>
      <w:r>
        <w:rPr>
          <w:rFonts w:ascii="Arial" w:cs="Arial" w:eastAsia="Arial" w:hAnsi="Arial"/>
          <w:sz w:val="21"/>
          <w:szCs w:val="21"/>
          <w:color w:val="auto"/>
        </w:rPr>
        <w:t>In addition to the foregoing, each of the Company and the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each of the Company and the Guarantors agrees to irrevocably appoint another such agent in New York City as its authorized agent for service of process, on the terms and for the purposes of this Section 18. Nothing herein shall in any way be deemed to limit the ability of the Initial Purchasers,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180" w:lineRule="exact"/>
        <w:rPr>
          <w:sz w:val="20"/>
          <w:szCs w:val="20"/>
          <w:color w:val="auto"/>
        </w:rPr>
      </w:pPr>
    </w:p>
    <w:p>
      <w:pPr>
        <w:jc w:val="both"/>
        <w:ind w:left="80" w:firstLine="1306"/>
        <w:spacing w:after="0" w:line="253" w:lineRule="auto"/>
        <w:tabs>
          <w:tab w:leader="none" w:pos="221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185" w:lineRule="exact"/>
        <w:rPr>
          <w:rFonts w:ascii="Arial" w:cs="Arial" w:eastAsia="Arial" w:hAnsi="Arial"/>
          <w:sz w:val="22"/>
          <w:szCs w:val="22"/>
          <w:color w:val="auto"/>
        </w:rPr>
      </w:pPr>
    </w:p>
    <w:p>
      <w:pPr>
        <w:jc w:val="both"/>
        <w:ind w:left="80" w:firstLine="1306"/>
        <w:spacing w:after="0" w:line="258" w:lineRule="auto"/>
        <w:tabs>
          <w:tab w:leader="none" w:pos="221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Judgment Currency</w:t>
      </w:r>
      <w:r>
        <w:rPr>
          <w:rFonts w:ascii="Arial" w:cs="Arial" w:eastAsia="Arial" w:hAnsi="Arial"/>
          <w:sz w:val="21"/>
          <w:szCs w:val="21"/>
          <w:color w:val="auto"/>
        </w:rPr>
        <w:t>. The obligations of the Company and the Guarantors in respect of any sum due to any Initial Purchaser in United States dollars shall, notwithstanding any judgment in a currency other than United States dollars, not be discharged until the first Business Day following receipt by such Initial Purchaser of any sum adjudged to be so due in such other currency, on which (and only to the extent that) such Initial Purchaser may in accordance with normal banking procedures purchase United States dollars with such other currency; if the United States dollars so purchased are less than the sum originally due to such Initial Purchaser hereunder, the Company and the Guarantors agree, as a separate obligation and notwithstanding any such judgment, to indemnify such Initial Purchaser against such loss. If the United States dollars so purchased are greater than the sum originally due to such Initial Purchaser hereunder, such Initial Purchaser agrees to pay to the Company or such Guarantor, as applicable, an amount equal to the excess of the dollars so purchased over the sum originally due to such Initial Purchaser hereunder.</w:t>
      </w:r>
    </w:p>
    <w:p>
      <w:pPr>
        <w:spacing w:after="0" w:line="186" w:lineRule="exact"/>
        <w:rPr>
          <w:rFonts w:ascii="Arial" w:cs="Arial" w:eastAsia="Arial" w:hAnsi="Arial"/>
          <w:sz w:val="21"/>
          <w:szCs w:val="21"/>
          <w:color w:val="auto"/>
        </w:rPr>
      </w:pPr>
    </w:p>
    <w:p>
      <w:pPr>
        <w:ind w:left="80" w:firstLine="1306"/>
        <w:spacing w:after="0" w:line="263" w:lineRule="auto"/>
        <w:tabs>
          <w:tab w:leader="none" w:pos="221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or more counterparts, each of which shall constitute an original and all of which together shall constitute one and the same agreement.</w:t>
      </w:r>
    </w:p>
    <w:p>
      <w:pPr>
        <w:spacing w:after="0" w:line="174" w:lineRule="exact"/>
        <w:rPr>
          <w:rFonts w:ascii="Arial" w:cs="Arial" w:eastAsia="Arial" w:hAnsi="Arial"/>
          <w:sz w:val="22"/>
          <w:szCs w:val="22"/>
          <w:color w:val="auto"/>
        </w:rPr>
      </w:pPr>
    </w:p>
    <w:p>
      <w:pPr>
        <w:ind w:left="2220" w:hanging="834"/>
        <w:spacing w:after="0"/>
        <w:tabs>
          <w:tab w:leader="none" w:pos="222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32" w:name="page33"/>
    <w:bookmarkEnd w:id="32"/>
    <w:p>
      <w:pPr>
        <w:ind w:left="1560" w:hanging="834"/>
        <w:spacing w:after="0"/>
        <w:tabs>
          <w:tab w:leader="none" w:pos="15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terms that follow, when used in this Agreement, shall have the meanings indicated.</w:t>
      </w:r>
    </w:p>
    <w:p>
      <w:pPr>
        <w:spacing w:after="0" w:line="254" w:lineRule="exact"/>
        <w:rPr>
          <w:sz w:val="20"/>
          <w:szCs w:val="20"/>
          <w:color w:val="auto"/>
        </w:rPr>
      </w:pPr>
    </w:p>
    <w:p>
      <w:pPr>
        <w:ind w:left="80" w:right="20" w:firstLine="648"/>
        <w:spacing w:after="0" w:line="263"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“Business Day” shall mean any day other than a Saturday, a Sunday or a legal holiday or a day on which banking institutions or trust companies are authorized or obligated by law to close in New York City.</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“Execution Time” shall mean 4:25 p.m. EST on February 21, 2018.</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“Trust Indenture Act” shall mean the Trust Indenture Act of 1939, as amended, and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900" w:top="1063" w:right="239" w:bottom="1440" w:gutter="0" w:footer="0" w:header="0"/>
        </w:sectPr>
      </w:pPr>
    </w:p>
    <w:bookmarkStart w:id="33" w:name="page34"/>
    <w:bookmarkEnd w:id="33"/>
    <w:p>
      <w:pPr>
        <w:jc w:val="both"/>
        <w:ind w:firstLine="1297"/>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Guarantors and the Initial Purchasers.</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WEATHERFORD INTERNATIONAL, LLC</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 Delaware limited liability company</w:t>
      </w:r>
    </w:p>
    <w:p>
      <w:pPr>
        <w:spacing w:after="0" w:line="269" w:lineRule="exact"/>
        <w:rPr>
          <w:sz w:val="20"/>
          <w:szCs w:val="20"/>
          <w:color w:val="auto"/>
        </w:rPr>
      </w:pPr>
    </w:p>
    <w:p>
      <w:pPr>
        <w:ind w:left="4060"/>
        <w:spacing w:after="0"/>
        <w:tabs>
          <w:tab w:leader="none" w:pos="4640" w:val="left"/>
        </w:tabs>
        <w:rPr>
          <w:sz w:val="20"/>
          <w:szCs w:val="20"/>
          <w:color w:val="auto"/>
        </w:rPr>
      </w:pPr>
      <w:r>
        <w:rPr>
          <w:rFonts w:ascii="Arial" w:cs="Arial" w:eastAsia="Arial" w:hAnsi="Arial"/>
          <w:sz w:val="22"/>
          <w:szCs w:val="22"/>
          <w:color w:val="auto"/>
        </w:rPr>
        <w:t>By:</w:t>
        <w:tab/>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4313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Mark M. Rothleitner</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WEATHERFORD INTERNATIONAL PLC,</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an Irish public limited company</w:t>
      </w:r>
    </w:p>
    <w:p>
      <w:pPr>
        <w:spacing w:after="0" w:line="269" w:lineRule="exact"/>
        <w:rPr>
          <w:sz w:val="20"/>
          <w:szCs w:val="20"/>
          <w:color w:val="auto"/>
        </w:rPr>
      </w:pPr>
    </w:p>
    <w:p>
      <w:pPr>
        <w:ind w:left="4060"/>
        <w:spacing w:after="0"/>
        <w:tabs>
          <w:tab w:leader="none" w:pos="4640" w:val="left"/>
        </w:tabs>
        <w:rPr>
          <w:sz w:val="20"/>
          <w:szCs w:val="20"/>
          <w:color w:val="auto"/>
        </w:rPr>
      </w:pPr>
      <w:r>
        <w:rPr>
          <w:rFonts w:ascii="Arial" w:cs="Arial" w:eastAsia="Arial" w:hAnsi="Arial"/>
          <w:sz w:val="22"/>
          <w:szCs w:val="22"/>
          <w:color w:val="auto"/>
        </w:rPr>
        <w:t>By:</w:t>
        <w:tab/>
        <w:t>/s/ Timothy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4313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Timothy Bryant</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WEATHERFORD INTERNATIONAL LTD.</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 Bermuda exempted company</w:t>
      </w:r>
    </w:p>
    <w:p>
      <w:pPr>
        <w:spacing w:after="0" w:line="269" w:lineRule="exact"/>
        <w:rPr>
          <w:sz w:val="20"/>
          <w:szCs w:val="20"/>
          <w:color w:val="auto"/>
        </w:rPr>
      </w:pPr>
    </w:p>
    <w:p>
      <w:pPr>
        <w:ind w:left="4060"/>
        <w:spacing w:after="0"/>
        <w:tabs>
          <w:tab w:leader="none" w:pos="4640" w:val="left"/>
        </w:tabs>
        <w:rPr>
          <w:sz w:val="20"/>
          <w:szCs w:val="20"/>
          <w:color w:val="auto"/>
        </w:rPr>
      </w:pPr>
      <w:r>
        <w:rPr>
          <w:rFonts w:ascii="Arial" w:cs="Arial" w:eastAsia="Arial" w:hAnsi="Arial"/>
          <w:sz w:val="22"/>
          <w:szCs w:val="22"/>
          <w:color w:val="auto"/>
        </w:rPr>
        <w:t>By:</w:t>
        <w:tab/>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431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Mohammed Dadhiwala</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Purchase Agreement</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The foregoing Agreement 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hereby confirmed and accepted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specified 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I hereto.</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Acting on behalf of itself and as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Representative of the several Initial Purchasers.</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DEUTSCHE BANK SECURITIES INC.</w:t>
      </w:r>
    </w:p>
    <w:p>
      <w:pPr>
        <w:spacing w:after="0" w:line="50"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color w:val="auto"/>
        </w:rPr>
        <w:t>By:</w:t>
        <w:tab/>
        <w:t>/s/ Michael Getz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Michael Getz</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color w:val="auto"/>
        </w:rPr>
        <w:t>By:</w:t>
        <w:tab/>
        <w:t>/s/ Frank 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404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Frank Fazio</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219"/>
          </w:cols>
          <w:pgMar w:left="240" w:top="1361" w:right="1440"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22"/>
          <w:szCs w:val="22"/>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80" w:type="dxa"/>
            <w:vAlign w:val="bottom"/>
          </w:tcPr>
          <w:p>
            <w:pPr>
              <w:spacing w:after="0"/>
              <w:rPr>
                <w:sz w:val="20"/>
                <w:szCs w:val="20"/>
                <w:color w:val="auto"/>
              </w:rPr>
            </w:pPr>
            <w:r>
              <w:rPr>
                <w:rFonts w:ascii="Arial" w:cs="Arial" w:eastAsia="Arial" w:hAnsi="Arial"/>
                <w:sz w:val="22"/>
                <w:szCs w:val="22"/>
                <w:color w:val="auto"/>
              </w:rPr>
              <w:t>Initial Purchasers</w:t>
            </w:r>
          </w:p>
        </w:tc>
        <w:tc>
          <w:tcPr>
            <w:tcW w:w="6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Deutsche Bank Securities Inc.</w:t>
            </w: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127,200,000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Citigroup Global Markets Inc.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72,900,000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Morgan Stanley &amp; Co. LLC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72,900,000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J.P. Morgan Securities LLC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60,900,000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Wells Fargo Securities, LLC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60,900,000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Skandinaviska Enskilda Banken AB (publ)</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35,700,000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TD Securities (USA) LLC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35,700,000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RBC Capital Markets, LLC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33,900,000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Barclays Capital Inc.</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33,300,000</w:t>
            </w:r>
          </w:p>
        </w:tc>
      </w:tr>
      <w:tr>
        <w:trPr>
          <w:trHeight w:val="297"/>
        </w:trPr>
        <w:tc>
          <w:tcPr>
            <w:tcW w:w="8080" w:type="dxa"/>
            <w:vAlign w:val="bottom"/>
          </w:tcPr>
          <w:p>
            <w:pPr>
              <w:spacing w:after="0"/>
              <w:rPr>
                <w:sz w:val="20"/>
                <w:szCs w:val="20"/>
                <w:color w:val="auto"/>
              </w:rPr>
            </w:pPr>
            <w:r>
              <w:rPr>
                <w:rFonts w:ascii="Arial" w:cs="Arial" w:eastAsia="Arial" w:hAnsi="Arial"/>
                <w:sz w:val="22"/>
                <w:szCs w:val="22"/>
                <w:color w:val="auto"/>
              </w:rPr>
              <w:t>Standard Chartered Bank</w:t>
            </w:r>
          </w:p>
        </w:tc>
        <w:tc>
          <w:tcPr>
            <w:tcW w:w="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33,300,000</w:t>
            </w:r>
          </w:p>
        </w:tc>
      </w:tr>
      <w:tr>
        <w:trPr>
          <w:trHeight w:val="308"/>
        </w:trPr>
        <w:tc>
          <w:tcPr>
            <w:tcW w:w="8080" w:type="dxa"/>
            <w:vAlign w:val="bottom"/>
          </w:tcPr>
          <w:p>
            <w:pPr>
              <w:spacing w:after="0"/>
              <w:rPr>
                <w:sz w:val="20"/>
                <w:szCs w:val="20"/>
                <w:color w:val="auto"/>
              </w:rPr>
            </w:pPr>
            <w:r>
              <w:rPr>
                <w:rFonts w:ascii="Arial" w:cs="Arial" w:eastAsia="Arial" w:hAnsi="Arial"/>
                <w:sz w:val="22"/>
                <w:szCs w:val="22"/>
                <w:color w:val="auto"/>
              </w:rPr>
              <w:t>UniCredit Capital Markets LLC</w:t>
            </w:r>
          </w:p>
        </w:tc>
        <w:tc>
          <w:tcPr>
            <w:tcW w:w="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33,300,000</w:t>
            </w:r>
          </w:p>
        </w:tc>
      </w:tr>
      <w:tr>
        <w:trPr>
          <w:trHeight w:val="295"/>
        </w:trPr>
        <w:tc>
          <w:tcPr>
            <w:tcW w:w="8080" w:type="dxa"/>
            <w:vAlign w:val="bottom"/>
          </w:tcPr>
          <w:p>
            <w:pPr>
              <w:spacing w:after="0"/>
              <w:rPr>
                <w:sz w:val="20"/>
                <w:szCs w:val="20"/>
                <w:color w:val="auto"/>
              </w:rPr>
            </w:pPr>
            <w:r>
              <w:rPr>
                <w:rFonts w:ascii="Arial" w:cs="Arial" w:eastAsia="Arial" w:hAnsi="Arial"/>
                <w:sz w:val="22"/>
                <w:szCs w:val="22"/>
                <w:color w:val="auto"/>
              </w:rPr>
              <w:t>Total</w:t>
            </w: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600,000,000</w:t>
            </w:r>
          </w:p>
        </w:tc>
      </w:tr>
      <w:tr>
        <w:trPr>
          <w:trHeight w:val="20"/>
        </w:trPr>
        <w:tc>
          <w:tcPr>
            <w:tcW w:w="8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500"/>
          </w:cols>
          <w:pgMar w:left="720" w:top="591" w:right="679" w:bottom="1440" w:gutter="0" w:footer="0" w:header="0"/>
        </w:sectPr>
      </w:pPr>
    </w:p>
    <w:bookmarkStart w:id="36" w:name="page37"/>
    <w:bookmarkEnd w:id="36"/>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Purchase Agreement dated February 21,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Purchase Price and Description of Securities: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9.875% Senior Notes due 2025:</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9.875% Senior Notes due 2025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Principal amount of Securities: $600,000,000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Purchase price to the Initial Purchasers: 98.09%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Sinking fund provisions: None</w:t>
      </w:r>
    </w:p>
    <w:p>
      <w:pPr>
        <w:spacing w:after="0" w:line="220" w:lineRule="exact"/>
        <w:rPr>
          <w:sz w:val="20"/>
          <w:szCs w:val="20"/>
          <w:color w:val="auto"/>
        </w:rPr>
      </w:pPr>
    </w:p>
    <w:p>
      <w:pPr>
        <w:ind w:left="660" w:right="1160"/>
        <w:spacing w:after="0" w:line="263" w:lineRule="auto"/>
        <w:rPr>
          <w:sz w:val="20"/>
          <w:szCs w:val="20"/>
          <w:color w:val="auto"/>
        </w:rPr>
      </w:pPr>
      <w:r>
        <w:rPr>
          <w:rFonts w:ascii="Arial" w:cs="Arial" w:eastAsia="Arial" w:hAnsi="Arial"/>
          <w:sz w:val="22"/>
          <w:szCs w:val="22"/>
          <w:color w:val="auto"/>
        </w:rPr>
        <w:t>Redemption provisions: The Notes may be redeemed by the Company at its option as set forth under “Optional Redemption” in the Preliminary Memorandum.</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Closing Date, Time and Location: February 28, 2018 at 10:00 a.m. EST at Latham &amp; Watkins LLP, special counsel for the Company and the Guarantors, at 811 Main Street, Suite 3700, Houston, Texas 77002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Type of Offering: 144A / Regulation 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Date referred to in Section 5(f) after which the Company may offer or sell debt securities issued by the Company without the consent of the Representative: 60 days after pricing hereof</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Modification of items to be covered by the letter KPMG LLP delivered pursuant to Section 6(j) at the Execution Time: None</w:t>
      </w:r>
    </w:p>
    <w:p>
      <w:pPr>
        <w:sectPr>
          <w:pgSz w:w="11900" w:h="16838" w:orient="portrait"/>
          <w:cols w:equalWidth="0" w:num="1">
            <w:col w:w="11420"/>
          </w:cols>
          <w:pgMar w:left="240" w:top="144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FORM OF OPINION OF COMPANY’S COUNSEL</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BE DELIVERED PURSUANT TO</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SECTION 6(a)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59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ANNEX A-2</w:t>
      </w: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FORM OF NEGATIVE ASSURANCE LETTER OF COMPANY’S COUNSEL</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BE DELIVERED PURSUANT TO</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SECTION 6(a)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59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ANNEX B</w:t>
      </w: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FORM OF OPINION OF COMPANY’S AND PARENT GUARANTOR’S IN-HOUSE</w:t>
      </w:r>
    </w:p>
    <w:p>
      <w:pPr>
        <w:spacing w:after="0" w:line="9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COUNSEL</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BE DELIVERED PURSUANT TO</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SECTION 6(b)</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106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ANNEX C</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FORM OF OPINION OF COMPANY COUNSEL</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BE DELIVERED PURSUANT TO</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SECTION 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110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ANNEX D</w:t>
      </w:r>
    </w:p>
    <w:p>
      <w:pPr>
        <w:spacing w:after="0" w:line="200" w:lineRule="exact"/>
        <w:rPr>
          <w:sz w:val="20"/>
          <w:szCs w:val="20"/>
          <w:color w:val="auto"/>
        </w:rPr>
      </w:pPr>
    </w:p>
    <w:p>
      <w:pPr>
        <w:spacing w:after="0" w:line="317" w:lineRule="exact"/>
        <w:rPr>
          <w:sz w:val="20"/>
          <w:szCs w:val="20"/>
          <w:color w:val="auto"/>
        </w:rPr>
      </w:pPr>
    </w:p>
    <w:p>
      <w:pPr>
        <w:jc w:val="center"/>
        <w:ind w:left="1640" w:right="2840"/>
        <w:spacing w:after="0" w:line="304" w:lineRule="auto"/>
        <w:rPr>
          <w:sz w:val="20"/>
          <w:szCs w:val="20"/>
          <w:color w:val="auto"/>
        </w:rPr>
      </w:pPr>
      <w:r>
        <w:rPr>
          <w:rFonts w:ascii="Arial" w:cs="Arial" w:eastAsia="Arial" w:hAnsi="Arial"/>
          <w:sz w:val="22"/>
          <w:szCs w:val="22"/>
          <w:color w:val="auto"/>
        </w:rPr>
        <w:t>FORM OF OPINION OF PARENT GUARANTOR’S COUNSEL TO BE DELIVERED PURSUANT TO SECTION 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110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ANNEX E</w:t>
      </w:r>
    </w:p>
    <w:p>
      <w:pPr>
        <w:spacing w:after="0" w:line="200" w:lineRule="exact"/>
        <w:rPr>
          <w:sz w:val="20"/>
          <w:szCs w:val="20"/>
          <w:color w:val="auto"/>
        </w:rPr>
      </w:pPr>
    </w:p>
    <w:p>
      <w:pPr>
        <w:spacing w:after="0" w:line="276" w:lineRule="exact"/>
        <w:rPr>
          <w:sz w:val="20"/>
          <w:szCs w:val="20"/>
          <w:color w:val="auto"/>
        </w:rPr>
      </w:pPr>
    </w:p>
    <w:p>
      <w:pPr>
        <w:jc w:val="center"/>
        <w:ind w:left="1200" w:right="2380"/>
        <w:spacing w:after="0" w:line="326" w:lineRule="auto"/>
        <w:rPr>
          <w:sz w:val="20"/>
          <w:szCs w:val="20"/>
          <w:color w:val="auto"/>
        </w:rPr>
      </w:pPr>
      <w:r>
        <w:rPr>
          <w:rFonts w:ascii="Arial" w:cs="Arial" w:eastAsia="Arial" w:hAnsi="Arial"/>
          <w:sz w:val="22"/>
          <w:szCs w:val="22"/>
          <w:color w:val="auto"/>
        </w:rPr>
        <w:t>FORM OF OPINION OF PARENT GUARANTOR’S SPECIAL ADVISOR TO BE DELIVERED PURSUANT TO SECTION 6(e)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[To be provided to the Initial Purchasers]</w:t>
      </w:r>
    </w:p>
    <w:p>
      <w:pPr>
        <w:sectPr>
          <w:pgSz w:w="11900" w:h="16838" w:orient="portrait"/>
          <w:cols w:equalWidth="0" w:num="1">
            <w:col w:w="10220"/>
          </w:cols>
          <w:pgMar w:left="1440" w:top="84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Weatherford Prices Private Offering of </w:t>
      </w:r>
      <w:r>
        <w:rPr>
          <w:rFonts w:ascii="Arial" w:cs="Arial" w:eastAsia="Arial" w:hAnsi="Arial"/>
          <w:sz w:val="18"/>
          <w:szCs w:val="18"/>
          <w:b w:val="1"/>
          <w:bCs w:val="1"/>
          <w:color w:val="231F20"/>
        </w:rPr>
        <w:t>$600</w:t>
      </w:r>
      <w:r>
        <w:rPr>
          <w:rFonts w:ascii="Arial" w:cs="Arial" w:eastAsia="Arial" w:hAnsi="Arial"/>
          <w:sz w:val="18"/>
          <w:szCs w:val="18"/>
          <w:b w:val="1"/>
          <w:bCs w:val="1"/>
          <w:color w:val="auto"/>
        </w:rPr>
        <w:t xml:space="preserve"> Million of Senior Notes</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Baar, Switzerland, February 21, 2018 </w:t>
      </w:r>
      <w:r>
        <w:rPr>
          <w:rFonts w:ascii="Arial" w:cs="Arial" w:eastAsia="Arial" w:hAnsi="Arial"/>
          <w:sz w:val="17"/>
          <w:szCs w:val="17"/>
          <w:b w:val="1"/>
          <w:bCs w:val="1"/>
          <w:color w:val="auto"/>
        </w:rPr>
        <w:t>–</w:t>
      </w:r>
      <w:r>
        <w:rPr>
          <w:rFonts w:ascii="Arial" w:cs="Arial" w:eastAsia="Arial" w:hAnsi="Arial"/>
          <w:sz w:val="17"/>
          <w:szCs w:val="17"/>
          <w:color w:val="auto"/>
        </w:rPr>
        <w:t xml:space="preserve"> Weatherford International plc (NYSE: WFT) (the “Company” or “Weatherford”) announced today the pricing of a private offering (the “Offering”) of $600 million aggregate principal amount of its 9.875% senior notes due 2025 (the “Notes”) at 99.34% of par to qualified institutional buyers pursuant to Rule 144A under the Securities Act of 1933, as amended (the “Securities Act”), and to certain non-U.S. persons in accordance with Regulation S under the Securities Act. The Notes will be senior, unsecured obligations of Weatherford International, LLC, a Delaware limited liability company and an indirect, wholly owned subsidiary of the Company. The Notes will be fully and unconditionally guaranteed, on a senior, unsecured basis, by the Company and by Weatherford International Ltd., a Bermuda exempted company and an indirect, wholly owned subsidiary of the Company. The Offering is expected to close February 28, 2018, subject to customary closing conditions.</w:t>
      </w:r>
    </w:p>
    <w:p>
      <w:pPr>
        <w:spacing w:after="0" w:line="3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Offering is to repay in full the Company’s 6.00% senior notes due March 2018 (the “2018 Notes”), to fund a tender offer (the “Tender Offer”) to purchase for cash any and all of the Company’s 9.625% senior notes due 2019 (the “2019 Notes”) and for debt repayment.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absent registration or an applicable exemption from such registration requirements.</w:t>
      </w:r>
    </w:p>
    <w:p>
      <w:pPr>
        <w:spacing w:after="0" w:line="3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2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approximately 90 countries and has a network of approximately 880 locations, including manufacturing, service, research and development, and training facilities and employs approximately 29,200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press release includes forward-looking statements, including, but not limited to, those related to the Offering and the use of proceeds therefrom, including the repayment of the 2018 Notes and the Tender Offer.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420"/>
          </w:cols>
          <w:pgMar w:left="240" w:top="106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420" w:type="dxa"/>
            <w:vAlign w:val="bottom"/>
          </w:tcPr>
          <w:p>
            <w:pPr>
              <w:spacing w:after="0"/>
              <w:rPr>
                <w:sz w:val="20"/>
                <w:szCs w:val="20"/>
                <w:color w:val="auto"/>
              </w:rPr>
            </w:pPr>
          </w:p>
        </w:tc>
      </w:tr>
      <w:tr>
        <w:trPr>
          <w:trHeight w:val="594"/>
        </w:trPr>
        <w:tc>
          <w:tcPr>
            <w:tcW w:w="718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3420" w:type="dxa"/>
            <w:vAlign w:val="bottom"/>
          </w:tcPr>
          <w:p>
            <w:pPr>
              <w:spacing w:after="0"/>
              <w:rPr>
                <w:sz w:val="23"/>
                <w:szCs w:val="23"/>
                <w:color w:val="auto"/>
              </w:rPr>
            </w:pPr>
          </w:p>
        </w:tc>
      </w:tr>
      <w:tr>
        <w:trPr>
          <w:trHeight w:val="540"/>
        </w:trPr>
        <w:tc>
          <w:tcPr>
            <w:tcW w:w="7180" w:type="dxa"/>
            <w:vAlign w:val="bottom"/>
          </w:tcPr>
          <w:p>
            <w:pPr>
              <w:ind w:left="40"/>
              <w:spacing w:after="0"/>
              <w:rPr>
                <w:sz w:val="20"/>
                <w:szCs w:val="20"/>
                <w:color w:val="auto"/>
              </w:rPr>
            </w:pPr>
            <w:r>
              <w:rPr>
                <w:rFonts w:ascii="Arial" w:cs="Arial" w:eastAsia="Arial" w:hAnsi="Arial"/>
                <w:sz w:val="18"/>
                <w:szCs w:val="18"/>
                <w:color w:val="auto"/>
              </w:rPr>
              <w:t>Karen David-Green</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Vice President – Investor Relations, Marketing and Communications</w:t>
            </w:r>
          </w:p>
        </w:tc>
        <w:tc>
          <w:tcPr>
            <w:tcW w:w="34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0600"/>
      </w:cols>
      <w:pgMar w:left="240" w:top="58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lvl w:ilvl="1">
      <w:lvlJc w:val="left"/>
      <w:lvlText w:val="(%2)"/>
      <w:numFmt w:val="lowerLetter"/>
      <w:start w:val="3"/>
    </w:lvl>
  </w:abstractNum>
  <w:abstractNum w:abstractNumId="4">
    <w:nsid w:val="B03E0C6"/>
    <w:multiLevelType w:val="hybridMultilevel"/>
    <w:lvl w:ilvl="0">
      <w:lvlJc w:val="left"/>
      <w:lvlText w:val="(%1)"/>
      <w:numFmt w:val="lowerLetter"/>
      <w:start w:val="61"/>
    </w:lvl>
    <w:lvl w:ilvl="1">
      <w:lvlJc w:val="left"/>
      <w:lvlText w:val="%2"/>
      <w:numFmt w:val="lowerLetter"/>
      <w:start w:val="1"/>
    </w:lvl>
  </w:abstractNum>
  <w:abstractNum w:abstractNumId="5">
    <w:nsid w:val="189A769B"/>
    <w:multiLevelType w:val="hybridMultilevel"/>
    <w:lvl w:ilvl="0">
      <w:lvlJc w:val="left"/>
      <w:lvlText w:val="(%1)"/>
      <w:numFmt w:val="lowerLetter"/>
      <w:start w:val="6"/>
    </w:lvl>
  </w:abstractNum>
  <w:abstractNum w:abstractNumId="6">
    <w:nsid w:val="54E49EB4"/>
    <w:multiLevelType w:val="hybridMultilevel"/>
    <w:lvl w:ilvl="0">
      <w:lvlJc w:val="left"/>
      <w:lvlText w:val="(%1)"/>
      <w:numFmt w:val="lowerLetter"/>
      <w:start w:val="11"/>
    </w:lvl>
  </w:abstractNum>
  <w:abstractNum w:abstractNumId="7">
    <w:nsid w:val="71F32454"/>
    <w:multiLevelType w:val="hybridMultilevel"/>
    <w:lvl w:ilvl="0">
      <w:lvlJc w:val="left"/>
      <w:lvlText w:val="(%1)"/>
      <w:numFmt w:val="lowerLetter"/>
      <w:start w:val="14"/>
    </w:lvl>
  </w:abstractNum>
  <w:abstractNum w:abstractNumId="8">
    <w:nsid w:val="2CA88611"/>
    <w:multiLevelType w:val="hybridMultilevel"/>
    <w:lvl w:ilvl="0">
      <w:lvlJc w:val="left"/>
      <w:lvlText w:val="%1"/>
      <w:numFmt w:val="lowerLetter"/>
      <w:start w:val="1"/>
    </w:lvl>
    <w:lvl w:ilvl="1">
      <w:lvlJc w:val="left"/>
      <w:lvlText w:val="(%2)"/>
      <w:numFmt w:val="lowerLetter"/>
      <w:start w:val="19"/>
    </w:lvl>
  </w:abstractNum>
  <w:abstractNum w:abstractNumId="9">
    <w:nsid w:val="836C40E"/>
    <w:multiLevelType w:val="hybridMultilevel"/>
    <w:lvl w:ilvl="0">
      <w:lvlJc w:val="left"/>
      <w:lvlText w:val="(%1)"/>
      <w:numFmt w:val="lowerLetter"/>
      <w:start w:val="35"/>
    </w:lvl>
    <w:lvl w:ilvl="1">
      <w:lvlJc w:val="left"/>
      <w:lvlText w:val="%2"/>
      <w:numFmt w:val="lowerLetter"/>
      <w:start w:val="1"/>
    </w:lvl>
  </w:abstractNum>
  <w:abstractNum w:abstractNumId="10">
    <w:nsid w:val="2901D82"/>
    <w:multiLevelType w:val="hybridMultilevel"/>
    <w:lvl w:ilvl="0">
      <w:lvlJc w:val="left"/>
      <w:lvlText w:val="(%1)"/>
      <w:numFmt w:val="lowerLetter"/>
      <w:start w:val="21"/>
    </w:lvl>
  </w:abstractNum>
  <w:abstractNum w:abstractNumId="11">
    <w:nsid w:val="3A95F874"/>
    <w:multiLevelType w:val="hybridMultilevel"/>
    <w:lvl w:ilvl="0">
      <w:lvlJc w:val="left"/>
      <w:lvlText w:val="(%1)"/>
      <w:numFmt w:val="lowerLetter"/>
      <w:start w:val="25"/>
    </w:lvl>
  </w:abstractNum>
  <w:abstractNum w:abstractNumId="12">
    <w:nsid w:val="8138641"/>
    <w:multiLevelType w:val="hybridMultilevel"/>
    <w:lvl w:ilvl="0">
      <w:lvlJc w:val="left"/>
      <w:lvlText w:val="%1"/>
      <w:numFmt w:val="lowerLetter"/>
      <w:start w:val="1"/>
    </w:lvl>
    <w:lvl w:ilvl="1">
      <w:lvlJc w:val="left"/>
      <w:lvlText w:val="(%2)"/>
      <w:numFmt w:val="lowerLetter"/>
      <w:start w:val="27"/>
    </w:lvl>
  </w:abstractNum>
  <w:abstractNum w:abstractNumId="13">
    <w:nsid w:val="1E7FF521"/>
    <w:multiLevelType w:val="hybridMultilevel"/>
    <w:lvl w:ilvl="0">
      <w:lvlJc w:val="left"/>
      <w:lvlText w:val="(%1)"/>
      <w:numFmt w:val="lowerLetter"/>
      <w:start w:val="28"/>
    </w:lvl>
    <w:lvl w:ilvl="1">
      <w:lvlJc w:val="left"/>
      <w:lvlText w:val="%2"/>
      <w:numFmt w:val="lowerLetter"/>
      <w:start w:val="1"/>
    </w:lvl>
  </w:abstractNum>
  <w:abstractNum w:abstractNumId="14">
    <w:nsid w:val="7C3DBD3D"/>
    <w:multiLevelType w:val="hybridMultilevel"/>
    <w:lvl w:ilvl="0">
      <w:lvlJc w:val="left"/>
      <w:lvlText w:val="(%1)"/>
      <w:numFmt w:val="lowerLetter"/>
      <w:start w:val="29"/>
    </w:lvl>
  </w:abstractNum>
  <w:abstractNum w:abstractNumId="15">
    <w:nsid w:val="737B8DDC"/>
    <w:multiLevelType w:val="hybridMultilevel"/>
    <w:lvl w:ilvl="0">
      <w:lvlJc w:val="left"/>
      <w:lvlText w:val="%1"/>
      <w:numFmt w:val="lowerLetter"/>
      <w:start w:val="1"/>
    </w:lvl>
    <w:lvl w:ilvl="1">
      <w:lvlJc w:val="left"/>
      <w:lvlText w:val="(%2)"/>
      <w:numFmt w:val="lowerLetter"/>
      <w:start w:val="32"/>
    </w:lvl>
  </w:abstractNum>
  <w:abstractNum w:abstractNumId="16">
    <w:nsid w:val="6CEAF087"/>
    <w:multiLevelType w:val="hybridMultilevel"/>
    <w:lvl w:ilvl="0">
      <w:lvlJc w:val="left"/>
      <w:lvlText w:val="(%1)"/>
      <w:numFmt w:val="lowerLetter"/>
      <w:start w:val="61"/>
    </w:lvl>
    <w:lvl w:ilvl="1">
      <w:lvlJc w:val="left"/>
      <w:lvlText w:val="%2"/>
      <w:numFmt w:val="lowerLetter"/>
      <w:start w:val="1"/>
    </w:lvl>
  </w:abstractNum>
  <w:abstractNum w:abstractNumId="17">
    <w:nsid w:val="22221A70"/>
    <w:multiLevelType w:val="hybridMultilevel"/>
    <w:lvl w:ilvl="0">
      <w:lvlJc w:val="left"/>
      <w:lvlText w:val="%1"/>
      <w:numFmt w:val="upperLetter"/>
      <w:start w:val="1"/>
    </w:lvl>
    <w:lvl w:ilvl="1">
      <w:lvlJc w:val="left"/>
      <w:lvlText w:val="(%2)"/>
      <w:numFmt w:val="lowerLetter"/>
      <w:start w:val="37"/>
    </w:lvl>
  </w:abstractNum>
  <w:abstractNum w:abstractNumId="18">
    <w:nsid w:val="4516DDE9"/>
    <w:multiLevelType w:val="hybridMultilevel"/>
    <w:lvl w:ilvl="0">
      <w:lvlJc w:val="left"/>
      <w:lvlText w:val="(%1)"/>
      <w:numFmt w:val="upperLetter"/>
      <w:start w:val="1"/>
    </w:lvl>
    <w:lvl w:ilvl="1">
      <w:lvlJc w:val="left"/>
      <w:lvlText w:val="%2"/>
      <w:numFmt w:val="lowerLetter"/>
      <w:start w:val="1"/>
    </w:lvl>
  </w:abstractNum>
  <w:abstractNum w:abstractNumId="19">
    <w:nsid w:val="3006C83E"/>
    <w:multiLevelType w:val="hybridMultilevel"/>
    <w:lvl w:ilvl="0">
      <w:lvlJc w:val="left"/>
      <w:lvlText w:val="(%1)"/>
      <w:numFmt w:val="lowerLetter"/>
      <w:start w:val="39"/>
    </w:lvl>
  </w:abstractNum>
  <w:abstractNum w:abstractNumId="20">
    <w:nsid w:val="614FD4A1"/>
    <w:multiLevelType w:val="hybridMultilevel"/>
    <w:lvl w:ilvl="0">
      <w:lvlJc w:val="left"/>
      <w:lvlText w:val="(%1)"/>
      <w:numFmt w:val="lowerLetter"/>
      <w:start w:val="44"/>
    </w:lvl>
  </w:abstractNum>
  <w:abstractNum w:abstractNumId="21">
    <w:nsid w:val="419AC241"/>
    <w:multiLevelType w:val="hybridMultilevel"/>
    <w:lvl w:ilvl="0">
      <w:lvlJc w:val="left"/>
      <w:lvlText w:val="%1"/>
      <w:numFmt w:val="lowerLetter"/>
      <w:start w:val="1"/>
    </w:lvl>
    <w:lvl w:ilvl="1">
      <w:lvlJc w:val="left"/>
      <w:lvlText w:val="%2."/>
      <w:numFmt w:val="decimal"/>
      <w:start w:val="2"/>
    </w:lvl>
  </w:abstractNum>
  <w:abstractNum w:abstractNumId="22">
    <w:nsid w:val="5577F8E1"/>
    <w:multiLevelType w:val="hybridMultilevel"/>
    <w:lvl w:ilvl="0">
      <w:lvlJc w:val="left"/>
      <w:lvlText w:val="(%1)"/>
      <w:numFmt w:val="lowerLetter"/>
      <w:start w:val="1"/>
    </w:lvl>
    <w:lvl w:ilvl="1">
      <w:lvlJc w:val="left"/>
      <w:lvlText w:val="%2"/>
      <w:numFmt w:val="decimal"/>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3"/>
    </w:lvl>
  </w:abstractNum>
  <w:abstractNum w:abstractNumId="25">
    <w:nsid w:val="3804823E"/>
    <w:multiLevelType w:val="hybridMultilevel"/>
    <w:lvl w:ilvl="0">
      <w:lvlJc w:val="left"/>
      <w:lvlText w:val="(%1)"/>
      <w:numFmt w:val="lowerLetter"/>
      <w:start w:val="8"/>
    </w:lvl>
  </w:abstractNum>
  <w:abstractNum w:abstractNumId="26">
    <w:nsid w:val="77465F01"/>
    <w:multiLevelType w:val="hybridMultilevel"/>
    <w:lvl w:ilvl="0">
      <w:lvlJc w:val="left"/>
      <w:lvlText w:val="(%1)"/>
      <w:numFmt w:val="lowerLetter"/>
      <w:start w:val="12"/>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8"/>
    </w:lvl>
    <w:lvl w:ilvl="1">
      <w:lvlJc w:val="left"/>
      <w:lvlText w:val="(%2)"/>
      <w:numFmt w:val="lowerRoman"/>
      <w:start w:val="1"/>
    </w:lvl>
  </w:abstractNum>
  <w:abstractNum w:abstractNumId="30">
    <w:nsid w:val="5E884ADC"/>
    <w:multiLevelType w:val="hybridMultilevel"/>
    <w:lvl w:ilvl="0">
      <w:lvlJc w:val="left"/>
      <w:lvlText w:val="(%1)"/>
      <w:numFmt w:val="lowerLetter"/>
      <w:start w:val="13"/>
    </w:lvl>
  </w:abstractNum>
  <w:abstractNum w:abstractNumId="31">
    <w:nsid w:val="51EAD36B"/>
    <w:multiLevelType w:val="hybridMultilevel"/>
    <w:lvl w:ilvl="0">
      <w:lvlJc w:val="left"/>
      <w:lvlText w:val="%1"/>
      <w:numFmt w:val="lowerLetter"/>
      <w:start w:val="1"/>
    </w:lvl>
    <w:lvl w:ilvl="1">
      <w:lvlJc w:val="left"/>
      <w:lvlText w:val="%2."/>
      <w:numFmt w:val="decimal"/>
      <w:start w:val="7"/>
    </w:lvl>
  </w:abstractNum>
  <w:abstractNum w:abstractNumId="32">
    <w:nsid w:val="2D517796"/>
    <w:multiLevelType w:val="hybridMultilevel"/>
    <w:lvl w:ilvl="0">
      <w:lvlJc w:val="left"/>
      <w:lvlText w:val="(%1)"/>
      <w:numFmt w:val="lowerLetter"/>
      <w:start w:val="1"/>
    </w:lvl>
    <w:lvl w:ilvl="1">
      <w:lvlJc w:val="left"/>
      <w:lvlText w:val="%2"/>
      <w:numFmt w:val="decimal"/>
      <w:start w:val="1"/>
    </w:lvl>
  </w:abstractNum>
  <w:abstractNum w:abstractNumId="33">
    <w:nsid w:val="580BD78F"/>
    <w:multiLevelType w:val="hybridMultilevel"/>
    <w:lvl w:ilvl="0">
      <w:lvlJc w:val="left"/>
      <w:lvlText w:val="%1"/>
      <w:numFmt w:val="lowerLetter"/>
      <w:start w:val="1"/>
    </w:lvl>
    <w:lvl w:ilvl="1">
      <w:lvlJc w:val="left"/>
      <w:lvlText w:val="%2."/>
      <w:numFmt w:val="decimal"/>
      <w:start w:val="9"/>
    </w:lvl>
  </w:abstractNum>
  <w:abstractNum w:abstractNumId="34">
    <w:nsid w:val="153EA438"/>
    <w:multiLevelType w:val="hybridMultilevel"/>
    <w:lvl w:ilvl="0">
      <w:lvlJc w:val="left"/>
      <w:lvlText w:val="(%1)"/>
      <w:numFmt w:val="lowerLetter"/>
      <w:start w:val="1"/>
    </w:lvl>
    <w:lvl w:ilvl="1">
      <w:lvlJc w:val="left"/>
      <w:lvlText w:val="%2"/>
      <w:numFmt w:val="decimal"/>
      <w:start w:val="1"/>
    </w:lvl>
  </w:abstractNum>
  <w:abstractNum w:abstractNumId="35">
    <w:nsid w:val="3855585C"/>
    <w:multiLevelType w:val="hybridMultilevel"/>
    <w:lvl w:ilvl="0">
      <w:lvlJc w:val="left"/>
      <w:lvlText w:val="%1"/>
      <w:numFmt w:val="lowerLetter"/>
      <w:start w:val="1"/>
    </w:lvl>
    <w:lvl w:ilvl="1">
      <w:lvlJc w:val="left"/>
      <w:lvlText w:val="(%2)"/>
      <w:numFmt w:val="lowerLetter"/>
      <w:start w:val="2"/>
    </w:lvl>
  </w:abstractNum>
  <w:abstractNum w:abstractNumId="36">
    <w:nsid w:val="70A64E2A"/>
    <w:multiLevelType w:val="hybridMultilevel"/>
    <w:lvl w:ilvl="0">
      <w:lvlJc w:val="left"/>
      <w:lvlText w:val="(%1)"/>
      <w:numFmt w:val="lowerLetter"/>
      <w:start w:val="9"/>
    </w:lvl>
    <w:lvl w:ilvl="1">
      <w:lvlJc w:val="left"/>
      <w:lvlText w:val="(%2)"/>
      <w:numFmt w:val="lowerLetter"/>
      <w:start w:val="3"/>
    </w:lvl>
  </w:abstractNum>
  <w:abstractNum w:abstractNumId="37">
    <w:nsid w:val="6A2342EC"/>
    <w:multiLevelType w:val="hybridMultilevel"/>
    <w:lvl w:ilvl="0">
      <w:lvlJc w:val="left"/>
      <w:lvlText w:val="(%1)"/>
      <w:numFmt w:val="lowerLetter"/>
      <w:start w:val="4"/>
    </w:lvl>
  </w:abstractNum>
  <w:abstractNum w:abstractNumId="38">
    <w:nsid w:val="2A487CB0"/>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9">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0">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
    <w:nsid w:val="2CD89A32"/>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42">
    <w:nsid w:val="57E4CCAF"/>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43">
    <w:nsid w:val="7A6D8D3C"/>
    <w:multiLevelType w:val="hybridMultilevel"/>
    <w:lvl w:ilvl="0">
      <w:lvlJc w:val="left"/>
      <w:lvlText w:val="(%1)"/>
      <w:numFmt w:val="lowerRoman"/>
      <w:start w:val="2"/>
    </w:lvl>
  </w:abstractNum>
  <w:abstractNum w:abstractNumId="44">
    <w:nsid w:val="4B588F54"/>
    <w:multiLevelType w:val="hybridMultilevel"/>
    <w:lvl w:ilvl="0">
      <w:lvlJc w:val="left"/>
      <w:lvlText w:val="%1."/>
      <w:numFmt w:val="decimal"/>
      <w:start w:val="13"/>
    </w:lvl>
  </w:abstractNum>
  <w:abstractNum w:abstractNumId="45">
    <w:nsid w:val="542289EC"/>
    <w:multiLevelType w:val="hybridMultilevel"/>
    <w:lvl w:ilvl="0">
      <w:lvlJc w:val="left"/>
      <w:lvlText w:val="%1."/>
      <w:numFmt w:val="decimal"/>
      <w:start w:val="19"/>
    </w:lvl>
  </w:abstractNum>
  <w:abstractNum w:abstractNumId="46">
    <w:nsid w:val="6DE91B1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2019-12-29T00:22:46Z</dcterms:created>
  <dcterms:modified xsi:type="dcterms:W3CDTF">2019-12-29T00:22:46Z</dcterms:modified>
</cp:coreProperties>
</file>