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841" w:right="3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00" w:space="720"/>
            <w:col w:w="2720" w:space="720"/>
            <w:col w:w="2980"/>
          </w:cols>
          <w:pgMar w:left="320" w:top="841" w:right="339" w:bottom="1440" w:gutter="0" w:footer="0" w:header="0"/>
          <w:type w:val="continuous"/>
        </w:sectPr>
      </w:pPr>
    </w:p>
    <w:p>
      <w:pPr>
        <w:ind w:left="140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841" w:right="33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ind w:left="146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841"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 836-4000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00" w:firstLine="8"/>
        <w:spacing w:after="0" w:line="503" w:lineRule="auto"/>
        <w:tabs>
          <w:tab w:leader="none" w:pos="7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67"/>
        </w:trPr>
        <w:tc>
          <w:tcPr>
            <w:tcW w:w="4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480" w:type="dxa"/>
            <w:vAlign w:val="bottom"/>
            <w:gridSpan w:val="2"/>
          </w:tcPr>
          <w:p>
            <w:pPr>
              <w:jc w:val="center"/>
              <w:ind w:right="100"/>
              <w:spacing w:after="0" w:line="267" w:lineRule="exact"/>
              <w:rPr>
                <w:sz w:val="20"/>
                <w:szCs w:val="20"/>
                <w:color w:val="auto"/>
              </w:rPr>
            </w:pPr>
            <w:r>
              <w:rPr>
                <w:rFonts w:ascii="Arial" w:cs="Arial" w:eastAsia="Arial" w:hAnsi="Arial"/>
                <w:sz w:val="18"/>
                <w:szCs w:val="18"/>
                <w:b w:val="1"/>
                <w:bCs w:val="1"/>
                <w:color w:val="auto"/>
                <w:w w:val="87"/>
              </w:rPr>
              <w:t xml:space="preserve">Trading symbol(s) </w:t>
            </w:r>
            <w:r>
              <w:rPr>
                <w:rFonts w:ascii="Arial" w:cs="Arial" w:eastAsia="Arial" w:hAnsi="Arial"/>
                <w:sz w:val="29"/>
                <w:szCs w:val="29"/>
                <w:color w:val="auto"/>
                <w:w w:val="87"/>
                <w:vertAlign w:val="superscript"/>
              </w:rPr>
              <w:t>(1)</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12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WFTLF</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ectPr>
          <w:pgSz w:w="11900" w:h="16838" w:orient="portrait"/>
          <w:cols w:equalWidth="0" w:num="1">
            <w:col w:w="11240"/>
          </w:cols>
          <w:pgMar w:left="320" w:top="841" w:right="339" w:bottom="1440" w:gutter="0" w:footer="0" w:header="0"/>
          <w:type w:val="continuous"/>
        </w:sectPr>
      </w:pPr>
    </w:p>
    <w:p>
      <w:pPr>
        <w:spacing w:after="0" w:line="170" w:lineRule="exact"/>
        <w:rPr>
          <w:sz w:val="24"/>
          <w:szCs w:val="24"/>
          <w:color w:val="auto"/>
        </w:rPr>
      </w:pPr>
    </w:p>
    <w:p>
      <w:pPr>
        <w:ind w:left="86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580" w:space="500"/>
            <w:col w:w="160"/>
          </w:cols>
          <w:pgMar w:left="320" w:top="841" w:right="339" w:bottom="1440" w:gutter="0" w:footer="0" w:header="0"/>
          <w:type w:val="continuous"/>
        </w:sectPr>
      </w:pPr>
    </w:p>
    <w:p>
      <w:pPr>
        <w:spacing w:after="0" w:line="48"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p>
      <w:pPr>
        <w:spacing w:after="0" w:line="371" w:lineRule="exact"/>
        <w:rPr>
          <w:sz w:val="24"/>
          <w:szCs w:val="24"/>
          <w:color w:val="auto"/>
        </w:rPr>
      </w:pPr>
    </w:p>
    <w:p>
      <w:pPr>
        <w:ind w:right="120" w:firstLine="8"/>
        <w:spacing w:after="0" w:line="202" w:lineRule="auto"/>
        <w:tabs>
          <w:tab w:leader="none" w:pos="120" w:val="left"/>
        </w:tabs>
        <w:numPr>
          <w:ilvl w:val="0"/>
          <w:numId w:val="2"/>
        </w:numPr>
        <w:rPr>
          <w:rFonts w:ascii="Arial" w:cs="Arial" w:eastAsia="Arial" w:hAnsi="Arial"/>
          <w:sz w:val="29"/>
          <w:szCs w:val="29"/>
          <w:color w:val="auto"/>
          <w:vertAlign w:val="superscript"/>
        </w:rPr>
      </w:pPr>
      <w:r>
        <w:rPr>
          <w:rFonts w:ascii="Arial" w:cs="Arial" w:eastAsia="Arial" w:hAnsi="Arial"/>
          <w:sz w:val="17"/>
          <w:szCs w:val="17"/>
          <w:color w:val="auto"/>
        </w:rPr>
        <w:t>Since our emergence from bankruptcy, our ordinary shares have been quoted on the OTC Pink Marketplace. While our ordinary shares remain registered on the NYSE, the NYSE suspended trading in our ordinary shares in May 2019 and our appeal of that suspension is pending.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15, 2020, Weatherford International plc (“we” or the “Company”) issued a news release announcing, among other things, preliminary results for the first quarter ended March 31, 2020, the intention of the Company to delist from New York Stock Exchange (the “NYSE”) and general business updates (including actions taken in response to the global COVID-19 pandemic). A copy of the news release is furnished as Exhibit 99.1 and incorporated into this Item 2.02.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provided pursuant to this Item 2.02 is “furnished” and shall not be deemed to be “filed” with the U.S. Securities and Exchange Commission (the “SEC”) or incorporated by reference in any filing under the Securities Exchange Act of 1934, as amended, or the Securities Act of 1933, as amended, except as shall be expressly set forth by specific reference in any such filings.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on May 13, 2019, the Company received a letter from the NYSE confirming that the NYSE had suspended trading in the Company’s ordinary shares and announcing its intention to commence proceedings to delist the Company’s ordinary shares from the NYSE. The Company has been evaluating its options with respect to its NYSE listing and, after careful deliberations, the Board of Directors of the Company (the “Board”) has determined that delisting is in the best interest of the Company. Accordingly, the Company will withdraw its appeal to the delisting proceedings by the NYSE.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ordinary shares will be delisted from trading on the NYSE through the filing of a Form 25 with the SEC. Trading of the Company’s ordinary shares on the OTC Bulletin Board or “pink sheets” will continue under the symbol “WFTLF.”</w:t>
      </w:r>
    </w:p>
    <w:p>
      <w:pPr>
        <w:spacing w:after="0" w:line="166" w:lineRule="exact"/>
        <w:rPr>
          <w:sz w:val="20"/>
          <w:szCs w:val="20"/>
          <w:color w:val="auto"/>
        </w:rPr>
      </w:pPr>
    </w:p>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on December 13, 2019, the Company emerged from Chapter 11 bankruptcy protection pursuant to a prepackaged plan of reorganization (the “Plan”). Following such emergence, the Board, in conjunction with its Compensation Committee (the “Committee”) and its independent compensation consultants, has been reviewing and evaluating the Company's compensation policies and practices, including in response to the global COVID-19 pandemic and the sudden drop in oil and gas prices in March 2020. As a result, the Board, upon recommendation of the Committee, has approved the items described below in this Item 5.02.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Weatherford International plc Amended and Restated 2019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and as contemplated by the Plan, in December 2019, the Board approved the Company's 2019 Equity Incentive Plan, which provided for the issuance from time to time, as approved by the Committee or the Board, as applicable, of equity and equity-based awards permitting for the issuance of up to 4,000,000 ordinary shares of the Company in the aggregate to eligible employees, consultants and directors of the Company. On April 13, 2020, the Board adopted the Weatherford International plc Amended and Restated 2019 Equity Incentive Plan (the “EIP”) which revised the Company’s 2019 Equity Incentive Plan. The EIP continues to provide for the issuance of up to 4,000,000 ordinary shares and was amended, among other items, as follows:</w:t>
      </w:r>
    </w:p>
    <w:p>
      <w:pPr>
        <w:spacing w:after="0" w:line="192"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provisions addressing consequences on awards upon a change in control were modified to provide additional flexibility to the Company in the treatment of existing awards following a change in control (including that the EIP does not provide for any automatic acceleration of vesting on a change in control).</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provisions addressing share appreciation rights were modified to provide additional detail regarding the terms of such grants.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default definitions and related provisions were added including cause, confidential information, and detrimental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The foregoing description of the EIP does not purport to be complete and is qualified in its entirety by reference to the full text of the EIP, which is attached hereto as Exhibit 10.1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Non-Equity Incentive Compensation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13, 2020, the Board adopted the Executive Non-Equity Incentive Compensation Plan, as amended and restated (the “EICP”), effective January 1, 2020, and reinstated the EICP for fiscal year 2020, which was suspended for fiscal year 2019. The EICP was amended to bring the plan in line with market practices and address the treatment of awards on a change in control, among other things.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EICP, does not purport to be complete and is qualified in its entirety by reference to the full text of the EICP, which is attached hereto as Exhibit 10.2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Non-Employee 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13, 2020, in response to the global COVID-19 pandemic and the sudden drop in oil and gas prices in March 2020, the Company’s non-employee directors voluntarily agreed to temporarily reduce their compensation in 2020. The annual cash retainer payments for non-employee directors will temporarily be reduced by $5,000 a quarter, equal to $20,000 annualized, effective July 1, 2020. The annual equity retainer for non-employee directors granted on April 13, 2020 (the “Grant Date”) in respect of the one-year period commencing on the Grant Date (the “Annual Grant Period”) and the amount due in respect of the period served on the Board from December 13, 2019 through April 12, 2020, will be paid in cash, and the amount with respect to the Annual Grant Period will be subject to pro-rata claw back in the event a non-employee director voluntarily resigns form the Board prior to the one-year anniversary of the Grant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Award to Chief Financial Officer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on January 6, 2020, Christian A. Garcia was appointed to serve as the Company’s Executive Vice President and Chief Financial Officer and the terms of his compensation were set forth in an offer letter he entered into with the Company. In connection with his appointment and pursuant to the offer letter, Mr. Garcia was to receive, subject to approval of the Board, a long-term equity incentive award of $2,000,000, consisting of restricted share units, vesting in equal installments over a three year period, to be granted on the later of (i) January 6, 2020 or (ii) the date on which the Company emerged from Chapter 11 bankruptcy proceedings, based on the share price at the time of grant and based on the terms of the Company’s then-current equity incentive plan.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13, 2020, the Board approved a grant of restricted stock unit awards under the EIP with respect to an award agreement for 68,966 ordinary shares, with a grant date of April 17, 2020, which shall vest in three equal installments: on April 17, 2020 (subject to registration of ordinary shares under the EIP); January 6, 2021; and January 6, 2022. The number of restricted stock units awarded is based on the closing price of the Company’s ordinary shares on the trading day immediately prior to his commencement of employment, in accordance with the offer letter.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Mr. Garcia’s Award Agreement does not purport to be complete and is qualified in its entirety by reference to the full text of Mr. Garcia’s Award Agreement, which is attached hereto as Exhibit 10.3 and is incorporated by reference 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Salary for Named 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2020, in response to the global COVID-19 pandemic and the sudden drop in oil and gas prices in March 2020, the Company’s executive leadership team, including each of the Company’s named executive officers, voluntarily agreed to reduce their annual base salary by 20%, on a temporary basis effective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82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center"/>
              <w:spacing w:after="0"/>
              <w:rPr>
                <w:rFonts w:ascii="Arial" w:cs="Arial" w:eastAsia="Arial" w:hAnsi="Arial"/>
                <w:sz w:val="18"/>
                <w:szCs w:val="18"/>
                <w:u w:val="single" w:color="auto"/>
                <w:color w:val="0000EE"/>
                <w:w w:val="85"/>
              </w:rPr>
            </w:pPr>
            <w:hyperlink w:anchor="page6">
              <w:r>
                <w:rPr>
                  <w:rFonts w:ascii="Arial" w:cs="Arial" w:eastAsia="Arial" w:hAnsi="Arial"/>
                  <w:sz w:val="18"/>
                  <w:szCs w:val="18"/>
                  <w:u w:val="single" w:color="auto"/>
                  <w:color w:val="0000EE"/>
                  <w:w w:val="85"/>
                </w:rPr>
                <w:t>10.1</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Weatherford International Plc Amended and Restated 2019 Equity Incentive Plan</w:t>
              </w:r>
            </w:hyperlink>
          </w:p>
        </w:tc>
      </w:tr>
      <w:tr>
        <w:trPr>
          <w:trHeight w:val="270"/>
        </w:trPr>
        <w:tc>
          <w:tcPr>
            <w:tcW w:w="1700" w:type="dxa"/>
            <w:vAlign w:val="bottom"/>
          </w:tcPr>
          <w:p>
            <w:pPr>
              <w:jc w:val="center"/>
              <w:spacing w:after="0"/>
              <w:rPr>
                <w:rFonts w:ascii="Arial" w:cs="Arial" w:eastAsia="Arial" w:hAnsi="Arial"/>
                <w:sz w:val="18"/>
                <w:szCs w:val="18"/>
                <w:u w:val="single" w:color="auto"/>
                <w:color w:val="0000EE"/>
                <w:w w:val="85"/>
              </w:rPr>
            </w:pPr>
            <w:hyperlink w:anchor="page28">
              <w:r>
                <w:rPr>
                  <w:rFonts w:ascii="Arial" w:cs="Arial" w:eastAsia="Arial" w:hAnsi="Arial"/>
                  <w:sz w:val="18"/>
                  <w:szCs w:val="18"/>
                  <w:u w:val="single" w:color="auto"/>
                  <w:color w:val="0000EE"/>
                  <w:w w:val="85"/>
                </w:rPr>
                <w:t>10.2</w:t>
              </w:r>
            </w:hyperlink>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Executive Non-Equity Incentive Compensation Plan</w:t>
              </w:r>
            </w:hyperlink>
          </w:p>
        </w:tc>
      </w:tr>
      <w:tr>
        <w:trPr>
          <w:trHeight w:val="270"/>
        </w:trPr>
        <w:tc>
          <w:tcPr>
            <w:tcW w:w="1700" w:type="dxa"/>
            <w:vAlign w:val="bottom"/>
          </w:tcPr>
          <w:p>
            <w:pPr>
              <w:jc w:val="center"/>
              <w:spacing w:after="0"/>
              <w:rPr>
                <w:rFonts w:ascii="Arial" w:cs="Arial" w:eastAsia="Arial" w:hAnsi="Arial"/>
                <w:sz w:val="18"/>
                <w:szCs w:val="18"/>
                <w:u w:val="single" w:color="auto"/>
                <w:color w:val="0000EE"/>
                <w:w w:val="85"/>
              </w:rPr>
            </w:pPr>
            <w:hyperlink w:anchor="page40">
              <w:r>
                <w:rPr>
                  <w:rFonts w:ascii="Arial" w:cs="Arial" w:eastAsia="Arial" w:hAnsi="Arial"/>
                  <w:sz w:val="18"/>
                  <w:szCs w:val="18"/>
                  <w:u w:val="single" w:color="auto"/>
                  <w:color w:val="0000EE"/>
                  <w:w w:val="85"/>
                </w:rPr>
                <w:t>10.3</w:t>
              </w:r>
            </w:hyperlink>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0" w:type="dxa"/>
            <w:vAlign w:val="bottom"/>
            <w:gridSpan w:val="3"/>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Form of Christian A. Garcia Award Agreement</w:t>
              </w:r>
            </w:hyperlink>
          </w:p>
        </w:tc>
      </w:tr>
      <w:tr>
        <w:trPr>
          <w:trHeight w:val="229"/>
        </w:trPr>
        <w:tc>
          <w:tcPr>
            <w:tcW w:w="1700" w:type="dxa"/>
            <w:vAlign w:val="bottom"/>
          </w:tcPr>
          <w:p>
            <w:pPr>
              <w:jc w:val="center"/>
              <w:spacing w:after="0"/>
              <w:rPr>
                <w:rFonts w:ascii="Arial" w:cs="Arial" w:eastAsia="Arial" w:hAnsi="Arial"/>
                <w:sz w:val="18"/>
                <w:szCs w:val="18"/>
                <w:u w:val="single" w:color="auto"/>
                <w:color w:val="0000EE"/>
                <w:w w:val="85"/>
              </w:rPr>
            </w:pPr>
            <w:hyperlink w:anchor="page46">
              <w:r>
                <w:rPr>
                  <w:rFonts w:ascii="Arial" w:cs="Arial" w:eastAsia="Arial" w:hAnsi="Arial"/>
                  <w:sz w:val="18"/>
                  <w:szCs w:val="18"/>
                  <w:u w:val="single" w:color="auto"/>
                  <w:color w:val="0000EE"/>
                  <w:w w:val="85"/>
                </w:rPr>
                <w:t>99.1</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gridSpan w:val="3"/>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News Release, dated April 15, 2020, announcing preliminary results for the first quarter ended March 31, 2020 and the</w:t>
              </w:r>
            </w:hyperlink>
          </w:p>
        </w:tc>
      </w:tr>
      <w:tr>
        <w:trPr>
          <w:trHeight w:val="196"/>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Company’s intention to delist from the New York Stock Exchange.</w:t>
              </w:r>
            </w:hyperlink>
          </w:p>
        </w:tc>
        <w:tc>
          <w:tcPr>
            <w:tcW w:w="4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291"/>
        </w:trPr>
        <w:tc>
          <w:tcPr>
            <w:tcW w:w="17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70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vMerge w:val="restart"/>
          </w:tcPr>
          <w:p>
            <w:pPr>
              <w:spacing w:after="0"/>
              <w:rPr>
                <w:sz w:val="20"/>
                <w:szCs w:val="20"/>
                <w:color w:val="auto"/>
              </w:rPr>
            </w:pPr>
            <w:r>
              <w:rPr>
                <w:rFonts w:ascii="Arial" w:cs="Arial" w:eastAsia="Arial" w:hAnsi="Arial"/>
                <w:sz w:val="18"/>
                <w:szCs w:val="18"/>
                <w:color w:val="auto"/>
              </w:rPr>
              <w:t>Date: April 15, 2020</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M. Ibrahim</w:t>
            </w:r>
          </w:p>
        </w:tc>
        <w:tc>
          <w:tcPr>
            <w:tcW w:w="0" w:type="dxa"/>
            <w:vAlign w:val="bottom"/>
          </w:tcPr>
          <w:p>
            <w:pPr>
              <w:spacing w:after="0"/>
              <w:rPr>
                <w:sz w:val="1"/>
                <w:szCs w:val="1"/>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Christian M. Ibrahim</w:t>
            </w:r>
          </w:p>
        </w:tc>
        <w:tc>
          <w:tcPr>
            <w:tcW w:w="0" w:type="dxa"/>
            <w:vAlign w:val="bottom"/>
          </w:tcPr>
          <w:p>
            <w:pPr>
              <w:spacing w:after="0"/>
              <w:rPr>
                <w:sz w:val="1"/>
                <w:szCs w:val="1"/>
                <w:color w:val="auto"/>
              </w:rPr>
            </w:pP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General Counsel, Chief Compliance</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Officer and Corporate Secretary</w:t>
            </w:r>
          </w:p>
        </w:tc>
        <w:tc>
          <w:tcPr>
            <w:tcW w:w="0" w:type="dxa"/>
            <w:vAlign w:val="bottom"/>
          </w:tcPr>
          <w:p>
            <w:pPr>
              <w:spacing w:after="0"/>
              <w:rPr>
                <w:sz w:val="1"/>
                <w:szCs w:val="1"/>
                <w:color w:val="auto"/>
              </w:rPr>
            </w:pP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Weatherford International plc 2019 Equity Incentive Plan was originally adopted by the Board on December 12, 2019 and is hereby amended and restated as of April 13,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spacing w:after="0" w:line="18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capitalized terms used in the Plan have the respective meanings set forth in this Section 2, unless the context clearly indicates otherwise. The singular pronoun shall include the plural where the context so indicates.</w:t>
      </w:r>
    </w:p>
    <w:p>
      <w:pPr>
        <w:spacing w:after="0" w:line="170" w:lineRule="exact"/>
        <w:rPr>
          <w:sz w:val="20"/>
          <w:szCs w:val="20"/>
          <w:color w:val="auto"/>
        </w:rPr>
      </w:pPr>
    </w:p>
    <w:p>
      <w:pPr>
        <w:ind w:left="1220" w:hanging="56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Companies Act 2014 of Ireland, as amended.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184" w:lineRule="exact"/>
        <w:rPr>
          <w:sz w:val="20"/>
          <w:szCs w:val="20"/>
          <w:color w:val="auto"/>
        </w:rPr>
      </w:pPr>
    </w:p>
    <w:p>
      <w:pPr>
        <w:jc w:val="both"/>
        <w:ind w:firstLine="656"/>
        <w:spacing w:after="0" w:line="263" w:lineRule="auto"/>
        <w:tabs>
          <w:tab w:leader="none" w:pos="147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Applicable Accounting Standards Generally Accepted Accounting Principles</w:t>
      </w:r>
      <w:r>
        <w:rPr>
          <w:rFonts w:ascii="Arial" w:cs="Arial" w:eastAsia="Arial" w:hAnsi="Arial"/>
          <w:sz w:val="18"/>
          <w:szCs w:val="18"/>
          <w:color w:val="auto"/>
        </w:rPr>
        <w:t>: Means in the United States, International Financial Reporting Standards or such other accounting principles or standards as may apply to the Company's financial statements under United States federal securities laws from time to time.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5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Applicable Laws</w:t>
      </w:r>
      <w:r>
        <w:rPr>
          <w:rFonts w:ascii="Arial" w:cs="Arial" w:eastAsia="Arial" w:hAnsi="Arial"/>
          <w:sz w:val="18"/>
          <w:szCs w:val="18"/>
          <w:color w:val="auto"/>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spacing w:after="0" w:line="186" w:lineRule="exact"/>
        <w:rPr>
          <w:rFonts w:ascii="Arial" w:cs="Arial" w:eastAsia="Arial" w:hAnsi="Arial"/>
          <w:sz w:val="18"/>
          <w:szCs w:val="18"/>
          <w:color w:val="auto"/>
        </w:rPr>
      </w:pPr>
    </w:p>
    <w:p>
      <w:pPr>
        <w:ind w:left="1220" w:hanging="56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Associate</w:t>
      </w:r>
      <w:r>
        <w:rPr>
          <w:rFonts w:ascii="Arial" w:cs="Arial" w:eastAsia="Arial" w:hAnsi="Arial"/>
          <w:sz w:val="18"/>
          <w:szCs w:val="18"/>
          <w:color w:val="auto"/>
        </w:rPr>
        <w:t>: With respect to a specified Person, means:</w:t>
      </w:r>
    </w:p>
    <w:p>
      <w:pPr>
        <w:spacing w:after="0" w:line="225" w:lineRule="exact"/>
        <w:rPr>
          <w:sz w:val="20"/>
          <w:szCs w:val="20"/>
          <w:color w:val="auto"/>
        </w:rPr>
      </w:pPr>
    </w:p>
    <w:p>
      <w:pPr>
        <w:ind w:left="1240" w:hanging="584"/>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company, corporation, partnership, or other organization of which such specified Person is an officer or partner;</w:t>
      </w:r>
    </w:p>
    <w:p>
      <w:pPr>
        <w:spacing w:after="0" w:line="225" w:lineRule="exact"/>
        <w:rPr>
          <w:rFonts w:ascii="Arial" w:cs="Arial" w:eastAsia="Arial" w:hAnsi="Arial"/>
          <w:sz w:val="18"/>
          <w:szCs w:val="18"/>
          <w:color w:val="auto"/>
        </w:rPr>
      </w:pPr>
    </w:p>
    <w:p>
      <w:pPr>
        <w:ind w:firstLine="656"/>
        <w:spacing w:after="0" w:line="277" w:lineRule="auto"/>
        <w:tabs>
          <w:tab w:leader="none" w:pos="1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trust or other estate in which such specified Person has a substantial beneficial interest or as to which such specified Person serves as trustee or in a similar fiduciary capacity;</w:t>
      </w:r>
    </w:p>
    <w:p>
      <w:pPr>
        <w:spacing w:after="0" w:line="170" w:lineRule="exact"/>
        <w:rPr>
          <w:rFonts w:ascii="Arial" w:cs="Arial" w:eastAsia="Arial" w:hAnsi="Arial"/>
          <w:sz w:val="18"/>
          <w:szCs w:val="18"/>
          <w:color w:val="auto"/>
        </w:rPr>
      </w:pPr>
    </w:p>
    <w:p>
      <w:pPr>
        <w:ind w:firstLine="656"/>
        <w:spacing w:after="0" w:line="27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relative or spouse of such specified Person, or any relative of such spouse who has the same home as such specified Person, or who is a director or officer of the Company or any of its Subsidiaries; and</w:t>
      </w:r>
    </w:p>
    <w:p>
      <w:pPr>
        <w:spacing w:after="0" w:line="170" w:lineRule="exact"/>
        <w:rPr>
          <w:rFonts w:ascii="Arial" w:cs="Arial" w:eastAsia="Arial" w:hAnsi="Arial"/>
          <w:sz w:val="18"/>
          <w:szCs w:val="18"/>
          <w:color w:val="auto"/>
        </w:rPr>
      </w:pPr>
    </w:p>
    <w:p>
      <w:pPr>
        <w:ind w:firstLine="656"/>
        <w:spacing w:after="0" w:line="277" w:lineRule="auto"/>
        <w:tabs>
          <w:tab w:leader="none" w:pos="11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Person who is a director, officer, or partner of such specified Person or of any company (other than the Company or any wholly-owned Subsidiary), corporation, partnership or other entity which is an Affiliate of such specified person.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ind w:right="20" w:firstLine="656"/>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An Option, Restricted Share, Restricted Share Unit, Share Appreciation Right, Other Share-Based Award or Performance-Based Award granted pursuant to the Plan.</w:t>
      </w:r>
    </w:p>
    <w:p>
      <w:pPr>
        <w:spacing w:after="0" w:line="170" w:lineRule="exact"/>
        <w:rPr>
          <w:rFonts w:ascii="Arial" w:cs="Arial" w:eastAsia="Arial" w:hAnsi="Arial"/>
          <w:sz w:val="18"/>
          <w:szCs w:val="18"/>
          <w:color w:val="auto"/>
        </w:rPr>
      </w:pPr>
    </w:p>
    <w:p>
      <w:pPr>
        <w:ind w:right="20" w:firstLine="656"/>
        <w:spacing w:after="0" w:line="277" w:lineRule="auto"/>
        <w:tabs>
          <w:tab w:leader="none" w:pos="124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Any written agreement, contract, or other instrument or document evidencing the terms and conditions of an Award, including through electronic medium.</w:t>
      </w:r>
    </w:p>
    <w:p>
      <w:pPr>
        <w:spacing w:after="0" w:line="170" w:lineRule="exact"/>
        <w:rPr>
          <w:rFonts w:ascii="Arial" w:cs="Arial" w:eastAsia="Arial" w:hAnsi="Arial"/>
          <w:sz w:val="18"/>
          <w:szCs w:val="18"/>
          <w:color w:val="auto"/>
        </w:rPr>
      </w:pPr>
    </w:p>
    <w:p>
      <w:pPr>
        <w:jc w:val="both"/>
        <w:ind w:right="20" w:firstLine="656"/>
        <w:spacing w:after="0" w:line="259"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186" w:lineRule="exact"/>
        <w:rPr>
          <w:rFonts w:ascii="Arial" w:cs="Arial" w:eastAsia="Arial" w:hAnsi="Arial"/>
          <w:sz w:val="18"/>
          <w:szCs w:val="18"/>
          <w:color w:val="auto"/>
        </w:rPr>
      </w:pPr>
    </w:p>
    <w:p>
      <w:pPr>
        <w:ind w:firstLine="656"/>
        <w:spacing w:after="0" w:line="277" w:lineRule="auto"/>
        <w:tabs>
          <w:tab w:leader="none" w:pos="143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All employee benefit and compensation plans, agreements, arrangements, programs, policies, practices, contracts or agreements of the Company and its Affiliates.</w:t>
      </w:r>
    </w:p>
    <w:p>
      <w:pPr>
        <w:spacing w:after="0" w:line="170" w:lineRule="exact"/>
        <w:rPr>
          <w:rFonts w:ascii="Arial" w:cs="Arial" w:eastAsia="Arial" w:hAnsi="Arial"/>
          <w:sz w:val="18"/>
          <w:szCs w:val="18"/>
          <w:color w:val="auto"/>
        </w:rPr>
      </w:pPr>
    </w:p>
    <w:p>
      <w:pPr>
        <w:ind w:left="1220" w:hanging="56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25" w:lineRule="exact"/>
        <w:rPr>
          <w:rFonts w:ascii="Arial" w:cs="Arial" w:eastAsia="Arial" w:hAnsi="Arial"/>
          <w:sz w:val="18"/>
          <w:szCs w:val="18"/>
          <w:color w:val="auto"/>
        </w:rPr>
      </w:pPr>
    </w:p>
    <w:p>
      <w:pPr>
        <w:jc w:val="both"/>
        <w:ind w:firstLine="656"/>
        <w:spacing w:after="0" w:line="268" w:lineRule="auto"/>
        <w:tabs>
          <w:tab w:leader="none" w:pos="126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in the case of a particular Award, unless the applicable Award Agreement states otherwise, (i) the Company or an Affiliate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good faith in its reasonable discretion.</w:t>
      </w:r>
    </w:p>
    <w:p>
      <w:pPr>
        <w:spacing w:after="0" w:line="186" w:lineRule="exact"/>
        <w:rPr>
          <w:rFonts w:ascii="Arial" w:cs="Arial" w:eastAsia="Arial" w:hAnsi="Arial"/>
          <w:sz w:val="17"/>
          <w:szCs w:val="17"/>
          <w:color w:val="auto"/>
        </w:rPr>
      </w:pPr>
    </w:p>
    <w:p>
      <w:pPr>
        <w:ind w:left="1240" w:hanging="584"/>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 events:</w:t>
      </w:r>
    </w:p>
    <w:p>
      <w:pPr>
        <w:spacing w:after="0" w:line="225" w:lineRule="exact"/>
        <w:rPr>
          <w:sz w:val="20"/>
          <w:szCs w:val="20"/>
          <w:color w:val="auto"/>
        </w:rPr>
      </w:pPr>
    </w:p>
    <w:p>
      <w:pPr>
        <w:jc w:val="both"/>
        <w:ind w:firstLine="656"/>
        <w:spacing w:after="0" w:line="259" w:lineRule="auto"/>
        <w:tabs>
          <w:tab w:leader="none" w:pos="13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50% or more of either (A) the then outstanding Shares of the Company (the “</w:t>
      </w:r>
      <w:r>
        <w:rPr>
          <w:rFonts w:ascii="Arial" w:cs="Arial" w:eastAsia="Arial" w:hAnsi="Arial"/>
          <w:sz w:val="18"/>
          <w:szCs w:val="18"/>
          <w:u w:val="single" w:color="auto"/>
          <w:color w:val="auto"/>
        </w:rPr>
        <w:t>Outstanding Ordinary Shares</w:t>
      </w:r>
      <w:r>
        <w:rPr>
          <w:rFonts w:ascii="Arial" w:cs="Arial" w:eastAsia="Arial" w:hAnsi="Arial"/>
          <w:sz w:val="18"/>
          <w:szCs w:val="18"/>
          <w:color w:val="auto"/>
        </w:rPr>
        <w:t>”) or (B) the combined voting power of the then outstanding voting securities of the Company entitled to vote generally in the election of directors (the “</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excluding any Person who becomes such a Beneficial Owner in connection with a transaction that complies with clauses (A), (B) and (C) of paragraph (iii) below;</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56"/>
        <w:spacing w:after="0" w:line="285" w:lineRule="auto"/>
        <w:tabs>
          <w:tab w:leader="none" w:pos="13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consummation of an acquisition, reorganization (excluding a reorganization under either Chapter 7 or Chapter 11 of Title 11 of the United States Code or a similar transaction as a result of the Company’s potential insolvency or ability to meet its debt obligations),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6"/>
          <w:szCs w:val="16"/>
          <w:u w:val="single" w:color="auto"/>
          <w:color w:val="auto"/>
        </w:rPr>
        <w:t>Corporate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Entity resulting from such Corporate Transaction or any Benefit Plan (or related trust) of the Company or such Entity resulting from such Corporate Transaction) beneficially owns, directly or indirectly, 30%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or</w:t>
      </w:r>
    </w:p>
    <w:p>
      <w:pPr>
        <w:spacing w:after="0" w:line="392" w:lineRule="exact"/>
        <w:rPr>
          <w:rFonts w:ascii="Arial" w:cs="Arial" w:eastAsia="Arial" w:hAnsi="Arial"/>
          <w:sz w:val="16"/>
          <w:szCs w:val="16"/>
          <w:color w:val="auto"/>
        </w:rPr>
      </w:pPr>
    </w:p>
    <w:p>
      <w:pPr>
        <w:ind w:firstLine="656"/>
        <w:spacing w:after="0" w:line="277" w:lineRule="auto"/>
        <w:tabs>
          <w:tab w:leader="none" w:pos="13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 excluding any transaction that complies with clauses (A), (B) and (C) of paragraph (iii) above.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foregoing, a transaction shall not constitute a Change in Control (i)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and (ii)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Section 2(k)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1220" w:hanging="564"/>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The U.S. Internal Revenue Code of 1986, as amended, or any successor thereto, and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jc w:val="both"/>
        <w:ind w:firstLine="656"/>
        <w:spacing w:after="0" w:line="263" w:lineRule="auto"/>
        <w:tabs>
          <w:tab w:leader="none" w:pos="150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Compensation Committee of the Board (or a subcommittee thereof), or the delegate to which the Board or the Compensation Committee has delegated its authority pursuant to Section 4(a) hereof, or such other committee of the Board to which the Board has delegated power to act under or pursuant to the provisions of the Plan.</w:t>
      </w:r>
    </w:p>
    <w:p>
      <w:pPr>
        <w:spacing w:after="0" w:line="183" w:lineRule="exact"/>
        <w:rPr>
          <w:rFonts w:ascii="Arial" w:cs="Arial" w:eastAsia="Arial" w:hAnsi="Arial"/>
          <w:sz w:val="18"/>
          <w:szCs w:val="18"/>
          <w:color w:val="auto"/>
        </w:rPr>
      </w:pPr>
    </w:p>
    <w:p>
      <w:pPr>
        <w:ind w:left="1240" w:hanging="584"/>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Weatherford International plc, an Irish public limited company and any successor thereto.</w:t>
      </w:r>
    </w:p>
    <w:p>
      <w:pPr>
        <w:spacing w:after="0" w:line="225" w:lineRule="exact"/>
        <w:rPr>
          <w:rFonts w:ascii="Arial" w:cs="Arial" w:eastAsia="Arial" w:hAnsi="Arial"/>
          <w:sz w:val="18"/>
          <w:szCs w:val="18"/>
          <w:color w:val="auto"/>
        </w:rPr>
      </w:pPr>
    </w:p>
    <w:p>
      <w:pPr>
        <w:ind w:firstLine="656"/>
        <w:spacing w:after="0" w:line="277" w:lineRule="auto"/>
        <w:tabs>
          <w:tab w:leader="none" w:pos="126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Company Assets</w:t>
      </w:r>
      <w:r>
        <w:rPr>
          <w:rFonts w:ascii="Arial" w:cs="Arial" w:eastAsia="Arial" w:hAnsi="Arial"/>
          <w:sz w:val="18"/>
          <w:szCs w:val="18"/>
          <w:color w:val="auto"/>
        </w:rPr>
        <w:t>: Means the assets (of any kind) owned by the Company, including without limitation, the securities of the Company's Subsidiaries and any of the assets owned by the Company's Subsidiaries.</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36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 inventions or systems information, whether or not patentable or copyrightable, and that is not otherwise a Trade Secret.</w:t>
      </w:r>
    </w:p>
    <w:p>
      <w:pPr>
        <w:spacing w:after="0" w:line="166" w:lineRule="exact"/>
        <w:rPr>
          <w:rFonts w:ascii="Arial" w:cs="Arial" w:eastAsia="Arial" w:hAnsi="Arial"/>
          <w:sz w:val="16"/>
          <w:szCs w:val="16"/>
          <w:color w:val="auto"/>
        </w:rPr>
      </w:pPr>
    </w:p>
    <w:p>
      <w:pPr>
        <w:jc w:val="both"/>
        <w:ind w:firstLine="656"/>
        <w:spacing w:after="0" w:line="286" w:lineRule="auto"/>
        <w:tabs>
          <w:tab w:leader="none" w:pos="128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Any consultant or advisor if (a) the consultant or advisor renders bona fide service to the Company or any Affiliate, (b) the services rendered by the consultant or advisor are not in connection with the offer or sale of a securities in a capital-raising transaction and do not directly or indirectly promote or maintain a market for the Company's securities, and (iii) the consultant or advisor is a natural person.</w:t>
      </w:r>
    </w:p>
    <w:p>
      <w:pPr>
        <w:spacing w:after="0" w:line="165" w:lineRule="exact"/>
        <w:rPr>
          <w:rFonts w:ascii="Arial" w:cs="Arial" w:eastAsia="Arial" w:hAnsi="Arial"/>
          <w:sz w:val="17"/>
          <w:szCs w:val="17"/>
          <w:color w:val="auto"/>
        </w:rPr>
      </w:pPr>
    </w:p>
    <w:p>
      <w:pPr>
        <w:jc w:val="both"/>
        <w:ind w:firstLine="656"/>
        <w:spacing w:after="0" w:line="268" w:lineRule="auto"/>
        <w:tabs>
          <w:tab w:leader="none" w:pos="128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Detrimental Activity</w:t>
      </w:r>
      <w:r>
        <w:rPr>
          <w:rFonts w:ascii="Arial" w:cs="Arial" w:eastAsia="Arial" w:hAnsi="Arial"/>
          <w:sz w:val="17"/>
          <w:szCs w:val="17"/>
          <w:color w:val="auto"/>
        </w:rPr>
        <w:t xml:space="preserve">: Means any of the following by the Participant: (1) unauthorized use, disclosure or dissemination of Confidential Information or Trade Secrets pertaining to the business of any member of the Weatherford Group; (2) any activity that would be grounds to terminate the Participant’s employment or service with any member of the Weatherford Group for Cause; (3) a breach by the Participant of any restrictive covenant by which such Participant is bound, including, without limitation, any covenant not to compete or not to solicit, in any agreement with any member of the Weatherford Group or (4) fraud or conduct contributing to any financial restatements or irregularities, as determined by the Committee in good faith in its reasonable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activity described under clause (1) of this definition does not apply to (x) any Confidential Information or Trade Secrets which have become generally known to competitors of any member of the Weatherford Group through no act or omission by the Participant or (y) a Participant’s communications that are required by law or judicial process (</w:t>
      </w:r>
      <w:r>
        <w:rPr>
          <w:rFonts w:ascii="Arial" w:cs="Arial" w:eastAsia="Arial" w:hAnsi="Arial"/>
          <w:sz w:val="17"/>
          <w:szCs w:val="17"/>
          <w:i w:val="1"/>
          <w:iCs w:val="1"/>
          <w:color w:val="auto"/>
        </w:rPr>
        <w:t>e.g</w:t>
      </w:r>
      <w:r>
        <w:rPr>
          <w:rFonts w:ascii="Arial" w:cs="Arial" w:eastAsia="Arial" w:hAnsi="Arial"/>
          <w:sz w:val="17"/>
          <w:szCs w:val="17"/>
          <w:color w:val="auto"/>
        </w:rPr>
        <w:t>., subpoena). Further, this definition does not preclude a Participant from communicating, cooperating or filing a complaint with any U.S. federal, foreign, state or local governmental or law enforcement branch, agency or entity (collectively, a “</w:t>
      </w:r>
      <w:r>
        <w:rPr>
          <w:rFonts w:ascii="Arial" w:cs="Arial" w:eastAsia="Arial" w:hAnsi="Arial"/>
          <w:sz w:val="17"/>
          <w:szCs w:val="17"/>
          <w:b w:val="1"/>
          <w:bCs w:val="1"/>
          <w:color w:val="auto"/>
        </w:rPr>
        <w:t>Governmental Entity</w:t>
      </w:r>
      <w:r>
        <w:rPr>
          <w:rFonts w:ascii="Arial" w:cs="Arial" w:eastAsia="Arial" w:hAnsi="Arial"/>
          <w:sz w:val="17"/>
          <w:szCs w:val="17"/>
          <w:color w:val="auto"/>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1240" w:hanging="584"/>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A member of the Board.</w:t>
      </w:r>
    </w:p>
    <w:p>
      <w:pPr>
        <w:spacing w:after="0" w:line="225" w:lineRule="exact"/>
        <w:rPr>
          <w:rFonts w:ascii="Arial" w:cs="Arial" w:eastAsia="Arial" w:hAnsi="Arial"/>
          <w:sz w:val="18"/>
          <w:szCs w:val="18"/>
          <w:color w:val="auto"/>
        </w:rPr>
      </w:pPr>
    </w:p>
    <w:p>
      <w:pPr>
        <w:jc w:val="both"/>
        <w:ind w:firstLine="656"/>
        <w:spacing w:after="0" w:line="253" w:lineRule="auto"/>
        <w:tabs>
          <w:tab w:leader="none" w:pos="126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196" w:lineRule="exact"/>
        <w:rPr>
          <w:rFonts w:ascii="Arial" w:cs="Arial" w:eastAsia="Arial" w:hAnsi="Arial"/>
          <w:sz w:val="18"/>
          <w:szCs w:val="18"/>
          <w:color w:val="auto"/>
        </w:rPr>
      </w:pPr>
    </w:p>
    <w:p>
      <w:pPr>
        <w:jc w:val="both"/>
        <w:ind w:firstLine="656"/>
        <w:spacing w:after="0" w:line="259" w:lineRule="auto"/>
        <w:tabs>
          <w:tab w:leader="none" w:pos="135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A right to receive the equivalent value of dividends paid on the Shares with respect to Shares underlying Restricted Share Units or an Other Share-Based Award that is a Full Value Award prior to vesting of the Award, subject to the additional requirements of Section 10(b) hereof. Such Dividend Equivalent Right shall be converted to cash or additional Shares, or a combination of cash and Shares, by such formula and at such time and subject to such limitations as may be determined by the Committee.</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36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spacing w:after="0" w:line="183" w:lineRule="exact"/>
        <w:rPr>
          <w:rFonts w:ascii="Arial" w:cs="Arial" w:eastAsia="Arial" w:hAnsi="Arial"/>
          <w:sz w:val="18"/>
          <w:szCs w:val="18"/>
          <w:color w:val="auto"/>
        </w:rPr>
      </w:pPr>
    </w:p>
    <w:p>
      <w:pPr>
        <w:ind w:right="20" w:firstLine="656"/>
        <w:spacing w:after="0" w:line="277" w:lineRule="auto"/>
        <w:tabs>
          <w:tab w:leader="none" w:pos="129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Entity</w:t>
      </w:r>
      <w:r>
        <w:rPr>
          <w:rFonts w:ascii="Arial" w:cs="Arial" w:eastAsia="Arial" w:hAnsi="Arial"/>
          <w:sz w:val="18"/>
          <w:szCs w:val="18"/>
          <w:color w:val="auto"/>
        </w:rPr>
        <w:t>: Any corporation, partnership, association, joint-stock company, limited liability company, trust, unincorporated organization or other business entity.</w:t>
      </w:r>
    </w:p>
    <w:p>
      <w:pPr>
        <w:spacing w:after="0" w:line="170" w:lineRule="exact"/>
        <w:rPr>
          <w:rFonts w:ascii="Arial" w:cs="Arial" w:eastAsia="Arial" w:hAnsi="Arial"/>
          <w:sz w:val="18"/>
          <w:szCs w:val="18"/>
          <w:color w:val="auto"/>
        </w:rPr>
      </w:pPr>
    </w:p>
    <w:p>
      <w:pPr>
        <w:ind w:firstLine="656"/>
        <w:spacing w:after="0" w:line="277" w:lineRule="auto"/>
        <w:tabs>
          <w:tab w:leader="none" w:pos="145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The U.S. Securities Exchange Act of 1934, as amended, or any successor thereto, and the rules and regulations promulgated thereunder.</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25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56"/>
        <w:spacing w:after="0" w:line="263" w:lineRule="auto"/>
        <w:tabs>
          <w:tab w:leader="none" w:pos="125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Full Value Awards</w:t>
      </w:r>
      <w:r>
        <w:rPr>
          <w:rFonts w:ascii="Arial" w:cs="Arial" w:eastAsia="Arial" w:hAnsi="Arial"/>
          <w:sz w:val="18"/>
          <w:szCs w:val="18"/>
          <w:color w:val="auto"/>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An Option that is intended to be an incentive stock option granted pursuant to Section 7(e) of the Plan.</w:t>
      </w:r>
    </w:p>
    <w:p>
      <w:pPr>
        <w:spacing w:after="0" w:line="225" w:lineRule="exact"/>
        <w:rPr>
          <w:sz w:val="20"/>
          <w:szCs w:val="20"/>
          <w:color w:val="auto"/>
        </w:rPr>
      </w:pPr>
    </w:p>
    <w:p>
      <w:pPr>
        <w:ind w:left="1200" w:hanging="544"/>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An option granted pursuant to Section 7 of the Plan.</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a Share may be purchased upon the exercise of an Option, as determined pursuant to Section 7(b)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200" w:hanging="544"/>
        <w:spacing w:after="0"/>
        <w:tabs>
          <w:tab w:leader="none" w:pos="12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Other Share-Based Awards</w:t>
      </w:r>
      <w:r>
        <w:rPr>
          <w:rFonts w:ascii="Arial" w:cs="Arial" w:eastAsia="Arial" w:hAnsi="Arial"/>
          <w:sz w:val="18"/>
          <w:szCs w:val="18"/>
          <w:color w:val="auto"/>
        </w:rPr>
        <w:t>: Awards granted pursuant to Section 9 of the Plan.</w:t>
      </w:r>
    </w:p>
    <w:p>
      <w:pPr>
        <w:spacing w:after="0" w:line="225" w:lineRule="exact"/>
        <w:rPr>
          <w:rFonts w:ascii="Arial" w:cs="Arial" w:eastAsia="Arial" w:hAnsi="Arial"/>
          <w:sz w:val="18"/>
          <w:szCs w:val="18"/>
          <w:color w:val="auto"/>
        </w:rPr>
      </w:pPr>
    </w:p>
    <w:p>
      <w:pPr>
        <w:ind w:right="20" w:firstLine="656"/>
        <w:spacing w:after="0" w:line="277" w:lineRule="auto"/>
        <w:tabs>
          <w:tab w:leader="none" w:pos="125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An Employee, Consultant, or Director who is selected by the Committee to participate in the Plan and to whom an Award is granted pursuant to the Plan.</w:t>
      </w:r>
    </w:p>
    <w:p>
      <w:pPr>
        <w:spacing w:after="0" w:line="170" w:lineRule="exact"/>
        <w:rPr>
          <w:rFonts w:ascii="Arial" w:cs="Arial" w:eastAsia="Arial" w:hAnsi="Arial"/>
          <w:sz w:val="18"/>
          <w:szCs w:val="18"/>
          <w:color w:val="auto"/>
        </w:rPr>
      </w:pPr>
    </w:p>
    <w:p>
      <w:pPr>
        <w:ind w:left="1200" w:hanging="544"/>
        <w:spacing w:after="0"/>
        <w:tabs>
          <w:tab w:leader="none" w:pos="120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Performance-Based Award</w:t>
      </w:r>
      <w:r>
        <w:rPr>
          <w:rFonts w:ascii="Arial" w:cs="Arial" w:eastAsia="Arial" w:hAnsi="Arial"/>
          <w:sz w:val="17"/>
          <w:szCs w:val="17"/>
          <w:color w:val="auto"/>
        </w:rPr>
        <w:t>: A Full-Value Award that vests, in whole or in part, based on the attainment of a Performance Goal.</w:t>
      </w:r>
    </w:p>
    <w:p>
      <w:pPr>
        <w:spacing w:after="0" w:line="236" w:lineRule="exact"/>
        <w:rPr>
          <w:rFonts w:ascii="Arial" w:cs="Arial" w:eastAsia="Arial" w:hAnsi="Arial"/>
          <w:sz w:val="17"/>
          <w:szCs w:val="17"/>
          <w:color w:val="auto"/>
        </w:rPr>
      </w:pPr>
    </w:p>
    <w:p>
      <w:pPr>
        <w:jc w:val="both"/>
        <w:ind w:firstLine="656"/>
        <w:spacing w:after="0" w:line="286" w:lineRule="auto"/>
        <w:tabs>
          <w:tab w:leader="none" w:pos="1213"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Performance Criteria</w:t>
      </w:r>
      <w:r>
        <w:rPr>
          <w:rFonts w:ascii="Arial" w:cs="Arial" w:eastAsia="Arial" w:hAnsi="Arial"/>
          <w:sz w:val="16"/>
          <w:szCs w:val="16"/>
          <w:color w:val="auto"/>
        </w:rPr>
        <w:t>: The criteria that the Committee selects for purposes of establishing the Performance Goal(s) for a Participant during a Performance Period. The Performance Criteria that will be used to 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w:t>
      </w:r>
    </w:p>
    <w:p>
      <w:pPr>
        <w:spacing w:after="0" w:line="1" w:lineRule="exact"/>
        <w:rPr>
          <w:rFonts w:ascii="Arial" w:cs="Arial" w:eastAsia="Arial" w:hAnsi="Arial"/>
          <w:sz w:val="16"/>
          <w:szCs w:val="16"/>
          <w:color w:val="auto"/>
        </w:rPr>
      </w:pPr>
    </w:p>
    <w:p>
      <w:pPr>
        <w:jc w:val="both"/>
        <w:ind w:firstLine="8"/>
        <w:spacing w:after="0" w:line="273" w:lineRule="auto"/>
        <w:tabs>
          <w:tab w:leader="none" w:pos="3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expense management; (x) return on invested capital; (xi) improvements in capital structure; (xii) profitability of an identifiable business unit or product; (xiii) maintenance or improvement of profit margins or revenue; (xiv) Share price; (xv) market share; (xvi) revenues or sales; (xvii) costs; (xviii) available cash flow; (xix) working capital; (xx) return on assets; (xxi) total shareholder return, (xxii) productivity ratios, and (xxiii) economic value added. The Performance Criteria may be calculated in accordance with the Applicable Accounting Standards or on an adjusted basis.</w:t>
      </w:r>
    </w:p>
    <w:p>
      <w:pPr>
        <w:spacing w:after="0" w:line="176" w:lineRule="exact"/>
        <w:rPr>
          <w:rFonts w:ascii="Arial" w:cs="Arial" w:eastAsia="Arial" w:hAnsi="Arial"/>
          <w:sz w:val="17"/>
          <w:szCs w:val="17"/>
          <w:color w:val="auto"/>
        </w:rPr>
      </w:pPr>
    </w:p>
    <w:p>
      <w:pPr>
        <w:jc w:val="both"/>
        <w:ind w:firstLine="656"/>
        <w:spacing w:after="0" w:line="269" w:lineRule="auto"/>
        <w:tabs>
          <w:tab w:leader="none" w:pos="1213"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56"/>
        <w:spacing w:after="0" w:line="263" w:lineRule="auto"/>
        <w:tabs>
          <w:tab w:leader="none" w:pos="123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3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Person</w:t>
      </w:r>
      <w:r>
        <w:rPr>
          <w:rFonts w:ascii="Arial" w:cs="Arial" w:eastAsia="Arial" w:hAnsi="Arial"/>
          <w:sz w:val="17"/>
          <w:szCs w:val="17"/>
          <w:color w:val="auto"/>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71" w:lineRule="exact"/>
        <w:rPr>
          <w:rFonts w:ascii="Arial" w:cs="Arial" w:eastAsia="Arial" w:hAnsi="Arial"/>
          <w:sz w:val="17"/>
          <w:szCs w:val="17"/>
          <w:color w:val="auto"/>
        </w:rPr>
      </w:pPr>
    </w:p>
    <w:p>
      <w:pPr>
        <w:ind w:left="1240" w:hanging="584"/>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This Weatherford International plc Amended and Restated 2019 Equity Incentive Plan, as amended from time to time.</w:t>
      </w:r>
    </w:p>
    <w:p>
      <w:pPr>
        <w:spacing w:after="0" w:line="225" w:lineRule="exact"/>
        <w:rPr>
          <w:rFonts w:ascii="Arial" w:cs="Arial" w:eastAsia="Arial" w:hAnsi="Arial"/>
          <w:sz w:val="18"/>
          <w:szCs w:val="18"/>
          <w:color w:val="auto"/>
        </w:rPr>
      </w:pPr>
    </w:p>
    <w:p>
      <w:pPr>
        <w:ind w:firstLine="656"/>
        <w:spacing w:after="0" w:line="277" w:lineRule="auto"/>
        <w:tabs>
          <w:tab w:leader="none" w:pos="123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 Shares awarded to a Participant pursuant to Section 6 of the Plan that shall be subject to certain restrictions and may be subject to risk of forfeiture.</w:t>
      </w:r>
    </w:p>
    <w:p>
      <w:pPr>
        <w:spacing w:after="0" w:line="170" w:lineRule="exact"/>
        <w:rPr>
          <w:rFonts w:ascii="Arial" w:cs="Arial" w:eastAsia="Arial" w:hAnsi="Arial"/>
          <w:sz w:val="18"/>
          <w:szCs w:val="18"/>
          <w:color w:val="auto"/>
        </w:rPr>
      </w:pPr>
    </w:p>
    <w:p>
      <w:pPr>
        <w:ind w:firstLine="656"/>
        <w:spacing w:after="0" w:line="277"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Restricted Share Unit</w:t>
      </w:r>
      <w:r>
        <w:rPr>
          <w:rFonts w:ascii="Arial" w:cs="Arial" w:eastAsia="Arial" w:hAnsi="Arial"/>
          <w:sz w:val="18"/>
          <w:szCs w:val="18"/>
          <w:color w:val="auto"/>
        </w:rPr>
        <w:t>: An Award granted pursuant to Section 5 of the Plan that shall be evidenced by a bookkeeping entry representing the equivalent of one Share.</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Code Section 409A, as amended, or any successor thereto, and the rules and regulations promulgated thereunder.</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Securities Act</w:t>
      </w:r>
      <w:r>
        <w:rPr>
          <w:rFonts w:ascii="Arial" w:cs="Arial" w:eastAsia="Arial" w:hAnsi="Arial"/>
          <w:sz w:val="17"/>
          <w:szCs w:val="17"/>
          <w:color w:val="auto"/>
        </w:rPr>
        <w:t>: The U.S. Securities Act of 1933, as amended, or any successor thereto, and the rules and regulations promulgated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jc w:val="both"/>
        <w:ind w:firstLine="656"/>
        <w:spacing w:after="0" w:line="271" w:lineRule="auto"/>
        <w:tabs>
          <w:tab w:leader="none" w:pos="122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Service</w:t>
      </w:r>
      <w:r>
        <w:rPr>
          <w:rFonts w:ascii="Arial" w:cs="Arial" w:eastAsia="Arial" w:hAnsi="Arial"/>
          <w:sz w:val="17"/>
          <w:szCs w:val="17"/>
          <w:color w:val="auto"/>
        </w:rPr>
        <w:t>: Except as otherwise determined by the Committee in its sole discretion, a Participant’s Service terminates 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spacing w:after="0" w:line="178" w:lineRule="exact"/>
        <w:rPr>
          <w:rFonts w:ascii="Arial" w:cs="Arial" w:eastAsia="Arial" w:hAnsi="Arial"/>
          <w:sz w:val="17"/>
          <w:szCs w:val="17"/>
          <w:color w:val="auto"/>
        </w:rPr>
      </w:pPr>
    </w:p>
    <w:p>
      <w:pPr>
        <w:ind w:firstLine="656"/>
        <w:spacing w:after="0" w:line="277" w:lineRule="auto"/>
        <w:tabs>
          <w:tab w:leader="none" w:pos="11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Ordinary shares in the capital of the Company, nominal value $0.001 per ordinary share, and such other securities of the Company that may be substituted for the Shares pursuant to Section 11 of the Plan.</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Share Appreciation Right</w:t>
      </w:r>
      <w:r>
        <w:rPr>
          <w:rFonts w:ascii="Arial" w:cs="Arial" w:eastAsia="Arial" w:hAnsi="Arial"/>
          <w:sz w:val="18"/>
          <w:szCs w:val="18"/>
          <w:color w:val="auto"/>
        </w:rPr>
        <w:t>: A share appreciation right granted pursuant to Section 8 of the Plan.</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7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Strike Price</w:t>
      </w:r>
      <w:r>
        <w:rPr>
          <w:rFonts w:ascii="Arial" w:cs="Arial" w:eastAsia="Arial" w:hAnsi="Arial"/>
          <w:sz w:val="18"/>
          <w:szCs w:val="18"/>
          <w:color w:val="auto"/>
        </w:rPr>
        <w:t>.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23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Any Affiliate which is a subsidiary of the Company within the meaning of Section 7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firstLine="656"/>
        <w:spacing w:after="0" w:line="342" w:lineRule="auto"/>
        <w:tabs>
          <w:tab w:leader="none" w:pos="121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Substitute Award</w:t>
      </w:r>
      <w:r>
        <w:rPr>
          <w:rFonts w:ascii="Arial" w:cs="Arial" w:eastAsia="Arial" w:hAnsi="Arial"/>
          <w:sz w:val="16"/>
          <w:szCs w:val="16"/>
          <w:color w:val="auto"/>
        </w:rPr>
        <w:t>: An Award granted under the Plan in assumption of, or in substitution or exchange for, an outstanding award previously granted by an entity directly or indirectly acquired by the Company or any Subsidiary or with which the Company or any Subsidiary combines.</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30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Tax-Related Items</w:t>
      </w:r>
      <w:r>
        <w:rPr>
          <w:rFonts w:ascii="Arial" w:cs="Arial" w:eastAsia="Arial" w:hAnsi="Arial"/>
          <w:sz w:val="18"/>
          <w:szCs w:val="18"/>
          <w:color w:val="auto"/>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26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Trade Secrets</w:t>
      </w:r>
      <w:r>
        <w:rPr>
          <w:rFonts w:ascii="Arial" w:cs="Arial" w:eastAsia="Arial" w:hAnsi="Arial"/>
          <w:sz w:val="18"/>
          <w:szCs w:val="18"/>
          <w:color w:val="auto"/>
        </w:rPr>
        <w:t>: Means without limitation, (1)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spacing w:after="0" w:line="187" w:lineRule="exact"/>
        <w:rPr>
          <w:rFonts w:ascii="Arial" w:cs="Arial" w:eastAsia="Arial" w:hAnsi="Arial"/>
          <w:sz w:val="18"/>
          <w:szCs w:val="18"/>
          <w:color w:val="auto"/>
        </w:rPr>
      </w:pPr>
    </w:p>
    <w:p>
      <w:pPr>
        <w:ind w:left="1220" w:hanging="564"/>
        <w:spacing w:after="0"/>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Weatherford Group</w:t>
      </w:r>
      <w:r>
        <w:rPr>
          <w:rFonts w:ascii="Arial" w:cs="Arial" w:eastAsia="Arial" w:hAnsi="Arial"/>
          <w:sz w:val="18"/>
          <w:szCs w:val="18"/>
          <w:color w:val="auto"/>
        </w:rPr>
        <w:t>: The Company and its Subsidiaries.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Shares Subject to the Plan and Limitation on Issuable Shares</w:t>
      </w:r>
    </w:p>
    <w:p>
      <w:pPr>
        <w:spacing w:after="0" w:line="229" w:lineRule="exact"/>
        <w:rPr>
          <w:rFonts w:ascii="Arial" w:cs="Arial" w:eastAsia="Arial" w:hAnsi="Arial"/>
          <w:sz w:val="18"/>
          <w:szCs w:val="18"/>
          <w:color w:val="auto"/>
        </w:rPr>
      </w:pPr>
    </w:p>
    <w:p>
      <w:pPr>
        <w:ind w:left="1220" w:hanging="564"/>
        <w:spacing w:after="0"/>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Number of Shares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Section 11, and as of the Effective Date, the total number of Shares which may be issued under the Plan is 4,000,000, and the maximum number of Shares for which ISOs may be granted is 400,000. Except as provided below in Section 3(b) or 3(c),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spacing w:after="0" w:line="171" w:lineRule="exact"/>
        <w:rPr>
          <w:sz w:val="20"/>
          <w:szCs w:val="20"/>
          <w:color w:val="auto"/>
        </w:rPr>
      </w:pPr>
    </w:p>
    <w:p>
      <w:pPr>
        <w:ind w:left="1220" w:hanging="564"/>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Shares Reissuable Under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Shares Not Reissuable Under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the following Shares shall be counted against the maximum number of Shares available for issuance pursuant to Section 3(a) 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 (iii) Shares that are repurchased or redeemed on the open market with the proceeds of the exercise of an Option.</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220" w:hanging="564"/>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Shares Not Counted Against Share Pool Reserve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anything contained in Section 3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spacing w:after="0" w:line="178" w:lineRule="exact"/>
        <w:rPr>
          <w:sz w:val="20"/>
          <w:szCs w:val="20"/>
          <w:color w:val="auto"/>
        </w:rPr>
      </w:pPr>
    </w:p>
    <w:p>
      <w:pPr>
        <w:ind w:left="1220" w:hanging="564"/>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Non-Employee Director Award Limit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spacing w:after="0" w:line="17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left="1220" w:hanging="564"/>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Committee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Plan shall be administered by the Committee, which may delegate its duties and powers in whole or in part to any subcommittee thereof consisting solely of at least two individuals who are intended to qualify as “Non-Employee Directors” within the meaning of Rule 16b-3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w:t>
      </w:r>
    </w:p>
    <w:p>
      <w:pPr>
        <w:spacing w:after="0" w:line="182" w:lineRule="exact"/>
        <w:rPr>
          <w:sz w:val="20"/>
          <w:szCs w:val="20"/>
          <w:color w:val="auto"/>
        </w:rPr>
      </w:pPr>
    </w:p>
    <w:p>
      <w:pPr>
        <w:ind w:left="1220" w:hanging="56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has the exclusive power, authority and discretion to:</w:t>
      </w:r>
    </w:p>
    <w:p>
      <w:pPr>
        <w:spacing w:after="0" w:line="225" w:lineRule="exact"/>
        <w:rPr>
          <w:sz w:val="20"/>
          <w:szCs w:val="20"/>
          <w:color w:val="auto"/>
        </w:rPr>
      </w:pPr>
    </w:p>
    <w:p>
      <w:pPr>
        <w:ind w:left="1240" w:hanging="584"/>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1240" w:hanging="584"/>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2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or waived, including, without limitation, in connection with the Participant’s retirement or other termination or other event, or (C) an Award may be cancelled, forfeited, or surrendered;</w:t>
      </w:r>
    </w:p>
    <w:p>
      <w:pPr>
        <w:spacing w:after="0" w:line="186" w:lineRule="exact"/>
        <w:rPr>
          <w:rFonts w:ascii="Arial" w:cs="Arial" w:eastAsia="Arial" w:hAnsi="Arial"/>
          <w:sz w:val="18"/>
          <w:szCs w:val="18"/>
          <w:color w:val="auto"/>
        </w:rPr>
      </w:pPr>
    </w:p>
    <w:p>
      <w:pPr>
        <w:ind w:firstLine="656"/>
        <w:spacing w:after="0" w:line="277" w:lineRule="auto"/>
        <w:tabs>
          <w:tab w:leader="none" w:pos="12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 and may vary for Participants within and outside of the United States;</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Allot and issue any Shares which are to be allotted and issued upon the vesting or exercise of any Award;</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3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spacing w:after="0" w:line="183" w:lineRule="exact"/>
        <w:rPr>
          <w:rFonts w:ascii="Arial" w:cs="Arial" w:eastAsia="Arial" w:hAnsi="Arial"/>
          <w:sz w:val="18"/>
          <w:szCs w:val="18"/>
          <w:color w:val="auto"/>
        </w:rPr>
      </w:pPr>
    </w:p>
    <w:p>
      <w:pPr>
        <w:ind w:left="1280" w:hanging="624"/>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Construe and interpret the terms of, and any matter arising pursuant to, the Plan, or any Award Agreement;</w:t>
      </w:r>
    </w:p>
    <w:p>
      <w:pPr>
        <w:spacing w:after="0" w:line="225" w:lineRule="exact"/>
        <w:rPr>
          <w:rFonts w:ascii="Arial" w:cs="Arial" w:eastAsia="Arial" w:hAnsi="Arial"/>
          <w:sz w:val="18"/>
          <w:szCs w:val="18"/>
          <w:color w:val="auto"/>
        </w:rPr>
      </w:pPr>
    </w:p>
    <w:p>
      <w:pPr>
        <w:ind w:firstLine="656"/>
        <w:spacing w:after="0" w:line="277" w:lineRule="auto"/>
        <w:tabs>
          <w:tab w:leader="none" w:pos="13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Correct any defect or supply any omission or reconcile any inconsistency in the Plan in the manner and to the extent the Committee deems necessary or desirable;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170" w:lineRule="exact"/>
        <w:rPr>
          <w:sz w:val="20"/>
          <w:szCs w:val="20"/>
          <w:color w:val="auto"/>
        </w:rPr>
      </w:pPr>
    </w:p>
    <w:p>
      <w:pPr>
        <w:ind w:left="1220" w:hanging="564"/>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Decisions Binding</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decision of the Committee or its delegate pursuant to Section 4(a) hereof shall lie within its sole and absolute discretion and shall be final, conclusive and binding on all parties concerned (including, but not limited to, Participants and their beneficiaries or successors).</w:t>
      </w:r>
    </w:p>
    <w:p>
      <w:pPr>
        <w:spacing w:after="0" w:line="146" w:lineRule="exact"/>
        <w:rPr>
          <w:sz w:val="20"/>
          <w:szCs w:val="20"/>
          <w:color w:val="auto"/>
        </w:rPr>
      </w:pPr>
    </w:p>
    <w:p>
      <w:pPr>
        <w:ind w:left="1220" w:hanging="483"/>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w:t>
      </w:r>
    </w:p>
    <w:p>
      <w:pPr>
        <w:spacing w:after="0" w:line="225"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1700" w:hanging="1057"/>
        <w:spacing w:after="0"/>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Award Limits for Employees and Consultants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maximum number of Shares that may be subject to Options or Share Appreciation Awards that are granted to any Employee or any Consultant during any calendar year shall not exceed 800,000 Shares, subject to adjustment as provided in Section 11 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spacing w:after="0" w:line="15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Terms and Conditions of Restricted Share Units</w:t>
      </w:r>
    </w:p>
    <w:p>
      <w:pPr>
        <w:spacing w:after="0" w:line="229" w:lineRule="exact"/>
        <w:rPr>
          <w:rFonts w:ascii="Arial" w:cs="Arial" w:eastAsia="Arial" w:hAnsi="Arial"/>
          <w:sz w:val="18"/>
          <w:szCs w:val="18"/>
          <w:color w:val="auto"/>
        </w:rPr>
      </w:pPr>
    </w:p>
    <w:p>
      <w:pPr>
        <w:ind w:left="1720" w:hanging="1064"/>
        <w:spacing w:after="0"/>
        <w:tabs>
          <w:tab w:leader="none" w:pos="172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is authorized to grant Restricted Share Units to Participants in such amounts and subject to such terms and conditions not inconsistent with the Plan, as the Committee shall determine.</w:t>
      </w:r>
    </w:p>
    <w:p>
      <w:pPr>
        <w:spacing w:after="0" w:line="170" w:lineRule="exact"/>
        <w:rPr>
          <w:sz w:val="20"/>
          <w:szCs w:val="20"/>
          <w:color w:val="auto"/>
        </w:rPr>
      </w:pPr>
    </w:p>
    <w:p>
      <w:pPr>
        <w:ind w:left="1680" w:hanging="1024"/>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Vesting Restrictions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spacing w:after="0" w:line="184" w:lineRule="exact"/>
        <w:rPr>
          <w:sz w:val="20"/>
          <w:szCs w:val="20"/>
          <w:color w:val="auto"/>
        </w:rPr>
      </w:pPr>
    </w:p>
    <w:p>
      <w:pPr>
        <w:ind w:left="1720" w:hanging="1064"/>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Section 20 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Section 20 hereof). Until a Restricted Share Unit is settled, the number of Restricted Share Units shall be subject to adjustment pursuant to Section 11 hereof.</w:t>
      </w:r>
    </w:p>
    <w:p>
      <w:pPr>
        <w:spacing w:after="0" w:line="178" w:lineRule="exact"/>
        <w:rPr>
          <w:sz w:val="20"/>
          <w:szCs w:val="20"/>
          <w:color w:val="auto"/>
        </w:rPr>
      </w:pPr>
    </w:p>
    <w:p>
      <w:pPr>
        <w:ind w:left="1680" w:hanging="1024"/>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Forfeiture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determined by the Committee at the time of the grant of the Award or thereafter, any Restricted Share Units that are not vested as of the date of the Participant’s termination of Service shall be forfeited.</w:t>
      </w:r>
    </w:p>
    <w:p>
      <w:pPr>
        <w:spacing w:after="0" w:line="170" w:lineRule="exact"/>
        <w:rPr>
          <w:sz w:val="20"/>
          <w:szCs w:val="20"/>
          <w:color w:val="auto"/>
        </w:rPr>
      </w:pPr>
    </w:p>
    <w:p>
      <w:pPr>
        <w:ind w:left="1720" w:hanging="1064"/>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General Creditors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Terms and Conditions of Restricted Share Awards</w:t>
      </w:r>
    </w:p>
    <w:p>
      <w:pPr>
        <w:spacing w:after="0" w:line="229" w:lineRule="exact"/>
        <w:rPr>
          <w:sz w:val="20"/>
          <w:szCs w:val="20"/>
          <w:color w:val="auto"/>
        </w:rPr>
      </w:pPr>
    </w:p>
    <w:p>
      <w:pPr>
        <w:ind w:left="1720" w:hanging="1064"/>
        <w:spacing w:after="0"/>
        <w:tabs>
          <w:tab w:leader="none" w:pos="1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is authorized to grant Restricted Shares to Participants selected by the Committee in such amounts and subject to such terms and conditions not inconsistent with the Plan, as the Committee shall determine.</w:t>
      </w:r>
    </w:p>
    <w:p>
      <w:pPr>
        <w:spacing w:after="0" w:line="170" w:lineRule="exact"/>
        <w:rPr>
          <w:sz w:val="20"/>
          <w:szCs w:val="20"/>
          <w:color w:val="auto"/>
        </w:rPr>
      </w:pPr>
    </w:p>
    <w:p>
      <w:pPr>
        <w:ind w:left="1680" w:hanging="1024"/>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Purchase Price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w:t>
      </w:r>
    </w:p>
    <w:p>
      <w:pPr>
        <w:spacing w:after="0" w:line="165" w:lineRule="exact"/>
        <w:rPr>
          <w:sz w:val="20"/>
          <w:szCs w:val="20"/>
          <w:color w:val="auto"/>
        </w:rPr>
      </w:pPr>
    </w:p>
    <w:p>
      <w:pPr>
        <w:ind w:left="1720" w:hanging="1064"/>
        <w:spacing w:after="0"/>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Issuance and Restrictions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spacing w:after="0" w:line="188" w:lineRule="exact"/>
        <w:rPr>
          <w:sz w:val="20"/>
          <w:szCs w:val="20"/>
          <w:color w:val="auto"/>
        </w:rPr>
      </w:pPr>
    </w:p>
    <w:p>
      <w:pPr>
        <w:ind w:left="1680" w:hanging="1024"/>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dividends that are distributed with respect to Restricted Shares shall be paid in accordance with the applicable Award Agreement, subject to the provisions of Section 10(b)(ii) hereof.</w:t>
      </w:r>
    </w:p>
    <w:p>
      <w:pPr>
        <w:spacing w:after="0" w:line="170" w:lineRule="exact"/>
        <w:rPr>
          <w:sz w:val="20"/>
          <w:szCs w:val="20"/>
          <w:color w:val="auto"/>
        </w:rPr>
      </w:pPr>
    </w:p>
    <w:p>
      <w:pPr>
        <w:ind w:left="1720" w:hanging="1064"/>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Forfeiture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determined by the Committee at the time of the grant of the Award or thereafter, upon termination of Service during the applicable restriction period, Restricted Shares that are at that time subject to restrictions shall be forfeited.</w:t>
      </w:r>
    </w:p>
    <w:p>
      <w:pPr>
        <w:spacing w:after="0" w:line="170" w:lineRule="exact"/>
        <w:rPr>
          <w:sz w:val="20"/>
          <w:szCs w:val="20"/>
          <w:color w:val="auto"/>
        </w:rPr>
      </w:pPr>
    </w:p>
    <w:p>
      <w:pPr>
        <w:ind w:left="1700" w:hanging="1044"/>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Certificates for Restricted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Shares granted pursuant to the Plan may be evidenced in such manner as the Committee shall determine. If certificates representing Restricted Shares are registered in the name of the Participant, certificates 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spacing w:after="0" w:line="183"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Terms and Conditions of Options</w:t>
      </w:r>
    </w:p>
    <w:p>
      <w:pPr>
        <w:spacing w:after="0" w:line="229" w:lineRule="exact"/>
        <w:rPr>
          <w:rFonts w:ascii="Arial" w:cs="Arial" w:eastAsia="Arial" w:hAnsi="Arial"/>
          <w:sz w:val="18"/>
          <w:szCs w:val="18"/>
          <w:color w:val="auto"/>
        </w:rPr>
      </w:pPr>
    </w:p>
    <w:p>
      <w:pPr>
        <w:ind w:left="1720" w:hanging="1064"/>
        <w:spacing w:after="0"/>
        <w:tabs>
          <w:tab w:leader="none" w:pos="172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Option Type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spacing w:after="0" w:line="184" w:lineRule="exact"/>
        <w:rPr>
          <w:sz w:val="20"/>
          <w:szCs w:val="20"/>
          <w:color w:val="auto"/>
        </w:rPr>
      </w:pPr>
    </w:p>
    <w:p>
      <w:pPr>
        <w:ind w:left="1680" w:hanging="1024"/>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Option Price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Option Price per Share shall be determined by the Committee, but shall not be less than the lower of (i) 100% of the Fair Market Value of a Share on the date an Option is granted (other than in the case of Substitute Awards) and (ii) the nominal value of a Share.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720" w:hanging="1064"/>
        <w:spacing w:after="0"/>
        <w:tabs>
          <w:tab w:leader="none" w:pos="1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Exercisability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71" w:lineRule="exact"/>
        <w:rPr>
          <w:sz w:val="20"/>
          <w:szCs w:val="20"/>
          <w:color w:val="auto"/>
        </w:rPr>
      </w:pPr>
    </w:p>
    <w:p>
      <w:pPr>
        <w:ind w:left="1680" w:hanging="1024"/>
        <w:spacing w:after="0"/>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Except as otherwise provided in the Plan or in an Award Agreement, an Option may be exercised for all, or from time to time any part, of the Shares for which it is then exercisable. For purposes of Section 7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w:t>
      </w:r>
    </w:p>
    <w:p>
      <w:pPr>
        <w:spacing w:after="0" w:line="2" w:lineRule="exact"/>
        <w:rPr>
          <w:sz w:val="20"/>
          <w:szCs w:val="20"/>
          <w:color w:val="auto"/>
        </w:rPr>
      </w:pPr>
    </w:p>
    <w:p>
      <w:pPr>
        <w:jc w:val="both"/>
        <w:ind w:firstLine="8"/>
        <w:spacing w:after="0" w:line="252" w:lineRule="auto"/>
        <w:tabs>
          <w:tab w:leader="none" w:pos="2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there is a public market for the Shares underlying the Options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spacing w:after="0" w:line="193" w:lineRule="exact"/>
        <w:rPr>
          <w:rFonts w:ascii="Arial" w:cs="Arial" w:eastAsia="Arial" w:hAnsi="Arial"/>
          <w:sz w:val="18"/>
          <w:szCs w:val="18"/>
          <w:color w:val="auto"/>
        </w:rPr>
      </w:pPr>
    </w:p>
    <w:p>
      <w:pPr>
        <w:ind w:left="1720" w:hanging="1064"/>
        <w:spacing w:after="0"/>
        <w:tabs>
          <w:tab w:leader="none" w:pos="172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ISOs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186" w:lineRule="exact"/>
        <w:rPr>
          <w:sz w:val="20"/>
          <w:szCs w:val="20"/>
          <w:color w:val="auto"/>
        </w:rPr>
      </w:pPr>
    </w:p>
    <w:p>
      <w:pPr>
        <w:ind w:left="1700" w:hanging="1044"/>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Terms and Conditions of Share Appreciation Rights</w:t>
      </w:r>
    </w:p>
    <w:p>
      <w:pPr>
        <w:spacing w:after="0" w:line="229" w:lineRule="exact"/>
        <w:rPr>
          <w:rFonts w:ascii="Arial" w:cs="Arial" w:eastAsia="Arial" w:hAnsi="Arial"/>
          <w:sz w:val="18"/>
          <w:szCs w:val="18"/>
          <w:color w:val="auto"/>
        </w:rPr>
      </w:pPr>
    </w:p>
    <w:p>
      <w:pPr>
        <w:ind w:left="1720" w:hanging="1064"/>
        <w:spacing w:after="0"/>
        <w:tabs>
          <w:tab w:leader="none" w:pos="172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covered by an Option (or such lesser number of Shares as the Committee may determine) and (C) shall be subject to the same terms and conditions as such Option except for such additional limitations as are contemplated by this Section 8 (or such additional limitations as may be included in an Award Agreement).</w:t>
      </w:r>
    </w:p>
    <w:p>
      <w:pPr>
        <w:spacing w:after="0" w:line="188" w:lineRule="exact"/>
        <w:rPr>
          <w:sz w:val="20"/>
          <w:szCs w:val="20"/>
          <w:color w:val="auto"/>
        </w:rPr>
      </w:pPr>
    </w:p>
    <w:p>
      <w:pPr>
        <w:ind w:left="1680" w:hanging="1024"/>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74" w:lineRule="exact"/>
        <w:rPr>
          <w:sz w:val="20"/>
          <w:szCs w:val="20"/>
          <w:color w:val="auto"/>
        </w:rPr>
      </w:pPr>
    </w:p>
    <w:p>
      <w:pPr>
        <w:ind w:left="1720" w:hanging="1064"/>
        <w:spacing w:after="0"/>
        <w:tabs>
          <w:tab w:leader="none" w:pos="1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Limitations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impose, in its discretion, such conditions regarding the exercisability of Share Appreciation Rights as it may deem fit, but in no event shall a Share Appreciation Right be exercisable more than ten years after the date it is granted.</w:t>
      </w:r>
    </w:p>
    <w:p>
      <w:pPr>
        <w:spacing w:after="0" w:line="16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Other Share-Based Awards</w:t>
      </w:r>
    </w:p>
    <w:p>
      <w:pPr>
        <w:spacing w:after="0" w:line="229" w:lineRule="exact"/>
        <w:rPr>
          <w:rFonts w:ascii="Arial" w:cs="Arial" w:eastAsia="Arial" w:hAnsi="Arial"/>
          <w:sz w:val="18"/>
          <w:szCs w:val="18"/>
          <w:color w:val="auto"/>
        </w:rPr>
      </w:pPr>
    </w:p>
    <w:p>
      <w:pPr>
        <w:ind w:left="1720" w:hanging="1064"/>
        <w:spacing w:after="0"/>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Grants of Other Share-Based Awards and Performance-Based Awards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Section 9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1680" w:hanging="1024"/>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Form of Payment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Payments with respect to any Awards granted under Section 9 shall be made in cash or cash equivalent, in Shares or any combination of the foregoing, as determined by the Committee.</w:t>
      </w:r>
    </w:p>
    <w:p>
      <w:pPr>
        <w:spacing w:after="0" w:line="170" w:lineRule="exact"/>
        <w:rPr>
          <w:sz w:val="20"/>
          <w:szCs w:val="20"/>
          <w:color w:val="auto"/>
        </w:rPr>
      </w:pPr>
    </w:p>
    <w:p>
      <w:pPr>
        <w:ind w:left="1720" w:hanging="1064"/>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Vesting Conditions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specify the date or dates on which the Awards granted pursuant to this Section 9 shall become fully vested and nonforfeitable, and may specify such conditions to vesting as it deems appropriate. The vesting conditions may be based on, among other vesting conditions, a Participant’s continued Service or the attainment of Performance Goals.</w:t>
      </w:r>
    </w:p>
    <w:p>
      <w:pPr>
        <w:spacing w:after="0" w:line="184" w:lineRule="exact"/>
        <w:rPr>
          <w:sz w:val="20"/>
          <w:szCs w:val="20"/>
          <w:color w:val="auto"/>
        </w:rPr>
      </w:pPr>
    </w:p>
    <w:p>
      <w:pPr>
        <w:ind w:left="1680" w:hanging="1024"/>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otherwise provided herein, the term of any Award granted pursuant to this Section 9 shall be set by the Committee in its discretion; provided, that the term of any Award granted pursuant to this Section 9 shall not exceed 10 years.</w:t>
      </w:r>
    </w:p>
    <w:p>
      <w:pPr>
        <w:spacing w:after="0" w:line="166"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Provisions Applicable to All Awards</w:t>
      </w:r>
    </w:p>
    <w:p>
      <w:pPr>
        <w:spacing w:after="0" w:line="229" w:lineRule="exact"/>
        <w:rPr>
          <w:sz w:val="20"/>
          <w:szCs w:val="20"/>
          <w:color w:val="auto"/>
        </w:rPr>
      </w:pPr>
    </w:p>
    <w:p>
      <w:pPr>
        <w:ind w:left="1720" w:hanging="1064"/>
        <w:spacing w:after="0"/>
        <w:tabs>
          <w:tab w:leader="none" w:pos="17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Award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165" w:lineRule="exact"/>
        <w:rPr>
          <w:sz w:val="20"/>
          <w:szCs w:val="20"/>
          <w:color w:val="auto"/>
        </w:rPr>
      </w:pPr>
    </w:p>
    <w:p>
      <w:pPr>
        <w:ind w:left="1680" w:hanging="1024"/>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p>
    <w:p>
      <w:pPr>
        <w:spacing w:after="0" w:line="225" w:lineRule="exact"/>
        <w:rPr>
          <w:sz w:val="20"/>
          <w:szCs w:val="20"/>
          <w:color w:val="auto"/>
        </w:rPr>
      </w:pPr>
    </w:p>
    <w:p>
      <w:pPr>
        <w:ind w:right="20" w:firstLine="656"/>
        <w:spacing w:after="0" w:line="342" w:lineRule="auto"/>
        <w:tabs>
          <w:tab w:leader="none" w:pos="167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spacing w:after="0" w:line="123" w:lineRule="exact"/>
        <w:rPr>
          <w:rFonts w:ascii="Arial" w:cs="Arial" w:eastAsia="Arial" w:hAnsi="Arial"/>
          <w:sz w:val="16"/>
          <w:szCs w:val="16"/>
          <w:color w:val="auto"/>
        </w:rPr>
      </w:pPr>
    </w:p>
    <w:p>
      <w:pPr>
        <w:jc w:val="both"/>
        <w:ind w:firstLine="656"/>
        <w:spacing w:after="0" w:line="286" w:lineRule="auto"/>
        <w:tabs>
          <w:tab w:leader="none" w:pos="190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Dividend Equivalent Rights provided in connection with an Award that is subject to vesting shall either (i) 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spacing w:after="0" w:line="165" w:lineRule="exact"/>
        <w:rPr>
          <w:sz w:val="20"/>
          <w:szCs w:val="20"/>
          <w:color w:val="auto"/>
        </w:rPr>
      </w:pPr>
    </w:p>
    <w:p>
      <w:pPr>
        <w:ind w:left="1720" w:hanging="1064"/>
        <w:spacing w:after="0"/>
        <w:tabs>
          <w:tab w:leader="none" w:pos="1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Limits on Transfer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88" w:lineRule="exact"/>
        <w:rPr>
          <w:sz w:val="20"/>
          <w:szCs w:val="20"/>
          <w:color w:val="auto"/>
        </w:rPr>
      </w:pPr>
    </w:p>
    <w:p>
      <w:pPr>
        <w:ind w:left="1680" w:hanging="1024"/>
        <w:spacing w:after="0"/>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Minimum Vesting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Section 11 hereof. Notwithstanding the foregoing, up to 5% of the aggregate number of Shares authorized for issuance under this Plan (as described in Section 3) may be issued pursuant to Awards subject to any or no vesting conditions (including with regard to such one-year vesting limitation described in the preceding sentence), as the Committee determines appropriate.</w:t>
      </w:r>
    </w:p>
    <w:p>
      <w:pPr>
        <w:spacing w:after="0" w:line="188" w:lineRule="exact"/>
        <w:rPr>
          <w:sz w:val="20"/>
          <w:szCs w:val="20"/>
          <w:color w:val="auto"/>
        </w:rPr>
      </w:pPr>
    </w:p>
    <w:p>
      <w:pPr>
        <w:ind w:left="1720" w:hanging="1064"/>
        <w:spacing w:after="0"/>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Paperless Administration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84" w:lineRule="exact"/>
        <w:rPr>
          <w:sz w:val="20"/>
          <w:szCs w:val="20"/>
          <w:color w:val="auto"/>
        </w:rPr>
      </w:pPr>
    </w:p>
    <w:p>
      <w:pPr>
        <w:ind w:left="1700" w:hanging="1044"/>
        <w:spacing w:after="0"/>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Nominal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any other provision in this Plan, no Share shall be allotted or issued pursuant to the exercise of vesting of an Award, or as an Award, unless it is fully paid-up to at least its nominal value.</w:t>
      </w:r>
    </w:p>
    <w:p>
      <w:pPr>
        <w:spacing w:after="0" w:line="170" w:lineRule="exact"/>
        <w:rPr>
          <w:sz w:val="20"/>
          <w:szCs w:val="20"/>
          <w:color w:val="auto"/>
        </w:rPr>
      </w:pPr>
    </w:p>
    <w:p>
      <w:pPr>
        <w:ind w:left="1680" w:hanging="1024"/>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Detrimental Activity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contained herein or in any Award Agreement, if a Participant has engaged in any Detrimental Activity, as determined by the Committee in good faith in its reasonable discretion, the Committee may, provide for one or more of the following: (1) cancellation of any or all of such Participant’s outstanding Awards; or (2) forfeiture by the Participant of any gain realized on the vesting or exercise of Awards, and to repay any such gain to promptly to the Company.</w:t>
      </w:r>
    </w:p>
    <w:p>
      <w:pPr>
        <w:spacing w:after="0" w:line="183"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Adjustments Upon Certain Events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Notwithstanding any other provisions in the Plan to the contrary, the following provisions shall apply to all Awards granted under the Plan:</w:t>
      </w:r>
    </w:p>
    <w:p>
      <w:pPr>
        <w:spacing w:after="0" w:line="236" w:lineRule="exact"/>
        <w:rPr>
          <w:rFonts w:ascii="Arial" w:cs="Arial" w:eastAsia="Arial" w:hAnsi="Arial"/>
          <w:sz w:val="18"/>
          <w:szCs w:val="18"/>
          <w:color w:val="auto"/>
        </w:rPr>
      </w:pPr>
    </w:p>
    <w:p>
      <w:pPr>
        <w:ind w:left="1720" w:hanging="1064"/>
        <w:spacing w:after="0"/>
        <w:tabs>
          <w:tab w:leader="none" w:pos="172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Generally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1680" w:hanging="1024"/>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limiting the foregoing, except as may otherwise be provided in an Award Agreement, in connection with any Change in Control,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Committee may, in its sole discretion, provide for any one or more of the following:</w:t>
      </w:r>
    </w:p>
    <w:p>
      <w:pPr>
        <w:spacing w:after="0" w:line="211" w:lineRule="exact"/>
        <w:rPr>
          <w:sz w:val="20"/>
          <w:szCs w:val="20"/>
          <w:color w:val="auto"/>
        </w:rPr>
      </w:pPr>
    </w:p>
    <w:p>
      <w:pPr>
        <w:jc w:val="both"/>
        <w:ind w:firstLine="656"/>
        <w:spacing w:after="0" w:line="263" w:lineRule="auto"/>
        <w:tabs>
          <w:tab w:leader="none" w:pos="881"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spacing w:after="0" w:line="183" w:lineRule="exact"/>
        <w:rPr>
          <w:rFonts w:ascii="Arial" w:cs="Arial" w:eastAsia="Arial" w:hAnsi="Arial"/>
          <w:sz w:val="18"/>
          <w:szCs w:val="18"/>
          <w:color w:val="auto"/>
        </w:rPr>
      </w:pPr>
    </w:p>
    <w:p>
      <w:pPr>
        <w:jc w:val="both"/>
        <w:ind w:firstLine="656"/>
        <w:spacing w:after="0" w:line="289" w:lineRule="auto"/>
        <w:tabs>
          <w:tab w:leader="none" w:pos="939"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spacing w:after="0" w:line="149" w:lineRule="exact"/>
        <w:rPr>
          <w:sz w:val="20"/>
          <w:szCs w:val="20"/>
          <w:color w:val="auto"/>
        </w:rPr>
      </w:pPr>
    </w:p>
    <w:p>
      <w:pPr>
        <w:ind w:left="1720" w:hanging="1064"/>
        <w:spacing w:after="0"/>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Other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any payment or adjustment contemplated under this Section 11,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1680" w:hanging="1024"/>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adjustment provided under this Section 11 may provide for the elimination of any fractional share that might otherwise become subject to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left="1720" w:hanging="1064"/>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Binding Effect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adjustment, substitution, determination of value or other action taken by the Committee under this Section 11 shall be conclusive and binding for all purposes.</w:t>
      </w:r>
    </w:p>
    <w:p>
      <w:pPr>
        <w:spacing w:after="0" w:line="166"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No Right to Employment or Awards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72"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2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Amendments or Termination</w:t>
      </w:r>
    </w:p>
    <w:p>
      <w:pPr>
        <w:spacing w:after="0" w:line="229" w:lineRule="exact"/>
        <w:rPr>
          <w:rFonts w:ascii="Arial" w:cs="Arial" w:eastAsia="Arial" w:hAnsi="Arial"/>
          <w:sz w:val="18"/>
          <w:szCs w:val="18"/>
          <w:color w:val="auto"/>
        </w:rPr>
      </w:pPr>
    </w:p>
    <w:p>
      <w:pPr>
        <w:ind w:left="1720" w:hanging="1064"/>
        <w:spacing w:after="0"/>
        <w:tabs>
          <w:tab w:leader="none" w:pos="172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Applicable Law, if (i) it would materially increase the number of securities which may be issued under the Plan or granted to any Participant (except for increases pursuant to Section 11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 Section 18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spacing w:after="0" w:line="166" w:lineRule="exact"/>
        <w:rPr>
          <w:sz w:val="20"/>
          <w:szCs w:val="20"/>
          <w:color w:val="auto"/>
        </w:rPr>
      </w:pPr>
    </w:p>
    <w:p>
      <w:pPr>
        <w:ind w:left="1680" w:hanging="1024"/>
        <w:spacing w:after="0"/>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Amendment of Award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Section 18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1720" w:hanging="1064"/>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Repricing of Awards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Section 11 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spacing w:after="0" w:line="173"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Choice of Law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80"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provision of the Plan or the application of any provision hereof to any Person or circumstance is held to be invalid or 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161"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Effectiveness and Term of the Plan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Plan shall be effective on the Effective Date. The Plan shall terminate on the day before the tenth anniversary of the Effective Date and may be terminated on any earlier date pursuant to Section 14 of the Plan. The applicable provisions shall continue in effect with respect to an Award granted under the Plan for as long as such Award remains outstanding.</w:t>
      </w:r>
    </w:p>
    <w:p>
      <w:pPr>
        <w:spacing w:after="0" w:line="180"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six-month period (or, if earlier, upon the Participant’s death). Each payment in a series of payments made under this Plan and any Awards granted hereunder shall be deemed to be a separate payment for purposes of Section 409A.</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301" w:lineRule="auto"/>
        <w:rPr>
          <w:sz w:val="20"/>
          <w:szCs w:val="20"/>
          <w:color w:val="auto"/>
        </w:rPr>
      </w:pPr>
      <w:r>
        <w:rPr>
          <w:rFonts w:ascii="Arial" w:cs="Arial" w:eastAsia="Arial" w:hAnsi="Arial"/>
          <w:sz w:val="16"/>
          <w:szCs w:val="16"/>
          <w:color w:val="auto"/>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any member of the Weatherford Group.</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spacing w:after="0" w:line="184"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Clawback/Recoupment Policy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 other provision of this Plan, all Awards shall be subject to reduction, cancellation, forfeiture or recoupment to the extent necessary to comply with (i) any clawback, forfeiture or other similar policy adopted by the Board or the Committee and as in effect from time to time; and</w:t>
      </w:r>
    </w:p>
    <w:p>
      <w:pPr>
        <w:jc w:val="both"/>
        <w:ind w:firstLine="8"/>
        <w:spacing w:after="0" w:line="251" w:lineRule="auto"/>
        <w:tabs>
          <w:tab w:leader="none" w:pos="2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94"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Tax-Related Items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as applicable, to satisfy withholding obligations for the payment of Tax 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withholding Shares otherwise issuable under an Award (or allowing the return of Shares) sufficient, as determined by the Committee in its sole discretion, to satisfy such Tax-Related Items, or (d) delivery to the Company of previously owned and unencumbered Shares of the Company having a Fair Market Value equal to such Tax-Related Items. 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Government and Other Regulations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Without limiting the foregoing, the Company shall have no obligation to issue or deliver evidence of title for Shares subject to Awards granted hereunder prior to: (i) obtaining any approvals from governmental agencies that the Company determines are necessary or advisable, and</w:t>
      </w:r>
    </w:p>
    <w:p>
      <w:pPr>
        <w:spacing w:after="0" w:line="1" w:lineRule="exact"/>
        <w:rPr>
          <w:sz w:val="20"/>
          <w:szCs w:val="20"/>
          <w:color w:val="auto"/>
        </w:rPr>
      </w:pPr>
    </w:p>
    <w:p>
      <w:pPr>
        <w:jc w:val="both"/>
        <w:ind w:firstLine="8"/>
        <w:spacing w:after="0" w:line="286" w:lineRule="auto"/>
        <w:tabs>
          <w:tab w:leader="none" w:pos="273"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Section 21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spacing w:after="0" w:line="38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No Shareholders Rights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Except as otherwise expressly provided herein or in any Award Agreement,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lapse of restrictions with respect to vesting of any Award.</w:t>
      </w:r>
    </w:p>
    <w:p>
      <w:pPr>
        <w:spacing w:after="0" w:line="145"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Unfunded Plan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shall be unfunded. Neither the Company, the Board nor the Committee shall be required to establish any special or separate fund or to segregate any assets to assure the performance of its obligations under the Plan.</w:t>
      </w:r>
    </w:p>
    <w:p>
      <w:pPr>
        <w:spacing w:after="0" w:line="166"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Other Compensation Arrangements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spacing w:after="0" w:line="12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Relationship to Other Benefits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spacing w:after="0" w:line="180"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Other Agreements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require, as a condition to the grant of and/or the receipt of Shares under an Award, that the Participant execute lock-up, shareholder or other agreements, as it may determine in its sole and absolute discretion.</w:t>
      </w:r>
    </w:p>
    <w:p>
      <w:pPr>
        <w:spacing w:after="0" w:line="16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Expenses; Gender; Titles and Headings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adopted by the Board of Directors of the Company on April 13, 2020 and effective as of such date.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Non-Equity Incentive Compensation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Restatement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the Board of Directors April 13,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Weatherford International plc Executive Non-Equity Incentive Compensation Plan, as amended from time to time (the “EICP”), having last been updated on February 27, 2014 (effective as of January 1, 2014), is hereby amended and restated in its entirety to be effective as of January 1, 2020 (the “Effective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 PURPOSE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Weatherford International plc’s (“Weatherford” or the “Company”) total compensation program, this EICP is designed to motivate and reward the Company’s corporate officers (including Section 16 designated officers and others as approved by the Compensation Committee of Weatherford International plc’s Board of Directors (the “Committee”)) designated for participation in the EICP whose efforts and accomplishments positively impact Weatherford’s shareholder value, financial performance and overall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 AWARDS AND GOALS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will establish the terms of any awards criteria under the EICP (“Awards”), including the financial and other goals for each Award, within 120 days of the start of each fiscal year, subject to the other provisions of this EICP. It is the expectation under the implementation of this plan that the Committee would annually review prior performance criteria and retain or adjust that criteria for the upcoming year based on an aggregate review of many factors, including but not limited to: achievement, market dynamics, unique corporate circumstances, financial goals, retention, peer group considerations and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Definitions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the following words and phrases appear in the EICP, they shall have the respective meanings defined below, unless their context clearly indicates otherwise.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“Act” shall mean the U.S. Securities and Exchange Act of 1934, as amended, or any successor thereto, and the rules and regulations promulgated thereunder.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“Affiliate” shall mean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“Base Salary” shall mean the actual base salary amount paid with respect to the Plan Year to which the Reward relates, including base pay a Participant could have received in cash in lieu of (i) deductions made in respect of a Participant’s contributions to a qualified plan maintained by the Company or to any cafeteria plan under Section 125 of the Code maintained by the Company and (ii) deferrals of compensation made at the Participant’s election pursuant to a plan or arrangement of the Company or an Affiliate, but, for the avoidance of doubt, excluding any Rewards under this EICP and any other bonuses, incentive pay or special awards.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“Beneficial Owner” shall mean a “beneficial owner”, as such term is defined in Rule 13d-3 under the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“Beneficiary” shall mean the person, persons, trust or trusts to receive the benefits specified under Section 8.1 of the EICP in the event of the Participant’s death prior to full payment of a Reward.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“Benefit Plan” shall mean all employee benefit and compensation plans, agreements, arrangements, programs, policies, practices, contracts or agreements of the Company and its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shall mean the Board of Directors of the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“Cause” shall mean, (i) the Company or any member of the Weatherford Group having “cause” to terminate the Participant’s employment, as defined in any employment agreement between the Participant and any member of the Weatherford Group in effect at the time of such termination or (ii) in the absence of any such employment agreement (or the absence of any definition of “Cause” contained therein), the Participant’s (A) commission of, conviction for, plea of guilty or nolo contendere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“Change in Control” shall mean one of the following events:</w:t>
      </w:r>
    </w:p>
    <w:p>
      <w:pPr>
        <w:spacing w:after="0" w:line="225" w:lineRule="exact"/>
        <w:rPr>
          <w:sz w:val="20"/>
          <w:szCs w:val="20"/>
          <w:color w:val="auto"/>
        </w:rPr>
      </w:pPr>
    </w:p>
    <w:p>
      <w:pPr>
        <w:jc w:val="both"/>
        <w:ind w:firstLine="656"/>
        <w:spacing w:after="0" w:line="259" w:lineRule="auto"/>
        <w:tabs>
          <w:tab w:leader="none" w:pos="124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50% or more of either (A) the then outstanding Shares of the Company (the “Outstanding Ordinary Shares”) or (B) the combined voting power of the then outstanding voting securities of the Company entitled to vote generally in the election of directors (the “Outstanding Voting Securities”), excluding any Person who becomes such a Beneficial Owner in connection with a transaction that complies with clauses (A), (B) and (C) of paragraph (iii) below;</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2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directly or indirectly, by a vote of at least a majority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92" w:lineRule="exact"/>
        <w:rPr>
          <w:rFonts w:ascii="Arial" w:cs="Arial" w:eastAsia="Arial" w:hAnsi="Arial"/>
          <w:sz w:val="18"/>
          <w:szCs w:val="18"/>
          <w:color w:val="auto"/>
        </w:rPr>
      </w:pPr>
    </w:p>
    <w:p>
      <w:pPr>
        <w:jc w:val="both"/>
        <w:ind w:firstLine="656"/>
        <w:spacing w:after="0" w:line="285" w:lineRule="auto"/>
        <w:tabs>
          <w:tab w:leader="none" w:pos="122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consummation of an acquisition, reorganization (excluding a reorganization under either Chapter 7 or Chapter 11 of Title 11 of the United States Code or a similar transaction as a result of the Company’s potential insolvency or ability to meet its debt obligations),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“Corporate Transaction”),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Entity resulting from such Corporate Transaction or any Benefit Plan (or related trust) of the Company or such Entity resulting from such Corporate Transaction) beneficially owns, directly or indirectly, 30%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right="20" w:firstLine="656"/>
        <w:spacing w:after="0" w:line="277" w:lineRule="auto"/>
        <w:tabs>
          <w:tab w:leader="none" w:pos="12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 excluding any transaction that complies with clauses (A), (B) and (C) of paragraph (iii) above.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foregoing, a transaction shall not constitute a Change in Control (i)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and (ii)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foregoing, if a Change in Control constitutes a payment event with respect to any Reward that provides for the deferral of compensation that is subject to Section 409A, to the extent required to avoid the imposition of additional taxes under Section 409A, the transaction or event described above with respect to such Reward shall only constitute a Change in Control for purposes of the payment timing of such Reward if such transaction also constitutes a “change in control event,” as defined in Treasury Regulation Section 1.409A-3(i)(5).</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“Clawback Policy” shall mean the Company’s Executive Compensation Clawback Policy, as in effect from time to time and as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shall mean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“Committee” shall mean the Compensation Committee of Directors of the Company, appointed by the Board of Directors from among its members in accordance with applicable law and listing body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mean Weatherford International plc, an Irish public limited company, and its successors.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“Company Assets” shall mean the assets (of any kind) owned by the Company, including without limitation, the securities of the Company's Subsidiaries and any of the assets owned by the Company's Subsidiaries.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“Disability” shall mean, unless otherwise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color w:val="auto"/>
        </w:rPr>
        <w:t>“EICP” shall mean this Executive Nonequity Incentive Compensation Plan, and as the same may thereafter be amended, restated or modified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“Eligible Executive” shall mean an employee of the Company who was not initially designated as Participant for a given Plan Year that (i) is newly appointed, elected or hired as an executive officer or member of senior management or (ii) returns to active employment as an executive officer or member of senior management following a leave of absence. Non-executive officers or members of senior management who participate in the EICP shall do so only as explicitly approved by the Committee.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“Entity” shall mean any corporation, partnership, association, joint-stock company, limited liability company, trust, unincorporated organization or other business entity.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“Participant” shall mean any eligible executive or senior management member of the Company or an Affiliate selected by the Committee, in its sole discretion, to participate in the EICP for a Plan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“Payment Date” shall mean, with respect to a particular Plan Year, the date payment is actually made in the calendar year following the end of the applicable Plan Year.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“Performance Goals” shall mean, for a given Plan Year, any one or a combination of criteria established by the Committee that forms the basis for determining a Participant’s Reward Opportunity.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“Person” means a "person" as such term is used for purposes of Section 3(a)(9) of the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 Year” shall mean the twelve month calendar year ending December 31.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“Reward” shall mean the dollar amount of incentive compensation payable to a Participant under the EICP for a Plan Year determined in accordance with the provisions of this EICP.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“Reward Opportunity” shall mean a Participant’s possible incentive reward payment amounts in a given Plan Year, expressed as a percentage of Base Salary, which corresponds to various levels of pre-established Performance Goals.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409A” shall mean Section 409A of the Code, as amended, or any successor thereof, and the rules and regulations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shall mean ordinary shares in the capital of the Company, nominal value $0.001 per ordinary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79" w:lineRule="auto"/>
        <w:rPr>
          <w:sz w:val="20"/>
          <w:szCs w:val="20"/>
          <w:color w:val="auto"/>
        </w:rPr>
      </w:pPr>
      <w:r>
        <w:rPr>
          <w:rFonts w:ascii="Arial" w:cs="Arial" w:eastAsia="Arial" w:hAnsi="Arial"/>
          <w:sz w:val="17"/>
          <w:szCs w:val="17"/>
          <w:color w:val="auto"/>
        </w:rPr>
        <w:t>“Subsidiary” shall mean any company, corporation, partnership, association, joint stock company, limited liability company, trust, unincorporated organization or any other entity or organization (i) in which 50 percent or more of the securities having ordinary voting power for the election of directors (or other governing body) is owned, directly or indirectly, by the Company or (ii) in which the Company may direct or cause the direction of the management and policies of the controlled entity, whether through the ownership of voting securities, by contract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“Weatherford Group” shall mean the Company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Number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Wherever appropriate herein, words used in the singular shall be considered to include the plural and words used in the plural shall be considered to include the singular.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Headings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headings of Sections and Sub-sections herein are included solely for convenience, and if there is any conflict between headings and the text of the EICP, the text shall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 PARTICIPATION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Participants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Participants eligible to participate in the EICP for a given Plan Year shall be determined by the Committee, and are generally expected to include executive officers of the Company who are subject to Section 16 of the Act and any other corporate officers and members of senior management of the Company who are specifically designated by the Committee, in its sole discretion, to participate in the EICP.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Partial Plan Year Participation</w:t>
      </w:r>
    </w:p>
    <w:p>
      <w:pPr>
        <w:spacing w:after="0" w:line="229" w:lineRule="exact"/>
        <w:rPr>
          <w:sz w:val="20"/>
          <w:szCs w:val="20"/>
          <w:color w:val="auto"/>
        </w:rPr>
      </w:pPr>
    </w:p>
    <w:p>
      <w:pPr>
        <w:jc w:val="both"/>
        <w:ind w:firstLine="8"/>
        <w:spacing w:after="0" w:line="263" w:lineRule="auto"/>
        <w:tabs>
          <w:tab w:leader="none" w:pos="2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Committee determines that an Eligible Executive should be permitted to earn compensation under this EICP, the Committee may designate such Eligible Executive a Participant for the balance of the Plan Year, in which case the prorated portion of the Reward shall be paid in accordance with the provisions of this EICP.</w:t>
      </w:r>
    </w:p>
    <w:p>
      <w:pPr>
        <w:spacing w:after="0" w:line="183" w:lineRule="exact"/>
        <w:rPr>
          <w:rFonts w:ascii="Arial" w:cs="Arial" w:eastAsia="Arial" w:hAnsi="Arial"/>
          <w:sz w:val="18"/>
          <w:szCs w:val="18"/>
          <w:color w:val="auto"/>
        </w:rPr>
      </w:pPr>
    </w:p>
    <w:p>
      <w:pPr>
        <w:jc w:val="both"/>
        <w:ind w:firstLine="8"/>
        <w:spacing w:after="0" w:line="259"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 employee who has previously been designated as a Participant for a particular Plan Year takes a leave of absence during such Plan Year, all of such Participant’s rights to a Reward for such Plan Year shall be forfeited, unless the Committee, in its sole discretion, determines that such Participant’s Reward for such Plan Year shall be prorated based upon that portion of the Plan Year during which he or she was an active Participant, in which case the prorated portion of the Reward shall be paid in accordance with the provisions of this EICP.</w:t>
      </w:r>
    </w:p>
    <w:p>
      <w:pPr>
        <w:spacing w:after="0" w:line="186" w:lineRule="exact"/>
        <w:rPr>
          <w:rFonts w:ascii="Arial" w:cs="Arial" w:eastAsia="Arial" w:hAnsi="Arial"/>
          <w:sz w:val="18"/>
          <w:szCs w:val="18"/>
          <w:color w:val="auto"/>
        </w:rPr>
      </w:pPr>
    </w:p>
    <w:p>
      <w:pPr>
        <w:jc w:val="both"/>
        <w:ind w:firstLine="8"/>
        <w:spacing w:after="0" w:line="255" w:lineRule="auto"/>
        <w:tabs>
          <w:tab w:leader="none" w:pos="2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 Participant’s Base Salary or bonus target for a particular Plan Year changes due to promotion, demotion, reassignment or transfer, the Committee may, in its sole discretion, approve an adjustment in such Participant’s Reward Opportunity as deemed appropriate under the circumstances (including termination of participation in the EICP for the remainder of the Plan Year), such adjustment to be made on a pro rata basis for the balance of the Plan Year effective with the first day of the month following such approval, unless some other effective date is specified. All such approvals shall be documented in writing and filed with the EICP records for the applicable Plan Year. In the absence of any specific approvals, proration will be the default methodology based on partial year and/or changed job titles.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4.3 No Right to Participate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provided in Sections 4.1 and 4.2, no Participant or other employee of the Company or an Affiliate shall, at any time, have a right to participate in the EICP for any Plan Year, notwithstanding having previously participated in the EICP.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EICP Exclusive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employee shall simultaneously participate in this EICP and in any other short-term incentive plan of the Company or an Affiliate unless such employee’s participation in such other plan is approved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Consent to Dispute Resolution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Participation in the EICP constitutes consent by the Participant to be bound by the Company’s designated dispute resolution processes, which shall in substance require that all disputes arising out of or in any way related to employment with the Company or its Affiliates, including any disputes concerning the EICP, be resolved exclusively through such program, which shall include binding arbitration as the last step.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 ADMINISTRATION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Plan Year, the Committee shall establish the basis for payments under the EICP in relation to given Performance Goals, as more fully described in Section 6, and, following the end of each Plan Year, determine the Reward payable to each Participant. The Committee is authorized to construe and interpret the EICP, to prescribe, amend and rescind rules, regulations and procedures relating to its administration and to make all other determinations necessary or advisable for administration of the EICP and to implement the intent of the EICP. In addition, as permitted by law, the Committee may delegate its authority granted under the EICP as deemed appropriate; provided, however, that Committee may not delegate its authority under Section 6 hereof outside the membership of the Committee. Decisions of the Committee or its delegates, in accordance with the authority granted hereby or delegated pursuant hereto shall be conclusive and binding. Subject only to compliance with the express provisions hereof, the Committee and its delegates may act in their sole and absolute discretion with respect to matters within their authority under the EICP.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t>From time to time the Committee may determine that modifying the EICP, the Performance Goals or the potential awards payments would provide more appropriate incentives for Participants. Notwithstanding any provision to the contrary and in addition to the above, the Committee reserves the right in its sole discretion to adjust the Performance Goals or Reward amounts under the EICP to reflect (1) the impact of acquisitions or divestitures, (2) changes in the Company’s industry, (3) changes in macro-economic factors or conditions impacting the Company, (4) changes in market compensation practices and other circumstances, including the need to attract and retain talented executives, (5) changes in applicable laws, regulations or accounting practices, or (6) other matters that were not anticipated when the Performance Goals for the EICP were determined. The Committee retains the discretion to make alternative bonus calculations or to make retention awards or other awards based on alternative or non-financial performance criteria.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 – REWARD DETERMINATIONS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Performance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strive to make financial performance a primary basis in determining Performance Goals for any Plan Year. In addition, other performance measures applicable to particular Participants may also be used as Performance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Performance Requirements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Committee will establish within 120 days of the start of each fiscal year (1) the Performance Goals applicable to the Participants and (2) the Reward Opportunities of each Participant corresponding to the pre-established Performance Goals that will determine a Participant’s actual Reward at the end of the Plan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Reward, the Committee will establish Performance Goals at three levels: Threshold, Target and Superior. The Committee shall have full discretion to set the Performance Goals and metrics.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Reward Determinations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end of each Plan Year, the Committee shall determine the extent to which the Performance Goals have been achieved and the amount of the Reward shall be computed for each Participant in accordance with a Participant’s Reward Opportunity.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Discretionary Adjustments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established, Performance Goals will not be changed during the Plan Year. However, if the Committee, in its sole and absolute discretion, determines that there has been (i) a change in the business, operations, corporate or capital structure, (ii) a change in the manner in which business is conducted or (iii) any other material change or event which will impact one or more Performance Goals in a manner the Committee did not intend, then the Committee may, reasonably contemporaneously with such change or event, make such adjustments as it shall deem appropriate and equitable in the manner of computing the relevant Performance Goal or Goals for the Plan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6.5 Discretionary Bonuses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other provision contained herein to the contrary, the Committee may, in its sole discretion, make such other or additional bonus payments to a Participant as it shall deem appropriate and in the interests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Disqualification of Awards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 Participant is deemed to have (i) breached the Company Code of Business Conduct, or (ii) materially breached any other Company policy, the Committee, at its sole discretion, may disqualify the Participant from receiving any bonus for a given Plan Year in whole or in part. Participation in future Plan Years, however, may be considered independent of that decision. Misrepresenting results will be considered a breach of Company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6.7 Clawback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Reward received by the Participant shall be subject to the provisions of the Company’s Clawback Policy. The Clawback Policy enables recoupment of performance-based compensation that is paid but is subsequently determined not to have been earned because financial results of the Company are restated and the clawback of incentive compensation if the Participant has engaged in detrimental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 – DISTRIBUTION OF REWARDS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Form and Timing of Payment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provided below, the amount of each Reward shall be paid in cash and in the currency in which the Participant is ordinarily paid on the Payment Date. In the event of termination of a Participant’s employment prior to the Payment Date due to death or disability, the amount of any Reward (or prorated portion thereof) payable pursuant to the provisions of Sections 8.1 or 8.2 shall be paid in cash and in the currency in which the Participant is ordinarily paid on the Payment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Tax Withholding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or employing entity through which payment of a Reward is to be made shall have the right to deduct from any payment hereunder any amounts that Federal, state, local or foreign tax laws require with respect to such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 – TERMINATION OF EMPLOYMENT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Termination of Service during Plan Year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a Participant’s employment is terminated prior to the last business day of a Plan Year for any reason other than death or Disability, all of such Participant’s rights to a Reward for such Plan Year shall be forfeited, unless the Committee, in its sole discretion, determines that such Participant’s Reward for such Plan Year shall be prorated based upon that portion of the Plan Year during which he or she was a Participant, in which case the prorated portion of the Reward shall be paid in accordance with the provisions of Section 7.1. In the case of death during the Plan Year, the prorated amount of such Participant’s Reward shall be paid to the Participant’s estate, or if there is no administration of the estate, to the heirs at law, on the Payment Date. In the case of Disability, the prorated amount of a Participant’s Reward shall be paid in accordance with the provisions of Section 7.1.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8.2 Termination of Service after End of Plan Year but Prior to the Payment Date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Participant’s employment is terminated by the Company after the end of the applicable Plan Year, but prior to the Payment Date, for any reason other than termination for Cause, the amount of any Reward applicable to such Plan Year shall be paid to the Participant in accordance with the provisions of Section 7.1. If a Participant’s employment is terminated for Cause or the Participant terminates employment for any reason, all of such Participant’s rights to a Reward applicable to such Plan Year shall be forfeited.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 – RIGHTS OF PARTICIPANTS AND BENEFICIARIES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Status as a Participant or Beneficiary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Neither status as a Participant or Beneficiary shall be construed as a commitment that any Reward will be paid or payable under the EICP.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Employment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Nothing contained in the EICP or in any document related to the EICP or to any Reward shall confer upon any Participant any right to continue as an employee or in the employ of the Company or an Affiliate or constitute any contract or agreement of employment for a specific term or interfere in any way with the right of the Company or an Affiliate to reduce such person’s compensation, to change the position held by such person or to terminate the employment of such person, with or without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Non-transferability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benefit payable under, or interest in, this EICP shall be subject in any manner to anticipation, alienation, sale, transfer, assignment, pledge, encumbrance or charge and any such attempted action shall be void and no such benefit or interest shall be, in any manner, liable for, or subject to, debts, contracts, liabilities or torts of any Participant or Beneficiary. Any attempt at transfer, assignment or other alienation prohibited by the preceding sentence shall be disregarded and all amounts payable hereunder shall be paid only in accordance with the provisions of the EICP.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Nature of EICP</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 Participant, Beneficiary or other person shall have any right, title or interest in any fund or in any specific asset of the Company or any Affiliate by reason of any Reward hereunder. There shall be no funding of any benefits which may become payable hereunder. Nothing contained in the EICP (or in any document related thereto), nor the creation or adoption of the EICP, nor any action taken pursuant to the provisions of the EICP shall create, or be construed to create, a trust of any kind or a fiduciary relationship between the Company or an Affiliate and any Participant, Beneficiary or other person. To the extent that a Participant, Beneficiary or other person acquires a right to receive payment with respect to a Reward hereunder, such right shall be no greater than the right of any unsecured general creditor of the Company or other employing entity, as applicable. All amounts payable under the EICP shall be paid from the general assets of the Company or employing entity, as applicable, and no special or separate fund or deposit shall be established and no segregation of assets shall be made to assure payment of such amounts. Nothing in the EICP shall be deemed to give any employee any right to participate in the EICP except in accordance herewith.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SECTION 10 – CHANGE IN CONTROL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a Change in Control, (i) with respect to a Participant’s Reward Opportunity for the Plan Year in which the Change in Control occurred, such Participant shall be entitled to an immediate cash payment equal to the target amount of the Reward Opportunity he or she would have been entitled to receive for the Plan Year, prorated to the date of the Change of Control; and (ii) with respect to a Change in Control that occurs after the end of the Plan Year but prior to the Payment Date, a Participant shall be entitled to an immediate cash payment equal to the Reward earned for such Plan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 – AMENDMENT AND TERMINATION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herein to the contrary, the Committee may, at any time, terminate or, from time to time amend, modify or suspend the EICP; provided, however, that, without the prior consent of the Participants affected, no such action may adversely affect any rights or obligations with respect to any Rewards theretofore earned for a particular Plan Year, whether or not the amounts of such Rewards have been computed and whether or not such Rewards are then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 – 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Governing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EICP and all related documents shall be governed by, and construed in accordance with, the laws of the State of Texas, without giving effect to the principles of conflicts of law thereof, except to the extent preempted by U.S. federal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Severability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provision of the EICP shall be held illegal or invalid for any reason, said illegality or invalidity shall not affect the remaining provisions hereof; instead, each provision shall be fully severable and the EICP shall be construed and enforced as if said illegal or invalid provision had never been included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12.3 Supersession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EICP supersedes all prior executive non-equity bonus plans except those set forth in an individual arrangement with an individual employee, in which case the this EICP shall not apply. Any other such annual executive non-equity bonus plan sponsored by the Company is hereby terminated.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Successor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obligations of the Company under the EICP shall be binding upon and inure to the benefit of any successor to the Company, whether the existence of such successor is the result of a direct or indirect purchase, merger, consolidation, or otherwise, of all or substantially all of the business or assets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Section 409A of the Code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extent applicable, it is intended that the EICP comply with or be exempt from the requirements of Section 409A. Accordingly, to the maximum extent permitted, the Plan and the Awards and Rewards hereunder shall be interpreted either to be exempt from the provisions of Section 409A or in compliance therewith. Any reservation of rights or discretion by the Company or the Committee hereunder affecting the timing of payment of any Award or Reward subject to Section 409A will only be as broad as is permitted by Section 409A. Notwithstanding the foregoing, (i) neither the Company nor the Committee shall have any obligation to take any action to prevent the assessment of any additional liability, tax or penalty on any Participant or beneficiary under Section 409A and (ii) neither the Committee (or any member thereof) nor any member of the Weatherford Group (or any employee, director or officer thereof) guarantees that this Plan or any Award or Reward hereunder complies with, or is exempt from, Section 409A and none of the foregoing shall have any liability with respect to any failure to so comply or to be so exempt.</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Dated: April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426085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EATHERFORD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 O</w:t>
      </w:r>
      <w:r>
        <w:rPr>
          <w:rFonts w:ascii="Arial" w:cs="Arial" w:eastAsia="Arial" w:hAnsi="Arial"/>
          <w:sz w:val="12"/>
          <w:szCs w:val="12"/>
          <w:b w:val="1"/>
          <w:bCs w:val="1"/>
          <w:color w:val="auto"/>
        </w:rPr>
        <w:t>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 AS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17, 2020 (“G</w:t>
      </w:r>
      <w:r>
        <w:rPr>
          <w:rFonts w:ascii="Arial" w:cs="Arial" w:eastAsia="Arial" w:hAnsi="Arial"/>
          <w:sz w:val="12"/>
          <w:szCs w:val="12"/>
          <w:b w:val="1"/>
          <w:bCs w:val="1"/>
          <w:color w:val="auto"/>
        </w:rPr>
        <w:t>RANT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Weatherford International plc (the “Company”) hereby grants to </w:t>
      </w:r>
      <w:r>
        <w:rPr>
          <w:rFonts w:ascii="Arial" w:cs="Arial" w:eastAsia="Arial" w:hAnsi="Arial"/>
          <w:sz w:val="16"/>
          <w:szCs w:val="16"/>
          <w:b w:val="1"/>
          <w:bCs w:val="1"/>
          <w:color w:val="auto"/>
        </w:rPr>
        <w:t>Christian Garcia</w:t>
      </w:r>
      <w:r>
        <w:rPr>
          <w:rFonts w:ascii="Arial" w:cs="Arial" w:eastAsia="Arial" w:hAnsi="Arial"/>
          <w:sz w:val="16"/>
          <w:szCs w:val="16"/>
          <w:color w:val="auto"/>
        </w:rPr>
        <w:t xml:space="preserve"> (“Participant”) a restricted share unit award (the “RSUs”) with respect to </w:t>
      </w:r>
      <w:r>
        <w:rPr>
          <w:rFonts w:ascii="Arial" w:cs="Arial" w:eastAsia="Arial" w:hAnsi="Arial"/>
          <w:sz w:val="16"/>
          <w:szCs w:val="16"/>
          <w:b w:val="1"/>
          <w:bCs w:val="1"/>
          <w:color w:val="auto"/>
        </w:rPr>
        <w:t>68,966</w:t>
      </w:r>
      <w:r>
        <w:rPr>
          <w:rFonts w:ascii="Arial" w:cs="Arial" w:eastAsia="Arial" w:hAnsi="Arial"/>
          <w:sz w:val="16"/>
          <w:szCs w:val="16"/>
          <w:color w:val="auto"/>
        </w:rPr>
        <w:t xml:space="preserve"> ordinary shares of the Company (the “Shares”), pursuant to and subject to the terms and conditions set forth in the Company’s 2019 Equity Incentive Plan, as amended from time to time (the “Plan”) and to the terms and conditions set forth in this Restricted Share Unit Award Agreement, including the Appendix (the Restricted Share Unit Award Agreement and the Appendix are referred to, collectively, as the “Award Agreement”).</w:t>
      </w:r>
    </w:p>
    <w:p>
      <w:pPr>
        <w:spacing w:after="0" w:line="151" w:lineRule="exact"/>
        <w:rPr>
          <w:sz w:val="20"/>
          <w:szCs w:val="20"/>
          <w:color w:val="auto"/>
        </w:rPr>
      </w:pPr>
    </w:p>
    <w:p>
      <w:pPr>
        <w:ind w:left="1000" w:hanging="992"/>
        <w:spacing w:after="0"/>
        <w:tabs>
          <w:tab w:leader="none" w:pos="10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Issuance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820" w:hanging="1164"/>
        <w:spacing w:after="0"/>
        <w:tabs>
          <w:tab w:leader="none" w:pos="1820" w:val="left"/>
        </w:tabs>
        <w:numPr>
          <w:ilvl w:val="0"/>
          <w:numId w:val="96"/>
        </w:numPr>
        <w:rPr>
          <w:rFonts w:ascii="Arial" w:cs="Arial" w:eastAsia="Arial" w:hAnsi="Arial"/>
          <w:sz w:val="16"/>
          <w:szCs w:val="16"/>
          <w:b w:val="1"/>
          <w:bCs w:val="1"/>
          <w:color w:val="auto"/>
        </w:rPr>
      </w:pPr>
      <w:r>
        <w:rPr>
          <w:rFonts w:ascii="Arial" w:cs="Arial" w:eastAsia="Arial" w:hAnsi="Arial"/>
          <w:sz w:val="16"/>
          <w:szCs w:val="16"/>
          <w:color w:val="auto"/>
        </w:rPr>
        <w:t>Participant’s right to receive Shares subject to the RSUs granted under this Award Agreement shall vest in accordance with the</w:t>
      </w:r>
    </w:p>
    <w:p>
      <w:pPr>
        <w:spacing w:after="0" w:line="4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schedule set forth in the Participant’s online account with the Company’s designated broker/stock plan administrator</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(each such date being a “</w:t>
      </w:r>
      <w:r>
        <w:rPr>
          <w:rFonts w:ascii="Arial" w:cs="Arial" w:eastAsia="Arial" w:hAnsi="Arial"/>
          <w:sz w:val="17"/>
          <w:szCs w:val="17"/>
          <w:b w:val="1"/>
          <w:bCs w:val="1"/>
          <w:i w:val="1"/>
          <w:iCs w:val="1"/>
          <w:color w:val="auto"/>
        </w:rPr>
        <w:t>Vesting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subject to Participant’s continued Service with the Company or an Affiliate on each Vesting Date, except as provided in this Section (1), and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any fractional installments shall be carried forward and vest when such combined fractional installments result in one full Share.</w:t>
      </w:r>
    </w:p>
    <w:p>
      <w:pPr>
        <w:spacing w:after="0" w:line="204" w:lineRule="exact"/>
        <w:rPr>
          <w:sz w:val="20"/>
          <w:szCs w:val="20"/>
          <w:color w:val="auto"/>
        </w:rPr>
      </w:pPr>
    </w:p>
    <w:p>
      <w:pPr>
        <w:ind w:right="20" w:firstLine="656"/>
        <w:spacing w:after="0" w:line="277" w:lineRule="auto"/>
        <w:tabs>
          <w:tab w:leader="none" w:pos="1597"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 xml:space="preserve">Participant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entitled to receive an amount equal to any cash dividend paid by the Company upon one Share for each RSU held by Participant when such dividend is paid or at any later date.</w:t>
      </w:r>
    </w:p>
    <w:p>
      <w:pPr>
        <w:spacing w:after="0" w:line="170" w:lineRule="exact"/>
        <w:rPr>
          <w:rFonts w:ascii="Arial" w:cs="Arial" w:eastAsia="Arial" w:hAnsi="Arial"/>
          <w:sz w:val="18"/>
          <w:szCs w:val="18"/>
          <w:b w:val="1"/>
          <w:bCs w:val="1"/>
          <w:color w:val="auto"/>
        </w:rPr>
      </w:pPr>
    </w:p>
    <w:p>
      <w:pPr>
        <w:jc w:val="both"/>
        <w:ind w:firstLine="656"/>
        <w:spacing w:after="0" w:line="275" w:lineRule="auto"/>
        <w:tabs>
          <w:tab w:leader="none" w:pos="1567"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Notwithstanding Section 1(a), if a Change in Control occurs, and the successor or purchaser in the Change in Control has assumed the Company’s obligations with respect to the RSUs or provided a substitute award and, within 12 months following the occurrence of the Change in Control, Participant’s Service is terminated without Cause or Participant terminates his/her Service with the Company for Good Reason, the RSUs shall become fully vested as of the time immediately prior to such termination of Service, then all remaining forfeiture restrictions shall immediately lapse and the Vesting Date shall be deemed to be the date immediately preceding such termination of Service.</w:t>
      </w:r>
    </w:p>
    <w:p>
      <w:pPr>
        <w:spacing w:after="0" w:line="176" w:lineRule="exact"/>
        <w:rPr>
          <w:rFonts w:ascii="Arial" w:cs="Arial" w:eastAsia="Arial" w:hAnsi="Arial"/>
          <w:sz w:val="17"/>
          <w:szCs w:val="17"/>
          <w:b w:val="1"/>
          <w:bCs w:val="1"/>
          <w:color w:val="auto"/>
        </w:rPr>
      </w:pPr>
    </w:p>
    <w:p>
      <w:pPr>
        <w:jc w:val="both"/>
        <w:ind w:firstLine="656"/>
        <w:spacing w:after="0" w:line="263" w:lineRule="auto"/>
        <w:tabs>
          <w:tab w:leader="none" w:pos="1583"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Notwithstanding Section 1(a), if Participant’s Service terminates by reason of Disability, the Shares subject to the RSUs that have not yet vested shall vest as of the date of such termination of Service (such date also being a “Vesting Date”) and all remaining forfeiture restrictions shall immediately lapse.</w:t>
      </w:r>
    </w:p>
    <w:p>
      <w:pPr>
        <w:spacing w:after="0" w:line="183" w:lineRule="exact"/>
        <w:rPr>
          <w:rFonts w:ascii="Arial" w:cs="Arial" w:eastAsia="Arial" w:hAnsi="Arial"/>
          <w:sz w:val="18"/>
          <w:szCs w:val="18"/>
          <w:b w:val="1"/>
          <w:bCs w:val="1"/>
          <w:color w:val="auto"/>
        </w:rPr>
      </w:pPr>
    </w:p>
    <w:p>
      <w:pPr>
        <w:jc w:val="both"/>
        <w:ind w:firstLine="656"/>
        <w:spacing w:after="0" w:line="263" w:lineRule="auto"/>
        <w:tabs>
          <w:tab w:leader="none" w:pos="1581"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Notwithstanding Section 1(a), if Participant’s Service terminates due to death, the Shares subject to the RSUs that have not yet vested shall vest as of the date of such termination of Service (such date also being a “Vesting Date”) and all remaining forfeiture restrictions shall immediately lapse.</w:t>
      </w:r>
    </w:p>
    <w:p>
      <w:pPr>
        <w:spacing w:after="0" w:line="183" w:lineRule="exact"/>
        <w:rPr>
          <w:rFonts w:ascii="Arial" w:cs="Arial" w:eastAsia="Arial" w:hAnsi="Arial"/>
          <w:sz w:val="18"/>
          <w:szCs w:val="18"/>
          <w:b w:val="1"/>
          <w:bCs w:val="1"/>
          <w:color w:val="auto"/>
        </w:rPr>
      </w:pPr>
    </w:p>
    <w:p>
      <w:pPr>
        <w:jc w:val="both"/>
        <w:ind w:firstLine="656"/>
        <w:spacing w:after="0" w:line="285" w:lineRule="auto"/>
        <w:tabs>
          <w:tab w:leader="none" w:pos="1741"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If Participant’s Service is terminated for any reason or in any circumstances other than those specified in Section 1(c) through (e) above, all unvested RSUs shall cancel and be forfeited as of the date of termination of Service and Participant shall have no right to or interest in such RSUs or the underlying Shares. On each Vesting Date (or within 30 days thereof), the Company shall cause to be issued to Participant Shares with respect to the RSUs that become vested on such Vesting Date. However, if the RSUs are considered an item of deferred compensation subject to Section 409A of the Code and the Shares are distributable at a time or times by reference to a Participant’s separation from service (within the meaning of Section 409A(a)</w:t>
      </w:r>
    </w:p>
    <w:p>
      <w:pPr>
        <w:spacing w:after="0" w:line="1" w:lineRule="exact"/>
        <w:rPr>
          <w:rFonts w:ascii="Arial" w:cs="Arial" w:eastAsia="Arial" w:hAnsi="Arial"/>
          <w:sz w:val="16"/>
          <w:szCs w:val="16"/>
          <w:b w:val="1"/>
          <w:bCs w:val="1"/>
          <w:color w:val="auto"/>
        </w:rPr>
      </w:pPr>
    </w:p>
    <w:p>
      <w:pPr>
        <w:jc w:val="both"/>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(2)(A)(i) of the Code) and Participant on the date of the Participant’s separation from service is both subject to U.S. federal income taxation and a “specified employee” (within the meaning of Section 409A(a)(2)(B)(i) of the Code), any Shares that would otherwise be issuable during the 6-month period commencing on Participant’s separation from service will be issued on the first day which immediately follows the last day of the 6-month period that commences on Participant’s separation from service (or, if Participant dies during such period, within 30 days after Participant’s death). Such Shares shall be validly issued, fully paid and non-assessable. Participant will not have any of the rights or privileges of a shareholder of the Company in respect of any Shares subject to the RSUs unless and until such Shares have been issued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1" w:lineRule="exact"/>
        <w:rPr>
          <w:sz w:val="20"/>
          <w:szCs w:val="20"/>
          <w:color w:val="auto"/>
        </w:rPr>
      </w:pPr>
    </w:p>
    <w:p>
      <w:pPr>
        <w:ind w:left="120" w:hanging="112"/>
        <w:spacing w:after="0"/>
        <w:tabs>
          <w:tab w:leader="none" w:pos="120" w:val="left"/>
        </w:tabs>
        <w:numPr>
          <w:ilvl w:val="0"/>
          <w:numId w:val="98"/>
        </w:numPr>
        <w:rPr>
          <w:rFonts w:ascii="Arial" w:cs="Arial" w:eastAsia="Arial" w:hAnsi="Arial"/>
          <w:sz w:val="29"/>
          <w:szCs w:val="29"/>
          <w:color w:val="auto"/>
          <w:vertAlign w:val="superscript"/>
        </w:rPr>
      </w:pPr>
      <w:r>
        <w:rPr>
          <w:rFonts w:ascii="Arial" w:cs="Arial" w:eastAsia="Arial" w:hAnsi="Arial"/>
          <w:sz w:val="17"/>
          <w:szCs w:val="17"/>
          <w:color w:val="auto"/>
        </w:rPr>
        <w:t>1/3 of the Award shall vest on the Grant Date, 1/3 of the Award shall vest on January 6, 2021, and 1/3 of the Award shall vest on January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ind w:left="1000" w:hanging="992"/>
        <w:spacing w:after="0"/>
        <w:tabs>
          <w:tab w:leader="none" w:pos="10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purposes of this Award Agreement, capitalized terms not otherwise defined in this Award Agreement shall have the meanings given to such terms in the Plan. The following term is specifically defined for purposes of this Award Agreement:</w:t>
      </w:r>
    </w:p>
    <w:p>
      <w:pPr>
        <w:spacing w:after="0" w:line="170" w:lineRule="exact"/>
        <w:rPr>
          <w:sz w:val="20"/>
          <w:szCs w:val="20"/>
          <w:color w:val="auto"/>
        </w:rPr>
      </w:pPr>
    </w:p>
    <w:p>
      <w:pPr>
        <w:jc w:val="both"/>
        <w:ind w:firstLine="656"/>
        <w:spacing w:after="0" w:line="284" w:lineRule="auto"/>
        <w:tabs>
          <w:tab w:leader="none" w:pos="1847"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For purposes of this Award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xml:space="preserve">” shall mean (i) the Participant having “Good Reason” to terminate the Participant’s employment or service, as defined in any employment or consulting agreement between the Participant and the Company at the time of such termination or (ii) in the absence of any such employment or consulting agreement (or the absence of any definition of “Good Reason” contained therein), the occurrence (without the Participant’s express written consent), but only following the Grant Date, of any one of the following acts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 the Participant gives notice to the Company within thirty (30) days after the initial occurrence of the Good Reason event, (y) such event is not fully corrected in all material respects within thirty (30) days following receipt of the Participant’s written notification and (z) the Participant terminates the Participant’s employment and service with the Weatherford Group on the date following the expiration of such thirty (30)-day cure period:</w:t>
      </w:r>
    </w:p>
    <w:p>
      <w:pPr>
        <w:spacing w:after="0" w:line="2" w:lineRule="exact"/>
        <w:rPr>
          <w:rFonts w:ascii="Arial" w:cs="Arial" w:eastAsia="Arial" w:hAnsi="Arial"/>
          <w:sz w:val="16"/>
          <w:szCs w:val="16"/>
          <w:b w:val="1"/>
          <w:bCs w:val="1"/>
          <w:color w:val="auto"/>
        </w:rPr>
      </w:pPr>
    </w:p>
    <w:p>
      <w:pPr>
        <w:jc w:val="both"/>
        <w:ind w:firstLine="8"/>
        <w:spacing w:after="0" w:line="271" w:lineRule="auto"/>
        <w:tabs>
          <w:tab w:leader="none" w:pos="30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material reduction in the Participant’s annual base salary or annual target bonus opportunity (except in the event of an across the board reduction in annual base salary or annual target bonus opportunity applicable to similarly situated employees); (B) a material diminution in the authority, duties or responsibilities of the Participant; provided that if the Company is a public company a change resulting from the Company no longer being a public company shall not be a basis for a Good Reason termination; or (C) a requirement that the Participant transfer to a work location that is more than fifty (50) miles from such Participant’s principal work location and that materially increases Participant’s commute.</w:t>
      </w:r>
    </w:p>
    <w:p>
      <w:pPr>
        <w:spacing w:after="0" w:line="174" w:lineRule="exact"/>
        <w:rPr>
          <w:sz w:val="20"/>
          <w:szCs w:val="20"/>
          <w:color w:val="auto"/>
        </w:rPr>
      </w:pPr>
    </w:p>
    <w:p>
      <w:pPr>
        <w:jc w:val="both"/>
        <w:ind w:firstLine="8"/>
        <w:spacing w:after="0" w:line="289" w:lineRule="auto"/>
        <w:tabs>
          <w:tab w:leader="none" w:pos="1071"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specified herein or in the Plan, the RSUs may not be sold, assigned, pledged, exchanged, hypothecated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transferred, encumbered or disposed of. Any such attempted sale, assignment, pledge, exchange, hypothecation, transfer, encumbrance or disposition in violation of this Award Agreement or the Plan shall be void, and the Company shall not be bound thereby.</w:t>
      </w:r>
    </w:p>
    <w:p>
      <w:pPr>
        <w:spacing w:after="0" w:line="157" w:lineRule="exact"/>
        <w:rPr>
          <w:rFonts w:ascii="Arial" w:cs="Arial" w:eastAsia="Arial" w:hAnsi="Arial"/>
          <w:sz w:val="17"/>
          <w:szCs w:val="17"/>
          <w:b w:val="1"/>
          <w:bCs w:val="1"/>
          <w:color w:val="auto"/>
        </w:rPr>
      </w:pPr>
    </w:p>
    <w:p>
      <w:pPr>
        <w:ind w:firstLine="8"/>
        <w:spacing w:after="0" w:line="282" w:lineRule="auto"/>
        <w:tabs>
          <w:tab w:leader="none" w:pos="99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have no rights as a shareholder of the Company in respect of the RSUs, including the right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receive dividends and other distributions, until delivery of Shares in satisfaction of such RSUs.</w:t>
      </w:r>
    </w:p>
    <w:p>
      <w:pPr>
        <w:spacing w:after="0" w:line="161" w:lineRule="exact"/>
        <w:rPr>
          <w:rFonts w:ascii="Arial" w:cs="Arial" w:eastAsia="Arial" w:hAnsi="Arial"/>
          <w:sz w:val="18"/>
          <w:szCs w:val="18"/>
          <w:b w:val="1"/>
          <w:bCs w:val="1"/>
          <w:color w:val="auto"/>
        </w:rPr>
      </w:pPr>
    </w:p>
    <w:p>
      <w:pPr>
        <w:ind w:left="1000" w:hanging="992"/>
        <w:spacing w:after="0"/>
        <w:tabs>
          <w:tab w:leader="none" w:pos="10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2036" w:val="left"/>
        </w:tabs>
        <w:numPr>
          <w:ilvl w:val="1"/>
          <w:numId w:val="102"/>
        </w:numPr>
        <w:rPr>
          <w:rFonts w:ascii="Arial" w:cs="Arial" w:eastAsia="Arial" w:hAnsi="Arial"/>
          <w:sz w:val="16"/>
          <w:szCs w:val="16"/>
          <w:b w:val="1"/>
          <w:bCs w:val="1"/>
          <w:color w:val="auto"/>
        </w:rPr>
      </w:pPr>
      <w:r>
        <w:rPr>
          <w:rFonts w:ascii="Arial" w:cs="Arial" w:eastAsia="Arial" w:hAnsi="Arial"/>
          <w:sz w:val="16"/>
          <w:szCs w:val="16"/>
          <w:color w:val="auto"/>
        </w:rPr>
        <w:t>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Employer. Participant further acknowledges that the Company and the Employer</w:t>
      </w:r>
    </w:p>
    <w:p>
      <w:pPr>
        <w:spacing w:after="0" w:line="1" w:lineRule="exact"/>
        <w:rPr>
          <w:rFonts w:ascii="Arial" w:cs="Arial" w:eastAsia="Arial" w:hAnsi="Arial"/>
          <w:sz w:val="16"/>
          <w:szCs w:val="16"/>
          <w:b w:val="1"/>
          <w:bCs w:val="1"/>
          <w:color w:val="auto"/>
        </w:rPr>
      </w:pPr>
    </w:p>
    <w:p>
      <w:pPr>
        <w:jc w:val="both"/>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 make no representations or undertakings regarding the treatment of any Tax-Related Items in connection with any aspect of the RSUs;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56"/>
        <w:spacing w:after="0" w:line="269" w:lineRule="auto"/>
        <w:tabs>
          <w:tab w:leader="none" w:pos="1691" w:val="left"/>
        </w:tabs>
        <w:numPr>
          <w:ilvl w:val="1"/>
          <w:numId w:val="103"/>
        </w:numPr>
        <w:rPr>
          <w:rFonts w:ascii="Arial" w:cs="Arial" w:eastAsia="Arial" w:hAnsi="Arial"/>
          <w:sz w:val="17"/>
          <w:szCs w:val="17"/>
          <w:b w:val="1"/>
          <w:bCs w:val="1"/>
          <w:color w:val="auto"/>
        </w:rPr>
      </w:pPr>
      <w:r>
        <w:rPr>
          <w:rFonts w:ascii="Arial" w:cs="Arial" w:eastAsia="Arial" w:hAnsi="Arial"/>
          <w:sz w:val="17"/>
          <w:szCs w:val="17"/>
          <w:color w:val="auto"/>
        </w:rPr>
        <w:t>To satisfy any withholding obligations of the Company and/or the Employer with respect to Tax-Related Items, the Company will withhold Shares otherwise issuable upon vesting of the RSUs. Alternatively, or in addition, in connection with any applicable withholding event, Participant authorizes the Company and/or the Employer, or their respective agents, at their discretion, to satisfy their obligations, if any, with regard to all Tax-Related Items by one or a combination of the following: (i) withholding from Participant’s wages or other cash compensation paid to Participant by the Company or the Employer, (ii) withholding from proceeds of the sale of Shares acquired upon vesting of the RSUs either through a voluntary sale or through a mandatory sale arranged by the Company (on Participant’s behalf pursuant to this authorization without further consent) and/or (iii) requiring Participant to tender a cash payment to the Company or an Affiliate in the amount of the Tax-Related Items; provided, however, that if Participant is a Section 16 officer of the Company under the Exchange Act, the withholding methods described in this Section 3(b)(i), (ii), and (iii) will only be used if the Committee (as constituted to satisfy Rule 16b-3 of the Exchange Act) determines, in advance of the applicable withholding event, that one of such withholding methods will be used in lieu of withholding Shares.</w:t>
      </w:r>
    </w:p>
    <w:p>
      <w:pPr>
        <w:spacing w:after="0" w:line="185" w:lineRule="exact"/>
        <w:rPr>
          <w:rFonts w:ascii="Arial" w:cs="Arial" w:eastAsia="Arial" w:hAnsi="Arial"/>
          <w:sz w:val="17"/>
          <w:szCs w:val="17"/>
          <w:b w:val="1"/>
          <w:bCs w:val="1"/>
          <w:color w:val="auto"/>
        </w:rPr>
      </w:pPr>
    </w:p>
    <w:p>
      <w:pPr>
        <w:jc w:val="both"/>
        <w:ind w:firstLine="656"/>
        <w:spacing w:after="0" w:line="279" w:lineRule="auto"/>
        <w:tabs>
          <w:tab w:leader="none" w:pos="1765" w:val="left"/>
        </w:tabs>
        <w:numPr>
          <w:ilvl w:val="1"/>
          <w:numId w:val="103"/>
        </w:numPr>
        <w:rPr>
          <w:rFonts w:ascii="Arial" w:cs="Arial" w:eastAsia="Arial" w:hAnsi="Arial"/>
          <w:sz w:val="17"/>
          <w:szCs w:val="17"/>
          <w:b w:val="1"/>
          <w:bCs w:val="1"/>
          <w:color w:val="auto"/>
        </w:rPr>
      </w:pPr>
      <w:r>
        <w:rPr>
          <w:rFonts w:ascii="Arial" w:cs="Arial" w:eastAsia="Arial" w:hAnsi="Arial"/>
          <w:sz w:val="17"/>
          <w:szCs w:val="17"/>
          <w:color w:val="auto"/>
        </w:rPr>
        <w:t>The Company may withhold for Tax-Related Items by considering applicable statutory withholding amounts or other applicable withholding rates, including maximum applicable rates in Participant’s jurisdiction(s), in which case Participant may receive a refund of any over-withheld amount in cash and will have no entitlement to the equivalent amount in Shares. The Company may refuse to issue or deliver the Shares or the proceeds of the sale of Shares, if Participant fails to comply with his or her obligations in connection with the Tax-Related Items.</w:t>
      </w:r>
    </w:p>
    <w:p>
      <w:pPr>
        <w:spacing w:after="0" w:line="167" w:lineRule="exact"/>
        <w:rPr>
          <w:rFonts w:ascii="Arial" w:cs="Arial" w:eastAsia="Arial" w:hAnsi="Arial"/>
          <w:sz w:val="17"/>
          <w:szCs w:val="17"/>
          <w:b w:val="1"/>
          <w:bCs w:val="1"/>
          <w:color w:val="auto"/>
        </w:rPr>
      </w:pPr>
    </w:p>
    <w:p>
      <w:pPr>
        <w:jc w:val="both"/>
        <w:ind w:firstLine="8"/>
        <w:spacing w:after="0" w:line="292" w:lineRule="auto"/>
        <w:tabs>
          <w:tab w:leader="none" w:pos="1179"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 by</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by facsimile, by certified or registered mail, return receipt requested, or by courier or delivery service, addressed to the Company at the address indicated below on the execution page of this Award Agreement, and to Participant at Participant’s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61" w:lineRule="exact"/>
        <w:rPr>
          <w:rFonts w:ascii="Arial" w:cs="Arial" w:eastAsia="Arial" w:hAnsi="Arial"/>
          <w:sz w:val="16"/>
          <w:szCs w:val="16"/>
          <w:b w:val="1"/>
          <w:bCs w:val="1"/>
          <w:color w:val="auto"/>
        </w:rPr>
      </w:pPr>
    </w:p>
    <w:p>
      <w:pPr>
        <w:jc w:val="both"/>
        <w:ind w:firstLine="8"/>
        <w:spacing w:after="0" w:line="258" w:lineRule="auto"/>
        <w:tabs>
          <w:tab w:leader="none" w:pos="1098"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Participant shall be subject to the Company's clawback, forfeiture or other similar policies in accordance with Section 19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By accepting this Award,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Participant.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8"/>
        <w:spacing w:after="0" w:line="261" w:lineRule="auto"/>
        <w:tabs>
          <w:tab w:leader="none" w:pos="103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by electronic means or to request Participant’s consent to participate in the Plan by electronic means. By receipt of this RSU grant,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9" w:lineRule="exact"/>
        <w:rPr>
          <w:rFonts w:ascii="Arial" w:cs="Arial" w:eastAsia="Arial" w:hAnsi="Arial"/>
          <w:sz w:val="18"/>
          <w:szCs w:val="18"/>
          <w:b w:val="1"/>
          <w:bCs w:val="1"/>
          <w:color w:val="auto"/>
        </w:rPr>
      </w:pPr>
    </w:p>
    <w:p>
      <w:pPr>
        <w:jc w:val="both"/>
        <w:ind w:firstLine="8"/>
        <w:spacing w:after="0" w:line="261" w:lineRule="auto"/>
        <w:tabs>
          <w:tab w:leader="none" w:pos="1098"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RSU grant and the provisions of this Award Agreement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laws of the State of Texas without regard to such state’s conflict of laws or provisions, as provided in the Plan. For purposes of litigating any dispute that arises under this grant or this Award Agreement, the parties hereby submit to and consent to the jurisdiction of the federal and state courts of the State of Texas</w:t>
      </w:r>
    </w:p>
    <w:p>
      <w:pPr>
        <w:spacing w:after="0" w:line="179" w:lineRule="exact"/>
        <w:rPr>
          <w:rFonts w:ascii="Arial" w:cs="Arial" w:eastAsia="Arial" w:hAnsi="Arial"/>
          <w:sz w:val="18"/>
          <w:szCs w:val="18"/>
          <w:b w:val="1"/>
          <w:bCs w:val="1"/>
          <w:color w:val="auto"/>
        </w:rPr>
      </w:pPr>
    </w:p>
    <w:p>
      <w:pPr>
        <w:jc w:val="both"/>
        <w:ind w:firstLine="8"/>
        <w:spacing w:after="0" w:line="266" w:lineRule="auto"/>
        <w:tabs>
          <w:tab w:leader="none" w:pos="118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 Amendment</w:t>
      </w:r>
      <w:r>
        <w:rPr>
          <w:rFonts w:ascii="Arial" w:cs="Arial" w:eastAsia="Arial" w:hAnsi="Arial"/>
          <w:sz w:val="18"/>
          <w:szCs w:val="18"/>
          <w:color w:val="auto"/>
        </w:rPr>
        <w:t>. The Committee has the right to amend, alter, suspend, discontinue or cancel the RSUs, prospectively or</w:t>
      </w:r>
      <w:r>
        <w:rPr>
          <w:rFonts w:ascii="Arial" w:cs="Arial" w:eastAsia="Arial" w:hAnsi="Arial"/>
          <w:sz w:val="18"/>
          <w:szCs w:val="18"/>
          <w:b w:val="1"/>
          <w:bCs w:val="1"/>
          <w:color w:val="auto"/>
        </w:rPr>
        <w:t xml:space="preserve"> </w:t>
      </w:r>
      <w:r>
        <w:rPr>
          <w:rFonts w:ascii="Arial" w:cs="Arial" w:eastAsia="Arial" w:hAnsi="Arial"/>
          <w:sz w:val="18"/>
          <w:szCs w:val="18"/>
          <w:color w:val="auto"/>
        </w:rPr>
        <w:t>retroactively; provided that no such amendment shall materially and adversely affect the Participant’s rights under this Award Agreement without the Participant’s consent except as provided in Section 14 hereof.</w:t>
      </w:r>
    </w:p>
    <w:p>
      <w:pPr>
        <w:spacing w:after="0" w:line="175" w:lineRule="exact"/>
        <w:rPr>
          <w:rFonts w:ascii="Arial" w:cs="Arial" w:eastAsia="Arial" w:hAnsi="Arial"/>
          <w:sz w:val="18"/>
          <w:szCs w:val="18"/>
          <w:b w:val="1"/>
          <w:bCs w:val="1"/>
          <w:color w:val="auto"/>
        </w:rPr>
      </w:pPr>
    </w:p>
    <w:p>
      <w:pPr>
        <w:jc w:val="both"/>
        <w:ind w:firstLine="8"/>
        <w:spacing w:after="0" w:line="266" w:lineRule="auto"/>
        <w:tabs>
          <w:tab w:leader="none" w:pos="121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Neither the Plan nor this Award Agreement shall confer upon the Participant any right to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Further, nothing in the Plan or this Agreement shall be construed to limit the discretion of the Company to terminate the Participant’s Service at any time for any reason.</w:t>
      </w:r>
    </w:p>
    <w:p>
      <w:pPr>
        <w:spacing w:after="0" w:line="175" w:lineRule="exact"/>
        <w:rPr>
          <w:rFonts w:ascii="Arial" w:cs="Arial" w:eastAsia="Arial" w:hAnsi="Arial"/>
          <w:sz w:val="18"/>
          <w:szCs w:val="18"/>
          <w:b w:val="1"/>
          <w:bCs w:val="1"/>
          <w:color w:val="auto"/>
        </w:rPr>
      </w:pPr>
    </w:p>
    <w:p>
      <w:pPr>
        <w:ind w:firstLine="8"/>
        <w:spacing w:after="0" w:line="282" w:lineRule="auto"/>
        <w:tabs>
          <w:tab w:leader="none" w:pos="119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Award Agreement are severable and if any one or more provisions are determined to be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unenforceable, in whole or in part, the remaining provisions shall nevertheless be binding and enforceable.</w:t>
      </w:r>
    </w:p>
    <w:p>
      <w:pPr>
        <w:spacing w:after="0" w:line="161" w:lineRule="exact"/>
        <w:rPr>
          <w:rFonts w:ascii="Arial" w:cs="Arial" w:eastAsia="Arial" w:hAnsi="Arial"/>
          <w:sz w:val="18"/>
          <w:szCs w:val="18"/>
          <w:b w:val="1"/>
          <w:bCs w:val="1"/>
          <w:color w:val="auto"/>
        </w:rPr>
      </w:pPr>
    </w:p>
    <w:p>
      <w:pPr>
        <w:jc w:val="both"/>
        <w:ind w:firstLine="8"/>
        <w:spacing w:after="0" w:line="281" w:lineRule="auto"/>
        <w:tabs>
          <w:tab w:leader="none" w:pos="1237"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Country-Specific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RSUs and the Shares subject to the RSUs shall be subject to any special terms and conditions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country set forth in the Appendix.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Award Agreement.</w:t>
      </w:r>
    </w:p>
    <w:p>
      <w:pPr>
        <w:spacing w:after="0" w:line="164" w:lineRule="exact"/>
        <w:rPr>
          <w:rFonts w:ascii="Arial" w:cs="Arial" w:eastAsia="Arial" w:hAnsi="Arial"/>
          <w:sz w:val="17"/>
          <w:szCs w:val="17"/>
          <w:b w:val="1"/>
          <w:bCs w:val="1"/>
          <w:color w:val="auto"/>
        </w:rPr>
      </w:pPr>
    </w:p>
    <w:p>
      <w:pPr>
        <w:jc w:val="both"/>
        <w:ind w:firstLine="8"/>
        <w:spacing w:after="0" w:line="255" w:lineRule="auto"/>
        <w:tabs>
          <w:tab w:leader="none" w:pos="9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grant is subject to, and limited by, all applicable laws and regulations and to such approvals by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agencies or national securities exchanges. to the extent applicable, as may be required. Participant agrees that the Company shall have unilateral authority to amend the Plan and this Award Agreement without Participant’s consent to the extent necessary to comply with securities or other laws applicable to the issuance of Shares (including any state "blue sky" laws).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88" w:lineRule="exact"/>
        <w:rPr>
          <w:rFonts w:ascii="Arial" w:cs="Arial" w:eastAsia="Arial" w:hAnsi="Arial"/>
          <w:sz w:val="18"/>
          <w:szCs w:val="18"/>
          <w:b w:val="1"/>
          <w:bCs w:val="1"/>
          <w:color w:val="auto"/>
        </w:rPr>
      </w:pPr>
    </w:p>
    <w:p>
      <w:pPr>
        <w:ind w:firstLine="8"/>
        <w:spacing w:after="0" w:line="347" w:lineRule="auto"/>
        <w:tabs>
          <w:tab w:leader="none" w:pos="967"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a waiver by the Company of breach of any provision of this Award Agreement shall not operate or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as a waiver of any other provision of this Award Agreement, or of any subsequent breach by Participant or any other participant in the Plan.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8"/>
        <w:spacing w:after="0" w:line="314" w:lineRule="auto"/>
        <w:tabs>
          <w:tab w:leader="none" w:pos="1359"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Advice Regarding Grant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Participant’s participation in the Plan, or his or her acquisition or sale of the underlying Shares. Participant should consult with his or her own personal tax, legal and financial advisors regarding Participant’s participation in the Plan before taking any action related to the Plan.</w:t>
      </w:r>
    </w:p>
    <w:p>
      <w:pPr>
        <w:spacing w:after="0" w:line="141" w:lineRule="exact"/>
        <w:rPr>
          <w:rFonts w:ascii="Arial" w:cs="Arial" w:eastAsia="Arial" w:hAnsi="Arial"/>
          <w:sz w:val="16"/>
          <w:szCs w:val="16"/>
          <w:b w:val="1"/>
          <w:bCs w:val="1"/>
          <w:color w:val="auto"/>
        </w:rPr>
      </w:pPr>
    </w:p>
    <w:p>
      <w:pPr>
        <w:jc w:val="both"/>
        <w:ind w:firstLine="8"/>
        <w:spacing w:after="0" w:line="294" w:lineRule="auto"/>
        <w:tabs>
          <w:tab w:leader="none" w:pos="1008"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Insider Trading Restrictions/Market Abuse Laws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Participant may be subject to insider trading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and/or market abuse laws in applicable jurisdictions including, but not limited to, the United States and, if different, Participant’s country of residence, which may affect his or her ability to acquire or sell Shares or rights to Shares (</w:t>
      </w:r>
      <w:r>
        <w:rPr>
          <w:rFonts w:ascii="Arial" w:cs="Arial" w:eastAsia="Arial" w:hAnsi="Arial"/>
          <w:sz w:val="16"/>
          <w:szCs w:val="16"/>
          <w:i w:val="1"/>
          <w:iCs w:val="1"/>
          <w:color w:val="auto"/>
        </w:rPr>
        <w:t>e.g.</w:t>
      </w:r>
      <w:r>
        <w:rPr>
          <w:rFonts w:ascii="Arial" w:cs="Arial" w:eastAsia="Arial" w:hAnsi="Arial"/>
          <w:sz w:val="16"/>
          <w:szCs w:val="16"/>
          <w:color w:val="auto"/>
        </w:rPr>
        <w:t>, RSUs) under the Plan during such times as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Participant is responsible for ensuring his or her compliance with any applicable restrictions and should speak to his or her personal legal advisor on this matter.</w:t>
      </w:r>
    </w:p>
    <w:p>
      <w:pPr>
        <w:spacing w:after="0" w:line="159" w:lineRule="exact"/>
        <w:rPr>
          <w:rFonts w:ascii="Arial" w:cs="Arial" w:eastAsia="Arial" w:hAnsi="Arial"/>
          <w:sz w:val="16"/>
          <w:szCs w:val="16"/>
          <w:b w:val="1"/>
          <w:bCs w:val="1"/>
          <w:color w:val="auto"/>
        </w:rPr>
      </w:pPr>
    </w:p>
    <w:p>
      <w:pPr>
        <w:jc w:val="both"/>
        <w:ind w:firstLine="8"/>
        <w:spacing w:after="0" w:line="292" w:lineRule="auto"/>
        <w:tabs>
          <w:tab w:leader="none" w:pos="1197"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Foreign Asset/Account Reporting; Exchange Controls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depending on his or her country of residence,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may be subject to foreign asset and/or account reporting requirements and/or exchange controls as a result of the vesting and settlement of the RSUs, the acquisition, holding and/or transfer of Shares or cash resulting from participation in the Plan and/or the opening and maintaining of a brokerage or bank account in connection with the Plan. For example, Participant may be required to report such assets, accounts, account balances and values and/or related transactions to the tax or other authorities in his or her country. Participant may also be required to repatriate sale proceeds or other funds received pursuant to the Plan to his or her country through a designated bank or broker and/or within a certain time after receipt. Participant is responsible for ensuring compliance with any applicable requirements and should speak to his or her personal legal advisor regarding these requirements.</w:t>
      </w:r>
    </w:p>
    <w:p>
      <w:pPr>
        <w:spacing w:after="0" w:line="161" w:lineRule="exact"/>
        <w:rPr>
          <w:rFonts w:ascii="Arial" w:cs="Arial" w:eastAsia="Arial" w:hAnsi="Arial"/>
          <w:sz w:val="16"/>
          <w:szCs w:val="16"/>
          <w:b w:val="1"/>
          <w:bCs w:val="1"/>
          <w:color w:val="auto"/>
        </w:rPr>
      </w:pPr>
    </w:p>
    <w:p>
      <w:pPr>
        <w:jc w:val="both"/>
        <w:ind w:firstLine="8"/>
        <w:spacing w:after="0" w:line="273" w:lineRule="auto"/>
        <w:tabs>
          <w:tab w:leader="none" w:pos="1003"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intends that payments under this Award Agreement will either comply with or be exempt from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409A and, accordingly, to the maximum extent permitted, this Award Agreement shall be interpreted to be exempt from Section 409A or in compliance therewith, as applicable. To the extent the Company determines that this Award Agreement is subject to Section 409A, but does not conform with the requirements of Section 409A, the Company may at its sole discretion amend or replace the Award Agreement to cause the Award Agreement to comply with Section 409A. Notwithstanding anything to the contrary, neither the Committee (or any member thereof) nor any member of the Weatherford Group (or any employee, director or officer thereof) guarantees that this Award Agreement complies with, or is exempt from, Section 409A and none of the foregoing shall have any liability with respect to any failure to so comply or to be so exempt.</w:t>
      </w:r>
    </w:p>
    <w:p>
      <w:pPr>
        <w:spacing w:after="0" w:line="171" w:lineRule="exact"/>
        <w:rPr>
          <w:rFonts w:ascii="Arial" w:cs="Arial" w:eastAsia="Arial" w:hAnsi="Arial"/>
          <w:sz w:val="17"/>
          <w:szCs w:val="17"/>
          <w:b w:val="1"/>
          <w:bCs w:val="1"/>
          <w:color w:val="auto"/>
        </w:rPr>
      </w:pPr>
    </w:p>
    <w:p>
      <w:pPr>
        <w:jc w:val="both"/>
        <w:ind w:firstLine="8"/>
        <w:spacing w:after="0" w:line="274" w:lineRule="auto"/>
        <w:tabs>
          <w:tab w:leader="none" w:pos="1021"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Secured Rights</w:t>
      </w:r>
      <w:r>
        <w:rPr>
          <w:rFonts w:ascii="Arial" w:cs="Arial" w:eastAsia="Arial" w:hAnsi="Arial"/>
          <w:sz w:val="17"/>
          <w:szCs w:val="17"/>
          <w:color w:val="auto"/>
        </w:rPr>
        <w:t>. Participant’s right to payments under this Award Agreement shall not constitute nor be treated as property or as a trust</w:t>
      </w:r>
      <w:r>
        <w:rPr>
          <w:rFonts w:ascii="Arial" w:cs="Arial" w:eastAsia="Arial" w:hAnsi="Arial"/>
          <w:sz w:val="17"/>
          <w:szCs w:val="17"/>
          <w:b w:val="1"/>
          <w:bCs w:val="1"/>
          <w:color w:val="auto"/>
        </w:rPr>
        <w:t xml:space="preserve"> </w:t>
      </w:r>
      <w:r>
        <w:rPr>
          <w:rFonts w:ascii="Arial" w:cs="Arial" w:eastAsia="Arial" w:hAnsi="Arial"/>
          <w:sz w:val="17"/>
          <w:szCs w:val="17"/>
          <w:color w:val="auto"/>
        </w:rPr>
        <w:t>fund of any kind. Participant’s rights are limited exclusively to the right to receive Shares as provided in the Award Agreement. Participant shall not have any rights as an owner of the Company with respect to any RSUs granted to Participant. All benefits payable to Participant shall be payable solely from the general assets of the Company and no separate or special funds shall be established and no segregation of assets shall be made to assure the payment of benefits to Participant. Participant’s rights shall be limited to those rights that are specifically enumerated in the Award Agreement, and such rights shall be for all purposes, unsecured contractual creditors’ rights against the Company only.</w:t>
      </w:r>
    </w:p>
    <w:p>
      <w:pPr>
        <w:spacing w:after="0" w:line="173" w:lineRule="exact"/>
        <w:rPr>
          <w:rFonts w:ascii="Arial" w:cs="Arial" w:eastAsia="Arial" w:hAnsi="Arial"/>
          <w:sz w:val="17"/>
          <w:szCs w:val="17"/>
          <w:b w:val="1"/>
          <w:bCs w:val="1"/>
          <w:color w:val="auto"/>
        </w:rPr>
      </w:pPr>
    </w:p>
    <w:p>
      <w:pPr>
        <w:jc w:val="both"/>
        <w:ind w:firstLine="8"/>
        <w:spacing w:after="0" w:line="303" w:lineRule="auto"/>
        <w:tabs>
          <w:tab w:leader="none" w:pos="913"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and Award Agreement</w:t>
      </w:r>
      <w:r>
        <w:rPr>
          <w:rFonts w:ascii="Arial" w:cs="Arial" w:eastAsia="Arial" w:hAnsi="Arial"/>
          <w:sz w:val="16"/>
          <w:szCs w:val="16"/>
          <w:color w:val="auto"/>
        </w:rPr>
        <w:t>. This Award is subject to all of the terms and conditions in this Award Agreement and in the Plan.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are incorporated herein by reference. In the event of a conflict or inconsistency between the terms and provisions of the Plan and this Award Agreement, the Plan shall govern and control. Participant hereby acknowledges receiving a copy of the Plan. This Award Agreement and the Plan constitute the entire agreement of the parties and supersede all prior undertakings and agreements with respect to the subject matter hereof.</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8"/>
        <w:spacing w:after="0" w:line="261" w:lineRule="auto"/>
        <w:tabs>
          <w:tab w:leader="none" w:pos="98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Award Agreement may be executed in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8"/>
          <w:szCs w:val="18"/>
          <w:b w:val="1"/>
          <w:bCs w:val="1"/>
          <w:color w:val="auto"/>
        </w:rPr>
      </w:pPr>
    </w:p>
    <w:p>
      <w:pPr>
        <w:jc w:val="both"/>
        <w:ind w:firstLine="8"/>
        <w:spacing w:after="0" w:line="266" w:lineRule="auto"/>
        <w:tabs>
          <w:tab w:leader="none" w:pos="1143"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 &amp; Acceptance within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This grant is subject to acceptance, within 30 days of the Grant Date,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acceptance through the website of Bank America Merrill Lynch, the Company’s share plan administrator, or by signed documents delivered to the Company. </w:t>
      </w:r>
      <w:r>
        <w:rPr>
          <w:rFonts w:ascii="Arial" w:cs="Arial" w:eastAsia="Arial" w:hAnsi="Arial"/>
          <w:sz w:val="18"/>
          <w:szCs w:val="18"/>
          <w:b w:val="1"/>
          <w:bCs w:val="1"/>
          <w:color w:val="auto"/>
        </w:rPr>
        <w:t>Failure to accept the RSUs within 30 days of the Grant Date may result in cancellation of the RSUs</w:t>
      </w:r>
      <w:r>
        <w:rPr>
          <w:rFonts w:ascii="Arial" w:cs="Arial" w:eastAsia="Arial" w:hAnsi="Arial"/>
          <w:sz w:val="18"/>
          <w:szCs w:val="18"/>
          <w:color w:val="auto"/>
        </w:rPr>
        <w:t>.</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By Participant’s execution or electronic acceptance of this Award Agreement (including the country-specific appendix attached hereto) in the manner specified by the Company or Committee, Participant and the Company have agreed that the RSUs are granted under and governed by the terms and conditions of this Award Agreement (including any country-specific appendix attached hereto) and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for and on behalf of the Company: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3604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USA 77056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165100</wp:posOffset>
            </wp:positionV>
            <wp:extent cx="1371600" cy="608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Provides Financial Update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Intention to Delist from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Stock Exchange</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HOUSTON, April 15, 2020 </w:t>
      </w:r>
      <w:r>
        <w:rPr>
          <w:rFonts w:ascii="Arial" w:cs="Arial" w:eastAsia="Arial" w:hAnsi="Arial"/>
          <w:sz w:val="18"/>
          <w:szCs w:val="18"/>
          <w:color w:val="auto"/>
        </w:rPr>
        <w:t>– (OTCPINK: WFTLF) Weatherford International plc (“Weatherford” or the “Company”) provided an update today on its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results for the first quarter of 2020 and announced its intention to delist from the New York Stock Exchange (“NYSE”).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UPDATE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the challenging environment, the Company’s preliminary financial results improved during the first quarter of 2020 due to operational and cost reduction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preliminary financial results for the first quarter of 2020 are:</w:t>
      </w:r>
    </w:p>
    <w:p>
      <w:pPr>
        <w:spacing w:after="0" w:line="23"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Revenues in the range of $1,190 to $1,210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Net loss attributable to Weatherford in the range of $185 to $210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Adjusted EBITDA, a non-GAAP measure, in the range of $160 to $170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 flow from operations in the range of $5 to $25 million and capital expenditures in the range of $30 to $40 million;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Free cash flow, a non-GAAP measure, in the range of negative $15 to negative $25 million, including payments of approximately $80 million primarily associated with prior year’s financial restructuring and legacy corporate development activities.</w:t>
      </w:r>
    </w:p>
    <w:p>
      <w:pPr>
        <w:spacing w:after="0" w:line="185" w:lineRule="exact"/>
        <w:rPr>
          <w:sz w:val="20"/>
          <w:szCs w:val="20"/>
          <w:color w:val="auto"/>
        </w:rPr>
      </w:pPr>
    </w:p>
    <w:p>
      <w:pPr>
        <w:ind w:right="500"/>
        <w:spacing w:after="0" w:line="287" w:lineRule="auto"/>
        <w:rPr>
          <w:sz w:val="20"/>
          <w:szCs w:val="20"/>
          <w:color w:val="auto"/>
        </w:rPr>
      </w:pPr>
      <w:r>
        <w:rPr>
          <w:rFonts w:ascii="Arial" w:cs="Arial" w:eastAsia="Arial" w:hAnsi="Arial"/>
          <w:sz w:val="16"/>
          <w:szCs w:val="16"/>
          <w:color w:val="auto"/>
        </w:rPr>
        <w:t>The impact of the COVID-19 pandemic and recent actions by certain producing nations have had an unprecedented disruption on the supply/demand equation for oil, resulting in a precipitous decline in commodity prices and substantial reductions to the capital spending plans of exploration and production companies. In response, Weatherford supplemented its cost reduction initiatives with a number of actions, including:</w:t>
      </w:r>
    </w:p>
    <w:p>
      <w:pPr>
        <w:spacing w:after="0" w:line="2"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Temporary pay reductions of 20% for management and to the Board of Directors’ annual cash retainer;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Total headcount reductions across North American operations and the global support structure of 38% and 25%, respectively;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Furloughs and pay reductions for remaining employees in the United States and selected international locations;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Reducing planned capital expenditures by approximately 50% in 2020 versus 2019 levels;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Further consolidating geographic and product line structures to better align with market conditions.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Weatherford has adequate liquidity and is compliant with its financial covenants. However, the emerging operating environment has led to the inability to predict the depth and length of the industry’s weakness. In this backdrop, the Company’s debt levels are too high. Management and the Board of Directors are evaluating options to improve liquidity and address the Company’s long-term capital structure.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Weatherford plans to release its first quarter 2020 Form 10-Q on May 11, 2020 and the preliminary financial results noted above are subject to finalization.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NYSE DELISTING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been evaluating its options with respect to its NYSE listing and, after careful deliberations, the Board of Directors has determined that delisting is in the best interest of the Company. As such, the Company will withdraw its appeal to the delisting proceedings by the NYSE.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shares of common stock will be delisted from trading on the NYSE through the filing of a Form 25 with the U.S. Securities and Exchange Commission (the “SEC”).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Weatherford will continue to evaluate listing on the NYSE or other trading platforms and will provide updates as necessary. The Company will continue to trade on the OTC Pink Marketplace under the ticker symbol “WFTLF”.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Weatherford reports its financial results in accordance with U.S. generally accepted accounting principles (GAAP). However, the Company’s management believes that certain non-GAAP financial measures and ratios may provide users of this financial information additional meaningful comparisons between current results and results of prior periods and comparisons with peer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EBITDA is defined as earnings before interest, taxes, depreciation and amortization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 non-GAAP measure, is defined as EBITDA adjusted for impairment charges, restructuring charges (severance and facility charges), asset write-downs, noncash stock-based compensation, prepetition charges, reorganization items, gain or loss on sales of businesses, and other non-operating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Free cash flow is defined as operating cash flow less net capital expenditures (net of any proceeds from the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sets forth a reconciliation of preliminary GAAP to non-GAAP measures: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40" w:type="dxa"/>
            <w:vAlign w:val="bottom"/>
            <w:gridSpan w:val="5"/>
          </w:tcPr>
          <w:p>
            <w:pPr>
              <w:jc w:val="center"/>
              <w:ind w:left="1310"/>
              <w:spacing w:after="0"/>
              <w:rPr>
                <w:sz w:val="20"/>
                <w:szCs w:val="20"/>
                <w:color w:val="auto"/>
              </w:rPr>
            </w:pPr>
            <w:r>
              <w:rPr>
                <w:rFonts w:ascii="Arial" w:cs="Arial" w:eastAsia="Arial" w:hAnsi="Arial"/>
                <w:sz w:val="18"/>
                <w:szCs w:val="18"/>
                <w:b w:val="1"/>
                <w:bCs w:val="1"/>
                <w:color w:val="auto"/>
                <w:w w:val="92"/>
              </w:rPr>
              <w:t>Reconciliation of GAAP to Non-GAAP Preliminary Financial Measures (Subject to Finalization)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4360" w:type="dxa"/>
            <w:vAlign w:val="bottom"/>
            <w:gridSpan w:val="2"/>
          </w:tcPr>
          <w:p>
            <w:pPr>
              <w:jc w:val="center"/>
              <w:ind w:right="1630"/>
              <w:spacing w:after="0"/>
              <w:rPr>
                <w:sz w:val="20"/>
                <w:szCs w:val="20"/>
                <w:color w:val="auto"/>
              </w:rPr>
            </w:pPr>
            <w:r>
              <w:rPr>
                <w:rFonts w:ascii="Arial" w:cs="Arial" w:eastAsia="Arial" w:hAnsi="Arial"/>
                <w:sz w:val="18"/>
                <w:szCs w:val="18"/>
                <w:i w:val="1"/>
                <w:iCs w:val="1"/>
                <w:color w:val="auto"/>
                <w:w w:val="94"/>
              </w:rPr>
              <w:t>(Unaudited; $ in millions)</w:t>
            </w:r>
          </w:p>
        </w:tc>
        <w:tc>
          <w:tcPr>
            <w:tcW w:w="2580" w:type="dxa"/>
            <w:vAlign w:val="bottom"/>
            <w:gridSpan w:val="7"/>
            <w:vMerge w:val="restart"/>
          </w:tcPr>
          <w:p>
            <w:pPr>
              <w:jc w:val="right"/>
              <w:ind w:right="760"/>
              <w:spacing w:after="0"/>
              <w:rPr>
                <w:sz w:val="20"/>
                <w:szCs w:val="20"/>
                <w:color w:val="auto"/>
              </w:rPr>
            </w:pPr>
            <w:r>
              <w:rPr>
                <w:rFonts w:ascii="Arial" w:cs="Arial" w:eastAsia="Arial" w:hAnsi="Arial"/>
                <w:sz w:val="18"/>
                <w:szCs w:val="18"/>
                <w:b w:val="1"/>
                <w:bCs w:val="1"/>
                <w:color w:val="auto"/>
              </w:rPr>
              <w:t>Preliminary Range</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601"/>
              <w:spacing w:after="0"/>
              <w:rPr>
                <w:sz w:val="20"/>
                <w:szCs w:val="20"/>
                <w:color w:val="auto"/>
              </w:rPr>
            </w:pPr>
            <w:r>
              <w:rPr>
                <w:rFonts w:ascii="Arial" w:cs="Arial" w:eastAsia="Arial" w:hAnsi="Arial"/>
                <w:sz w:val="18"/>
                <w:szCs w:val="18"/>
                <w:b w:val="1"/>
                <w:bCs w:val="1"/>
                <w:color w:val="auto"/>
              </w:rPr>
              <w:t>Low</w:t>
            </w: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Weatherford</w:t>
            </w:r>
          </w:p>
        </w:tc>
        <w:tc>
          <w:tcPr>
            <w:tcW w:w="4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4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Adjustments:</w:t>
            </w:r>
          </w:p>
        </w:tc>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Write-Downs and Other</w:t>
            </w:r>
          </w:p>
        </w:tc>
        <w:tc>
          <w:tcPr>
            <w:tcW w:w="4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Reorganization Items</w:t>
            </w: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Non-Operating Expenses</w:t>
            </w:r>
          </w:p>
        </w:tc>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Adjusted EBITDA - Non-GAAP</w:t>
            </w:r>
          </w:p>
        </w:tc>
        <w:tc>
          <w:tcPr>
            <w:tcW w:w="40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Cash Flow from Operations - GAAP</w:t>
            </w:r>
          </w:p>
        </w:tc>
        <w:tc>
          <w:tcPr>
            <w:tcW w:w="4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5</w:t>
            </w:r>
          </w:p>
        </w:tc>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4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b w:val="1"/>
                <w:bCs w:val="1"/>
                <w:color w:val="auto"/>
              </w:rPr>
              <w:t>Free Cash Flow - Non-GAAP</w:t>
            </w:r>
          </w:p>
        </w:tc>
        <w:tc>
          <w:tcPr>
            <w:tcW w:w="406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this release, the Company has included certain preliminary estimates of its results of operations for its fiscal quarter ended March 31, 2020 (the “First Quarter 2020”). The preliminary estimates are based on the Company’s internal management accounts and reporting as of and for the First Quarter 2020 based on currently available information. The preliminary results of operations are subject to revision as the Company prepares its financial statements and disclosures in connection with the future filing of its Form 10-Q for the First Quarter 2020. Such revisions may be significant, including as a result of completing the assessment as to whether there was any impairment of goodwill, intangibles, property, plant and equipment, inventory and accounts receivable in the First Quarter 2020. In connection with its quarterly closing and review process for the fiscal quarter, the Company may identify items requiring adjustments to the preliminary results of operations included herein. Accordingly, the final results and other disclosures for the First Quarter 2020 may differ materially from this preliminary data. This preliminary financial data should not be viewed as a substitute for the Company’s financial statements prepared in accordance with U.S. GAAP. The Company’s condensed consolidated financial statements for the First Quarter 2020 will not be available until the filing of its Form 10-Q for the First Quarter 2020 on or about May 11,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Weatherford is the leading wellbore and production solutions company. Operating in more than 80 countries, the Company answers the challenges of the energy industry with its global talent network of 24,000 team members and 610 locations, which include service, research and development, training, and manufacturing facilities. Visit www.weatherford.com/ for more information or connect on LinkedIn, Facebook, Twitter, Instagram, or YouTube.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concerning, among other things, the impact of the COVID-19 pandemic and the Company’s response to COVID-19, the Company’s liquidity and financial covenants and plans to evaluate the Company’s capital structure and future listing options. These forward-looking statements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the Company’s forward-looking statements. Investors are also cautioned that forward-looking statements are only predictions and may differ materially from actual future events or results, including as a result of changes in the macroeconomic outlook for the oil and gas industry, realization of additional cost savings and operational efficiencies, the impact of impairment tests on the carrying value of the Company’s assets, the Company’s preparedness for and response to the COVID-19 pandemic and the impact of logistical issues and business interruptions associated with COVID-19 on the Company and its customers and suppliers. Forward-looking statements are also affected by the risk factors described in the Company's Annual Report on Form 10-K for the year ended December 31, 2019, and those set forth from time-to-time in the Company's other filings with the SEC. Additionally, many of these risks and uncertainties are currently amplified by and will continue to be amplified by, or in the future may be amplified by, the COVID-19 pandemic. We undertake no obligation to correct or update any forward-looking statement, whether as a result of new information, future events, or otherwise, except to the extent required under federal securities laws.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Sebastian Pellizzer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decimal"/>
      <w:start w:val="2"/>
    </w:lvl>
  </w:abstractNum>
  <w:abstractNum w:abstractNumId="5">
    <w:nsid w:val="180115BE"/>
    <w:multiLevelType w:val="hybridMultilevel"/>
    <w:lvl w:ilvl="0">
      <w:lvlJc w:val="left"/>
      <w:lvlText w:val="(%1)"/>
      <w:numFmt w:val="lowerLetter"/>
      <w:start w:val="1"/>
    </w:lvl>
  </w:abstractNum>
  <w:abstractNum w:abstractNumId="6">
    <w:nsid w:val="235BA861"/>
    <w:multiLevelType w:val="hybridMultilevel"/>
    <w:lvl w:ilvl="0">
      <w:lvlJc w:val="left"/>
      <w:lvlText w:val="(%1)"/>
      <w:numFmt w:val="lowerLetter"/>
      <w:start w:val="1"/>
    </w:lvl>
  </w:abstractNum>
  <w:abstractNum w:abstractNumId="7">
    <w:nsid w:val="47398C89"/>
    <w:multiLevelType w:val="hybridMultilevel"/>
    <w:lvl w:ilvl="0">
      <w:lvlJc w:val="left"/>
      <w:lvlText w:val="(%1)"/>
      <w:numFmt w:val="lowerRoman"/>
      <w:start w:val="1"/>
    </w:lvl>
  </w:abstractNum>
  <w:abstractNum w:abstractNumId="8">
    <w:nsid w:val="354FE9F9"/>
    <w:multiLevelType w:val="hybridMultilevel"/>
    <w:lvl w:ilvl="0">
      <w:lvlJc w:val="left"/>
      <w:lvlText w:val="(%1)"/>
      <w:numFmt w:val="lowerLetter"/>
      <w:start w:val="4"/>
    </w:lvl>
  </w:abstractNum>
  <w:abstractNum w:abstractNumId="9">
    <w:nsid w:val="15B5AF5C"/>
    <w:multiLevelType w:val="hybridMultilevel"/>
    <w:lvl w:ilvl="0">
      <w:lvlJc w:val="left"/>
      <w:lvlText w:val="(%1)"/>
      <w:numFmt w:val="lowerRoman"/>
      <w:start w:val="1"/>
    </w:lvl>
  </w:abstractNum>
  <w:abstractNum w:abstractNumId="10">
    <w:nsid w:val="741226BB"/>
    <w:multiLevelType w:val="hybridMultilevel"/>
    <w:lvl w:ilvl="0">
      <w:lvlJc w:val="left"/>
      <w:lvlText w:val="(%1)"/>
      <w:numFmt w:val="lowerRoman"/>
      <w:start w:val="3"/>
    </w:lvl>
  </w:abstractNum>
  <w:abstractNum w:abstractNumId="11">
    <w:nsid w:val="D34B6A8"/>
    <w:multiLevelType w:val="hybridMultilevel"/>
    <w:lvl w:ilvl="0">
      <w:lvlJc w:val="left"/>
      <w:lvlText w:val="(%1)"/>
      <w:numFmt w:val="lowerLetter"/>
      <w:start w:val="11"/>
    </w:lvl>
  </w:abstractNum>
  <w:abstractNum w:abstractNumId="12">
    <w:nsid w:val="10233C99"/>
    <w:multiLevelType w:val="hybridMultilevel"/>
    <w:lvl w:ilvl="0">
      <w:lvlJc w:val="left"/>
      <w:lvlText w:val="(%1)"/>
      <w:numFmt w:val="lowerLetter"/>
      <w:start w:val="18"/>
    </w:lvl>
  </w:abstractNum>
  <w:abstractNum w:abstractNumId="13">
    <w:nsid w:val="3F6AB60F"/>
    <w:multiLevelType w:val="hybridMultilevel"/>
    <w:lvl w:ilvl="0">
      <w:lvlJc w:val="left"/>
      <w:lvlText w:val="(%1)"/>
      <w:numFmt w:val="lowerLetter"/>
      <w:start w:val="25"/>
    </w:lvl>
  </w:abstractNum>
  <w:abstractNum w:abstractNumId="14">
    <w:nsid w:val="61574095"/>
    <w:multiLevelType w:val="hybridMultilevel"/>
    <w:lvl w:ilvl="0">
      <w:lvlJc w:val="left"/>
      <w:lvlText w:val="(%1)"/>
      <w:numFmt w:val="lowerLetter"/>
      <w:start w:val="27"/>
    </w:lvl>
  </w:abstractNum>
  <w:abstractNum w:abstractNumId="15">
    <w:nsid w:val="7E0C57B1"/>
    <w:multiLevelType w:val="hybridMultilevel"/>
    <w:lvl w:ilvl="0">
      <w:lvlJc w:val="left"/>
      <w:lvlText w:val="%1"/>
      <w:numFmt w:val="lowerRoman"/>
      <w:start w:val="1"/>
    </w:lvl>
    <w:lvl w:ilvl="1">
      <w:lvlJc w:val="left"/>
      <w:lvlText w:val="(%2)"/>
      <w:numFmt w:val="lowerLetter"/>
      <w:start w:val="29"/>
    </w:lvl>
  </w:abstractNum>
  <w:abstractNum w:abstractNumId="16">
    <w:nsid w:val="77AE35EB"/>
    <w:multiLevelType w:val="hybridMultilevel"/>
    <w:lvl w:ilvl="0">
      <w:lvlJc w:val="left"/>
      <w:lvlText w:val="(%1)"/>
      <w:numFmt w:val="lowerRoman"/>
      <w:start w:val="9"/>
    </w:lvl>
    <w:lvl w:ilvl="1">
      <w:lvlJc w:val="left"/>
      <w:lvlText w:val="(%2)"/>
      <w:numFmt w:val="lowerLetter"/>
      <w:start w:val="33"/>
    </w:lvl>
  </w:abstractNum>
  <w:abstractNum w:abstractNumId="17">
    <w:nsid w:val="579BE4F1"/>
    <w:multiLevelType w:val="hybridMultilevel"/>
    <w:lvl w:ilvl="0">
      <w:lvlJc w:val="left"/>
      <w:lvlText w:val="(%1)"/>
      <w:numFmt w:val="lowerLetter"/>
      <w:start w:val="34"/>
    </w:lvl>
  </w:abstractNum>
  <w:abstractNum w:abstractNumId="18">
    <w:nsid w:val="310C50B3"/>
    <w:multiLevelType w:val="hybridMultilevel"/>
    <w:lvl w:ilvl="0">
      <w:lvlJc w:val="left"/>
      <w:lvlText w:val="%1"/>
      <w:numFmt w:val="decimal"/>
      <w:start w:val="1"/>
    </w:lvl>
    <w:lvl w:ilvl="1">
      <w:lvlJc w:val="left"/>
      <w:lvlText w:val="(%2)"/>
      <w:numFmt w:val="lowerLetter"/>
      <w:start w:val="46"/>
    </w:lvl>
  </w:abstractNum>
  <w:abstractNum w:abstractNumId="19">
    <w:nsid w:val="5FF87E05"/>
    <w:multiLevelType w:val="hybridMultilevel"/>
    <w:lvl w:ilvl="0">
      <w:lvlJc w:val="left"/>
      <w:lvlText w:val="%1."/>
      <w:numFmt w:val="decimal"/>
      <w:start w:val="3"/>
    </w:lvl>
    <w:lvl w:ilvl="1">
      <w:lvlJc w:val="left"/>
      <w:lvlText w:val="(%2)"/>
      <w:numFmt w:val="lowerLetter"/>
      <w:start w:val="1"/>
    </w:lvl>
  </w:abstractNum>
  <w:abstractNum w:abstractNumId="20">
    <w:nsid w:val="2F305DEF"/>
    <w:multiLevelType w:val="hybridMultilevel"/>
    <w:lvl w:ilvl="0">
      <w:lvlJc w:val="left"/>
      <w:lvlText w:val="(%1)"/>
      <w:numFmt w:val="lowerLetter"/>
      <w:start w:val="2"/>
    </w:lvl>
  </w:abstractNum>
  <w:abstractNum w:abstractNumId="21">
    <w:nsid w:val="25A70BF7"/>
    <w:multiLevelType w:val="hybridMultilevel"/>
    <w:lvl w:ilvl="0">
      <w:lvlJc w:val="left"/>
      <w:lvlText w:val="(%1)"/>
      <w:numFmt w:val="lowerLetter"/>
      <w:start w:val="3"/>
    </w:lvl>
  </w:abstractNum>
  <w:abstractNum w:abstractNumId="22">
    <w:nsid w:val="1DBABF00"/>
    <w:multiLevelType w:val="hybridMultilevel"/>
    <w:lvl w:ilvl="0">
      <w:lvlJc w:val="left"/>
      <w:lvlText w:val="(%1)"/>
      <w:numFmt w:val="lowerLetter"/>
      <w:start w:val="4"/>
    </w:lvl>
  </w:abstractNum>
  <w:abstractNum w:abstractNumId="23">
    <w:nsid w:val="4AD084E9"/>
    <w:multiLevelType w:val="hybridMultilevel"/>
    <w:lvl w:ilvl="0">
      <w:lvlJc w:val="left"/>
      <w:lvlText w:val="%1."/>
      <w:numFmt w:val="decimal"/>
      <w:start w:val="4"/>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2"/>
    </w:lvl>
  </w:abstractNum>
  <w:abstractNum w:abstractNumId="26">
    <w:nsid w:val="5DB70AE5"/>
    <w:multiLevelType w:val="hybridMultilevel"/>
    <w:lvl w:ilvl="0">
      <w:lvlJc w:val="left"/>
      <w:lvlText w:val="(%1)"/>
      <w:numFmt w:val="lowerRoman"/>
      <w:start w:val="1"/>
    </w:lvl>
  </w:abstractNum>
  <w:abstractNum w:abstractNumId="27">
    <w:nsid w:val="100F8FCA"/>
    <w:multiLevelType w:val="hybridMultilevel"/>
    <w:lvl w:ilvl="0">
      <w:lvlJc w:val="left"/>
      <w:lvlText w:val="(%1)"/>
      <w:numFmt w:val="lowerRoman"/>
      <w:start w:val="2"/>
    </w:lvl>
  </w:abstractNum>
  <w:abstractNum w:abstractNumId="28">
    <w:nsid w:val="6590700B"/>
    <w:multiLevelType w:val="hybridMultilevel"/>
    <w:lvl w:ilvl="0">
      <w:lvlJc w:val="left"/>
      <w:lvlText w:val="(%1)"/>
      <w:numFmt w:val="lowerLetter"/>
      <w:start w:val="3"/>
    </w:lvl>
  </w:abstractNum>
  <w:abstractNum w:abstractNumId="29">
    <w:nsid w:val="15014ACB"/>
    <w:multiLevelType w:val="hybridMultilevel"/>
    <w:lvl w:ilvl="0">
      <w:lvlJc w:val="left"/>
      <w:lvlText w:val="(%1)"/>
      <w:numFmt w:val="lowerLetter"/>
      <w:start w:val="4"/>
    </w:lvl>
  </w:abstractNum>
  <w:abstractNum w:abstractNumId="30">
    <w:nsid w:val="5F5E7FD0"/>
    <w:multiLevelType w:val="hybridMultilevel"/>
    <w:lvl w:ilvl="0">
      <w:lvlJc w:val="left"/>
      <w:lvlText w:val="(%1)"/>
      <w:numFmt w:val="lowerLetter"/>
      <w:start w:val="5"/>
    </w:lvl>
  </w:abstractNum>
  <w:abstractNum w:abstractNumId="31">
    <w:nsid w:val="98A3148"/>
    <w:multiLevelType w:val="hybridMultilevel"/>
    <w:lvl w:ilvl="0">
      <w:lvlJc w:val="left"/>
      <w:lvlText w:val="%1."/>
      <w:numFmt w:val="decimal"/>
      <w:start w:val="5"/>
    </w:lvl>
    <w:lvl w:ilvl="1">
      <w:lvlJc w:val="left"/>
      <w:lvlText w:val="(%2)"/>
      <w:numFmt w:val="lowerLetter"/>
      <w:start w:val="1"/>
    </w:lvl>
  </w:abstractNum>
  <w:abstractNum w:abstractNumId="32">
    <w:nsid w:val="799D0247"/>
    <w:multiLevelType w:val="hybridMultilevel"/>
    <w:lvl w:ilvl="0">
      <w:lvlJc w:val="left"/>
      <w:lvlText w:val="(%1)"/>
      <w:numFmt w:val="lowerLetter"/>
      <w:start w:val="2"/>
    </w:lvl>
  </w:abstractNum>
  <w:abstractNum w:abstractNumId="33">
    <w:nsid w:val="6B94764"/>
    <w:multiLevelType w:val="hybridMultilevel"/>
    <w:lvl w:ilvl="0">
      <w:lvlJc w:val="left"/>
      <w:lvlText w:val="(%1)"/>
      <w:numFmt w:val="lowerLetter"/>
      <w:start w:val="3"/>
    </w:lvl>
  </w:abstractNum>
  <w:abstractNum w:abstractNumId="34">
    <w:nsid w:val="42C296BD"/>
    <w:multiLevelType w:val="hybridMultilevel"/>
    <w:lvl w:ilvl="0">
      <w:lvlJc w:val="left"/>
      <w:lvlText w:val="(%1)"/>
      <w:numFmt w:val="lowerLetter"/>
      <w:start w:val="4"/>
    </w:lvl>
  </w:abstractNum>
  <w:abstractNum w:abstractNumId="35">
    <w:nsid w:val="168E121F"/>
    <w:multiLevelType w:val="hybridMultilevel"/>
    <w:lvl w:ilvl="0">
      <w:lvlJc w:val="left"/>
      <w:lvlText w:val="(%1)"/>
      <w:numFmt w:val="lowerLetter"/>
      <w:start w:val="5"/>
    </w:lvl>
  </w:abstractNum>
  <w:abstractNum w:abstractNumId="36">
    <w:nsid w:val="1EBA5D23"/>
    <w:multiLevelType w:val="hybridMultilevel"/>
    <w:lvl w:ilvl="0">
      <w:lvlJc w:val="left"/>
      <w:lvlText w:val="%1."/>
      <w:numFmt w:val="decimal"/>
      <w:start w:val="6"/>
    </w:lvl>
  </w:abstractNum>
  <w:abstractNum w:abstractNumId="37">
    <w:nsid w:val="661E3F1E"/>
    <w:multiLevelType w:val="hybridMultilevel"/>
    <w:lvl w:ilvl="0">
      <w:lvlJc w:val="left"/>
      <w:lvlText w:val="(%1)"/>
      <w:numFmt w:val="lowerLetter"/>
      <w:start w:val="1"/>
    </w:lvl>
  </w:abstractNum>
  <w:abstractNum w:abstractNumId="38">
    <w:nsid w:val="5DC79EA8"/>
    <w:multiLevelType w:val="hybridMultilevel"/>
    <w:lvl w:ilvl="0">
      <w:lvlJc w:val="left"/>
      <w:lvlText w:val="(%1)"/>
      <w:numFmt w:val="lowerLetter"/>
      <w:start w:val="2"/>
    </w:lvl>
  </w:abstractNum>
  <w:abstractNum w:abstractNumId="39">
    <w:nsid w:val="540A471C"/>
    <w:multiLevelType w:val="hybridMultilevel"/>
    <w:lvl w:ilvl="0">
      <w:lvlJc w:val="left"/>
      <w:lvlText w:val="(%1)"/>
      <w:numFmt w:val="lowerLetter"/>
      <w:start w:val="3"/>
    </w:lvl>
  </w:abstractNum>
  <w:abstractNum w:abstractNumId="40">
    <w:nsid w:val="7BD3EE7B"/>
    <w:multiLevelType w:val="hybridMultilevel"/>
    <w:lvl w:ilvl="0">
      <w:lvlJc w:val="left"/>
      <w:lvlText w:val="(%1)"/>
      <w:numFmt w:val="lowerLetter"/>
      <w:start w:val="4"/>
    </w:lvl>
  </w:abstractNum>
  <w:abstractNum w:abstractNumId="41">
    <w:nsid w:val="51D9C564"/>
    <w:multiLevelType w:val="hybridMultilevel"/>
    <w:lvl w:ilvl="0">
      <w:lvlJc w:val="left"/>
      <w:lvlText w:val="(%1)"/>
      <w:numFmt w:val="lowerLetter"/>
      <w:start w:val="5"/>
    </w:lvl>
  </w:abstractNum>
  <w:abstractNum w:abstractNumId="42">
    <w:nsid w:val="613EFDC5"/>
    <w:multiLevelType w:val="hybridMultilevel"/>
    <w:lvl w:ilvl="0">
      <w:lvlJc w:val="left"/>
      <w:lvlText w:val="(%1)"/>
      <w:numFmt w:val="lowerLetter"/>
      <w:start w:val="6"/>
    </w:lvl>
  </w:abstractNum>
  <w:abstractNum w:abstractNumId="43">
    <w:nsid w:val="BF72B14"/>
    <w:multiLevelType w:val="hybridMultilevel"/>
    <w:lvl w:ilvl="0">
      <w:lvlJc w:val="left"/>
      <w:lvlText w:val="%1."/>
      <w:numFmt w:val="decimal"/>
      <w:start w:val="7"/>
    </w:lvl>
    <w:lvl w:ilvl="1">
      <w:lvlJc w:val="left"/>
      <w:lvlText w:val="(%2)"/>
      <w:numFmt w:val="lowerLetter"/>
      <w:start w:val="1"/>
    </w:lvl>
  </w:abstractNum>
  <w:abstractNum w:abstractNumId="44">
    <w:nsid w:val="11447B73"/>
    <w:multiLevelType w:val="hybridMultilevel"/>
    <w:lvl w:ilvl="0">
      <w:lvlJc w:val="left"/>
      <w:lvlText w:val="(%1)"/>
      <w:numFmt w:val="lowerLetter"/>
      <w:start w:val="2"/>
    </w:lvl>
  </w:abstractNum>
  <w:abstractNum w:abstractNumId="45">
    <w:nsid w:val="42963E5A"/>
    <w:multiLevelType w:val="hybridMultilevel"/>
    <w:lvl w:ilvl="0">
      <w:lvlJc w:val="left"/>
      <w:lvlText w:val="(%1)"/>
      <w:numFmt w:val="lowerLetter"/>
      <w:start w:val="3"/>
    </w:lvl>
  </w:abstractNum>
  <w:abstractNum w:abstractNumId="46">
    <w:nsid w:val="A0382C5"/>
    <w:multiLevelType w:val="hybridMultilevel"/>
    <w:lvl w:ilvl="0">
      <w:lvlJc w:val="left"/>
      <w:lvlText w:val="(%1)"/>
      <w:numFmt w:val="lowerLetter"/>
      <w:start w:val="4"/>
    </w:lvl>
  </w:abstractNum>
  <w:abstractNum w:abstractNumId="47">
    <w:nsid w:val="8F2B15E"/>
    <w:multiLevelType w:val="hybridMultilevel"/>
    <w:lvl w:ilvl="0">
      <w:lvlJc w:val="left"/>
      <w:lvlText w:val="(%1)"/>
      <w:numFmt w:val="upperLetter"/>
      <w:start w:val="1"/>
    </w:lvl>
    <w:lvl w:ilvl="1">
      <w:lvlJc w:val="left"/>
      <w:lvlText w:val="(%2)"/>
      <w:numFmt w:val="lowerLetter"/>
      <w:start w:val="5"/>
    </w:lvl>
  </w:abstractNum>
  <w:abstractNum w:abstractNumId="48">
    <w:nsid w:val="1A32234B"/>
    <w:multiLevelType w:val="hybridMultilevel"/>
    <w:lvl w:ilvl="0">
      <w:lvlJc w:val="left"/>
      <w:lvlText w:val="(%1)"/>
      <w:numFmt w:val="lowerLetter"/>
      <w:start w:val="6"/>
    </w:lvl>
  </w:abstractNum>
  <w:abstractNum w:abstractNumId="49">
    <w:nsid w:val="3B0FD379"/>
    <w:multiLevelType w:val="hybridMultilevel"/>
    <w:lvl w:ilvl="0">
      <w:lvlJc w:val="left"/>
      <w:lvlText w:val="%1."/>
      <w:numFmt w:val="decimal"/>
      <w:start w:val="8"/>
    </w:lvl>
    <w:lvl w:ilvl="1">
      <w:lvlJc w:val="left"/>
      <w:lvlText w:val="(%2)"/>
      <w:numFmt w:val="lowerLetter"/>
      <w:start w:val="1"/>
    </w:lvl>
  </w:abstractNum>
  <w:abstractNum w:abstractNumId="50">
    <w:nsid w:val="68EB2F63"/>
    <w:multiLevelType w:val="hybridMultilevel"/>
    <w:lvl w:ilvl="0">
      <w:lvlJc w:val="left"/>
      <w:lvlText w:val="(%1)"/>
      <w:numFmt w:val="lowerLetter"/>
      <w:start w:val="2"/>
    </w:lvl>
  </w:abstractNum>
  <w:abstractNum w:abstractNumId="51">
    <w:nsid w:val="4962813B"/>
    <w:multiLevelType w:val="hybridMultilevel"/>
    <w:lvl w:ilvl="0">
      <w:lvlJc w:val="left"/>
      <w:lvlText w:val="(%1)"/>
      <w:numFmt w:val="lowerLetter"/>
      <w:start w:val="3"/>
    </w:lvl>
  </w:abstractNum>
  <w:abstractNum w:abstractNumId="52">
    <w:nsid w:val="60B6DF70"/>
    <w:multiLevelType w:val="hybridMultilevel"/>
    <w:lvl w:ilvl="0">
      <w:lvlJc w:val="left"/>
      <w:lvlText w:val="%1."/>
      <w:numFmt w:val="decimal"/>
      <w:start w:val="9"/>
    </w:lvl>
    <w:lvl w:ilvl="1">
      <w:lvlJc w:val="left"/>
      <w:lvlText w:val="(%2)"/>
      <w:numFmt w:val="lowerLetter"/>
      <w:start w:val="1"/>
    </w:lvl>
  </w:abstractNum>
  <w:abstractNum w:abstractNumId="53">
    <w:nsid w:val="6A5EE64"/>
    <w:multiLevelType w:val="hybridMultilevel"/>
    <w:lvl w:ilvl="0">
      <w:lvlJc w:val="left"/>
      <w:lvlText w:val="(%1)"/>
      <w:numFmt w:val="lowerLetter"/>
      <w:start w:val="2"/>
    </w:lvl>
  </w:abstractNum>
  <w:abstractNum w:abstractNumId="54">
    <w:nsid w:val="14330624"/>
    <w:multiLevelType w:val="hybridMultilevel"/>
    <w:lvl w:ilvl="0">
      <w:lvlJc w:val="left"/>
      <w:lvlText w:val="(%1)"/>
      <w:numFmt w:val="lowerLetter"/>
      <w:start w:val="3"/>
    </w:lvl>
  </w:abstractNum>
  <w:abstractNum w:abstractNumId="55">
    <w:nsid w:val="7FFFCA11"/>
    <w:multiLevelType w:val="hybridMultilevel"/>
    <w:lvl w:ilvl="0">
      <w:lvlJc w:val="left"/>
      <w:lvlText w:val="(%1)"/>
      <w:numFmt w:val="lowerLetter"/>
      <w:start w:val="4"/>
    </w:lvl>
  </w:abstractNum>
  <w:abstractNum w:abstractNumId="56">
    <w:nsid w:val="1A27709E"/>
    <w:multiLevelType w:val="hybridMultilevel"/>
    <w:lvl w:ilvl="0">
      <w:lvlJc w:val="left"/>
      <w:lvlText w:val="%1."/>
      <w:numFmt w:val="decimal"/>
      <w:start w:val="10"/>
    </w:lvl>
  </w:abstractNum>
  <w:abstractNum w:abstractNumId="57">
    <w:nsid w:val="71EA1109"/>
    <w:multiLevelType w:val="hybridMultilevel"/>
    <w:lvl w:ilvl="0">
      <w:lvlJc w:val="left"/>
      <w:lvlText w:val="(%1)"/>
      <w:numFmt w:val="lowerLetter"/>
      <w:start w:val="1"/>
    </w:lvl>
  </w:abstractNum>
  <w:abstractNum w:abstractNumId="58">
    <w:nsid w:val="100F59DC"/>
    <w:multiLevelType w:val="hybridMultilevel"/>
    <w:lvl w:ilvl="0">
      <w:lvlJc w:val="left"/>
      <w:lvlText w:val="(%1)"/>
      <w:numFmt w:val="lowerLetter"/>
      <w:start w:val="2"/>
    </w:lvl>
  </w:abstractNum>
  <w:abstractNum w:abstractNumId="59">
    <w:nsid w:val="7FB7E0AA"/>
    <w:multiLevelType w:val="hybridMultilevel"/>
    <w:lvl w:ilvl="0">
      <w:lvlJc w:val="left"/>
      <w:lvlText w:val="(%1)"/>
      <w:numFmt w:val="lowerRoman"/>
      <w:start w:val="1"/>
    </w:lvl>
  </w:abstractNum>
  <w:abstractNum w:abstractNumId="60">
    <w:nsid w:val="6EB5BD4"/>
    <w:multiLevelType w:val="hybridMultilevel"/>
    <w:lvl w:ilvl="0">
      <w:lvlJc w:val="left"/>
      <w:lvlText w:val="(%1)"/>
      <w:numFmt w:val="lowerLetter"/>
      <w:start w:val="3"/>
    </w:lvl>
  </w:abstractNum>
  <w:abstractNum w:abstractNumId="61">
    <w:nsid w:val="6F6DD9AC"/>
    <w:multiLevelType w:val="hybridMultilevel"/>
    <w:lvl w:ilvl="0">
      <w:lvlJc w:val="left"/>
      <w:lvlText w:val="(%1)"/>
      <w:numFmt w:val="lowerLetter"/>
      <w:start w:val="4"/>
    </w:lvl>
  </w:abstractNum>
  <w:abstractNum w:abstractNumId="62">
    <w:nsid w:val="94211F2"/>
    <w:multiLevelType w:val="hybridMultilevel"/>
    <w:lvl w:ilvl="0">
      <w:lvlJc w:val="left"/>
      <w:lvlText w:val="(%1)"/>
      <w:numFmt w:val="lowerLetter"/>
      <w:start w:val="5"/>
    </w:lvl>
  </w:abstractNum>
  <w:abstractNum w:abstractNumId="63">
    <w:nsid w:val="885E1B"/>
    <w:multiLevelType w:val="hybridMultilevel"/>
    <w:lvl w:ilvl="0">
      <w:lvlJc w:val="left"/>
      <w:lvlText w:val="(%1)"/>
      <w:numFmt w:val="lowerLetter"/>
      <w:start w:val="6"/>
    </w:lvl>
  </w:abstractNum>
  <w:abstractNum w:abstractNumId="64">
    <w:nsid w:val="76272110"/>
    <w:multiLevelType w:val="hybridMultilevel"/>
    <w:lvl w:ilvl="0">
      <w:lvlJc w:val="left"/>
      <w:lvlText w:val="(%1)"/>
      <w:numFmt w:val="lowerLetter"/>
      <w:start w:val="7"/>
    </w:lvl>
  </w:abstractNum>
  <w:abstractNum w:abstractNumId="65">
    <w:nsid w:val="4C04A8AF"/>
    <w:multiLevelType w:val="hybridMultilevel"/>
    <w:lvl w:ilvl="0">
      <w:lvlJc w:val="left"/>
      <w:lvlText w:val="%1."/>
      <w:numFmt w:val="decimal"/>
      <w:start w:val="11"/>
    </w:lvl>
    <w:lvl w:ilvl="1">
      <w:lvlJc w:val="left"/>
      <w:lvlText w:val="(%2)"/>
      <w:numFmt w:val="lowerLetter"/>
      <w:start w:val="1"/>
    </w:lvl>
  </w:abstractNum>
  <w:abstractNum w:abstractNumId="66">
    <w:nsid w:val="1716703B"/>
    <w:multiLevelType w:val="hybridMultilevel"/>
    <w:lvl w:ilvl="0">
      <w:lvlJc w:val="left"/>
      <w:lvlText w:val="(%1)"/>
      <w:numFmt w:val="lowerLetter"/>
      <w:start w:val="2"/>
    </w:lvl>
  </w:abstractNum>
  <w:abstractNum w:abstractNumId="67">
    <w:nsid w:val="14E17E33"/>
    <w:multiLevelType w:val="hybridMultilevel"/>
    <w:lvl w:ilvl="0">
      <w:lvlJc w:val="left"/>
      <w:lvlText w:val="(%1)"/>
      <w:numFmt w:val="lowerRoman"/>
      <w:start w:val="1"/>
    </w:lvl>
  </w:abstractNum>
  <w:abstractNum w:abstractNumId="68">
    <w:nsid w:val="3222E7CD"/>
    <w:multiLevelType w:val="hybridMultilevel"/>
    <w:lvl w:ilvl="0">
      <w:lvlJc w:val="left"/>
      <w:lvlText w:val="(%1)"/>
      <w:numFmt w:val="lowerLetter"/>
      <w:start w:val="3"/>
    </w:lvl>
  </w:abstractNum>
  <w:abstractNum w:abstractNumId="69">
    <w:nsid w:val="74DE0EE3"/>
    <w:multiLevelType w:val="hybridMultilevel"/>
    <w:lvl w:ilvl="0">
      <w:lvlJc w:val="left"/>
      <w:lvlText w:val="(%1)"/>
      <w:numFmt w:val="lowerLetter"/>
      <w:start w:val="4"/>
    </w:lvl>
  </w:abstractNum>
  <w:abstractNum w:abstractNumId="70">
    <w:nsid w:val="68EBC550"/>
    <w:multiLevelType w:val="hybridMultilevel"/>
    <w:lvl w:ilvl="0">
      <w:lvlJc w:val="left"/>
      <w:lvlText w:val="(%1)"/>
      <w:numFmt w:val="lowerLetter"/>
      <w:start w:val="5"/>
    </w:lvl>
  </w:abstractNum>
  <w:abstractNum w:abstractNumId="71">
    <w:nsid w:val="2DF6D648"/>
    <w:multiLevelType w:val="hybridMultilevel"/>
    <w:lvl w:ilvl="0">
      <w:lvlJc w:val="left"/>
      <w:lvlText w:val="%1."/>
      <w:numFmt w:val="decimal"/>
      <w:start w:val="12"/>
    </w:lvl>
  </w:abstractNum>
  <w:abstractNum w:abstractNumId="72">
    <w:nsid w:val="46B7D447"/>
    <w:multiLevelType w:val="hybridMultilevel"/>
    <w:lvl w:ilvl="0">
      <w:lvlJc w:val="left"/>
      <w:lvlText w:val="%1."/>
      <w:numFmt w:val="decimal"/>
      <w:start w:val="13"/>
    </w:lvl>
  </w:abstractNum>
  <w:abstractNum w:abstractNumId="73">
    <w:nsid w:val="4A2AC315"/>
    <w:multiLevelType w:val="hybridMultilevel"/>
    <w:lvl w:ilvl="0">
      <w:lvlJc w:val="left"/>
      <w:lvlText w:val="%1."/>
      <w:numFmt w:val="decimal"/>
      <w:start w:val="14"/>
    </w:lvl>
    <w:lvl w:ilvl="1">
      <w:lvlJc w:val="left"/>
      <w:lvlText w:val="(%2)"/>
      <w:numFmt w:val="lowerLetter"/>
      <w:start w:val="1"/>
    </w:lvl>
  </w:abstractNum>
  <w:abstractNum w:abstractNumId="74">
    <w:nsid w:val="39EE015C"/>
    <w:multiLevelType w:val="hybridMultilevel"/>
    <w:lvl w:ilvl="0">
      <w:lvlJc w:val="left"/>
      <w:lvlText w:val="(%1)"/>
      <w:numFmt w:val="lowerLetter"/>
      <w:start w:val="2"/>
    </w:lvl>
  </w:abstractNum>
  <w:abstractNum w:abstractNumId="75">
    <w:nsid w:val="57FC4FBB"/>
    <w:multiLevelType w:val="hybridMultilevel"/>
    <w:lvl w:ilvl="0">
      <w:lvlJc w:val="left"/>
      <w:lvlText w:val="(%1)"/>
      <w:numFmt w:val="lowerLetter"/>
      <w:start w:val="3"/>
    </w:lvl>
  </w:abstractNum>
  <w:abstractNum w:abstractNumId="76">
    <w:nsid w:val="CC1016F"/>
    <w:multiLevelType w:val="hybridMultilevel"/>
    <w:lvl w:ilvl="0">
      <w:lvlJc w:val="left"/>
      <w:lvlText w:val="%1."/>
      <w:numFmt w:val="decimal"/>
      <w:start w:val="15"/>
    </w:lvl>
  </w:abstractNum>
  <w:abstractNum w:abstractNumId="77">
    <w:nsid w:val="43F18422"/>
    <w:multiLevelType w:val="hybridMultilevel"/>
    <w:lvl w:ilvl="0">
      <w:lvlJc w:val="left"/>
      <w:lvlText w:val="%1."/>
      <w:numFmt w:val="decimal"/>
      <w:start w:val="16"/>
    </w:lvl>
  </w:abstractNum>
  <w:abstractNum w:abstractNumId="78">
    <w:nsid w:val="60EF0119"/>
    <w:multiLevelType w:val="hybridMultilevel"/>
    <w:lvl w:ilvl="0">
      <w:lvlJc w:val="left"/>
      <w:lvlText w:val="%1."/>
      <w:numFmt w:val="decimal"/>
      <w:start w:val="17"/>
    </w:lvl>
  </w:abstractNum>
  <w:abstractNum w:abstractNumId="79">
    <w:nsid w:val="26F324BA"/>
    <w:multiLevelType w:val="hybridMultilevel"/>
    <w:lvl w:ilvl="0">
      <w:lvlJc w:val="left"/>
      <w:lvlText w:val="%1."/>
      <w:numFmt w:val="decimal"/>
      <w:start w:val="18"/>
    </w:lvl>
  </w:abstractNum>
  <w:abstractNum w:abstractNumId="80">
    <w:nsid w:val="7F01579B"/>
    <w:multiLevelType w:val="hybridMultilevel"/>
    <w:lvl w:ilvl="0">
      <w:lvlJc w:val="left"/>
      <w:lvlText w:val="%1."/>
      <w:numFmt w:val="decimal"/>
      <w:start w:val="19"/>
    </w:lvl>
  </w:abstractNum>
  <w:abstractNum w:abstractNumId="81">
    <w:nsid w:val="49DA307D"/>
    <w:multiLevelType w:val="hybridMultilevel"/>
    <w:lvl w:ilvl="0">
      <w:lvlJc w:val="left"/>
      <w:lvlText w:val="(%1)"/>
      <w:numFmt w:val="lowerRoman"/>
      <w:start w:val="2"/>
    </w:lvl>
  </w:abstractNum>
  <w:abstractNum w:abstractNumId="82">
    <w:nsid w:val="7055A5F5"/>
    <w:multiLevelType w:val="hybridMultilevel"/>
    <w:lvl w:ilvl="0">
      <w:lvlJc w:val="left"/>
      <w:lvlText w:val="%1."/>
      <w:numFmt w:val="decimal"/>
      <w:start w:val="20"/>
    </w:lvl>
  </w:abstractNum>
  <w:abstractNum w:abstractNumId="83">
    <w:nsid w:val="5FB8370B"/>
    <w:multiLevelType w:val="hybridMultilevel"/>
    <w:lvl w:ilvl="0">
      <w:lvlJc w:val="left"/>
      <w:lvlText w:val="%1."/>
      <w:numFmt w:val="decimal"/>
      <w:start w:val="21"/>
    </w:lvl>
  </w:abstractNum>
  <w:abstractNum w:abstractNumId="84">
    <w:nsid w:val="50801EE1"/>
    <w:multiLevelType w:val="hybridMultilevel"/>
    <w:lvl w:ilvl="0">
      <w:lvlJc w:val="left"/>
      <w:lvlText w:val="(%1)"/>
      <w:numFmt w:val="lowerRoman"/>
      <w:start w:val="2"/>
    </w:lvl>
  </w:abstractNum>
  <w:abstractNum w:abstractNumId="85">
    <w:nsid w:val="488AC1A"/>
    <w:multiLevelType w:val="hybridMultilevel"/>
    <w:lvl w:ilvl="0">
      <w:lvlJc w:val="left"/>
      <w:lvlText w:val="%1."/>
      <w:numFmt w:val="decimal"/>
      <w:start w:val="22"/>
    </w:lvl>
  </w:abstractNum>
  <w:abstractNum w:abstractNumId="86">
    <w:nsid w:val="5FB8011C"/>
    <w:multiLevelType w:val="hybridMultilevel"/>
    <w:lvl w:ilvl="0">
      <w:lvlJc w:val="left"/>
      <w:lvlText w:val="%1."/>
      <w:numFmt w:val="decimal"/>
      <w:start w:val="23"/>
    </w:lvl>
  </w:abstractNum>
  <w:abstractNum w:abstractNumId="87">
    <w:nsid w:val="6AA78F7F"/>
    <w:multiLevelType w:val="hybridMultilevel"/>
    <w:lvl w:ilvl="0">
      <w:lvlJc w:val="left"/>
      <w:lvlText w:val="%1."/>
      <w:numFmt w:val="decimal"/>
      <w:start w:val="24"/>
    </w:lvl>
  </w:abstractNum>
  <w:abstractNum w:abstractNumId="88">
    <w:nsid w:val="7672BD23"/>
    <w:multiLevelType w:val="hybridMultilevel"/>
    <w:lvl w:ilvl="0">
      <w:lvlJc w:val="left"/>
      <w:lvlText w:val="%1."/>
      <w:numFmt w:val="decimal"/>
      <w:start w:val="25"/>
    </w:lvl>
  </w:abstractNum>
  <w:abstractNum w:abstractNumId="89">
    <w:nsid w:val="6FC75AF8"/>
    <w:multiLevelType w:val="hybridMultilevel"/>
    <w:lvl w:ilvl="0">
      <w:lvlJc w:val="left"/>
      <w:lvlText w:val="%1."/>
      <w:numFmt w:val="decimal"/>
      <w:start w:val="26"/>
    </w:lvl>
  </w:abstractNum>
  <w:abstractNum w:abstractNumId="90">
    <w:nsid w:val="6A5F7029"/>
    <w:multiLevelType w:val="hybridMultilevel"/>
    <w:lvl w:ilvl="0">
      <w:lvlJc w:val="left"/>
      <w:lvlText w:val="%1."/>
      <w:numFmt w:val="decimal"/>
      <w:start w:val="27"/>
    </w:lvl>
  </w:abstractNum>
  <w:abstractNum w:abstractNumId="91">
    <w:nsid w:val="7D5E18F8"/>
    <w:multiLevelType w:val="hybridMultilevel"/>
    <w:lvl w:ilvl="0">
      <w:lvlJc w:val="left"/>
      <w:lvlText w:val="(%1)"/>
      <w:numFmt w:val="lowerRoman"/>
      <w:start w:val="1"/>
    </w:lvl>
  </w:abstractNum>
  <w:abstractNum w:abstractNumId="92">
    <w:nsid w:val="5F3534A4"/>
    <w:multiLevelType w:val="hybridMultilevel"/>
    <w:lvl w:ilvl="0">
      <w:lvlJc w:val="left"/>
      <w:lvlText w:val="(%1)"/>
      <w:numFmt w:val="lowerRoman"/>
      <w:start w:val="4"/>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2"/>
    </w:lvl>
  </w:abstractNum>
  <w:abstractNum w:abstractNumId="97">
    <w:nsid w:val="14FCE74E"/>
    <w:multiLevelType w:val="hybridMultilevel"/>
    <w:lvl w:ilvl="0">
      <w:lvlJc w:val="left"/>
      <w:lvlText w:val="1"/>
      <w:numFmt w:val="bullet"/>
      <w:start w:val="1"/>
    </w:lvl>
  </w:abstractNum>
  <w:abstractNum w:abstractNumId="98">
    <w:nsid w:val="6A3DD3E8"/>
    <w:multiLevelType w:val="hybridMultilevel"/>
    <w:lvl w:ilvl="0">
      <w:lvlJc w:val="left"/>
      <w:lvlText w:val="%1."/>
      <w:numFmt w:val="decimal"/>
      <w:start w:val="2"/>
    </w:lvl>
  </w:abstractNum>
  <w:abstractNum w:abstractNumId="99">
    <w:nsid w:val="71C91298"/>
    <w:multiLevelType w:val="hybridMultilevel"/>
    <w:lvl w:ilvl="0">
      <w:lvlJc w:val="left"/>
      <w:lvlText w:val="%1"/>
      <w:numFmt w:val="upperLetter"/>
      <w:start w:val="1"/>
    </w:lvl>
    <w:lvl w:ilvl="1">
      <w:lvlJc w:val="left"/>
      <w:lvlText w:val="(%2)"/>
      <w:numFmt w:val="lowerLetter"/>
      <w:start w:val="1"/>
    </w:lvl>
  </w:abstractNum>
  <w:abstractNum w:abstractNumId="100">
    <w:nsid w:val="9DAF632"/>
    <w:multiLevelType w:val="hybridMultilevel"/>
    <w:lvl w:ilvl="0">
      <w:lvlJc w:val="left"/>
      <w:lvlText w:val="(%1)"/>
      <w:numFmt w:val="upperLetter"/>
      <w:start w:val="1"/>
    </w:lvl>
    <w:lvl w:ilvl="1">
      <w:lvlJc w:val="left"/>
      <w:lvlText w:val="%2"/>
      <w:numFmt w:val="lowerLetter"/>
      <w:start w:val="1"/>
    </w:lvl>
  </w:abstractNum>
  <w:abstractNum w:abstractNumId="101">
    <w:nsid w:val="53299938"/>
    <w:multiLevelType w:val="hybridMultilevel"/>
    <w:lvl w:ilvl="0">
      <w:lvlJc w:val="left"/>
      <w:lvlText w:val="%1."/>
      <w:numFmt w:val="decimal"/>
      <w:start w:val="3"/>
    </w:lvl>
    <w:lvl w:ilvl="1">
      <w:lvlJc w:val="left"/>
      <w:lvlText w:val="(%2)"/>
      <w:numFmt w:val="lowerLetter"/>
      <w:start w:val="1"/>
    </w:lvl>
  </w:abstractNum>
  <w:abstractNum w:abstractNumId="102">
    <w:nsid w:val="1FBFE8E0"/>
    <w:multiLevelType w:val="hybridMultilevel"/>
    <w:lvl w:ilvl="0">
      <w:lvlJc w:val="left"/>
      <w:lvlText w:val="%1"/>
      <w:numFmt w:val="decimal"/>
      <w:start w:val="1"/>
    </w:lvl>
    <w:lvl w:ilvl="1">
      <w:lvlJc w:val="left"/>
      <w:lvlText w:val="(%2)"/>
      <w:numFmt w:val="lowerLetter"/>
      <w:start w:val="2"/>
    </w:lvl>
  </w:abstractNum>
  <w:abstractNum w:abstractNumId="103">
    <w:nsid w:val="5092CA79"/>
    <w:multiLevelType w:val="hybridMultilevel"/>
    <w:lvl w:ilvl="0">
      <w:lvlJc w:val="left"/>
      <w:lvlText w:val="%1."/>
      <w:numFmt w:val="decimal"/>
      <w:start w:val="6"/>
    </w:lvl>
    <w:lvl w:ilvl="1">
      <w:lvlJc w:val="left"/>
      <w:lvlText w:val="%2"/>
      <w:numFmt w:val="lowerLetter"/>
      <w:start w:val="1"/>
    </w:lvl>
  </w:abstractNum>
  <w:abstractNum w:abstractNumId="104">
    <w:nsid w:val="1D545C4D"/>
    <w:multiLevelType w:val="hybridMultilevel"/>
    <w:lvl w:ilvl="0">
      <w:lvlJc w:val="left"/>
      <w:lvlText w:val="%1."/>
      <w:numFmt w:val="decimal"/>
      <w:start w:val="8"/>
    </w:lvl>
  </w:abstractNum>
  <w:abstractNum w:abstractNumId="105">
    <w:nsid w:val="59ADEA3D"/>
    <w:multiLevelType w:val="hybridMultilevel"/>
    <w:lvl w:ilvl="0">
      <w:lvlJc w:val="left"/>
      <w:lvlText w:val="%1."/>
      <w:numFmt w:val="decimal"/>
      <w:start w:val="16"/>
    </w:lvl>
  </w:abstractNum>
  <w:abstractNum w:abstractNumId="106">
    <w:nsid w:val="288F1A34"/>
    <w:multiLevelType w:val="hybridMultilevel"/>
    <w:lvl w:ilvl="0">
      <w:lvlJc w:val="left"/>
      <w:lvlText w:val="%1."/>
      <w:numFmt w:val="decimal"/>
      <w:start w:val="22"/>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2020-04-15T05:56:13Z</dcterms:created>
  <dcterms:modified xsi:type="dcterms:W3CDTF">2020-04-15T05:56:13Z</dcterms:modified>
</cp:coreProperties>
</file>