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0" w:lineRule="exact"/>
        <w:rPr>
          <w:sz w:val="24"/>
          <w:szCs w:val="24"/>
          <w:color w:val="auto"/>
        </w:rPr>
      </w:pPr>
    </w:p>
    <w:p>
      <w:pPr>
        <w:ind w:left="40"/>
        <w:spacing w:after="0"/>
        <w:tabs>
          <w:tab w:leader="none" w:pos="496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27"/>
          <w:szCs w:val="27"/>
          <w:b w:val="1"/>
          <w:bCs w:val="1"/>
          <w:color w:val="auto"/>
        </w:rPr>
        <w:t>Form 10-Q</w:t>
      </w:r>
    </w:p>
    <w:p>
      <w:pPr>
        <w:spacing w:after="0" w:line="230" w:lineRule="exact"/>
        <w:rPr>
          <w:sz w:val="24"/>
          <w:szCs w:val="24"/>
          <w:color w:val="auto"/>
        </w:rPr>
      </w:pPr>
    </w:p>
    <w:p>
      <w:pPr>
        <w:ind w:left="380" w:right="1880" w:hanging="345"/>
        <w:spacing w:after="0" w:line="315"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2017</w:t>
      </w:r>
    </w:p>
    <w:p>
      <w:pPr>
        <w:spacing w:after="0" w:line="1" w:lineRule="exact"/>
        <w:rPr>
          <w:sz w:val="24"/>
          <w:szCs w:val="24"/>
          <w:color w:val="auto"/>
        </w:rPr>
      </w:pPr>
    </w:p>
    <w:p>
      <w:pPr>
        <w:jc w:val="center"/>
        <w:ind w:left="500"/>
        <w:spacing w:after="0"/>
        <w:rPr>
          <w:sz w:val="20"/>
          <w:szCs w:val="20"/>
          <w:color w:val="auto"/>
        </w:rPr>
      </w:pPr>
      <w:r>
        <w:rPr>
          <w:rFonts w:ascii="Arial" w:cs="Arial" w:eastAsia="Arial" w:hAnsi="Arial"/>
          <w:sz w:val="18"/>
          <w:szCs w:val="18"/>
          <w:color w:val="auto"/>
        </w:rPr>
        <w:t>or</w:t>
      </w:r>
    </w:p>
    <w:p>
      <w:pPr>
        <w:spacing w:after="0" w:line="59" w:lineRule="exact"/>
        <w:rPr>
          <w:sz w:val="24"/>
          <w:szCs w:val="24"/>
          <w:color w:val="auto"/>
        </w:rPr>
      </w:pPr>
    </w:p>
    <w:p>
      <w:pPr>
        <w:ind w:left="380" w:right="1880" w:hanging="345"/>
        <w:spacing w:after="0" w:line="334" w:lineRule="auto"/>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__________________________________to __________________________________</w:t>
      </w:r>
    </w:p>
    <w:p>
      <w:pPr>
        <w:jc w:val="center"/>
        <w:ind w:right="-19"/>
        <w:spacing w:after="0"/>
        <w:rPr>
          <w:sz w:val="20"/>
          <w:szCs w:val="20"/>
          <w:color w:val="auto"/>
        </w:rPr>
      </w:pPr>
      <w:r>
        <w:rPr>
          <w:rFonts w:ascii="Arial" w:cs="Arial" w:eastAsia="Arial" w:hAnsi="Arial"/>
          <w:sz w:val="18"/>
          <w:szCs w:val="18"/>
          <w:color w:val="auto"/>
        </w:rPr>
        <w:t>Commission file number 001-36504</w:t>
      </w:r>
    </w:p>
    <w:p>
      <w:pPr>
        <w:spacing w:after="0" w:line="248"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(Exact Name of Registrant as Specified in Its Charter)</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8"/>
              </w:rPr>
              <w:t>Ireland</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89"/>
              </w:rPr>
              <w:t>98-0606750</w:t>
            </w:r>
          </w:p>
        </w:tc>
      </w:tr>
      <w:tr>
        <w:trPr>
          <w:trHeight w:val="27"/>
        </w:trPr>
        <w:tc>
          <w:tcPr>
            <w:tcW w:w="6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9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67"/>
        </w:trPr>
        <w:tc>
          <w:tcPr>
            <w:tcW w:w="6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Weststrasse 1, 6340 Baar, Switzerland</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2"/>
              </w:rPr>
              <w:t>CH 6340</w:t>
            </w:r>
          </w:p>
        </w:tc>
      </w:tr>
      <w:tr>
        <w:trPr>
          <w:trHeight w:val="27"/>
        </w:trPr>
        <w:tc>
          <w:tcPr>
            <w:tcW w:w="6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(Address of Principal Executive Offices including Zip Code)</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33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34290</wp:posOffset>
            </wp:positionV>
            <wp:extent cx="6500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049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0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5" w:lineRule="exact"/>
        <w:rPr>
          <w:sz w:val="24"/>
          <w:szCs w:val="24"/>
          <w:color w:val="auto"/>
        </w:rPr>
      </w:pPr>
    </w:p>
    <w:tbl>
      <w:tblPr>
        <w:tblLayout w:type="fixed"/>
        <w:tblInd w:w="16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Non-accelerated filer (Do</w:t>
            </w:r>
          </w:p>
        </w:tc>
        <w:tc>
          <w:tcPr>
            <w:tcW w:w="25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vMerge w:val="restart"/>
          </w:tcPr>
          <w:p>
            <w:pPr>
              <w:spacing w:after="0" w:line="207" w:lineRule="exact"/>
              <w:rPr>
                <w:sz w:val="20"/>
                <w:szCs w:val="20"/>
                <w:color w:val="auto"/>
              </w:rPr>
            </w:pPr>
            <w:r>
              <w:rPr>
                <w:rFonts w:ascii="Arial" w:cs="Arial" w:eastAsia="Arial" w:hAnsi="Arial"/>
                <w:sz w:val="18"/>
                <w:szCs w:val="18"/>
                <w:color w:val="auto"/>
                <w:w w:val="96"/>
              </w:rPr>
              <w:t xml:space="preserve">Large accelerated filer </w:t>
            </w:r>
            <w:r>
              <w:rPr>
                <w:rFonts w:ascii="MS PGothic" w:cs="MS PGothic" w:eastAsia="MS PGothic" w:hAnsi="MS PGothic"/>
                <w:sz w:val="18"/>
                <w:szCs w:val="18"/>
                <w:color w:val="auto"/>
                <w:w w:val="96"/>
              </w:rPr>
              <w:t>☑</w:t>
            </w:r>
          </w:p>
        </w:tc>
        <w:tc>
          <w:tcPr>
            <w:tcW w:w="16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not check if a smaller</w:t>
            </w:r>
          </w:p>
        </w:tc>
        <w:tc>
          <w:tcPr>
            <w:tcW w:w="25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60" w:type="dxa"/>
            <w:vAlign w:val="bottom"/>
            <w:vMerge w:val="continue"/>
          </w:tcPr>
          <w:p>
            <w:pPr>
              <w:spacing w:after="0"/>
              <w:rPr>
                <w:sz w:val="21"/>
                <w:szCs w:val="21"/>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rPr>
              <w:t>Accelerated filer o</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reporting company) o</w:t>
            </w:r>
          </w:p>
        </w:tc>
        <w:tc>
          <w:tcPr>
            <w:tcW w:w="2540" w:type="dxa"/>
            <w:vAlign w:val="bottom"/>
          </w:tcPr>
          <w:p>
            <w:pPr>
              <w:ind w:left="200"/>
              <w:spacing w:after="0"/>
              <w:rPr>
                <w:sz w:val="20"/>
                <w:szCs w:val="20"/>
                <w:color w:val="auto"/>
              </w:rPr>
            </w:pPr>
            <w:r>
              <w:rPr>
                <w:rFonts w:ascii="Arial" w:cs="Arial" w:eastAsia="Arial" w:hAnsi="Arial"/>
                <w:sz w:val="18"/>
                <w:szCs w:val="18"/>
                <w:color w:val="auto"/>
              </w:rPr>
              <w:t>Smaller reporting company o</w:t>
            </w:r>
          </w:p>
        </w:tc>
        <w:tc>
          <w:tcPr>
            <w:tcW w:w="2340" w:type="dxa"/>
            <w:vAlign w:val="bottom"/>
          </w:tcPr>
          <w:p>
            <w:pPr>
              <w:ind w:left="240"/>
              <w:spacing w:after="0"/>
              <w:rPr>
                <w:sz w:val="20"/>
                <w:szCs w:val="20"/>
                <w:color w:val="auto"/>
              </w:rPr>
            </w:pPr>
            <w:r>
              <w:rPr>
                <w:rFonts w:ascii="Arial" w:cs="Arial" w:eastAsia="Arial" w:hAnsi="Arial"/>
                <w:sz w:val="18"/>
                <w:szCs w:val="18"/>
                <w:color w:val="auto"/>
                <w:w w:val="90"/>
              </w:rPr>
              <w:t>Emerging growth company o</w:t>
            </w:r>
          </w:p>
        </w:tc>
        <w:tc>
          <w:tcPr>
            <w:tcW w:w="0" w:type="dxa"/>
            <w:vAlign w:val="bottom"/>
          </w:tcPr>
          <w:p>
            <w:pPr>
              <w:spacing w:after="0"/>
              <w:rPr>
                <w:sz w:val="1"/>
                <w:szCs w:val="1"/>
                <w:color w:val="auto"/>
              </w:rPr>
            </w:pPr>
          </w:p>
        </w:tc>
      </w:tr>
    </w:tbl>
    <w:p>
      <w:pPr>
        <w:spacing w:after="0" w:line="101"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23, 2017, there were 992,527,349 shares of Weatherford ordinary shares, $0.001 par value per share, outstanding.</w:t>
      </w:r>
    </w:p>
    <w:p>
      <w:pPr>
        <w:sectPr>
          <w:pgSz w:w="11900" w:h="16838" w:orient="portrait"/>
          <w:cols w:equalWidth="0" w:num="1">
            <w:col w:w="11420"/>
          </w:cols>
          <w:pgMar w:left="240" w:top="1075" w:right="239" w:bottom="1440" w:gutter="0" w:footer="0" w:header="0"/>
        </w:sectPr>
      </w:pPr>
    </w:p>
    <w:bookmarkStart w:id="1" w:name="page2"/>
    <w:bookmarkEnd w:id="1"/>
    <w:p>
      <w:pPr>
        <w:jc w:val="center"/>
        <w:ind w:left="340"/>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Form 10-Q for the Third Quarter and Nine Months Ended September 30, 2017</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4"/>
          </w:tcPr>
          <w:p>
            <w:pPr>
              <w:ind w:left="92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gridSpan w:val="5"/>
          </w:tcPr>
          <w:p>
            <w:pPr>
              <w:ind w:left="17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2. Management's Discussion and Analysis of Financial Condition and Results of Operations.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3. Quantitative and Qualitative Disclosures About Market Risk.</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4. Controls and Procedures.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 – OTHER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1. Legal Proceedings.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1A. Risk Factors.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2. Unregistered Sales of Equity Securities and Use of Proceeds.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48</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Item 3.</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Defaults Upon Senior Securities.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48</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Item 4.</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r>
              <w:rPr>
                <w:rFonts w:ascii="Arial" w:cs="Arial" w:eastAsia="Arial" w:hAnsi="Arial"/>
                <w:sz w:val="18"/>
                <w:szCs w:val="18"/>
                <w:color w:val="000000"/>
              </w:rPr>
              <w:t>.</w:t>
            </w:r>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48</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Item 5.</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48</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6.</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49</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50</w:t>
              </w:r>
            </w:hyperlink>
          </w:p>
        </w:tc>
        <w:tc>
          <w:tcPr>
            <w:tcW w:w="540" w:type="dxa"/>
            <w:vAlign w:val="bottom"/>
            <w:shd w:val="clear" w:color="auto" w:fill="CCEEFF"/>
          </w:tcPr>
          <w:p>
            <w:pPr>
              <w:spacing w:after="0"/>
              <w:rPr>
                <w:sz w:val="21"/>
                <w:szCs w:val="21"/>
                <w:color w:val="auto"/>
              </w:rPr>
            </w:pPr>
          </w:p>
        </w:tc>
      </w:tr>
      <w:tr>
        <w:trPr>
          <w:trHeight w:val="783"/>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940" w:type="dxa"/>
            <w:vAlign w:val="bottom"/>
            <w:tcBorders>
              <w:top w:val="single" w:sz="8" w:color="CCEEFF"/>
            </w:tcBorders>
            <w:gridSpan w:val="13"/>
          </w:tcPr>
          <w:p>
            <w:pPr>
              <w:jc w:val="right"/>
              <w:ind w:right="1160"/>
              <w:spacing w:after="0"/>
              <w:rPr>
                <w:sz w:val="20"/>
                <w:szCs w:val="20"/>
                <w:color w:val="auto"/>
              </w:rPr>
            </w:pPr>
            <w:r>
              <w:rPr>
                <w:rFonts w:ascii="Arial" w:cs="Arial" w:eastAsia="Arial" w:hAnsi="Arial"/>
                <w:sz w:val="18"/>
                <w:szCs w:val="18"/>
                <w:color w:val="auto"/>
              </w:rPr>
              <w:t>1</w:t>
            </w: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418" w:right="259" w:bottom="1440" w:gutter="0" w:footer="0" w:header="0"/>
        </w:sectPr>
      </w:pPr>
    </w:p>
    <w:bookmarkStart w:id="2" w:name="page3"/>
    <w:bookmarkEnd w:id="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Financial Statements.</w:t>
      </w:r>
    </w:p>
    <w:p>
      <w:pPr>
        <w:spacing w:after="0" w:line="38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520" w:type="dxa"/>
            <w:vAlign w:val="bottom"/>
            <w:gridSpan w:val="7"/>
          </w:tcPr>
          <w:p>
            <w:pPr>
              <w:ind w:left="20"/>
              <w:spacing w:after="0"/>
              <w:rPr>
                <w:sz w:val="20"/>
                <w:szCs w:val="20"/>
                <w:color w:val="auto"/>
              </w:rPr>
            </w:pPr>
            <w:r>
              <w:rPr>
                <w:rFonts w:ascii="Arial" w:cs="Arial" w:eastAsia="Arial" w:hAnsi="Arial"/>
                <w:sz w:val="17"/>
                <w:szCs w:val="17"/>
                <w:b w:val="1"/>
                <w:bCs w:val="1"/>
                <w:color w:val="auto"/>
                <w:w w:val="95"/>
              </w:rPr>
              <w:t>Three Months Ended September</w:t>
            </w:r>
          </w:p>
        </w:tc>
        <w:tc>
          <w:tcPr>
            <w:tcW w:w="2380" w:type="dxa"/>
            <w:vAlign w:val="bottom"/>
            <w:gridSpan w:val="6"/>
          </w:tcPr>
          <w:p>
            <w:pPr>
              <w:jc w:val="right"/>
              <w:spacing w:after="0"/>
              <w:rPr>
                <w:sz w:val="20"/>
                <w:szCs w:val="20"/>
                <w:color w:val="auto"/>
              </w:rPr>
            </w:pPr>
            <w:r>
              <w:rPr>
                <w:rFonts w:ascii="Arial" w:cs="Arial" w:eastAsia="Arial" w:hAnsi="Arial"/>
                <w:sz w:val="17"/>
                <w:szCs w:val="17"/>
                <w:b w:val="1"/>
                <w:bCs w:val="1"/>
                <w:color w:val="auto"/>
                <w:w w:val="93"/>
              </w:rPr>
              <w:t>Nine Months Ended September</w:t>
            </w:r>
          </w:p>
        </w:tc>
        <w:tc>
          <w:tcPr>
            <w:tcW w:w="0" w:type="dxa"/>
            <w:vAlign w:val="bottom"/>
          </w:tcPr>
          <w:p>
            <w:pPr>
              <w:spacing w:after="0"/>
              <w:rPr>
                <w:sz w:val="1"/>
                <w:szCs w:val="1"/>
                <w:color w:val="auto"/>
              </w:rPr>
            </w:pPr>
          </w:p>
        </w:tc>
      </w:tr>
      <w:tr>
        <w:trPr>
          <w:trHeight w:val="222"/>
        </w:trPr>
        <w:tc>
          <w:tcPr>
            <w:tcW w:w="6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3"/>
          </w:tcPr>
          <w:p>
            <w:pPr>
              <w:jc w:val="right"/>
              <w:ind w:right="135"/>
              <w:spacing w:after="0"/>
              <w:rPr>
                <w:sz w:val="20"/>
                <w:szCs w:val="20"/>
                <w:color w:val="auto"/>
              </w:rPr>
            </w:pPr>
            <w:r>
              <w:rPr>
                <w:rFonts w:ascii="Arial" w:cs="Arial" w:eastAsia="Arial" w:hAnsi="Arial"/>
                <w:sz w:val="17"/>
                <w:szCs w:val="17"/>
                <w:b w:val="1"/>
                <w:bCs w:val="1"/>
                <w:color w:val="auto"/>
                <w:w w:val="75"/>
              </w:rPr>
              <w:t>30,</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gridSpan w:val="3"/>
          </w:tcPr>
          <w:p>
            <w:pPr>
              <w:jc w:val="right"/>
              <w:ind w:right="95"/>
              <w:spacing w:after="0"/>
              <w:rPr>
                <w:sz w:val="20"/>
                <w:szCs w:val="20"/>
                <w:color w:val="auto"/>
              </w:rPr>
            </w:pPr>
            <w:r>
              <w:rPr>
                <w:rFonts w:ascii="Arial" w:cs="Arial" w:eastAsia="Arial" w:hAnsi="Arial"/>
                <w:sz w:val="17"/>
                <w:szCs w:val="17"/>
                <w:b w:val="1"/>
                <w:bCs w:val="1"/>
                <w:color w:val="auto"/>
                <w:w w:val="84"/>
              </w:rPr>
              <w:t>30,</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652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75"/>
              <w:spacing w:after="0"/>
              <w:rPr>
                <w:sz w:val="20"/>
                <w:szCs w:val="20"/>
                <w:color w:val="auto"/>
              </w:rPr>
            </w:pPr>
            <w:r>
              <w:rPr>
                <w:rFonts w:ascii="Arial" w:cs="Arial" w:eastAsia="Arial" w:hAnsi="Arial"/>
                <w:sz w:val="17"/>
                <w:szCs w:val="17"/>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5"/>
              <w:spacing w:after="0"/>
              <w:rPr>
                <w:sz w:val="20"/>
                <w:szCs w:val="20"/>
                <w:color w:val="auto"/>
              </w:rPr>
            </w:pPr>
            <w:r>
              <w:rPr>
                <w:rFonts w:ascii="Arial" w:cs="Arial" w:eastAsia="Arial" w:hAnsi="Arial"/>
                <w:sz w:val="17"/>
                <w:szCs w:val="17"/>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2016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Products</w:t>
            </w:r>
          </w:p>
        </w:tc>
        <w:tc>
          <w:tcPr>
            <w:tcW w:w="26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535</w:t>
            </w:r>
          </w:p>
        </w:tc>
        <w:tc>
          <w:tcPr>
            <w:tcW w:w="420" w:type="dxa"/>
            <w:vAlign w:val="bottom"/>
            <w:gridSpan w:val="3"/>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485</w:t>
            </w:r>
          </w:p>
        </w:tc>
        <w:tc>
          <w:tcPr>
            <w:tcW w:w="100" w:type="dxa"/>
            <w:vAlign w:val="bottom"/>
          </w:tcPr>
          <w:p>
            <w:pPr>
              <w:spacing w:after="0"/>
              <w:rPr>
                <w:sz w:val="20"/>
                <w:szCs w:val="20"/>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1,534</w:t>
            </w:r>
          </w:p>
        </w:tc>
        <w:tc>
          <w:tcPr>
            <w:tcW w:w="400" w:type="dxa"/>
            <w:vAlign w:val="bottom"/>
            <w:gridSpan w:val="3"/>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1,524</w:t>
            </w: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Services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2,675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2,819</w:t>
            </w:r>
          </w:p>
        </w:tc>
        <w:tc>
          <w:tcPr>
            <w:tcW w:w="0" w:type="dxa"/>
            <w:vAlign w:val="bottom"/>
          </w:tcPr>
          <w:p>
            <w:pPr>
              <w:spacing w:after="0"/>
              <w:rPr>
                <w:sz w:val="1"/>
                <w:szCs w:val="1"/>
                <w:color w:val="auto"/>
              </w:rPr>
            </w:pPr>
          </w:p>
        </w:tc>
      </w:tr>
      <w:tr>
        <w:trPr>
          <w:trHeight w:val="219"/>
        </w:trPr>
        <w:tc>
          <w:tcPr>
            <w:tcW w:w="6520" w:type="dxa"/>
            <w:vAlign w:val="bottom"/>
          </w:tcPr>
          <w:p>
            <w:pPr>
              <w:ind w:left="40"/>
              <w:spacing w:after="0"/>
              <w:rPr>
                <w:sz w:val="20"/>
                <w:szCs w:val="20"/>
                <w:color w:val="auto"/>
              </w:rPr>
            </w:pPr>
            <w:r>
              <w:rPr>
                <w:rFonts w:ascii="Arial" w:cs="Arial" w:eastAsia="Arial" w:hAnsi="Arial"/>
                <w:sz w:val="17"/>
                <w:szCs w:val="17"/>
                <w:color w:val="auto"/>
              </w:rPr>
              <w:t>Total Revenues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1,460</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1,356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4,209</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4,343</w:t>
            </w: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b w:val="1"/>
                <w:bCs w:val="1"/>
                <w:color w:val="auto"/>
              </w:rPr>
              <w:t>Costs and Expenses: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Products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1,603</w:t>
            </w: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Cost of Services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722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2,151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2,339</w:t>
            </w: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Selling, General and Administrative Attributable to Segments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237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676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736</w:t>
            </w: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Corporate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Long-lived Asset Impairments, Write-Downs and Other Charges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740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952</w:t>
            </w: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Litigation Charges, Net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31"/>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1,524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4,596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6,195</w:t>
            </w:r>
          </w:p>
        </w:tc>
        <w:tc>
          <w:tcPr>
            <w:tcW w:w="0" w:type="dxa"/>
            <w:vAlign w:val="bottom"/>
          </w:tcPr>
          <w:p>
            <w:pPr>
              <w:spacing w:after="0"/>
              <w:rPr>
                <w:sz w:val="1"/>
                <w:szCs w:val="1"/>
                <w:color w:val="auto"/>
              </w:rPr>
            </w:pPr>
          </w:p>
        </w:tc>
      </w:tr>
      <w:tr>
        <w:trPr>
          <w:trHeight w:val="318"/>
        </w:trPr>
        <w:tc>
          <w:tcPr>
            <w:tcW w:w="65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Loss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(1,852)</w:t>
            </w:r>
          </w:p>
        </w:tc>
        <w:tc>
          <w:tcPr>
            <w:tcW w:w="0" w:type="dxa"/>
            <w:vAlign w:val="bottom"/>
          </w:tcPr>
          <w:p>
            <w:pPr>
              <w:spacing w:after="0"/>
              <w:rPr>
                <w:sz w:val="1"/>
                <w:szCs w:val="1"/>
                <w:color w:val="auto"/>
              </w:rPr>
            </w:pPr>
          </w:p>
        </w:tc>
      </w:tr>
      <w:tr>
        <w:trPr>
          <w:trHeight w:val="32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Interest Expense, Net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(427)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(363)</w:t>
            </w: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Bond Tender Premium, Net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Warrant Fair Value Adjustment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Currency Devaluation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Other Expense, Net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31"/>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Loss Before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(784)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(2,340)</w:t>
            </w: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(489)</w:t>
            </w:r>
          </w:p>
        </w:tc>
        <w:tc>
          <w:tcPr>
            <w:tcW w:w="0" w:type="dxa"/>
            <w:vAlign w:val="bottom"/>
          </w:tcPr>
          <w:p>
            <w:pPr>
              <w:spacing w:after="0"/>
              <w:rPr>
                <w:sz w:val="1"/>
                <w:szCs w:val="1"/>
                <w:color w:val="auto"/>
              </w:rPr>
            </w:pPr>
          </w:p>
        </w:tc>
      </w:tr>
      <w:tr>
        <w:trPr>
          <w:trHeight w:val="219"/>
        </w:trPr>
        <w:tc>
          <w:tcPr>
            <w:tcW w:w="6520" w:type="dxa"/>
            <w:vAlign w:val="bottom"/>
          </w:tcPr>
          <w:p>
            <w:pPr>
              <w:ind w:left="40"/>
              <w:spacing w:after="0"/>
              <w:rPr>
                <w:sz w:val="20"/>
                <w:szCs w:val="20"/>
                <w:color w:val="auto"/>
              </w:rPr>
            </w:pPr>
            <w:r>
              <w:rPr>
                <w:rFonts w:ascii="Arial" w:cs="Arial" w:eastAsia="Arial" w:hAnsi="Arial"/>
                <w:sz w:val="17"/>
                <w:szCs w:val="17"/>
                <w:color w:val="auto"/>
              </w:rPr>
              <w:t>Net Loss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(251)</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(1,776)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(859)</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(2,829)</w:t>
            </w: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8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Net Loss Attributable to Weatherford</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(256)</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(1,780)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(875)</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(2,843)</w:t>
            </w:r>
          </w:p>
        </w:tc>
        <w:tc>
          <w:tcPr>
            <w:tcW w:w="0" w:type="dxa"/>
            <w:vAlign w:val="bottom"/>
          </w:tcPr>
          <w:p>
            <w:pPr>
              <w:spacing w:after="0"/>
              <w:rPr>
                <w:sz w:val="1"/>
                <w:szCs w:val="1"/>
                <w:color w:val="auto"/>
              </w:rPr>
            </w:pPr>
          </w:p>
        </w:tc>
      </w:tr>
      <w:tr>
        <w:trPr>
          <w:trHeight w:val="311"/>
        </w:trPr>
        <w:tc>
          <w:tcPr>
            <w:tcW w:w="6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Loss Per Share Attributable to Weatherford: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Basic &amp; Diluted</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(0.26)</w:t>
            </w:r>
          </w:p>
        </w:tc>
        <w:tc>
          <w:tcPr>
            <w:tcW w:w="42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(0.88)</w:t>
            </w:r>
          </w:p>
        </w:tc>
        <w:tc>
          <w:tcPr>
            <w:tcW w:w="40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32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Basic &amp; Diluted</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990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899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989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871</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49" w:right="239" w:bottom="1440" w:gutter="0" w:footer="0" w:header="0"/>
        </w:sectPr>
      </w:pP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49" w:right="239" w:bottom="1440" w:gutter="0" w:footer="0" w:header="0"/>
          <w:type w:val="continuous"/>
        </w:sectPr>
      </w:pPr>
    </w:p>
    <w:bookmarkStart w:id="3" w:name="page4"/>
    <w:bookmarkEnd w:id="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580" w:right="2380"/>
        <w:spacing w:after="0" w:line="266" w:lineRule="auto"/>
        <w:rPr>
          <w:sz w:val="20"/>
          <w:szCs w:val="20"/>
          <w:color w:val="auto"/>
        </w:rPr>
      </w:pPr>
      <w:r>
        <w:rPr>
          <w:rFonts w:ascii="Arial" w:cs="Arial" w:eastAsia="Arial" w:hAnsi="Arial"/>
          <w:sz w:val="18"/>
          <w:szCs w:val="18"/>
          <w:b w:val="1"/>
          <w:bCs w:val="1"/>
          <w:color w:val="auto"/>
        </w:rPr>
        <w:t>WEATHERFORD INTERNATIONAL PLC AND SUBSIDIARIES CONDENSED CONSOLIDATED STATEMENTS OF COMPREHENSIVE LOSS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12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r>
      <w:tr>
        <w:trPr>
          <w:trHeight w:val="32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Defined Benefit Pension Activity</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121</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Weatherford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61"/>
        </w:trPr>
        <w:tc>
          <w:tcPr>
            <w:tcW w:w="34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88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40" w:type="dxa"/>
            <w:vAlign w:val="bottom"/>
          </w:tcPr>
          <w:p>
            <w:pPr>
              <w:jc w:val="center"/>
              <w:ind w:left="18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824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and shares in millions, except par value)</w:t>
            </w:r>
          </w:p>
        </w:tc>
        <w:tc>
          <w:tcPr>
            <w:tcW w:w="240" w:type="dxa"/>
            <w:vAlign w:val="bottom"/>
          </w:tcPr>
          <w:p>
            <w:pPr>
              <w:spacing w:after="0"/>
              <w:rPr>
                <w:sz w:val="23"/>
                <w:szCs w:val="23"/>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Accounts Receivable, Net of Allowance for Uncollectible Accounts of $85 in 2017 and $129 in 2016</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Assets Held for Sale</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4,910</w:t>
            </w:r>
          </w:p>
        </w:tc>
      </w:tr>
      <w:tr>
        <w:trPr>
          <w:trHeight w:val="29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9"/>
              </w:rPr>
              <w:t>Property, Plant and Equipment, Net of Accumulated Depreciation of $7,633 in 2017 and $7,362 in 2016</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4,480</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2,797</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Accumulated Amortization of $860 in 2017 and $801 in 2016</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Equity Investments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97"/>
        </w:trPr>
        <w:tc>
          <w:tcPr>
            <w:tcW w:w="82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12,013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12,664</w:t>
            </w:r>
          </w:p>
        </w:tc>
      </w:tr>
      <w:tr>
        <w:trPr>
          <w:trHeight w:val="284"/>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845</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Liabilities Held for Sale</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2,428</w:t>
            </w:r>
          </w:p>
        </w:tc>
      </w:tr>
      <w:tr>
        <w:trPr>
          <w:trHeight w:val="29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7,403</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765</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10,596</w:t>
            </w:r>
          </w:p>
        </w:tc>
      </w:tr>
      <w:tr>
        <w:trPr>
          <w:trHeight w:val="291"/>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8240" w:type="dxa"/>
            <w:vAlign w:val="bottom"/>
            <w:gridSpan w:val="3"/>
          </w:tcPr>
          <w:p>
            <w:pPr>
              <w:ind w:left="40"/>
              <w:spacing w:after="0"/>
              <w:rPr>
                <w:sz w:val="20"/>
                <w:szCs w:val="20"/>
                <w:color w:val="auto"/>
              </w:rPr>
            </w:pPr>
            <w:r>
              <w:rPr>
                <w:rFonts w:ascii="Arial" w:cs="Arial" w:eastAsia="Arial" w:hAnsi="Arial"/>
                <w:sz w:val="18"/>
                <w:szCs w:val="18"/>
                <w:color w:val="auto"/>
                <w:w w:val="90"/>
              </w:rPr>
              <w:t>Shares - Par Value $0.001; Authorized 1,356 shares, Issued and Outstanding 992 shares at September 30, 2017</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and 983 shares at December 31, 2016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in Excess of Par Value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6,571</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Retained Deficit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(2,950)</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237"/>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Weatherford Shareholders’ Equity</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2,012</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37"/>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2,068</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12,664</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32" w:right="239" w:bottom="1440" w:gutter="0" w:footer="0" w:header="0"/>
        </w:sectPr>
      </w:pP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32" w:right="239" w:bottom="1440" w:gutter="0" w:footer="0" w:header="0"/>
          <w:type w:val="continuous"/>
        </w:sectPr>
      </w:pPr>
    </w:p>
    <w:bookmarkStart w:id="5" w:name="page6"/>
    <w:bookmarkEnd w:id="5"/>
    <w:p>
      <w:pPr>
        <w:spacing w:after="0" w:line="62" w:lineRule="exact"/>
        <w:rPr>
          <w:sz w:val="20"/>
          <w:szCs w:val="20"/>
          <w:color w:val="auto"/>
        </w:rPr>
      </w:pPr>
    </w:p>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w w:val="91"/>
              </w:rPr>
              <w:t>Nine Months Ended September</w:t>
            </w:r>
          </w:p>
        </w:tc>
      </w:tr>
      <w:tr>
        <w:trPr>
          <w:trHeight w:val="210"/>
        </w:trPr>
        <w:tc>
          <w:tcPr>
            <w:tcW w:w="9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0"/>
              </w:rPr>
              <w:t>30,</w:t>
            </w:r>
          </w:p>
        </w:tc>
        <w:tc>
          <w:tcPr>
            <w:tcW w:w="860" w:type="dxa"/>
            <w:vAlign w:val="bottom"/>
          </w:tcPr>
          <w:p>
            <w:pPr>
              <w:spacing w:after="0"/>
              <w:rPr>
                <w:sz w:val="18"/>
                <w:szCs w:val="18"/>
                <w:color w:val="auto"/>
              </w:rPr>
            </w:pPr>
          </w:p>
        </w:tc>
      </w:tr>
      <w:tr>
        <w:trPr>
          <w:trHeight w:val="33"/>
        </w:trPr>
        <w:tc>
          <w:tcPr>
            <w:tcW w:w="9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902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20" w:type="dxa"/>
            <w:vAlign w:val="bottom"/>
          </w:tcPr>
          <w:p>
            <w:pPr>
              <w:spacing w:after="0"/>
              <w:rPr>
                <w:sz w:val="20"/>
                <w:szCs w:val="20"/>
                <w:color w:val="auto"/>
              </w:rPr>
            </w:pPr>
          </w:p>
        </w:tc>
        <w:tc>
          <w:tcPr>
            <w:tcW w:w="10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r>
      <w:tr>
        <w:trPr>
          <w:trHeight w:val="33"/>
        </w:trPr>
        <w:tc>
          <w:tcPr>
            <w:tcW w:w="9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(859)</w:t>
            </w:r>
          </w:p>
        </w:tc>
        <w:tc>
          <w:tcPr>
            <w:tcW w:w="4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(2,829)</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741</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Share-Based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Long-Lived Asset Impairments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436</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and Other Asset Charges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Bad Debt Expense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72</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Inventory Charges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Defined Benefit Pension Plan Gains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Litigation Charges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Bond Tender Premium</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78</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Provision (Benefit)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Currency Devaluation Charges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 Fair Value Adjustment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80</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Operating Assets and Liabilities, Net of Effect of Businesses Acquired:</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185</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Accrued Litigation and Settlements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w:t>
            </w:r>
          </w:p>
        </w:tc>
      </w:tr>
      <w:tr>
        <w:trPr>
          <w:trHeight w:val="169"/>
        </w:trPr>
        <w:tc>
          <w:tcPr>
            <w:tcW w:w="90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Capital Expenditures for Property, Plant and Equipment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Assets Held for Sale</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Acquisitions of Businesses, Net of Cash Acquired</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Intellectual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Insurance Proceeds Related to Asset Casualty Loss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Assets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Payment Related to Sale of Businesses, Net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Investing Activities</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902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33"/>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9"/>
        </w:trPr>
        <w:tc>
          <w:tcPr>
            <w:tcW w:w="9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Borrowings of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3,153</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Repayments of Long-term Debt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(1,895)</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Borrowings (Repayments) of Short-term Debt, Net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(1,138)</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Proceeds from Issuance of Ordinary Common Shares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623</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Bond Tender Premium</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Payment for Leased Asset Purchase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Financing Activities</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7"/>
        </w:trPr>
        <w:tc>
          <w:tcPr>
            <w:tcW w:w="9020" w:type="dxa"/>
            <w:vAlign w:val="bottom"/>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557</w:t>
            </w:r>
          </w:p>
        </w:tc>
      </w:tr>
      <w:tr>
        <w:trPr>
          <w:trHeight w:val="33"/>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162"/>
        </w:trPr>
        <w:tc>
          <w:tcPr>
            <w:tcW w:w="9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467</w:t>
            </w:r>
          </w:p>
        </w:tc>
      </w:tr>
      <w:tr>
        <w:trPr>
          <w:trHeight w:val="33"/>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440</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9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Interest Paid</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434</w:t>
            </w:r>
          </w:p>
        </w:tc>
        <w:tc>
          <w:tcPr>
            <w:tcW w:w="4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362</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2"/>
        </w:trPr>
        <w:tc>
          <w:tcPr>
            <w:tcW w:w="9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bl>
    <w:p>
      <w:pPr>
        <w:sectPr>
          <w:pgSz w:w="11900" w:h="16900" w:orient="portrait"/>
          <w:cols w:equalWidth="0" w:num="1">
            <w:col w:w="11420"/>
          </w:cols>
          <w:pgMar w:left="240" w:top="449"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Taxes Paid, Net of Refunds</w:t>
            </w:r>
          </w:p>
        </w:tc>
        <w:tc>
          <w:tcPr>
            <w:tcW w:w="38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w:t>
            </w:r>
          </w:p>
        </w:tc>
        <w:tc>
          <w:tcPr>
            <w:tcW w:w="5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Non-cash Financing Obligations</w:t>
            </w:r>
          </w:p>
        </w:tc>
        <w:tc>
          <w:tcPr>
            <w:tcW w:w="38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24</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25</w:t>
            </w:r>
          </w:p>
        </w:tc>
      </w:tr>
    </w:tbl>
    <w:p>
      <w:pPr>
        <w:spacing w:after="0" w:line="200" w:lineRule="exact"/>
        <w:rPr>
          <w:sz w:val="20"/>
          <w:szCs w:val="20"/>
          <w:color w:val="auto"/>
        </w:rPr>
      </w:pPr>
    </w:p>
    <w:p>
      <w:pPr>
        <w:spacing w:after="0" w:line="33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7" w:name="page8"/>
    <w:bookmarkEnd w:id="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jc w:val="both"/>
        <w:ind w:firstLine="338"/>
        <w:spacing w:after="0" w:line="291" w:lineRule="auto"/>
        <w:rPr>
          <w:sz w:val="20"/>
          <w:szCs w:val="20"/>
          <w:color w:val="auto"/>
        </w:rPr>
      </w:pPr>
      <w:r>
        <w:rPr>
          <w:rFonts w:ascii="Arial" w:cs="Arial" w:eastAsia="Arial" w:hAnsi="Arial"/>
          <w:sz w:val="16"/>
          <w:szCs w:val="16"/>
          <w:color w:val="auto"/>
        </w:rPr>
        <w:t>The accompanying unaudited Condensed Consolidated Financial Statements of Weatherford International plc (the “Company”) are prepared in accordance with generally accepted accounting principles in the United States of America (“U.S. GAAP”) and include all adjustments which, in our opinion, are considered necessary to present fairly our Condensed Consolidated Balance Sheets at September 30, 2017 and December 31, 2016, and Condensed Consolidated Statements of Operations, Condensed Consolidated Statements of Comprehensive Loss for the three and nine months ended September 30, 2017 and 2016 and Condensed Consolidated Statements of Cash Flows for the nine months ended September 30, 2017 and 2016. When referring to “Weatherford” and using phrases such as “we,” “us,” and “our,” the intent is to refer to Weatherford International plc, a public limited company organized under the law of Ireland, and its subsidiaries as a whole or on a regional basis, depending on the context in which the statements are made.</w:t>
      </w:r>
    </w:p>
    <w:p>
      <w:pPr>
        <w:spacing w:after="0" w:line="181" w:lineRule="exact"/>
        <w:rPr>
          <w:sz w:val="20"/>
          <w:szCs w:val="20"/>
          <w:color w:val="auto"/>
        </w:rPr>
      </w:pPr>
    </w:p>
    <w:p>
      <w:pPr>
        <w:jc w:val="both"/>
        <w:ind w:firstLine="338"/>
        <w:spacing w:after="0" w:line="297" w:lineRule="auto"/>
        <w:rPr>
          <w:sz w:val="20"/>
          <w:szCs w:val="20"/>
          <w:color w:val="auto"/>
        </w:rPr>
      </w:pPr>
      <w:r>
        <w:rPr>
          <w:rFonts w:ascii="Arial" w:cs="Arial" w:eastAsia="Arial" w:hAnsi="Arial"/>
          <w:sz w:val="16"/>
          <w:szCs w:val="16"/>
          <w:color w:val="auto"/>
        </w:rPr>
        <w:t>Although we believe the disclosures in these financial statements are adequate, certain information relating to our organization and footnote disclosures normally included in financial statements prepared in accordance with U.S. GAAP have been condensed or omitted in this Form 10-Q pursuant to U.S. Securities and Exchange Commission (“SEC”) rules and regulations. These financial statements should be read in conjunction with the audited Consolidated Financial Statements for the year ended December 31, 2016 included in our Annual Report on Form 10-K. The results of operations for the three and nine months ended September 30, 2017 are not necessarily indicative of the results expected for the year ending December 31, 2017.</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at the date of the financial statements, the reported amounts of revenues and expenses during the reporting period, and disclosure of contingent assets and liabilities. On an ongoing basis, we evaluate our estimates and assumptions, including those related to uncollectible accounts receivable, lower of cost or net realizable value for inventories, equity investments, derivative financial instruments, intangible assets and goodwill, property, plant and equipment (PP&amp;E), income taxes, percentage-of-completion accounting for long-term contracts, self-insurance, foreign currency exchange rates, pension and post-retirement benefit plans, disputes, litigation, contingencies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consolidate all wholly-owned subsidiaries, controlled joint ventures and variable interest entities where the Company has determined it is the primary beneficiary. Investments in affiliates in which we exercise significant influence over operating and financial policies are accounted for using the equity method. All material intercompany accounts and transactions have been eliminated in consolidation.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prior year cash flow amounts have been reclassified to conform to the current year presentation related to the adoption of new accounting standards. Net income and shareholders’ equity were not affected by these reclassifications. See “Note 18 – New Accounting Pronouncements” for additional details.</w:t>
      </w:r>
    </w:p>
    <w:p>
      <w:pPr>
        <w:spacing w:after="0" w:line="200" w:lineRule="exact"/>
        <w:rPr>
          <w:sz w:val="20"/>
          <w:szCs w:val="20"/>
          <w:color w:val="auto"/>
        </w:rPr>
      </w:pP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8" w:name="page9"/>
    <w:bookmarkEnd w:id="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second quarter of 2017, the Company changed its accounting for revenue with our largest customer in Venezuela to record a discount reflecting the time value of money and accrete the discount as interest income over the expected collection period using the effective interest method. In connection with this development, the Company corrected this immaterial error for the three and six month periods ended June 30, 2017. The impact of the correction decreased revenue and increased interest income by approximately $31 million and $4 million, respectively, for the three month period ended June 30, 2017 and reduced accounts receivable by approximately $27 million as of June 30, 2017. As of September 30, 2017, to reflect the impact of payment delays and expectation that the time to collect may exceed one year, we reclassified $158 million of accounts receivable related to this customer in Other Non-Current Assets on the accompanying Condensed Consolidated Balance Sheets.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we are continuing to experience delays with collections on our outstanding receivables with this customer, we believe the amounts are fully collectible based on the financial position and solvency of this customer and the dependence of the Venezuelan economy on oil production from this customer. We also considered our collections history with this customer and lack of historical material allowances or write-offs to our receivables balances. Our assumptions and related judgments are sensitive to the continued significant political and economic turmoil in Venezuela. If conditions continue to deteriorate, we may be required to record allowances or write-offs to our receivables balances that could have a material impact on our financial position and results of operations.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Currency devaluation charges are included in current earnings in “Currency Devaluation Charges” on the accompanying Condensed Consolidated Statements of Operations. In the first nine months of 2016, currency devaluation charges of $31 million reflected the impact of the devaluation of the Angolan kwanza. In the third quarter and the first nine months of 2017, we had no currency devaluation charges.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Business Combinations and Divestitures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Held for Sale</w:t>
      </w:r>
    </w:p>
    <w:p>
      <w:pPr>
        <w:spacing w:after="0" w:line="22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On March 24, 2017, we entered a master formation agreement with affiliates of Schlumberger Limited (“Schlumberger”) to form a joint venture named “OneStim</w:t>
      </w:r>
      <w:r>
        <w:rPr>
          <w:rFonts w:ascii="Arial" w:cs="Arial" w:eastAsia="Arial" w:hAnsi="Arial"/>
          <w:sz w:val="24"/>
          <w:szCs w:val="24"/>
          <w:color w:val="auto"/>
          <w:vertAlign w:val="superscript"/>
        </w:rPr>
        <w:t>SM</w:t>
      </w:r>
      <w:r>
        <w:rPr>
          <w:rFonts w:ascii="Arial" w:cs="Arial" w:eastAsia="Arial" w:hAnsi="Arial"/>
          <w:sz w:val="17"/>
          <w:szCs w:val="17"/>
          <w:color w:val="auto"/>
        </w:rPr>
        <w:t>,” which will provide completion products and services for the development of unconventional land reservoirs in the United States and Canada. Under the terms of the master formation agreement, both parties will contribute their respective pressure pumping assets, multistage completions, and pump-down perforating businesses on land in the lower contiguous 48 states of the United States and the provinces of British Columbia, Saskatchewan, Manitoba and Alberta in Canada. In addition, we will contribute manufacturing facilities and supply chain resources to OneStim, and Schlumberger will provide the joint venture with access to its surface and downhole technologies and advanced geo-engineered workflows. At closing we will receive a one-time $535 million cash payment from Schlumberger, subject to agreed purchase price adjustments and will own a 30% equity interest in the OneStim joint venture while Schlumberger will own 70%. The transaction is expected to close in the fourth quarter of 2017 and is subject to regulatory approvals and other customary closing conditions. The carrying amounts of the major classes of assets and liabilities from our North America segment to be contributed to OneStim have been classified as held for sale in the table below.</w:t>
      </w:r>
    </w:p>
    <w:p>
      <w:pPr>
        <w:spacing w:after="0" w:line="21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9" w:right="239" w:bottom="1440" w:gutter="0" w:footer="0" w:header="0"/>
        </w:sectPr>
      </w:pPr>
    </w:p>
    <w:bookmarkStart w:id="9" w:name="page10"/>
    <w:bookmarkEnd w:id="9"/>
    <w:tbl>
      <w:tblPr>
        <w:tblLayout w:type="fixed"/>
        <w:tblInd w:w="2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9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642"/>
        </w:trPr>
        <w:tc>
          <w:tcPr>
            <w:tcW w:w="1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September 30,</w:t>
            </w:r>
          </w:p>
        </w:tc>
      </w:tr>
      <w:tr>
        <w:trPr>
          <w:trHeight w:val="270"/>
        </w:trPr>
        <w:tc>
          <w:tcPr>
            <w:tcW w:w="912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3"/>
                <w:szCs w:val="23"/>
                <w:color w:val="auto"/>
              </w:rPr>
            </w:pPr>
          </w:p>
        </w:tc>
        <w:tc>
          <w:tcPr>
            <w:tcW w:w="16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 Held for Sale:</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9000" w:type="dxa"/>
            <w:vAlign w:val="bottom"/>
            <w:gridSpan w:val="2"/>
          </w:tcPr>
          <w:p>
            <w:pPr>
              <w:ind w:left="60"/>
              <w:spacing w:after="0"/>
              <w:rPr>
                <w:sz w:val="20"/>
                <w:szCs w:val="20"/>
                <w:color w:val="auto"/>
              </w:rPr>
            </w:pPr>
            <w:r>
              <w:rPr>
                <w:rFonts w:ascii="Arial" w:cs="Arial" w:eastAsia="Arial" w:hAnsi="Arial"/>
                <w:sz w:val="18"/>
                <w:szCs w:val="18"/>
                <w:color w:val="auto"/>
              </w:rPr>
              <w:t>Inventory,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89</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2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r>
      <w:tr>
        <w:trPr>
          <w:trHeight w:val="243"/>
        </w:trPr>
        <w:tc>
          <w:tcPr>
            <w:tcW w:w="120" w:type="dxa"/>
            <w:vAlign w:val="bottom"/>
          </w:tcPr>
          <w:p>
            <w:pPr>
              <w:spacing w:after="0"/>
              <w:rPr>
                <w:sz w:val="21"/>
                <w:szCs w:val="21"/>
                <w:color w:val="auto"/>
              </w:rPr>
            </w:pPr>
          </w:p>
        </w:tc>
        <w:tc>
          <w:tcPr>
            <w:tcW w:w="9000" w:type="dxa"/>
            <w:vAlign w:val="bottom"/>
            <w:gridSpan w:val="2"/>
          </w:tcPr>
          <w:p>
            <w:pPr>
              <w:ind w:left="6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559</w:t>
            </w: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120" w:type="dxa"/>
            <w:vAlign w:val="bottom"/>
            <w:tcBorders>
              <w:bottom w:val="single" w:sz="8" w:color="CCEEFF"/>
            </w:tcBorders>
            <w:shd w:val="clear" w:color="auto" w:fill="CCEEFF"/>
          </w:tcPr>
          <w:p>
            <w:pPr>
              <w:spacing w:after="0"/>
              <w:rPr>
                <w:sz w:val="22"/>
                <w:szCs w:val="22"/>
                <w:color w:val="auto"/>
              </w:rPr>
            </w:pPr>
          </w:p>
        </w:tc>
        <w:tc>
          <w:tcPr>
            <w:tcW w:w="90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909</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311"/>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9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Held for Sale:</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9000" w:type="dxa"/>
            <w:vAlign w:val="bottom"/>
            <w:gridSpan w:val="2"/>
          </w:tcPr>
          <w:p>
            <w:pPr>
              <w:ind w:left="60"/>
              <w:spacing w:after="0"/>
              <w:rPr>
                <w:sz w:val="20"/>
                <w:szCs w:val="20"/>
                <w:color w:val="auto"/>
              </w:rPr>
            </w:pPr>
            <w:r>
              <w:rPr>
                <w:rFonts w:ascii="Arial" w:cs="Arial" w:eastAsia="Arial" w:hAnsi="Arial"/>
                <w:sz w:val="18"/>
                <w:szCs w:val="18"/>
                <w:color w:val="auto"/>
              </w:rPr>
              <w:t>Long-term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120" w:type="dxa"/>
            <w:vAlign w:val="bottom"/>
            <w:tcBorders>
              <w:bottom w:val="single" w:sz="8" w:color="CCEEFF"/>
            </w:tcBorders>
            <w:shd w:val="clear" w:color="auto" w:fill="CCEEFF"/>
          </w:tcPr>
          <w:p>
            <w:pPr>
              <w:spacing w:after="0"/>
              <w:rPr>
                <w:sz w:val="23"/>
                <w:szCs w:val="23"/>
                <w:color w:val="auto"/>
              </w:rPr>
            </w:pPr>
          </w:p>
        </w:tc>
        <w:tc>
          <w:tcPr>
            <w:tcW w:w="90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r>
      <w:tr>
        <w:trPr>
          <w:trHeight w:val="257"/>
        </w:trPr>
        <w:tc>
          <w:tcPr>
            <w:tcW w:w="120" w:type="dxa"/>
            <w:vAlign w:val="bottom"/>
          </w:tcPr>
          <w:p>
            <w:pPr>
              <w:spacing w:after="0"/>
              <w:rPr>
                <w:sz w:val="22"/>
                <w:szCs w:val="22"/>
                <w:color w:val="auto"/>
              </w:rPr>
            </w:pPr>
          </w:p>
        </w:tc>
        <w:tc>
          <w:tcPr>
            <w:tcW w:w="9000" w:type="dxa"/>
            <w:vAlign w:val="bottom"/>
            <w:gridSpan w:val="2"/>
          </w:tcPr>
          <w:p>
            <w:pPr>
              <w:ind w:left="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2017, we also had $26 million of PP&amp;E held for sale unrelated to the OneStim joint venture.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Restructuring Charges</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Due to the ongoing lower than anticipated levels of exploration and production spending, we continue to reduce our overall cost structure and workforce to better align with current activity levels. The ongoing cost reduction plans, which began in 2016 and is continuing through 2017 (the “2016 Plan”), included a workforce reduction and other cost reduction measures initiated across our geographic regions.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2016 Plan, we recognized restructuring charges of $34 million and $140 million in the third quarter and the first nine months of 2017, respectively, which include termination (severance) charges of $15 million and $71 million, respectively, and other restructuring charges of $19 million and $57 million, respectively. Other restructuring charges include contract termination costs, relocation and other associated costs. The first nine months of 2017 also includes restructuring related asset charges of $12 million.</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Also in connection with the 2016 Plan, we recognized restructuring charges of $22 million and $150 million in the third quarter and the first nine months of 2016, respectively, which include termination (severance) charges of $18 million and $126 million, respectively, and other restructuring charges of $4 million and $24 million, respectively. Other restructuring charges include contract termination costs, relocation and other associated costs.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present the components of restructuring charges by segment for the third quarter and the first nine months of 2017 and 2016.</w:t>
      </w:r>
    </w:p>
    <w:p>
      <w:pPr>
        <w:spacing w:after="0" w:line="17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6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0"/>
              </w:rPr>
              <w:t>Three Months Ended September 30, 2017</w:t>
            </w:r>
          </w:p>
        </w:tc>
      </w:tr>
      <w:tr>
        <w:trPr>
          <w:trHeight w:val="27"/>
        </w:trPr>
        <w:tc>
          <w:tcPr>
            <w:tcW w:w="5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3"/>
                <w:szCs w:val="23"/>
                <w:color w:val="auto"/>
              </w:rPr>
            </w:pPr>
          </w:p>
        </w:tc>
        <w:tc>
          <w:tcPr>
            <w:tcW w:w="1660" w:type="dxa"/>
            <w:vAlign w:val="bottom"/>
          </w:tcPr>
          <w:p>
            <w:pPr>
              <w:jc w:val="right"/>
              <w:ind w:right="410"/>
              <w:spacing w:after="0"/>
              <w:rPr>
                <w:sz w:val="20"/>
                <w:szCs w:val="20"/>
                <w:color w:val="auto"/>
              </w:rPr>
            </w:pPr>
            <w:r>
              <w:rPr>
                <w:rFonts w:ascii="Arial" w:cs="Arial" w:eastAsia="Arial" w:hAnsi="Arial"/>
                <w:sz w:val="18"/>
                <w:szCs w:val="18"/>
                <w:b w:val="1"/>
                <w:bCs w:val="1"/>
                <w:color w:val="auto"/>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2016 Plan</w:t>
            </w:r>
          </w:p>
        </w:tc>
        <w:tc>
          <w:tcPr>
            <w:tcW w:w="180" w:type="dxa"/>
            <w:vAlign w:val="bottom"/>
          </w:tcPr>
          <w:p>
            <w:pPr>
              <w:spacing w:after="0"/>
              <w:rPr>
                <w:sz w:val="23"/>
                <w:szCs w:val="23"/>
                <w:color w:val="auto"/>
              </w:rPr>
            </w:pPr>
          </w:p>
        </w:tc>
        <w:tc>
          <w:tcPr>
            <w:tcW w:w="1660" w:type="dxa"/>
            <w:vAlign w:val="bottom"/>
          </w:tcPr>
          <w:p>
            <w:pPr>
              <w:jc w:val="right"/>
              <w:ind w:right="490"/>
              <w:spacing w:after="0"/>
              <w:rPr>
                <w:sz w:val="20"/>
                <w:szCs w:val="20"/>
                <w:color w:val="auto"/>
              </w:rPr>
            </w:pPr>
            <w:r>
              <w:rPr>
                <w:rFonts w:ascii="Arial" w:cs="Arial" w:eastAsia="Arial" w:hAnsi="Arial"/>
                <w:sz w:val="18"/>
                <w:szCs w:val="18"/>
                <w:b w:val="1"/>
                <w:bCs w:val="1"/>
                <w:color w:val="auto"/>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jc w:val="right"/>
              <w:ind w:right="141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432"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5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642"/>
        </w:trPr>
        <w:tc>
          <w:tcPr>
            <w:tcW w:w="1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6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0"/>
              </w:rPr>
              <w:t>Three Months Ended September 30, 2016</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3"/>
                <w:szCs w:val="23"/>
                <w:color w:val="auto"/>
              </w:rPr>
            </w:pPr>
          </w:p>
        </w:tc>
        <w:tc>
          <w:tcPr>
            <w:tcW w:w="17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Severance</w:t>
            </w:r>
          </w:p>
        </w:tc>
        <w:tc>
          <w:tcPr>
            <w:tcW w:w="38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2016 Plan</w:t>
            </w:r>
          </w:p>
        </w:tc>
        <w:tc>
          <w:tcPr>
            <w:tcW w:w="180" w:type="dxa"/>
            <w:vAlign w:val="bottom"/>
          </w:tcPr>
          <w:p>
            <w:pPr>
              <w:spacing w:after="0"/>
              <w:rPr>
                <w:sz w:val="23"/>
                <w:szCs w:val="23"/>
                <w:color w:val="auto"/>
              </w:rPr>
            </w:pPr>
          </w:p>
        </w:tc>
        <w:tc>
          <w:tcPr>
            <w:tcW w:w="17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MENA/Asia Pacific</w:t>
            </w:r>
          </w:p>
        </w:tc>
        <w:tc>
          <w:tcPr>
            <w:tcW w:w="1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Land Drilling Rigs</w:t>
            </w:r>
          </w:p>
        </w:tc>
        <w:tc>
          <w:tcPr>
            <w:tcW w:w="1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60" w:type="dxa"/>
            <w:vAlign w:val="bottom"/>
            <w:tcBorders>
              <w:bottom w:val="single" w:sz="8" w:color="auto"/>
            </w:tcBorders>
            <w:gridSpan w:val="5"/>
          </w:tcPr>
          <w:p>
            <w:pPr>
              <w:spacing w:after="0" w:line="20" w:lineRule="exact"/>
              <w:rPr>
                <w:sz w:val="1"/>
                <w:szCs w:val="1"/>
                <w:color w:val="auto"/>
              </w:rPr>
            </w:pPr>
          </w:p>
        </w:tc>
      </w:tr>
      <w:tr>
        <w:trPr>
          <w:trHeight w:val="581"/>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6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Nine Months Ended September 30, 2017</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3"/>
                <w:szCs w:val="23"/>
                <w:color w:val="auto"/>
              </w:rPr>
            </w:pPr>
          </w:p>
        </w:tc>
        <w:tc>
          <w:tcPr>
            <w:tcW w:w="17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Severance</w:t>
            </w:r>
          </w:p>
        </w:tc>
        <w:tc>
          <w:tcPr>
            <w:tcW w:w="38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2016 Plan</w:t>
            </w:r>
          </w:p>
        </w:tc>
        <w:tc>
          <w:tcPr>
            <w:tcW w:w="180" w:type="dxa"/>
            <w:vAlign w:val="bottom"/>
          </w:tcPr>
          <w:p>
            <w:pPr>
              <w:spacing w:after="0"/>
              <w:rPr>
                <w:sz w:val="23"/>
                <w:szCs w:val="23"/>
                <w:color w:val="auto"/>
              </w:rPr>
            </w:pPr>
          </w:p>
        </w:tc>
        <w:tc>
          <w:tcPr>
            <w:tcW w:w="17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MENA/Asia Pacific</w:t>
            </w:r>
          </w:p>
        </w:tc>
        <w:tc>
          <w:tcPr>
            <w:tcW w:w="1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Land Drilling Rigs</w:t>
            </w:r>
          </w:p>
        </w:tc>
        <w:tc>
          <w:tcPr>
            <w:tcW w:w="1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140</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60" w:type="dxa"/>
            <w:vAlign w:val="bottom"/>
            <w:tcBorders>
              <w:bottom w:val="single" w:sz="8" w:color="auto"/>
            </w:tcBorders>
            <w:gridSpan w:val="5"/>
          </w:tcPr>
          <w:p>
            <w:pPr>
              <w:spacing w:after="0" w:line="20" w:lineRule="exact"/>
              <w:rPr>
                <w:sz w:val="1"/>
                <w:szCs w:val="1"/>
                <w:color w:val="auto"/>
              </w:rPr>
            </w:pPr>
          </w:p>
        </w:tc>
      </w:tr>
      <w:tr>
        <w:trPr>
          <w:trHeight w:val="581"/>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6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Nine Months Ended September 30, 2016</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3"/>
                <w:szCs w:val="23"/>
                <w:color w:val="auto"/>
              </w:rPr>
            </w:pPr>
          </w:p>
        </w:tc>
        <w:tc>
          <w:tcPr>
            <w:tcW w:w="17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Severance</w:t>
            </w:r>
          </w:p>
        </w:tc>
        <w:tc>
          <w:tcPr>
            <w:tcW w:w="38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2016 Plan</w:t>
            </w:r>
          </w:p>
        </w:tc>
        <w:tc>
          <w:tcPr>
            <w:tcW w:w="180" w:type="dxa"/>
            <w:vAlign w:val="bottom"/>
          </w:tcPr>
          <w:p>
            <w:pPr>
              <w:spacing w:after="0"/>
              <w:rPr>
                <w:sz w:val="23"/>
                <w:szCs w:val="23"/>
                <w:color w:val="auto"/>
              </w:rPr>
            </w:pPr>
          </w:p>
        </w:tc>
        <w:tc>
          <w:tcPr>
            <w:tcW w:w="17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MENA/Asia Pacific</w:t>
            </w:r>
          </w:p>
        </w:tc>
        <w:tc>
          <w:tcPr>
            <w:tcW w:w="1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Land Drilling Rigs</w:t>
            </w:r>
          </w:p>
        </w:tc>
        <w:tc>
          <w:tcPr>
            <w:tcW w:w="1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662"/>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jc w:val="right"/>
              <w:ind w:right="145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000"/>
          </w:cols>
          <w:pgMar w:left="460" w:top="432" w:right="439" w:bottom="1440" w:gutter="0" w:footer="0" w:header="0"/>
        </w:sectPr>
      </w:pPr>
    </w:p>
    <w:bookmarkStart w:id="11" w:name="page12"/>
    <w:bookmarkEnd w:id="1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severance and other restructuring charges gave rise to certain liabilities, the components of which are summarized below, and largely relate to the severance accrued as part of earlier 2014 and 2015 Plans, the 2016 Plan that will be paid pursuant to the respective arrangements and statutory requirements.</w:t>
      </w:r>
    </w:p>
    <w:p>
      <w:pPr>
        <w:spacing w:after="0" w:line="66"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4"/>
          </w:tcPr>
          <w:p>
            <w:pPr>
              <w:jc w:val="center"/>
              <w:ind w:left="670"/>
              <w:spacing w:after="0"/>
              <w:rPr>
                <w:sz w:val="20"/>
                <w:szCs w:val="20"/>
                <w:color w:val="auto"/>
              </w:rPr>
            </w:pPr>
            <w:r>
              <w:rPr>
                <w:rFonts w:ascii="Arial" w:cs="Arial" w:eastAsia="Arial" w:hAnsi="Arial"/>
                <w:sz w:val="18"/>
                <w:szCs w:val="18"/>
                <w:b w:val="1"/>
                <w:bCs w:val="1"/>
                <w:color w:val="auto"/>
                <w:w w:val="90"/>
              </w:rPr>
              <w:t>At September 30, 2017</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2016 Plan</w:t>
            </w:r>
          </w:p>
        </w:tc>
        <w:tc>
          <w:tcPr>
            <w:tcW w:w="200" w:type="dxa"/>
            <w:vAlign w:val="bottom"/>
          </w:tcPr>
          <w:p>
            <w:pPr>
              <w:spacing w:after="0"/>
              <w:rPr>
                <w:sz w:val="20"/>
                <w:szCs w:val="20"/>
                <w:color w:val="auto"/>
              </w:rPr>
            </w:pPr>
          </w:p>
        </w:tc>
        <w:tc>
          <w:tcPr>
            <w:tcW w:w="22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2015 and 2014 Plans</w:t>
            </w:r>
          </w:p>
        </w:tc>
        <w:tc>
          <w:tcPr>
            <w:tcW w:w="16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6"/>
              </w:rPr>
              <w:t>Severance</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Severance</w:t>
            </w:r>
          </w:p>
        </w:tc>
        <w:tc>
          <w:tcPr>
            <w:tcW w:w="24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23"/>
                <w:szCs w:val="23"/>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Severance</w:t>
            </w:r>
          </w:p>
        </w:tc>
        <w:tc>
          <w:tcPr>
            <w:tcW w:w="320" w:type="dxa"/>
            <w:vAlign w:val="bottom"/>
          </w:tcPr>
          <w:p>
            <w:pPr>
              <w:spacing w:after="0"/>
              <w:rPr>
                <w:sz w:val="23"/>
                <w:szCs w:val="23"/>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23"/>
                <w:szCs w:val="23"/>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and Other</w:t>
            </w:r>
          </w:p>
        </w:tc>
        <w:tc>
          <w:tcPr>
            <w:tcW w:w="0" w:type="dxa"/>
            <w:vAlign w:val="bottom"/>
          </w:tcPr>
          <w:p>
            <w:pPr>
              <w:spacing w:after="0"/>
              <w:rPr>
                <w:sz w:val="1"/>
                <w:szCs w:val="1"/>
                <w:color w:val="auto"/>
              </w:rPr>
            </w:pPr>
          </w:p>
        </w:tc>
      </w:tr>
      <w:tr>
        <w:trPr>
          <w:trHeight w:val="270"/>
        </w:trPr>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Liability</w:t>
            </w:r>
          </w:p>
        </w:tc>
        <w:tc>
          <w:tcPr>
            <w:tcW w:w="240" w:type="dxa"/>
            <w:vAlign w:val="bottom"/>
          </w:tcPr>
          <w:p>
            <w:pPr>
              <w:spacing w:after="0"/>
              <w:rPr>
                <w:sz w:val="23"/>
                <w:szCs w:val="23"/>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Liability</w:t>
            </w:r>
          </w:p>
        </w:tc>
        <w:tc>
          <w:tcPr>
            <w:tcW w:w="200" w:type="dxa"/>
            <w:vAlign w:val="bottom"/>
          </w:tcPr>
          <w:p>
            <w:pPr>
              <w:spacing w:after="0"/>
              <w:rPr>
                <w:sz w:val="23"/>
                <w:szCs w:val="23"/>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Liability</w:t>
            </w:r>
          </w:p>
        </w:tc>
        <w:tc>
          <w:tcPr>
            <w:tcW w:w="32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Liability</w:t>
            </w:r>
          </w:p>
        </w:tc>
        <w:tc>
          <w:tcPr>
            <w:tcW w:w="160" w:type="dxa"/>
            <w:vAlign w:val="bottom"/>
          </w:tcPr>
          <w:p>
            <w:pPr>
              <w:spacing w:after="0"/>
              <w:rPr>
                <w:sz w:val="23"/>
                <w:szCs w:val="23"/>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27"/>
        </w:trPr>
        <w:tc>
          <w:tcPr>
            <w:tcW w:w="4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492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restructuring liability activity for the first nine months of 2017.</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40" w:type="dxa"/>
            <w:vAlign w:val="bottom"/>
            <w:gridSpan w:val="6"/>
          </w:tcPr>
          <w:p>
            <w:pPr>
              <w:jc w:val="right"/>
              <w:ind w:right="250"/>
              <w:spacing w:after="0"/>
              <w:rPr>
                <w:sz w:val="20"/>
                <w:szCs w:val="20"/>
                <w:color w:val="auto"/>
              </w:rPr>
            </w:pPr>
            <w:r>
              <w:rPr>
                <w:rFonts w:ascii="Arial" w:cs="Arial" w:eastAsia="Arial" w:hAnsi="Arial"/>
                <w:sz w:val="18"/>
                <w:szCs w:val="18"/>
                <w:b w:val="1"/>
                <w:bCs w:val="1"/>
                <w:color w:val="auto"/>
              </w:rPr>
              <w:t>Nine Months Ended September 30, 2017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Accrued Balance</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Accrued Balance at</w:t>
            </w:r>
          </w:p>
        </w:tc>
        <w:tc>
          <w:tcPr>
            <w:tcW w:w="0" w:type="dxa"/>
            <w:vAlign w:val="bottom"/>
          </w:tcPr>
          <w:p>
            <w:pPr>
              <w:spacing w:after="0"/>
              <w:rPr>
                <w:sz w:val="1"/>
                <w:szCs w:val="1"/>
                <w:color w:val="auto"/>
              </w:rPr>
            </w:pPr>
          </w:p>
        </w:tc>
      </w:tr>
      <w:tr>
        <w:trPr>
          <w:trHeight w:val="234"/>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Payments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September 30, 2017</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2016 Plan: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2015 and 2014 Plan:</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Total severance and other restructuring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Percentage-of-Completion Contracts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account for our long-term early production facility construction contracts in Iraq under the percentage-of-completion method. In the third quarter and the first nine months of 2017, there was no change to our cumulative estimated loss since December 31, 2016. Our net billings in excess of costs as of September 30, 2017 were $47 million and are shown in the “Other Current Liabilities” on the accompanying Condensed Consolidated Balance Sheets.</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May 26, 2016, we entered into an agreement with our customer containing the terms and conditions of the settlement on the Zubair contract which included variation order requests, claims for extension of time, payments of remaining contract milestones and new project completion timelines that resulted in relief from the liquidated damages provisions. The settlement paid to us was a gross amount of $150 million, of which we received $62 million in the second quarter of 2016, $72 million in the third quarter of 2016 and $16 million in the first quarter of 2017.</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third quarter and the first nine months of 2016, we were break-even for our Zubair contract. As of September 30, 2016, cumulative estimated losses on our Iraq projects were $532 million, project estimates included no claims revenue, $25 million in approved change orders and $25 million of back charges.</w:t>
      </w:r>
    </w:p>
    <w:p>
      <w:pPr>
        <w:spacing w:after="0" w:line="200" w:lineRule="exact"/>
        <w:rPr>
          <w:sz w:val="20"/>
          <w:szCs w:val="20"/>
          <w:color w:val="auto"/>
        </w:rPr>
      </w:pP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49" w:right="239" w:bottom="1440" w:gutter="0" w:footer="0" w:header="0"/>
        </w:sectPr>
      </w:pPr>
    </w:p>
    <w:bookmarkStart w:id="12" w:name="page13"/>
    <w:bookmarkEnd w:id="1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Accounts Receivable Factoring and Other Receivables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participate in factoring arrangements to sell accounts receivable to third-party financial institutions. In the first nine months of 2017, we sold accounts receivable of $150 million and recognized a loss of approximately $1 million on these sales. We received cash proceeds totaling $148 million. In the first nine months of 2016, we sold approximately $102 million and recognized a loss of $0.4 million. Our factoring transactions in the first nine months of 2017 and 2016 were recognized as sales, and the proceeds are included as operating cash flows in our Condensed Consolidated Statements of Cash Flows.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quarter of 2017, Weatherford converted trade receivables of $65 million into a note from the customer with a face value of $65 million. The note had a three year term at a 4.625% stated interest rate. We reported the note as a trading security within “Other Current Assets” at fair value on the Condensed Consolidated Balance Sheets at its fair value of $58 million on March 31, 2017. The note fair value was considered a Level 2 valuation and was estimated using secondary market data for similar bonds. During the second quarter of 2017, we sold the note for $59 million.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ind w:left="340"/>
              <w:spacing w:after="0"/>
              <w:rPr>
                <w:sz w:val="20"/>
                <w:szCs w:val="20"/>
                <w:color w:val="auto"/>
              </w:rPr>
            </w:pPr>
            <w:r>
              <w:rPr>
                <w:rFonts w:ascii="Arial" w:cs="Arial" w:eastAsia="Arial" w:hAnsi="Arial"/>
                <w:sz w:val="18"/>
                <w:szCs w:val="18"/>
                <w:b w:val="1"/>
                <w:bCs w:val="1"/>
                <w:color w:val="auto"/>
              </w:rPr>
              <w:t>6. Inventories, Net</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8120" w:type="dxa"/>
            <w:vAlign w:val="bottom"/>
          </w:tcPr>
          <w:p>
            <w:pPr>
              <w:ind w:left="340"/>
              <w:spacing w:after="0"/>
              <w:rPr>
                <w:sz w:val="20"/>
                <w:szCs w:val="20"/>
                <w:color w:val="auto"/>
              </w:rPr>
            </w:pPr>
            <w:r>
              <w:rPr>
                <w:rFonts w:ascii="Arial" w:cs="Arial" w:eastAsia="Arial" w:hAnsi="Arial"/>
                <w:sz w:val="18"/>
                <w:szCs w:val="18"/>
                <w:color w:val="auto"/>
              </w:rPr>
              <w:t>Inventories, net of reserves, by category were as follows:</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81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2017</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2016</w:t>
            </w:r>
          </w:p>
        </w:tc>
      </w:tr>
      <w:tr>
        <w:trPr>
          <w:trHeight w:val="27"/>
        </w:trPr>
        <w:tc>
          <w:tcPr>
            <w:tcW w:w="8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w:t>
            </w:r>
          </w:p>
        </w:tc>
      </w:tr>
      <w:tr>
        <w:trPr>
          <w:trHeight w:val="237"/>
        </w:trPr>
        <w:tc>
          <w:tcPr>
            <w:tcW w:w="8120" w:type="dxa"/>
            <w:vAlign w:val="bottom"/>
          </w:tcPr>
          <w:p>
            <w:pPr>
              <w:spacing w:after="0"/>
              <w:rPr>
                <w:sz w:val="20"/>
                <w:szCs w:val="20"/>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1,802</w:t>
            </w:r>
          </w:p>
        </w:tc>
      </w:tr>
      <w:tr>
        <w:trPr>
          <w:trHeight w:val="27"/>
        </w:trPr>
        <w:tc>
          <w:tcPr>
            <w:tcW w:w="8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recognized inventory charges, including excess and obsolete and non-recurring inventory charges, totaling $66 million and $213 million in the first nine months of 2017 and 2016, respectively.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Long-Lived Asset Impairments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first nine months of 2017, we had no long-lived asset impairment charges. During the third quarter of 2016, we recognized long-lived asset impairment charges of $436 million, of which $388 million was related to product line PP&amp;E impairments and $48 million was related to the impairment of intangible assets. The PP&amp;E impairment charges were related to our MENA/Asia Pacific Pressure Pumping and North America Well Construction, Drilling Services and Secure Drilling Service product lines. These impairment charges were attributed to the following segments: $235 million in North America, $109 million in MENA/Asia Pacific, $12 million in Europe/SSA/Russia, $16 million in Latin America and $16 million in Land Drilling Rigs. The intangible asset charge is related to the Well Construction and Completions businesses with $35 million attributable to the North America segment and $13 million related the Europe/SSA/Russia segment.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by reportable segment for the nine months ended September 30, 2017,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Europe/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North</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MENA/</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SSA/</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Latin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52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America</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Asia Pacific</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Russia</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America</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5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Reclassification to assets held for sale</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2,346</w:t>
            </w: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62"/>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3" w:name="page14"/>
    <w:bookmarkEnd w:id="13"/>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77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80"/>
        </w:trPr>
        <w:tc>
          <w:tcPr>
            <w:tcW w:w="280" w:type="dxa"/>
            <w:vAlign w:val="bottom"/>
          </w:tcPr>
          <w:p>
            <w:pPr>
              <w:spacing w:after="0"/>
              <w:rPr>
                <w:sz w:val="24"/>
                <w:szCs w:val="24"/>
                <w:color w:val="auto"/>
              </w:rPr>
            </w:pPr>
          </w:p>
        </w:tc>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9. Short-Term Borrowings and Other Debt Obligations</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804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2017</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2016</w:t>
            </w:r>
          </w:p>
        </w:tc>
      </w:tr>
      <w:tr>
        <w:trPr>
          <w:trHeight w:val="27"/>
        </w:trPr>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Revolving Credit Agreement</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040" w:type="dxa"/>
            <w:vAlign w:val="bottom"/>
            <w:gridSpan w:val="3"/>
          </w:tcPr>
          <w:p>
            <w:pPr>
              <w:ind w:left="20"/>
              <w:spacing w:after="0"/>
              <w:rPr>
                <w:sz w:val="20"/>
                <w:szCs w:val="20"/>
                <w:color w:val="auto"/>
              </w:rPr>
            </w:pPr>
            <w:r>
              <w:rPr>
                <w:rFonts w:ascii="Arial" w:cs="Arial" w:eastAsia="Arial" w:hAnsi="Arial"/>
                <w:sz w:val="18"/>
                <w:szCs w:val="18"/>
                <w:color w:val="auto"/>
              </w:rPr>
              <w:t>Other short-term loans</w:t>
            </w:r>
          </w:p>
        </w:tc>
        <w:tc>
          <w:tcPr>
            <w:tcW w:w="6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2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short-term borrowings</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43"/>
        </w:trPr>
        <w:tc>
          <w:tcPr>
            <w:tcW w:w="8040" w:type="dxa"/>
            <w:vAlign w:val="bottom"/>
            <w:gridSpan w:val="3"/>
          </w:tcPr>
          <w:p>
            <w:pPr>
              <w:ind w:left="20"/>
              <w:spacing w:after="0"/>
              <w:rPr>
                <w:sz w:val="20"/>
                <w:szCs w:val="20"/>
                <w:color w:val="auto"/>
              </w:rPr>
            </w:pPr>
            <w:r>
              <w:rPr>
                <w:rFonts w:ascii="Arial" w:cs="Arial" w:eastAsia="Arial" w:hAnsi="Arial"/>
                <w:sz w:val="18"/>
                <w:szCs w:val="18"/>
                <w:color w:val="auto"/>
              </w:rPr>
              <w:t>Current portion of long-term debt and term loan agreement</w:t>
            </w:r>
          </w:p>
        </w:tc>
        <w:tc>
          <w:tcPr>
            <w:tcW w:w="6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177</w:t>
            </w:r>
          </w:p>
        </w:tc>
      </w:tr>
      <w:tr>
        <w:trPr>
          <w:trHeight w:val="27"/>
        </w:trPr>
        <w:tc>
          <w:tcPr>
            <w:tcW w:w="2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portion of long-term debt</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r>
      <w:tr>
        <w:trPr>
          <w:trHeight w:val="20"/>
        </w:trPr>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 and Secured Term Loan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September 30, 2017, we had total commitments under our revolving credit facility (the “Revolving Credit Agreement”) maturing in July of 2019 of $1.0 billion and borrowings of $388 million under our secured term loan agreement (“the Term Loan Agreement and collectively with the Revolving Credit Agreement, the “Credit Agreements”) maturing in July of 2020. At September 30, 2017, we had $691 million available under the Credit Agreements and the following table summarizes our borrowing availability under these agreements:</w:t>
      </w:r>
    </w:p>
    <w:p>
      <w:pPr>
        <w:spacing w:after="0" w:line="129" w:lineRule="exact"/>
        <w:rPr>
          <w:sz w:val="20"/>
          <w:szCs w:val="20"/>
          <w:color w:val="auto"/>
        </w:rPr>
      </w:pPr>
    </w:p>
    <w:tbl>
      <w:tblPr>
        <w:tblLayout w:type="fixed"/>
        <w:tblInd w:w="234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September 30,</w:t>
            </w:r>
          </w:p>
        </w:tc>
      </w:tr>
      <w:tr>
        <w:trPr>
          <w:trHeight w:val="234"/>
        </w:trPr>
        <w:tc>
          <w:tcPr>
            <w:tcW w:w="56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7"/>
        </w:trPr>
        <w:tc>
          <w:tcPr>
            <w:tcW w:w="5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Less uses of facilities: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Revolving credit agreement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43"/>
        </w:trPr>
        <w:tc>
          <w:tcPr>
            <w:tcW w:w="5680" w:type="dxa"/>
            <w:vAlign w:val="bottom"/>
          </w:tcPr>
          <w:p>
            <w:pPr>
              <w:ind w:left="160"/>
              <w:spacing w:after="0"/>
              <w:rPr>
                <w:sz w:val="20"/>
                <w:szCs w:val="20"/>
                <w:color w:val="auto"/>
              </w:rPr>
            </w:pPr>
            <w:r>
              <w:rPr>
                <w:rFonts w:ascii="Arial" w:cs="Arial" w:eastAsia="Arial" w:hAnsi="Arial"/>
                <w:sz w:val="18"/>
                <w:szCs w:val="18"/>
                <w:color w:val="auto"/>
              </w:rPr>
              <w:t>Letters of credit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5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Secured term loan before debt issuance cost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57"/>
        </w:trPr>
        <w:tc>
          <w:tcPr>
            <w:tcW w:w="5680" w:type="dxa"/>
            <w:vAlign w:val="bottom"/>
          </w:tcPr>
          <w:p>
            <w:pPr>
              <w:ind w:left="20"/>
              <w:spacing w:after="0"/>
              <w:rPr>
                <w:sz w:val="20"/>
                <w:szCs w:val="20"/>
                <w:color w:val="auto"/>
              </w:rPr>
            </w:pPr>
            <w:r>
              <w:rPr>
                <w:rFonts w:ascii="Arial" w:cs="Arial" w:eastAsia="Arial" w:hAnsi="Arial"/>
                <w:sz w:val="18"/>
                <w:szCs w:val="18"/>
                <w:color w:val="auto"/>
              </w:rPr>
              <w:t>Borrowing Availability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r>
      <w:tr>
        <w:trPr>
          <w:trHeight w:val="20"/>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Loans under the Credit Agreements are subject to varying interest rates based on whether the loan is Eurodollar loan or an alternate base rate loan. We also incur a quarterly facility fee on the amount of the Revolving Credit Agreement. For the three months ended September 30, 2017, the interest rate for the Revolving Credit Agreement was LIBOR plus a margin rate of 2.80%. For the three months ended September 30, 2017, the interest rate for the Term Loan Agreement was LIBOR plus a margin rate of 2.30%.</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Credit Agreements contain customary events of default, including our failure to comply with our financial covenants. We must maintain a leverage ratio of no greater than 2.5 to 1, a leverage and letters of credit ratio of no greater than 3.5 to 1 and an asset coverage ratio of at least 4.0 to 1. At September 30, 2017, we were in compliance with these financial covenants.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Borrowings and Debt Activity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26, 2017, we issued an additional $250 million aggregate principal amount of our 9.875% senior notes due 2024 (“Notes”). These Notes were issued as additional securities under an indenture pursuant to which we previously issued $540 million aggregate principal amount of our 9.875% senior notes due 2024.</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short-term borrowings with various domestic and international institutions pursuant to uncommitted credit facilities. At September 30, 2017, we had $28 million in short-term borrowings under these arrangements. In addition, we had $387 million of letters of credit under various uncommitted facilities, of which $72 million has been cash collateralized (included in “Cash and Cash Equivalents” in the accompanying Condensed Consolidated Balance Sheets), and $59 million of surety bonds, primarily performance bonds, issued by financial sureties against an indemnification from us at September 30, 2017.</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June 2017, we repaid $88 million of our 6.35% Senior Notes on the maturity date. At September 30, 2017, the current portion of long-term debt was primarily related to $66 million of our 6.00% Senior Notes due March 2018, the $50 million current portion of our Term Loan Agreement and $22 million of current portion of capital leases and other debt.</w:t>
      </w:r>
    </w:p>
    <w:p>
      <w:pPr>
        <w:spacing w:after="0" w:line="200" w:lineRule="exact"/>
        <w:rPr>
          <w:sz w:val="20"/>
          <w:szCs w:val="20"/>
          <w:color w:val="auto"/>
        </w:rPr>
      </w:pP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32" w:right="239" w:bottom="1440" w:gutter="0" w:footer="0" w:header="0"/>
        </w:sectPr>
      </w:pPr>
    </w:p>
    <w:bookmarkStart w:id="14" w:name="page15"/>
    <w:bookmarkEnd w:id="1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 Measured and Recognized at Fair Value</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 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Other than the derivative instruments discussed in “Note 11 – Derivative Instruments”, we had no other material assets or liabilities measured and recognized at fair value on a recurring basis at September 30, 2017 and December 31, 2016.</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other financial instruments include cash and cash equivalents, accounts receivable, accounts payable, short-term borrowings and long-term debt. The carrying value of our cash and cash equivalents, accounts receivable, accounts payable, short-term borrowings approximates their fair value due to their short maturities. These short-term borrowings are classified as Level 2 in the fair value hierarchy.</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fair value of our long-term debt fluctuates with changes in applicable interest rates among other factors. Fair value will generally exceed carrying value when the current market interest rate is lower than the interest rate at which the debt was originally issued and will generally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340"/>
              <w:spacing w:after="0"/>
              <w:rPr>
                <w:sz w:val="20"/>
                <w:szCs w:val="20"/>
                <w:color w:val="auto"/>
              </w:rPr>
            </w:pPr>
            <w:r>
              <w:rPr>
                <w:rFonts w:ascii="Arial" w:cs="Arial" w:eastAsia="Arial" w:hAnsi="Arial"/>
                <w:sz w:val="18"/>
                <w:szCs w:val="18"/>
                <w:color w:val="auto"/>
              </w:rPr>
              <w:t>The fair value and carrying value of our senior notes were as follows:</w:t>
            </w:r>
          </w:p>
        </w:tc>
        <w:tc>
          <w:tcPr>
            <w:tcW w:w="1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30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30, 2017</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December 31, 2016</w:t>
            </w:r>
          </w:p>
        </w:tc>
      </w:tr>
      <w:tr>
        <w:trPr>
          <w:trHeight w:val="27"/>
        </w:trPr>
        <w:tc>
          <w:tcPr>
            <w:tcW w:w="67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9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7,231</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Carrying value</w:t>
            </w:r>
          </w:p>
        </w:tc>
        <w:tc>
          <w:tcPr>
            <w:tcW w:w="19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7,210</w:t>
            </w:r>
          </w:p>
        </w:tc>
        <w:tc>
          <w:tcPr>
            <w:tcW w:w="6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7,028</w:t>
            </w: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Derivative Instruments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We enter into foreign currency forward contracts and cross-currency swap contracts to economically hedge our exposure to fluctuations in various foreign currencies. The major risks from interest rate derivatives include changes in the interest rates affecting the fair value of such instruments, potential increases in interest expense due to market increases in floating interest rates, changes in foreign exchange rates and the creditworthiness of the counterparties in such transactions.</w:t>
      </w:r>
    </w:p>
    <w:p>
      <w:pPr>
        <w:spacing w:after="0" w:line="15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the fourth quarter of 2016, in conjunction with the issuance of 84.5 million ordinary shares, we issued a warrant that gives the holder the option to acquire an additional 84.5 million ordinary shares. The exercise price on the warrant is $6.43 per share and is exercisable any time prior to May 21, 2019. The warrant is classified as a liability and carried at fair value with changes in its fair value reported through earnings. The warrant participates in dividends and other distributions as if the shares subject to the warrants were outstanding. In addition, the warrant permits early redemption due to a change in control.</w:t>
      </w:r>
    </w:p>
    <w:p>
      <w:pPr>
        <w:spacing w:after="0" w:line="39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49" w:right="239" w:bottom="1440" w:gutter="0" w:footer="0" w:header="0"/>
        </w:sectPr>
      </w:pPr>
    </w:p>
    <w:bookmarkStart w:id="15" w:name="page16"/>
    <w:bookmarkEnd w:id="1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warrant fair value is considered a Level 3 valuation and is estimated using a combination of the Black Scholes option valuation model and Monte-Carlo simulation. Inputs to these models include Weatherford’s share price and volatility and the risk free interest rate. The valuation also considers the probabilities of future share issuances and anticipated issuance discounts, which are considered Level 3 inputs. The fair value of the warrant was $156 million on December 31, 2016 and $98 million on September 30, 2017, generating an unrealized loss of $7 million for the third quarter of 2017 and an unrealized gain of $58 million for the first nine months of 2017. The change in fair value of the warrant during the first nine months of 2017 was principally due to a decrease in Weatherford’s stock price. The warrant valuation would be negatively affected due to an increase in the likelihood of a future share issuance.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use interest rate swaps to help mitigate exposures related to changes in the fair values of fixed-rate debt. The interest rate swap would be recorded at fair value with changes in fair value recorded in earnings. The carrying value of fixed-rate debt would be adjusted for changes in interest rates, with the changes in value recorded in earnings. After termination of the hedge, any discount or premium on the fixed-rate debt is amortized to interest expense over the remaining term of the debt. As of September 30, 2017, we did not have any fair value hedges designated.</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2017, we had net unamortized premiums on fixed-rate debt of $4 million associated with fair value hedge terminations. These premiums are being amortized over the remaining term of the originally hedged debt as a reduction in interest expense included in “Interest Expense, Net” on the accompanying Condensed Consolidated Statements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2008, we entered into interest rate derivative instruments to hedge projected exposures to interest rates in anticipation of a debt offering. These hedges were terminated at the time of the issuance of the debt, and the associated loss is being amortized from “Accumulated Other Comprehensive Income (Loss)” to interest expense over the remaining term of the debt. As of September 30, 2017, we had net unamortized losses of $9 million associated with our cash flow hedge terminations. As of September 30, 2017, we did not have any cash flow hedges designated.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and Warrant Derivative Instruments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September 30, 2017 and December 31, 2016, we had outstanding foreign currency forward contracts with notional amounts aggregating to $1.2 billion and $1.6 billion,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foreign currency derivatives are not designated as hedges under ASC 815, and the changes in fair value of the contracts are recorded each period in “Other Expense, Net” on the accompanying Condensed Consolidated Statements of Operations. The total estimated fair values of our foreign currency forward contracts and warrant derivative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2017</w:t>
            </w: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2016</w:t>
            </w:r>
          </w:p>
        </w:tc>
        <w:tc>
          <w:tcPr>
            <w:tcW w:w="2840" w:type="dxa"/>
            <w:vAlign w:val="bottom"/>
          </w:tcPr>
          <w:p>
            <w:pPr>
              <w:ind w:left="90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assets not designated as hedges: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Foreign currency forward contracts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8"/>
                <w:szCs w:val="18"/>
                <w:i w:val="1"/>
                <w:iCs w:val="1"/>
                <w:color w:val="auto"/>
              </w:rPr>
              <w:t>Other Current Assets</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97"/>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Other Current Liabilities</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Warrant on Weatherford Shares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8"/>
                <w:szCs w:val="18"/>
                <w:i w:val="1"/>
                <w:iCs w:val="1"/>
                <w:color w:val="auto"/>
              </w:rPr>
              <w:t>Other Non-current Liabilities</w:t>
            </w:r>
          </w:p>
        </w:tc>
      </w:tr>
      <w:tr>
        <w:trPr>
          <w:trHeight w:val="70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7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6" w:name="page17"/>
    <w:bookmarkEnd w:id="1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 of derivative instruments’ gain or (loss) on the Condensed Consolidated Statements of Operations is in the table below.</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17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1"/>
              </w:rPr>
              <w:t>Nine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34"/>
        </w:trPr>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5"/>
          </w:tcPr>
          <w:p>
            <w:pPr>
              <w:ind w:left="38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17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27"/>
        </w:trPr>
        <w:tc>
          <w:tcPr>
            <w:tcW w:w="342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37"/>
        </w:trPr>
        <w:tc>
          <w:tcPr>
            <w:tcW w:w="342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20" w:type="dxa"/>
            <w:vAlign w:val="bottom"/>
          </w:tcPr>
          <w:p>
            <w:pPr>
              <w:spacing w:after="0"/>
              <w:rPr>
                <w:sz w:val="20"/>
                <w:szCs w:val="20"/>
                <w:color w:val="auto"/>
              </w:rPr>
            </w:pPr>
          </w:p>
        </w:tc>
        <w:tc>
          <w:tcPr>
            <w:tcW w:w="820" w:type="dxa"/>
            <w:vAlign w:val="bottom"/>
          </w:tcPr>
          <w:p>
            <w:pPr>
              <w:ind w:left="12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ind w:left="102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3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 currency forward contracts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Other Expense, Net</w:t>
            </w:r>
          </w:p>
        </w:tc>
      </w:tr>
      <w:tr>
        <w:trPr>
          <w:trHeight w:val="243"/>
        </w:trPr>
        <w:tc>
          <w:tcPr>
            <w:tcW w:w="3420" w:type="dxa"/>
            <w:vAlign w:val="bottom"/>
            <w:gridSpan w:val="2"/>
          </w:tcPr>
          <w:p>
            <w:pPr>
              <w:ind w:left="160"/>
              <w:spacing w:after="0"/>
              <w:rPr>
                <w:sz w:val="20"/>
                <w:szCs w:val="20"/>
                <w:color w:val="auto"/>
              </w:rPr>
            </w:pPr>
            <w:r>
              <w:rPr>
                <w:rFonts w:ascii="Arial" w:cs="Arial" w:eastAsia="Arial" w:hAnsi="Arial"/>
                <w:sz w:val="18"/>
                <w:szCs w:val="18"/>
                <w:color w:val="auto"/>
              </w:rPr>
              <w:t>Warrant on Weatherford Shares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80" w:type="dxa"/>
            <w:vAlign w:val="bottom"/>
          </w:tcPr>
          <w:p>
            <w:pPr>
              <w:ind w:left="40"/>
              <w:spacing w:after="0"/>
              <w:rPr>
                <w:sz w:val="20"/>
                <w:szCs w:val="20"/>
                <w:color w:val="auto"/>
              </w:rPr>
            </w:pPr>
            <w:r>
              <w:rPr>
                <w:rFonts w:ascii="Arial" w:cs="Arial" w:eastAsia="Arial" w:hAnsi="Arial"/>
                <w:sz w:val="17"/>
                <w:szCs w:val="17"/>
                <w:i w:val="1"/>
                <w:iCs w:val="1"/>
                <w:color w:val="auto"/>
              </w:rPr>
              <w:t>Warrant Fair Value Adjustment</w:t>
            </w: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and pre-tax losses for which no benefit has been recognized) for the reporting period. For the three month and nine months periods ended September 30, 2017, we determined that since small changes in estimated ordinary annual income would result in significant changes in the estimated annual effective tax rate, the use of a discrete effective tax rate is appropriate for the current quarter. The discrete method treats the year-to-date period as if it was the annual period and determines the income tax expense or benefit on that basis. We will use this method each quarter until the annual effective tax rate method is deemed appropriate. For the third quarter and the first nine months of 2017, we had a tax expense of $25 million and $75 million, respectively, on a loss before income taxes of $226 million and $784 million, respectively. Results for the third quarter and the first nine months of 2017 include losses with no significant tax benefit. The tax expense for the third quarter and the first nine months of 2017 also includes withholding taxes, minimum taxes and deemed profit taxes that do not directly correlate to ordinary income or loss.</w:t>
      </w:r>
    </w:p>
    <w:p>
      <w:pPr>
        <w:spacing w:after="0" w:line="178"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$10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For both the third quarter and the first nine months of 2016, we had a tax expense of $692 million and $489 million, respectively, on a loss before income taxes of $1.1 billion and $2.3 billion, respectively. The primary component of the tax expense for the third quarter and first nine months of 2016 relates to the Company’s conclusion that certain deferred tax assets that had previously been benefited are not more likely than not to be realized. As a result, additional valuation allowances have been established for the United States and other jurisdictions.</w:t>
      </w:r>
    </w:p>
    <w:p>
      <w:pPr>
        <w:spacing w:after="0" w:line="187" w:lineRule="exact"/>
        <w:rPr>
          <w:sz w:val="20"/>
          <w:szCs w:val="20"/>
          <w:color w:val="auto"/>
        </w:rPr>
      </w:pPr>
    </w:p>
    <w:p>
      <w:pPr>
        <w:jc w:val="both"/>
        <w:ind w:firstLine="338"/>
        <w:spacing w:after="0" w:line="312" w:lineRule="auto"/>
        <w:rPr>
          <w:sz w:val="20"/>
          <w:szCs w:val="20"/>
          <w:color w:val="auto"/>
        </w:rPr>
      </w:pPr>
      <w:r>
        <w:rPr>
          <w:rFonts w:ascii="Arial" w:cs="Arial" w:eastAsia="Arial" w:hAnsi="Arial"/>
          <w:sz w:val="16"/>
          <w:szCs w:val="16"/>
          <w:color w:val="auto"/>
        </w:rPr>
        <w:t>Our results for the third quarter of 2016 include charges with no significant tax benefit principally related to $436 million of long-lived asset impairment, $198 million of excess and obsolete inventory charges, $62 million in accounts receivable reserves and write-offs, and $44 million of other asset write-offs and charges. In addition, we recorded a tax charge of $137 million for a non-cash tax expense related to an internal restructuring of subsidiaries.</w:t>
      </w:r>
    </w:p>
    <w:p>
      <w:pPr>
        <w:spacing w:after="0" w:line="147"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Our results for the first nine months of 2016 also include charges with no significant tax benefit principally related to $436 million of long-lived asset impairment, $213 million of excess and obsolete inventory charges, $140 million of settlement charges, $84 million related to a note adjustment for our largest customer in Venezuela, $78 million of bond tender premium, $62 million in accounts receivable reserves and write-offs, $31 million of currency devaluation related to the Angolan kwanza, $20 million in pressure pumping business related charges, and $15 million in supply agreement charges related to a non-core business divestitures. In addition, we recorded a tax charge of $526 million for the establishment of a valuation allowance, and $137 million for a non-cash tax expense related to an internal restructuring of subsidiaries.</w:t>
      </w:r>
    </w:p>
    <w:p>
      <w:pPr>
        <w:spacing w:after="0" w:line="200" w:lineRule="exact"/>
        <w:rPr>
          <w:sz w:val="20"/>
          <w:szCs w:val="20"/>
          <w:color w:val="auto"/>
        </w:rPr>
      </w:pPr>
    </w:p>
    <w:p>
      <w:pPr>
        <w:spacing w:after="0" w:line="23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49" w:right="239" w:bottom="1440" w:gutter="0" w:footer="0" w:header="0"/>
        </w:sectPr>
      </w:pPr>
    </w:p>
    <w:bookmarkStart w:id="17" w:name="page18"/>
    <w:bookmarkEnd w:id="1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shareholders’ equity activity for the first nine months of 2017 and 2016: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Par Value of</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 in</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Retained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7"/>
                <w:szCs w:val="17"/>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39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Issued</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Excess of Par</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Earnings</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controlling</w:t>
            </w:r>
          </w:p>
        </w:tc>
        <w:tc>
          <w:tcPr>
            <w:tcW w:w="160" w:type="dxa"/>
            <w:vAlign w:val="bottom"/>
          </w:tcPr>
          <w:p>
            <w:pPr>
              <w:spacing w:after="0"/>
              <w:rPr>
                <w:sz w:val="17"/>
                <w:szCs w:val="17"/>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Shareholders’</w:t>
            </w: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Shares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Issuance of Exchangeable Notes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2016</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2017</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March 2016, we issued 115 million ordinary shares, and the amount in excess of par value of $623 million is reported in “Capital in Excess of Par Value” on the accompanying Condensed Consolidated Balance Sheets.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7, 2016, we issued exchangeable notes with a par value of $1.265 billion. The exchange feature carrying value of $97 million is included in the line captioned “Capital in Excess of Par Value” on the accompanying Condensed Consolidated Balance Sheets.</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49" w:right="239" w:bottom="1440" w:gutter="0" w:footer="0" w:header="0"/>
        </w:sectPr>
      </w:pPr>
    </w:p>
    <w:bookmarkStart w:id="18" w:name="page19"/>
    <w:bookmarkEnd w:id="1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changes in our accumulated other comprehensive loss by component for the first nine months of 2017 and 2016: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Currency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Defined Benefit</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Deferred Loss 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Adjustment</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Pension</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Derivatives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Defined benefit pension reclassifications relate to amortization of unrecognized net gains associated primarily with our supplemental executive retirement plan.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Earnings per Share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Basic earnings per share for all periods presented equals net income (loss) divided by the weighted average number of our shares outstanding during the period including participating securities. Diluted earnings (loss) per share is computed by dividing net income (loss) by the weighted average number of our shares outstanding during the period including participating securities, adjusted for the dilutive effect of our stock options, restricted shares and performance share units. The following table presents our basic and diluted weighted average shares outstanding for the third quarter and the first nine months of 2017 and 2016:</w:t>
      </w:r>
    </w:p>
    <w:p>
      <w:pPr>
        <w:spacing w:after="0" w:line="130"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2"/>
              </w:rPr>
              <w:t>Three Months Ended</w:t>
            </w: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280" w:type="dxa"/>
            <w:vAlign w:val="bottom"/>
          </w:tcPr>
          <w:p>
            <w:pPr>
              <w:spacing w:after="0"/>
              <w:rPr>
                <w:sz w:val="20"/>
                <w:szCs w:val="20"/>
                <w:color w:val="auto"/>
              </w:rPr>
            </w:pPr>
          </w:p>
        </w:tc>
        <w:tc>
          <w:tcPr>
            <w:tcW w:w="20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5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r>
      <w:tr>
        <w:trPr>
          <w:trHeight w:val="27"/>
        </w:trPr>
        <w:tc>
          <w:tcPr>
            <w:tcW w:w="5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7"/>
        </w:trPr>
        <w:tc>
          <w:tcPr>
            <w:tcW w:w="5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basic and diluted weighted average shares outstanding for the periods presented are equivalent due to the net loss attributable to shareholders. Diluted weighted average shares outstanding for the third quarter and the first nine months of 2017 and 2016 exclude potential shares for stock options, restricted shares, performance share units, exchangeable notes, warrant outstanding and the Employee Stock Purchase Plan as we have net losses for those periods, and their inclusion would be anti-dilutive. The following table presents the number of anti-dilutive shares excluded for the third quarter and the first nine months of 2017 and 2016:</w:t>
      </w:r>
    </w:p>
    <w:p>
      <w:pPr>
        <w:spacing w:after="0" w:line="130"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2"/>
              </w:rPr>
              <w:t>Three Months Ended</w:t>
            </w: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22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potential shares due to net loss</w:t>
            </w:r>
          </w:p>
        </w:tc>
        <w:tc>
          <w:tcPr>
            <w:tcW w:w="2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CCEEFF"/>
            </w:tcBorders>
            <w:shd w:val="clear" w:color="auto" w:fill="CCEEFF"/>
          </w:tcPr>
          <w:p>
            <w:pPr>
              <w:spacing w:after="0"/>
              <w:rPr>
                <w:sz w:val="15"/>
                <w:szCs w:val="15"/>
                <w:color w:val="auto"/>
              </w:rPr>
            </w:pPr>
          </w:p>
        </w:tc>
        <w:tc>
          <w:tcPr>
            <w:tcW w:w="22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3940" w:type="dxa"/>
            <w:vAlign w:val="bottom"/>
          </w:tcPr>
          <w:p>
            <w:pPr>
              <w:spacing w:after="0"/>
              <w:rPr>
                <w:sz w:val="24"/>
                <w:szCs w:val="24"/>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17</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9" w:name="page20"/>
    <w:bookmarkEnd w:id="1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Share-Based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recognized the following employee share-based compensation expense during the third quarter and the first nine months of 2017 and 2016: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080" w:type="dxa"/>
            <w:vAlign w:val="bottom"/>
            <w:gridSpan w:val="4"/>
          </w:tcPr>
          <w:p>
            <w:pPr>
              <w:ind w:left="400"/>
              <w:spacing w:after="0"/>
              <w:rPr>
                <w:sz w:val="20"/>
                <w:szCs w:val="20"/>
                <w:color w:val="auto"/>
              </w:rPr>
            </w:pPr>
            <w:r>
              <w:rPr>
                <w:rFonts w:ascii="Arial" w:cs="Arial" w:eastAsia="Arial" w:hAnsi="Arial"/>
                <w:sz w:val="18"/>
                <w:szCs w:val="18"/>
                <w:b w:val="1"/>
                <w:bCs w:val="1"/>
                <w:color w:val="auto"/>
                <w:w w:val="93"/>
              </w:rPr>
              <w:t>Three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520" w:type="dxa"/>
            <w:vAlign w:val="bottom"/>
          </w:tcPr>
          <w:p>
            <w:pPr>
              <w:spacing w:after="0"/>
              <w:rPr>
                <w:sz w:val="20"/>
                <w:szCs w:val="20"/>
                <w:color w:val="auto"/>
              </w:rPr>
            </w:pPr>
          </w:p>
        </w:tc>
        <w:tc>
          <w:tcPr>
            <w:tcW w:w="2080" w:type="dxa"/>
            <w:vAlign w:val="bottom"/>
            <w:gridSpan w:val="4"/>
          </w:tcPr>
          <w:p>
            <w:pPr>
              <w:ind w:left="66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820" w:type="dxa"/>
            <w:vAlign w:val="bottom"/>
          </w:tcPr>
          <w:p>
            <w:pPr>
              <w:ind w:left="400"/>
              <w:spacing w:after="0"/>
              <w:rPr>
                <w:sz w:val="20"/>
                <w:szCs w:val="20"/>
                <w:color w:val="auto"/>
              </w:rPr>
            </w:pPr>
            <w:r>
              <w:rPr>
                <w:rFonts w:ascii="Arial" w:cs="Arial" w:eastAsia="Arial" w:hAnsi="Arial"/>
                <w:sz w:val="18"/>
                <w:szCs w:val="18"/>
                <w:b w:val="1"/>
                <w:bCs w:val="1"/>
                <w:color w:val="auto"/>
                <w:w w:val="99"/>
              </w:rPr>
              <w:t>2017</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6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Related tax benefit</w:t>
            </w:r>
          </w:p>
        </w:tc>
        <w:tc>
          <w:tcPr>
            <w:tcW w:w="82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During the first nine months of 2017, we granted to certain employees approximately 3.1 million performance share units that will vest with continued employment if the Company meets certain market-based performance goals. The performance share units have a weighted average grant date fair value of $6.06 per share based on the Monte Carlo simulation method. The assumptions used in the Monte Carlo simulation included a weighted average risk-free rate of 1.17%, volatility of 67% and a zero dividend yield. As of September 30, 2017, there was $12 million of unrecognized compensation expense related to our performance share units. This cost is expected to be recognized over a weighted average period of less than 2 years.</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nine months of 2017, we also granted 5 million restricted share units at a weighted average grant date fair value of $5.11 per share. As of September 30, 2017, there was $55 million of unrecognized compensation expense related to our unvested restricted share grants. This cost is expected to be recognized over a weighted average period of less than 2 years.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16. Segment Information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Financial information by segment is summarized below. Revenues are attributable to countries based on the ultimate destination of the sale of products or performance of services. The accounting policies of the segments are the same as those described in the summary of significant accounting policies as presented in our Form 10-K. In the beginning of the fourth quarter of 2017, management commenced with the implementation of internal changes to the Company’s organization structure and as a result we are in the process of reassessing our reportable segments. See “Note 20 – Subsequent Event” for additional information.</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00" w:type="dxa"/>
            <w:vAlign w:val="bottom"/>
            <w:gridSpan w:val="7"/>
          </w:tcPr>
          <w:p>
            <w:pPr>
              <w:jc w:val="center"/>
              <w:ind w:right="230"/>
              <w:spacing w:after="0"/>
              <w:rPr>
                <w:sz w:val="20"/>
                <w:szCs w:val="20"/>
                <w:color w:val="auto"/>
              </w:rPr>
            </w:pPr>
            <w:r>
              <w:rPr>
                <w:rFonts w:ascii="Arial" w:cs="Arial" w:eastAsia="Arial" w:hAnsi="Arial"/>
                <w:sz w:val="18"/>
                <w:szCs w:val="18"/>
                <w:b w:val="1"/>
                <w:bCs w:val="1"/>
                <w:color w:val="auto"/>
                <w:w w:val="90"/>
              </w:rPr>
              <w:t>Three Months Ended September 30, 2017</w:t>
            </w:r>
          </w:p>
        </w:tc>
      </w:tr>
      <w:tr>
        <w:trPr>
          <w:trHeight w:val="27"/>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8"/>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Net</w:t>
            </w:r>
          </w:p>
        </w:tc>
        <w:tc>
          <w:tcPr>
            <w:tcW w:w="28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Income (Loss)</w:t>
            </w:r>
          </w:p>
        </w:tc>
        <w:tc>
          <w:tcPr>
            <w:tcW w:w="280" w:type="dxa"/>
            <w:vAlign w:val="bottom"/>
          </w:tcPr>
          <w:p>
            <w:pPr>
              <w:spacing w:after="0"/>
              <w:rPr>
                <w:sz w:val="18"/>
                <w:szCs w:val="18"/>
                <w:color w:val="auto"/>
              </w:rPr>
            </w:pPr>
          </w:p>
        </w:tc>
        <w:tc>
          <w:tcPr>
            <w:tcW w:w="16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Operating</w:t>
            </w:r>
          </w:p>
        </w:tc>
        <w:tc>
          <w:tcPr>
            <w:tcW w:w="28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from</w:t>
            </w:r>
          </w:p>
        </w:tc>
        <w:tc>
          <w:tcPr>
            <w:tcW w:w="280" w:type="dxa"/>
            <w:vAlign w:val="bottom"/>
          </w:tcPr>
          <w:p>
            <w:pPr>
              <w:spacing w:after="0"/>
              <w:rPr>
                <w:sz w:val="18"/>
                <w:szCs w:val="18"/>
                <w:color w:val="auto"/>
              </w:rPr>
            </w:pPr>
          </w:p>
        </w:tc>
        <w:tc>
          <w:tcPr>
            <w:tcW w:w="166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Revenues</w:t>
            </w: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Operations</w:t>
            </w:r>
          </w:p>
        </w:tc>
        <w:tc>
          <w:tcPr>
            <w:tcW w:w="280" w:type="dxa"/>
            <w:vAlign w:val="bottom"/>
          </w:tcPr>
          <w:p>
            <w:pPr>
              <w:spacing w:after="0"/>
              <w:rPr>
                <w:sz w:val="20"/>
                <w:szCs w:val="20"/>
                <w:color w:val="auto"/>
              </w:rPr>
            </w:pPr>
          </w:p>
        </w:tc>
        <w:tc>
          <w:tcPr>
            <w:tcW w:w="166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49</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49</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3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(a)</w:t>
            </w:r>
          </w:p>
        </w:tc>
        <w:tc>
          <w:tcPr>
            <w:tcW w:w="3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Asset Write-Downs and Other</w:t>
            </w: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Litigation Credit</w:t>
            </w:r>
          </w:p>
        </w:tc>
        <w:tc>
          <w:tcPr>
            <w:tcW w:w="3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r>
      <w:tr>
        <w:trPr>
          <w:trHeight w:val="257"/>
        </w:trPr>
        <w:tc>
          <w:tcPr>
            <w:tcW w:w="536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199</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line="275"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restructuring charges of $34 million: $20 million in MENA/Asia Pacific, $9 million in Latin America, $2 million in Europe/SSA/Russia, $2 million in Corporate and Research and Development, and $1 million in North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9" w:right="239" w:bottom="1440" w:gutter="0" w:footer="0" w:header="0"/>
        </w:sectPr>
      </w:pPr>
    </w:p>
    <w:bookmarkStart w:id="20" w:name="page21"/>
    <w:bookmarkEnd w:id="20"/>
    <w:tbl>
      <w:tblPr>
        <w:tblLayout w:type="fixed"/>
        <w:tblInd w:w="320" w:type="dxa"/>
        <w:tblCellMar>
          <w:top w:w="0" w:type="dxa"/>
          <w:left w:w="0" w:type="dxa"/>
          <w:bottom w:w="0" w:type="dxa"/>
          <w:right w:w="0" w:type="dxa"/>
        </w:tblCellMar>
      </w:tblPr>
      <w:tr>
        <w:trPr>
          <w:trHeight w:val="207"/>
        </w:trPr>
        <w:tc>
          <w:tcPr>
            <w:tcW w:w="51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642"/>
        </w:trPr>
        <w:tc>
          <w:tcPr>
            <w:tcW w:w="1260" w:type="dxa"/>
            <w:vAlign w:val="bottom"/>
            <w:tcBorders>
              <w:top w:val="single" w:sz="8" w:color="0000EE"/>
            </w:tcBorders>
          </w:tcPr>
          <w:p>
            <w:pPr>
              <w:spacing w:after="0"/>
              <w:rPr>
                <w:sz w:val="24"/>
                <w:szCs w:val="24"/>
                <w:color w:val="auto"/>
              </w:rPr>
            </w:pPr>
          </w:p>
        </w:tc>
        <w:tc>
          <w:tcPr>
            <w:tcW w:w="3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40" w:type="dxa"/>
            <w:vAlign w:val="bottom"/>
            <w:gridSpan w:val="7"/>
          </w:tcPr>
          <w:p>
            <w:pPr>
              <w:jc w:val="center"/>
              <w:ind w:right="230"/>
              <w:spacing w:after="0"/>
              <w:rPr>
                <w:sz w:val="20"/>
                <w:szCs w:val="20"/>
                <w:color w:val="auto"/>
              </w:rPr>
            </w:pPr>
            <w:r>
              <w:rPr>
                <w:rFonts w:ascii="Arial" w:cs="Arial" w:eastAsia="Arial" w:hAnsi="Arial"/>
                <w:sz w:val="18"/>
                <w:szCs w:val="18"/>
                <w:b w:val="1"/>
                <w:bCs w:val="1"/>
                <w:color w:val="auto"/>
                <w:w w:val="90"/>
              </w:rPr>
              <w:t>Three Months Ended September 30, 2016</w:t>
            </w:r>
          </w:p>
        </w:tc>
      </w:tr>
      <w:tr>
        <w:trPr>
          <w:trHeight w:val="27"/>
        </w:trPr>
        <w:tc>
          <w:tcPr>
            <w:tcW w:w="1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8"/>
        </w:trPr>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26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Income (Loss)</w:t>
            </w:r>
          </w:p>
        </w:tc>
        <w:tc>
          <w:tcPr>
            <w:tcW w:w="260" w:type="dxa"/>
            <w:vAlign w:val="bottom"/>
          </w:tcPr>
          <w:p>
            <w:pPr>
              <w:spacing w:after="0"/>
              <w:rPr>
                <w:sz w:val="18"/>
                <w:szCs w:val="18"/>
                <w:color w:val="auto"/>
              </w:rPr>
            </w:pPr>
          </w:p>
        </w:tc>
        <w:tc>
          <w:tcPr>
            <w:tcW w:w="1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Depreciation</w:t>
            </w:r>
          </w:p>
        </w:tc>
      </w:tr>
      <w:tr>
        <w:trPr>
          <w:trHeight w:val="216"/>
        </w:trPr>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Operating</w:t>
            </w:r>
          </w:p>
        </w:tc>
        <w:tc>
          <w:tcPr>
            <w:tcW w:w="2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from</w:t>
            </w:r>
          </w:p>
        </w:tc>
        <w:tc>
          <w:tcPr>
            <w:tcW w:w="260" w:type="dxa"/>
            <w:vAlign w:val="bottom"/>
          </w:tcPr>
          <w:p>
            <w:pPr>
              <w:spacing w:after="0"/>
              <w:rPr>
                <w:sz w:val="18"/>
                <w:szCs w:val="18"/>
                <w:color w:val="auto"/>
              </w:rPr>
            </w:pPr>
          </w:p>
        </w:tc>
        <w:tc>
          <w:tcPr>
            <w:tcW w:w="16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518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0"/>
                <w:szCs w:val="20"/>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Revenues</w:t>
            </w:r>
          </w:p>
        </w:tc>
        <w:tc>
          <w:tcPr>
            <w:tcW w:w="260" w:type="dxa"/>
            <w:vAlign w:val="bottom"/>
          </w:tcPr>
          <w:p>
            <w:pPr>
              <w:spacing w:after="0"/>
              <w:rPr>
                <w:sz w:val="20"/>
                <w:szCs w:val="20"/>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Operations</w:t>
            </w:r>
          </w:p>
        </w:tc>
        <w:tc>
          <w:tcPr>
            <w:tcW w:w="260" w:type="dxa"/>
            <w:vAlign w:val="bottom"/>
          </w:tcPr>
          <w:p>
            <w:pPr>
              <w:spacing w:after="0"/>
              <w:rPr>
                <w:sz w:val="20"/>
                <w:szCs w:val="20"/>
                <w:color w:val="auto"/>
              </w:rPr>
            </w:pPr>
          </w:p>
        </w:tc>
        <w:tc>
          <w:tcPr>
            <w:tcW w:w="1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Amortization</w:t>
            </w:r>
          </w:p>
        </w:tc>
      </w:tr>
      <w:tr>
        <w:trPr>
          <w:trHeight w:val="27"/>
        </w:trPr>
        <w:tc>
          <w:tcPr>
            <w:tcW w:w="12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1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12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12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126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1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1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w w:val="96"/>
              </w:rPr>
              <w:t xml:space="preserve">Long-lived Asset Impairments, Write-Downs and Other Charges </w:t>
            </w:r>
            <w:r>
              <w:rPr>
                <w:rFonts w:ascii="Arial" w:cs="Arial" w:eastAsia="Arial" w:hAnsi="Arial"/>
                <w:sz w:val="25"/>
                <w:szCs w:val="25"/>
                <w:color w:val="auto"/>
                <w:w w:val="96"/>
                <w:vertAlign w:val="superscript"/>
              </w:rPr>
              <w:t>(b)</w:t>
            </w:r>
          </w:p>
        </w:tc>
        <w:tc>
          <w:tcPr>
            <w:tcW w:w="3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1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(c)</w:t>
            </w:r>
          </w:p>
        </w:tc>
        <w:tc>
          <w:tcPr>
            <w:tcW w:w="3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Litigation Charges, Net</w:t>
            </w: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r>
      <w:tr>
        <w:trPr>
          <w:trHeight w:val="257"/>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242</w:t>
            </w:r>
          </w:p>
        </w:tc>
      </w:tr>
      <w:tr>
        <w:trPr>
          <w:trHeight w:val="20"/>
        </w:trPr>
        <w:tc>
          <w:tcPr>
            <w:tcW w:w="1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480" w:hanging="330"/>
        <w:spacing w:after="0" w:line="255" w:lineRule="auto"/>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$436 million in long-lived asset impairments, $198 million in inventory write-downs, $62 million in accounts receivable reserves and write-offs, and $44 million of other asset write-offs and charges.</w:t>
      </w:r>
    </w:p>
    <w:p>
      <w:pPr>
        <w:spacing w:after="0" w:line="1" w:lineRule="exact"/>
        <w:rPr>
          <w:rFonts w:ascii="Arial" w:cs="Arial" w:eastAsia="Arial" w:hAnsi="Arial"/>
          <w:sz w:val="16"/>
          <w:szCs w:val="16"/>
          <w:color w:val="auto"/>
        </w:rPr>
      </w:pPr>
    </w:p>
    <w:p>
      <w:pPr>
        <w:ind w:left="480" w:hanging="330"/>
        <w:spacing w:after="0" w:line="257" w:lineRule="auto"/>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restructuring charges of $22 million: $10 million in Latin America, $5 million in North America, $5 million in MENA/Asia Pacific, and $2 million in Corporate and Research and Development.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00" w:type="dxa"/>
            <w:vAlign w:val="bottom"/>
            <w:gridSpan w:val="7"/>
          </w:tcPr>
          <w:p>
            <w:pPr>
              <w:jc w:val="center"/>
              <w:ind w:right="230"/>
              <w:spacing w:after="0"/>
              <w:rPr>
                <w:sz w:val="20"/>
                <w:szCs w:val="20"/>
                <w:color w:val="auto"/>
              </w:rPr>
            </w:pPr>
            <w:r>
              <w:rPr>
                <w:rFonts w:ascii="Arial" w:cs="Arial" w:eastAsia="Arial" w:hAnsi="Arial"/>
                <w:sz w:val="18"/>
                <w:szCs w:val="18"/>
                <w:b w:val="1"/>
                <w:bCs w:val="1"/>
                <w:color w:val="auto"/>
                <w:w w:val="90"/>
              </w:rPr>
              <w:t>Nine Months Ended September 30, 2017</w:t>
            </w:r>
          </w:p>
        </w:tc>
      </w:tr>
      <w:tr>
        <w:trPr>
          <w:trHeight w:val="27"/>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8"/>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Net</w:t>
            </w:r>
          </w:p>
        </w:tc>
        <w:tc>
          <w:tcPr>
            <w:tcW w:w="28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Income (Loss)</w:t>
            </w:r>
          </w:p>
        </w:tc>
        <w:tc>
          <w:tcPr>
            <w:tcW w:w="280" w:type="dxa"/>
            <w:vAlign w:val="bottom"/>
          </w:tcPr>
          <w:p>
            <w:pPr>
              <w:spacing w:after="0"/>
              <w:rPr>
                <w:sz w:val="18"/>
                <w:szCs w:val="18"/>
                <w:color w:val="auto"/>
              </w:rPr>
            </w:pPr>
          </w:p>
        </w:tc>
        <w:tc>
          <w:tcPr>
            <w:tcW w:w="16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Operating</w:t>
            </w:r>
          </w:p>
        </w:tc>
        <w:tc>
          <w:tcPr>
            <w:tcW w:w="28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from</w:t>
            </w:r>
          </w:p>
        </w:tc>
        <w:tc>
          <w:tcPr>
            <w:tcW w:w="280" w:type="dxa"/>
            <w:vAlign w:val="bottom"/>
          </w:tcPr>
          <w:p>
            <w:pPr>
              <w:spacing w:after="0"/>
              <w:rPr>
                <w:sz w:val="18"/>
                <w:szCs w:val="18"/>
                <w:color w:val="auto"/>
              </w:rPr>
            </w:pPr>
          </w:p>
        </w:tc>
        <w:tc>
          <w:tcPr>
            <w:tcW w:w="166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Revenues</w:t>
            </w: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Operations</w:t>
            </w:r>
          </w:p>
        </w:tc>
        <w:tc>
          <w:tcPr>
            <w:tcW w:w="280" w:type="dxa"/>
            <w:vAlign w:val="bottom"/>
          </w:tcPr>
          <w:p>
            <w:pPr>
              <w:spacing w:after="0"/>
              <w:rPr>
                <w:sz w:val="20"/>
                <w:szCs w:val="20"/>
                <w:color w:val="auto"/>
              </w:rPr>
            </w:pPr>
          </w:p>
        </w:tc>
        <w:tc>
          <w:tcPr>
            <w:tcW w:w="166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151</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r>
      <w:tr>
        <w:trPr>
          <w:trHeight w:val="270"/>
        </w:trPr>
        <w:tc>
          <w:tcPr>
            <w:tcW w:w="53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25"/>
                <w:szCs w:val="25"/>
                <w:color w:val="auto"/>
                <w:vertAlign w:val="superscript"/>
              </w:rPr>
              <w:t>(a)</w:t>
            </w:r>
          </w:p>
        </w:tc>
        <w:tc>
          <w:tcPr>
            <w:tcW w:w="3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r>
      <w:tr>
        <w:trPr>
          <w:trHeight w:val="24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70</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3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(b)</w:t>
            </w:r>
          </w:p>
        </w:tc>
        <w:tc>
          <w:tcPr>
            <w:tcW w:w="3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Asset Write-Downs and Other</w:t>
            </w: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Litigation Credit</w:t>
            </w:r>
          </w:p>
        </w:tc>
        <w:tc>
          <w:tcPr>
            <w:tcW w:w="3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r>
      <w:tr>
        <w:trPr>
          <w:trHeight w:val="257"/>
        </w:trPr>
        <w:tc>
          <w:tcPr>
            <w:tcW w:w="536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4,209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611</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jc w:val="both"/>
        <w:ind w:left="480" w:hanging="330"/>
        <w:spacing w:after="0" w:line="282"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second quarter of 2017, the Company changed its accounting for revenue with our largest customer in Venezuela. The total impact of this change for the first six months of 2017 related to prior periods is a reduction in revenues and income from operations of approximately $23 million for the second half of 2016. See “</w:t>
      </w:r>
      <w:r>
        <w:rPr>
          <w:rFonts w:ascii="Arial" w:cs="Arial" w:eastAsia="Arial" w:hAnsi="Arial"/>
          <w:sz w:val="18"/>
          <w:szCs w:val="18"/>
          <w:color w:val="auto"/>
        </w:rPr>
        <w:t>Note 1 –</w:t>
      </w:r>
      <w:r>
        <w:rPr>
          <w:rFonts w:ascii="Arial" w:cs="Arial" w:eastAsia="Arial" w:hAnsi="Arial"/>
          <w:sz w:val="16"/>
          <w:szCs w:val="16"/>
          <w:color w:val="auto"/>
        </w:rPr>
        <w:t xml:space="preserve"> </w:t>
      </w:r>
      <w:r>
        <w:rPr>
          <w:rFonts w:ascii="Arial" w:cs="Arial" w:eastAsia="Arial" w:hAnsi="Arial"/>
          <w:sz w:val="18"/>
          <w:szCs w:val="18"/>
          <w:color w:val="auto"/>
        </w:rPr>
        <w:t>General</w:t>
      </w:r>
      <w:r>
        <w:rPr>
          <w:rFonts w:ascii="Arial" w:cs="Arial" w:eastAsia="Arial" w:hAnsi="Arial"/>
          <w:sz w:val="16"/>
          <w:szCs w:val="16"/>
          <w:color w:val="auto"/>
        </w:rPr>
        <w:t>” for additional details.</w:t>
      </w:r>
    </w:p>
    <w:p>
      <w:pPr>
        <w:spacing w:after="0" w:line="13" w:lineRule="exact"/>
        <w:rPr>
          <w:rFonts w:ascii="Arial" w:cs="Arial" w:eastAsia="Arial" w:hAnsi="Arial"/>
          <w:sz w:val="16"/>
          <w:szCs w:val="16"/>
          <w:color w:val="auto"/>
        </w:rPr>
      </w:pPr>
    </w:p>
    <w:p>
      <w:pPr>
        <w:ind w:left="480" w:hanging="330"/>
        <w:spacing w:after="0" w:line="275"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restructuring charges of $140 million: $31 million in Europe/SSA/Russia, $29 million in MENA/Asia Pacific, $29 million in Corporate and Research and Development, $25 million in Latin America, $24 million in North America, and $2 million in Land Drilling Rigs.</w:t>
      </w:r>
    </w:p>
    <w:p>
      <w:pPr>
        <w:spacing w:after="0" w:line="38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60" w:top="432" w:right="239" w:bottom="1440" w:gutter="0" w:footer="0" w:header="0"/>
        </w:sectPr>
      </w:pPr>
    </w:p>
    <w:bookmarkStart w:id="21" w:name="page22"/>
    <w:bookmarkEnd w:id="21"/>
    <w:tbl>
      <w:tblPr>
        <w:tblLayout w:type="fixed"/>
        <w:tblInd w:w="340" w:type="dxa"/>
        <w:tblCellMar>
          <w:top w:w="0" w:type="dxa"/>
          <w:left w:w="0" w:type="dxa"/>
          <w:bottom w:w="0" w:type="dxa"/>
          <w:right w:w="0" w:type="dxa"/>
        </w:tblCellMar>
      </w:tblPr>
      <w:tr>
        <w:trPr>
          <w:trHeight w:val="207"/>
        </w:trPr>
        <w:tc>
          <w:tcPr>
            <w:tcW w:w="51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60" w:type="dxa"/>
            <w:vAlign w:val="bottom"/>
            <w:tcBorders>
              <w:top w:val="single" w:sz="8" w:color="0000EE"/>
            </w:tcBorders>
          </w:tcPr>
          <w:p>
            <w:pPr>
              <w:spacing w:after="0"/>
              <w:rPr>
                <w:sz w:val="24"/>
                <w:szCs w:val="24"/>
                <w:color w:val="auto"/>
              </w:rPr>
            </w:pPr>
          </w:p>
        </w:tc>
        <w:tc>
          <w:tcPr>
            <w:tcW w:w="3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40" w:type="dxa"/>
            <w:vAlign w:val="bottom"/>
            <w:gridSpan w:val="7"/>
          </w:tcPr>
          <w:p>
            <w:pPr>
              <w:jc w:val="center"/>
              <w:ind w:right="210"/>
              <w:spacing w:after="0"/>
              <w:rPr>
                <w:sz w:val="20"/>
                <w:szCs w:val="20"/>
                <w:color w:val="auto"/>
              </w:rPr>
            </w:pPr>
            <w:r>
              <w:rPr>
                <w:rFonts w:ascii="Arial" w:cs="Arial" w:eastAsia="Arial" w:hAnsi="Arial"/>
                <w:sz w:val="18"/>
                <w:szCs w:val="18"/>
                <w:b w:val="1"/>
                <w:bCs w:val="1"/>
                <w:color w:val="auto"/>
                <w:w w:val="90"/>
              </w:rPr>
              <w:t>Nine Months Ended September 30, 2016</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26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Income (Loss)</w:t>
            </w:r>
          </w:p>
        </w:tc>
        <w:tc>
          <w:tcPr>
            <w:tcW w:w="260" w:type="dxa"/>
            <w:vAlign w:val="bottom"/>
          </w:tcPr>
          <w:p>
            <w:pPr>
              <w:spacing w:after="0"/>
              <w:rPr>
                <w:sz w:val="18"/>
                <w:szCs w:val="18"/>
                <w:color w:val="auto"/>
              </w:rPr>
            </w:pPr>
          </w:p>
        </w:tc>
        <w:tc>
          <w:tcPr>
            <w:tcW w:w="1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Depreciation</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Operating</w:t>
            </w:r>
          </w:p>
        </w:tc>
        <w:tc>
          <w:tcPr>
            <w:tcW w:w="2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from</w:t>
            </w:r>
          </w:p>
        </w:tc>
        <w:tc>
          <w:tcPr>
            <w:tcW w:w="260" w:type="dxa"/>
            <w:vAlign w:val="bottom"/>
          </w:tcPr>
          <w:p>
            <w:pPr>
              <w:spacing w:after="0"/>
              <w:rPr>
                <w:sz w:val="18"/>
                <w:szCs w:val="18"/>
                <w:color w:val="auto"/>
              </w:rPr>
            </w:pPr>
          </w:p>
        </w:tc>
        <w:tc>
          <w:tcPr>
            <w:tcW w:w="16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and</w:t>
            </w:r>
          </w:p>
        </w:tc>
        <w:tc>
          <w:tcPr>
            <w:tcW w:w="0" w:type="dxa"/>
            <w:vAlign w:val="bottom"/>
          </w:tcPr>
          <w:p>
            <w:pPr>
              <w:spacing w:after="0"/>
              <w:rPr>
                <w:sz w:val="1"/>
                <w:szCs w:val="1"/>
                <w:color w:val="auto"/>
              </w:rPr>
            </w:pPr>
          </w:p>
        </w:tc>
      </w:tr>
      <w:tr>
        <w:trPr>
          <w:trHeight w:val="234"/>
        </w:trPr>
        <w:tc>
          <w:tcPr>
            <w:tcW w:w="518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0"/>
                <w:szCs w:val="20"/>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Revenues</w:t>
            </w:r>
          </w:p>
        </w:tc>
        <w:tc>
          <w:tcPr>
            <w:tcW w:w="260" w:type="dxa"/>
            <w:vAlign w:val="bottom"/>
          </w:tcPr>
          <w:p>
            <w:pPr>
              <w:spacing w:after="0"/>
              <w:rPr>
                <w:sz w:val="20"/>
                <w:szCs w:val="20"/>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Operations</w:t>
            </w:r>
          </w:p>
        </w:tc>
        <w:tc>
          <w:tcPr>
            <w:tcW w:w="260" w:type="dxa"/>
            <w:vAlign w:val="bottom"/>
          </w:tcPr>
          <w:p>
            <w:pPr>
              <w:spacing w:after="0"/>
              <w:rPr>
                <w:sz w:val="20"/>
                <w:szCs w:val="20"/>
                <w:color w:val="auto"/>
              </w:rPr>
            </w:pPr>
          </w:p>
        </w:tc>
        <w:tc>
          <w:tcPr>
            <w:tcW w:w="1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Amortization</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6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1"/>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 xml:space="preserve">Long-lived Asset Impairments, Write-Downs and Other Charges </w:t>
            </w:r>
            <w:r>
              <w:rPr>
                <w:rFonts w:ascii="Arial" w:cs="Arial" w:eastAsia="Arial" w:hAnsi="Arial"/>
                <w:sz w:val="25"/>
                <w:szCs w:val="25"/>
                <w:color w:val="auto"/>
                <w:w w:val="96"/>
                <w:vertAlign w:val="superscript"/>
              </w:rPr>
              <w:t>(c)</w:t>
            </w:r>
          </w:p>
        </w:tc>
        <w:tc>
          <w:tcPr>
            <w:tcW w:w="3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260" w:type="dxa"/>
            <w:vAlign w:val="bottom"/>
            <w:tcBorders>
              <w:bottom w:val="single" w:sz="8" w:color="CCEEFF"/>
            </w:tcBorders>
            <w:shd w:val="clear" w:color="auto" w:fill="CCEEFF"/>
          </w:tcPr>
          <w:p>
            <w:pPr>
              <w:spacing w:after="0"/>
              <w:rPr>
                <w:sz w:val="10"/>
                <w:szCs w:val="10"/>
                <w:color w:val="auto"/>
              </w:rPr>
            </w:pPr>
          </w:p>
        </w:tc>
        <w:tc>
          <w:tcPr>
            <w:tcW w:w="392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5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16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16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1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(d)</w:t>
            </w:r>
          </w:p>
        </w:tc>
        <w:tc>
          <w:tcPr>
            <w:tcW w:w="3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Litigation Charges, Net</w:t>
            </w: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4,343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left="500" w:hanging="330"/>
        <w:spacing w:after="0" w:line="290"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Includes $436 million in long-lived asset impairments, </w:t>
      </w:r>
      <w:r>
        <w:rPr>
          <w:rFonts w:ascii="Arial" w:cs="Arial" w:eastAsia="Arial" w:hAnsi="Arial"/>
          <w:sz w:val="18"/>
          <w:szCs w:val="18"/>
          <w:color w:val="auto"/>
        </w:rPr>
        <w:t>$213 million</w:t>
      </w:r>
      <w:r>
        <w:rPr>
          <w:rFonts w:ascii="Arial" w:cs="Arial" w:eastAsia="Arial" w:hAnsi="Arial"/>
          <w:sz w:val="16"/>
          <w:szCs w:val="16"/>
          <w:color w:val="auto"/>
        </w:rPr>
        <w:t xml:space="preserve"> in inventory write-downs, $121 million in other asset write-offs and charges, $84 million to adjust a note from our largest customer in Venezuela to fair value, $62 million in accounts receivable reserves and write-offs, $20 million in pressure pumping related charges, and $15 million in supply agreement charges related to a non-core business divestiture.</w:t>
      </w:r>
    </w:p>
    <w:p>
      <w:pPr>
        <w:spacing w:after="0" w:line="12" w:lineRule="exact"/>
        <w:rPr>
          <w:rFonts w:ascii="Arial" w:cs="Arial" w:eastAsia="Arial" w:hAnsi="Arial"/>
          <w:sz w:val="16"/>
          <w:szCs w:val="16"/>
          <w:color w:val="auto"/>
        </w:rPr>
      </w:pPr>
    </w:p>
    <w:p>
      <w:pPr>
        <w:ind w:left="500" w:hanging="330"/>
        <w:spacing w:after="0" w:line="275"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restructuring charges of $150 million: $44 million in North America, $37 million in Latin America, $25 million in Europe/SSA/Russia, $25 million in MENA/Asia Pacific, $14 million in Corporate and Research and Development and $5 million in Land Drilling Rigs.</w:t>
      </w:r>
    </w:p>
    <w:p>
      <w:pPr>
        <w:spacing w:after="0" w:line="164" w:lineRule="exact"/>
        <w:rPr>
          <w:rFonts w:ascii="Arial" w:cs="Arial" w:eastAsia="Arial" w:hAnsi="Arial"/>
          <w:sz w:val="16"/>
          <w:szCs w:val="16"/>
          <w:color w:val="auto"/>
        </w:rPr>
      </w:pPr>
    </w:p>
    <w:p>
      <w:pPr>
        <w:ind w:left="600" w:hanging="268"/>
        <w:spacing w:after="0"/>
        <w:tabs>
          <w:tab w:leader="none" w:pos="60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Disputes, Litigation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In 2010, three shareholder derivative actions were filed, purportedly on behalf of the Company, asserting breach of duty and other claims against certain current and former officers and directors of the Company related to the United Nations oil-for-food program governing sales of goods into Iraq, the Foreign Corrupt Practices Act of 1977 and trade sanctions related to the U.S. government investigations disclosed in our SEC filings since 2007. Those shareholder derivative cases were filed in Harris County, Texas state court and consolidated under the caption </w:t>
      </w:r>
      <w:r>
        <w:rPr>
          <w:rFonts w:ascii="Arial" w:cs="Arial" w:eastAsia="Arial" w:hAnsi="Arial"/>
          <w:sz w:val="17"/>
          <w:szCs w:val="17"/>
          <w:i w:val="1"/>
          <w:iCs w:val="1"/>
          <w:color w:val="auto"/>
        </w:rPr>
        <w:t>Neff v. Brady, et al.</w:t>
      </w:r>
      <w:r>
        <w:rPr>
          <w:rFonts w:ascii="Arial" w:cs="Arial" w:eastAsia="Arial" w:hAnsi="Arial"/>
          <w:sz w:val="17"/>
          <w:szCs w:val="17"/>
          <w:color w:val="auto"/>
        </w:rPr>
        <w:t>, No. 2010040764 (collectively referred to as the “</w:t>
      </w:r>
      <w:r>
        <w:rPr>
          <w:rFonts w:ascii="Arial" w:cs="Arial" w:eastAsia="Arial" w:hAnsi="Arial"/>
          <w:sz w:val="17"/>
          <w:szCs w:val="17"/>
          <w:i w:val="1"/>
          <w:iCs w:val="1"/>
          <w:color w:val="auto"/>
        </w:rPr>
        <w:t>Neff Case</w:t>
      </w:r>
      <w:r>
        <w:rPr>
          <w:rFonts w:ascii="Arial" w:cs="Arial" w:eastAsia="Arial" w:hAnsi="Arial"/>
          <w:sz w:val="17"/>
          <w:szCs w:val="17"/>
          <w:color w:val="auto"/>
        </w:rPr>
        <w:t xml:space="preserve">”). Other shareholder demand letters covering the same subject matter were received by the Company in early 2014, and a fourth shareholder derivative action was filed, purportedly on behalf of the Company, also asserting breach of duty and other claims against certain current and former officers and directors of the Company related to the same subject matter as the </w:t>
      </w:r>
      <w:r>
        <w:rPr>
          <w:rFonts w:ascii="Arial" w:cs="Arial" w:eastAsia="Arial" w:hAnsi="Arial"/>
          <w:sz w:val="17"/>
          <w:szCs w:val="17"/>
          <w:i w:val="1"/>
          <w:iCs w:val="1"/>
          <w:color w:val="auto"/>
        </w:rPr>
        <w:t>Neff Case</w:t>
      </w:r>
      <w:r>
        <w:rPr>
          <w:rFonts w:ascii="Arial" w:cs="Arial" w:eastAsia="Arial" w:hAnsi="Arial"/>
          <w:sz w:val="17"/>
          <w:szCs w:val="17"/>
          <w:color w:val="auto"/>
        </w:rPr>
        <w:t xml:space="preserve">. That case, captioned </w:t>
      </w:r>
      <w:r>
        <w:rPr>
          <w:rFonts w:ascii="Arial" w:cs="Arial" w:eastAsia="Arial" w:hAnsi="Arial"/>
          <w:sz w:val="17"/>
          <w:szCs w:val="17"/>
          <w:i w:val="1"/>
          <w:iCs w:val="1"/>
          <w:color w:val="auto"/>
        </w:rPr>
        <w:t xml:space="preserve">Erste-Sparinvest KAG v. Duroc-Danner, et al., </w:t>
      </w:r>
      <w:r>
        <w:rPr>
          <w:rFonts w:ascii="Arial" w:cs="Arial" w:eastAsia="Arial" w:hAnsi="Arial"/>
          <w:sz w:val="17"/>
          <w:szCs w:val="17"/>
          <w:color w:val="auto"/>
        </w:rPr>
        <w:t>No. 201420933 (Harris County, Texas) was consolidated into the</w:t>
      </w:r>
      <w:r>
        <w:rPr>
          <w:rFonts w:ascii="Arial" w:cs="Arial" w:eastAsia="Arial" w:hAnsi="Arial"/>
          <w:sz w:val="17"/>
          <w:szCs w:val="17"/>
          <w:i w:val="1"/>
          <w:iCs w:val="1"/>
          <w:color w:val="auto"/>
        </w:rPr>
        <w:t xml:space="preserve"> Neff Case </w:t>
      </w:r>
      <w:r>
        <w:rPr>
          <w:rFonts w:ascii="Arial" w:cs="Arial" w:eastAsia="Arial" w:hAnsi="Arial"/>
          <w:sz w:val="17"/>
          <w:szCs w:val="17"/>
          <w:color w:val="auto"/>
        </w:rPr>
        <w:t>in September 2014. A motion to dismiss was granted May 15,</w:t>
      </w:r>
      <w:r>
        <w:rPr>
          <w:rFonts w:ascii="Arial" w:cs="Arial" w:eastAsia="Arial" w:hAnsi="Arial"/>
          <w:sz w:val="17"/>
          <w:szCs w:val="17"/>
          <w:i w:val="1"/>
          <w:iCs w:val="1"/>
          <w:color w:val="auto"/>
        </w:rPr>
        <w:t xml:space="preserve"> </w:t>
      </w:r>
      <w:r>
        <w:rPr>
          <w:rFonts w:ascii="Arial" w:cs="Arial" w:eastAsia="Arial" w:hAnsi="Arial"/>
          <w:sz w:val="17"/>
          <w:szCs w:val="17"/>
          <w:color w:val="auto"/>
        </w:rPr>
        <w:t>2015, and an appeal was filed on June 15, 2015. Following briefing and oral argument, on June 29, 2017, the Texas Court of Appeals denied in part and granted in part the shareholders’ appeal. The Court ruled that the shareholders lacked standing to bring claims that arose prior to the Company’s redomestication to Switzerland in 2009, and upheld the dismissal of those claims. The Court reversed as premature the trial court’s dismissal of claims arising after the redomestication and remanded to the trial court for further proceedings. We cannot reliably predict the outcome of the remaining claims, including the amount of any possible loss.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Securities Class Action Settlement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On June 30, 2015, we signed a stipulation to settle a shareholder securities class action captioned </w:t>
      </w:r>
      <w:r>
        <w:rPr>
          <w:rFonts w:ascii="Arial" w:cs="Arial" w:eastAsia="Arial" w:hAnsi="Arial"/>
          <w:sz w:val="16"/>
          <w:szCs w:val="16"/>
          <w:i w:val="1"/>
          <w:iCs w:val="1"/>
          <w:color w:val="auto"/>
        </w:rPr>
        <w:t>Freedman v. Weatherford International Ltd., et al.</w:t>
      </w:r>
      <w:r>
        <w:rPr>
          <w:rFonts w:ascii="Arial" w:cs="Arial" w:eastAsia="Arial" w:hAnsi="Arial"/>
          <w:sz w:val="16"/>
          <w:szCs w:val="16"/>
          <w:color w:val="auto"/>
        </w:rPr>
        <w:t>, No.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1:12-cv-02121-LAK (S.D.N.Y.) for $120 million subject to notice to the class and court approval. The </w:t>
      </w:r>
      <w:r>
        <w:rPr>
          <w:rFonts w:ascii="Arial" w:cs="Arial" w:eastAsia="Arial" w:hAnsi="Arial"/>
          <w:sz w:val="16"/>
          <w:szCs w:val="16"/>
          <w:i w:val="1"/>
          <w:iCs w:val="1"/>
          <w:color w:val="auto"/>
        </w:rPr>
        <w:t>Freedman</w:t>
      </w:r>
      <w:r>
        <w:rPr>
          <w:rFonts w:ascii="Arial" w:cs="Arial" w:eastAsia="Arial" w:hAnsi="Arial"/>
          <w:sz w:val="16"/>
          <w:szCs w:val="16"/>
          <w:color w:val="auto"/>
        </w:rPr>
        <w:t xml:space="preserve"> lawsuit had been filed in the U.S. District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for the Southern District of New York in March 2012, and alleged that we and certain current and former officers of Weatherford violated the federal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laws in connection with the restatements of the Company’s historical financial statements announced on February 21, 2012 and July 24, 2012.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4, 2015, the U.S. District Court for the Southern District of New York entered a final judgment and an order approving the settlement.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settlement, we were required to pay $120 million, which was partially funded by insurance proceeds. There was no admission of liability or fault by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party in connection with the settlement. We are pursuing reimbursement from our insurance carriers and recovered $23 million of the settlement amount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of which $4 million was recovered in the second quarter of 2017.</w:t>
      </w:r>
    </w:p>
    <w:p>
      <w:pPr>
        <w:spacing w:after="0" w:line="23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32" w:right="239" w:bottom="1440" w:gutter="0" w:footer="0" w:header="0"/>
        </w:sectPr>
      </w:pPr>
    </w:p>
    <w:bookmarkStart w:id="22" w:name="page23"/>
    <w:bookmarkEnd w:id="2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and Other Investigations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SEC and the U.S. Department of Justice (“DOJ”) investigated certain accounting issues associated with the material weakness in our internal control over financial reporting for income taxes that was disclosed in a notification of late filing on Form 12b-25 filed on March 1, 2011 and in current reports on Form 8-K filed on February 21, 2012 and on July 24, 2012 and the subsequent restatements of our historical financial statements. During the first quarter 2016, we recorded a loss contingency in the amount of $65 million and increased it to $140 million in the second quarter to reflect our best estimate of the potential settlement. As disclosed in the Form 8-K filed on September 27, 2016, the Company settled with the SEC without admitting or denying the findings of the SEC, by consenting to the entry of an administrative order that requires the Company to cease and desist from committing or causing any violations and any future violations of the anti-fraud provisions of the Securities Act of 1933 (as amended, the “Securities Act”), and the anti-fraud, reporting, books and records, and internal controls provisions of the Securities Exchange Act of 1934 (as amended, the “Exchange Act”), and the rules promulgated thereunder. As part of the terms of the SEC settlement, the Company agreed to pay a total civil monetary penalty of $140 million. In addition, certain reports and certifications regarding our tax internal controls must be delivered to the SEC during the two years following the settlement. We have completed two of three such reports and expect the final report to be delivered when due in March of 2018. A payment of $50 million was made during the fourth quarter of 2016, and a payment of $30 million was made in each of January and May 2017. A final payment of $30 million was made in September 2017.</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Spitzer Industries Litigation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August 2016, after a bench trial in Harris County, Texas, the court entered a judgment of $36 million against the Company in the case of </w:t>
      </w:r>
      <w:r>
        <w:rPr>
          <w:rFonts w:ascii="Arial" w:cs="Arial" w:eastAsia="Arial" w:hAnsi="Arial"/>
          <w:sz w:val="18"/>
          <w:szCs w:val="18"/>
          <w:i w:val="1"/>
          <w:iCs w:val="1"/>
          <w:color w:val="auto"/>
        </w:rPr>
        <w:t>Spitzer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Industries, Inc. (“Spitzer”) vs. Weatherford U.S., L.P. </w:t>
      </w:r>
      <w:r>
        <w:rPr>
          <w:rFonts w:ascii="Arial" w:cs="Arial" w:eastAsia="Arial" w:hAnsi="Arial"/>
          <w:sz w:val="18"/>
          <w:szCs w:val="18"/>
          <w:color w:val="auto"/>
        </w:rPr>
        <w:t>in connection with Spitzer’s fabrication work on two mobile capture vessels used in the cleanup of</w:t>
      </w:r>
      <w:r>
        <w:rPr>
          <w:rFonts w:ascii="Arial" w:cs="Arial" w:eastAsia="Arial" w:hAnsi="Arial"/>
          <w:sz w:val="18"/>
          <w:szCs w:val="18"/>
          <w:i w:val="1"/>
          <w:iCs w:val="1"/>
          <w:color w:val="auto"/>
        </w:rPr>
        <w:t xml:space="preserve"> </w:t>
      </w:r>
      <w:r>
        <w:rPr>
          <w:rFonts w:ascii="Arial" w:cs="Arial" w:eastAsia="Arial" w:hAnsi="Arial"/>
          <w:sz w:val="18"/>
          <w:szCs w:val="18"/>
          <w:color w:val="auto"/>
        </w:rPr>
        <w:t>marine oil spills. We continue to maintain a reserve in the amount of the judgment, and an appellate brief was filed on June 16, 2017 to the First Court of Appeals in Houston, Texas.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Rapid Completions and Packers Plus Litigation</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Several subsidiaries of the Company are defendants in a patent infringement lawsuit filed by Rapid Completions LLC (“RC”) in U.S. District Court for the Eastern District of Texas on July 31, 2015. RC claims that we and other defendants are liable for infringement of seven U.S. patents related to specific downhole completion equipment and the methods of using such equipment. These patents have been assigned to Packers Plus Energy Services, Inc., a Canadian corporation (“Packers Plus”), and purportedly exclusively licensed to RC. The litigation is currently stayed pending resolution of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of each of the patents-in-suit, which are pending before the Patent Trial and Appeal Board of the U.S. Patent and Trademark Office (“USPTO”). RC is seeking a permanent injunction against further alleged infringement, unspecified damages for infringement, supplemental and enhanced damages, and additional relief such as attorneys’ fees. The Company has filed a counterclaim against Packers Plus, seeking declarations of non-infringement, invalidity, and unenforceability of the patents-in-suit on the grounds of inequitable conduct before the USPTO. The Company is seeking attorneys’ fees and costs incurred in the lawsuit.</w:t>
      </w:r>
    </w:p>
    <w:p>
      <w:pPr>
        <w:spacing w:after="0" w:line="19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October 14, 2015, Packers Plus and RC filed suit in Federal Court in Toronto, Canada against the Company and certain subsidiaries alleging infringement of a related Canadian patent and seeking unspecified damages and an accounting of the Company’s profits. Trial on the validity of the Canadian patent was completed in March 2017. The parties are still awaiting a decision from the Court. If the Federal Court upholds the validity of the patent, a trial on infringement will be held in September 2018. The parties mediated both the U.S. and Canadian cases on July 5, 2017, but were unable to reach a settlement.</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second quarter of 2017, the negotiations related to this matter progressed to a point where we recognized a liability for a loss contingency that we believe to be probable and for which a reasonable estimate could be made. The estimate remains unchanged as of September 30, 2017. In both cases, we will continue to defend ourselves vigorously. If one or more negative outcomes were to occur in either case, the impact to our financial position, results of operations, or cash flows could be material.</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Disputes and Litigation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we are aware of various disputes and potential claims and are a party in various litigation involving claims against us, including as a defendant in various employment claims alleging our failure to pay certain classes of workers overtime in compliance with the Fair Labor Standards Act for which an agreement was reached and settled during 2016. Some of these disputes and claims are covered by insurance. For claims, disputes and pending litigation in which we believe a negative outcome is probable and a loss can be reasonably estimated, we have recorded a liability for the expected loss. These liabilities are immaterial to our financial condition and results of operations.</w:t>
      </w:r>
    </w:p>
    <w:p>
      <w:pPr>
        <w:spacing w:after="0" w:line="200" w:lineRule="exact"/>
        <w:rPr>
          <w:sz w:val="20"/>
          <w:szCs w:val="20"/>
          <w:color w:val="auto"/>
        </w:rPr>
      </w:pP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49" w:right="239" w:bottom="1440" w:gutter="0" w:footer="0" w:header="0"/>
        </w:sectPr>
      </w:pPr>
    </w:p>
    <w:bookmarkStart w:id="23" w:name="page24"/>
    <w:bookmarkEnd w:id="2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Accrued litigation and settlements recorded in “Other Current Liabilities” on the accompanying Condensed Consolidated Balance Sheets as of September 30, 2017 and December 31, 2016 were $91 million and $181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contractual residual value guarantee balance of $28 million in “Other Non-Current Liabilities” on the accompanying Condensed Consolidated Balance Sheets at December 31, 2016 was extinguished after the underlying leased equipment in our North America pressure pumping operations was purchased during the first quarter of 2017.</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minimum purchase commitments related to supply contracts and maintain a liability at September 30, 2017 of $122 million for losses incurred on the contracts, of which $52 million is recorded in “Other Current Liabilities,” $47 million is recorded in “Other Non-Current Liabilities” and $23 million to be contributed to the OneStim joint venture is recorded in “Liabilities Held for Sale” on our Condensed Consolidated Balance Sheets.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18. 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May 2017, the Financial Accounting Standards Board (“FASB”) issued ASU 2017-09, </w:t>
      </w:r>
      <w:r>
        <w:rPr>
          <w:rFonts w:ascii="Arial" w:cs="Arial" w:eastAsia="Arial" w:hAnsi="Arial"/>
          <w:sz w:val="18"/>
          <w:szCs w:val="18"/>
          <w:i w:val="1"/>
          <w:iCs w:val="1"/>
          <w:color w:val="auto"/>
        </w:rPr>
        <w:t>Compensation - Stock Compensation (Topic 718): Scope of</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 Accounting</w:t>
      </w:r>
      <w:r>
        <w:rPr>
          <w:rFonts w:ascii="Arial" w:cs="Arial" w:eastAsia="Arial" w:hAnsi="Arial"/>
          <w:sz w:val="18"/>
          <w:szCs w:val="18"/>
          <w:color w:val="auto"/>
        </w:rPr>
        <w:t>, which clarifies that modification accounting is required only if the fair value, the vesting conditions, or the classification of a share-based payment award changes as a result of changes in terms or conditions of the award. We have elected to early adopt ASU 2017-09 in the second quarter of 2017 and the adoption of this ASU had no impact on our Consolidated Financial Statements.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ASU 2016-09 requires all income tax effects related to share-based payments at settlement (or expiration) be recorded through the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including unrealized excess tax benefits. ASU 2016-09 also requires that all tax related cash flows resulting from share-based payments be presented as operating activities in the statement of cash flows. In addition, the guidance allows entities to increase the net-share settlement of an employee’s shares for tax withholding purposes without triggering liability accounting and to make a policy election to estimate forfeitures or recognize them as they occur. Finally, the new guidance requires all cash payments made to a taxing authority on an employee’s behalf for shares withheld be presented as financing activities in the statement of cash flows.</w:t>
      </w:r>
    </w:p>
    <w:p>
      <w:pPr>
        <w:spacing w:after="0" w:line="18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adopted ASU 2016-09 in the first quarter of 2017. We prospectively adopted the changes requiring all tax effects related to share-based payments to be recorded through the income statement and all tax related cash flows from share based payments to be presented as operating activities in the statement of cash flows. There is no cumulative effect as there is no impact from unrecognized excess tax benefits or minimum withholding requirements and prior periods have not been adjusted. We have also made an entity-wide accounting policy election to continue to estimate forfeitures and adjust the estimate when it is likely to change. We have retrospectively adopted the guidance to classify as a financing activity on the statement of cash flows all cash payments made to a taxing authority on an employee’s behalf for shares withheld for tax-withholding purposes. We have reclassified $5 million from other operating activities to other financing activities in the Statements of Cash Flows for the nine months ended September 30, 2016.</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Issued Not Yet Adopted</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July 2017, the FASB issued ASU 2017-11, which amends the accounting for certain equity-linked financial instruments and states a down round feature no longer precludes equity classification when assessing whether the instrument is indexed to an entity’s own stock. For an equity-linked financial instrument no longer accounted for as a liability at fair value, the amendments require a down round to be treated as a dividend and as a reduction of income available to common shareholders in basic earnings per share. The ASU is effective beginning with the first quarter of 2019, and early adoption is permitted. The ASU is required to be applied retrospectively to outstanding instruments. Weatherford is evaluating the impact that the ASU will have on our Consolidated Financial Statements and whether we will early adopt the ASU.</w:t>
      </w:r>
    </w:p>
    <w:p>
      <w:pPr>
        <w:spacing w:after="0" w:line="200" w:lineRule="exact"/>
        <w:rPr>
          <w:sz w:val="20"/>
          <w:szCs w:val="20"/>
          <w:color w:val="auto"/>
        </w:rPr>
      </w:pPr>
    </w:p>
    <w:p>
      <w:pPr>
        <w:spacing w:after="0" w:line="23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4" w:name="page25"/>
    <w:bookmarkEnd w:id="2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Compensation - Retirement Benefits (Topic 715): Improving the Presentation of Net Periodic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Cost and Net Periodic Postretirement Benefit Cost</w:t>
      </w:r>
      <w:r>
        <w:rPr>
          <w:rFonts w:ascii="Arial" w:cs="Arial" w:eastAsia="Arial" w:hAnsi="Arial"/>
          <w:sz w:val="16"/>
          <w:szCs w:val="16"/>
          <w:color w:val="auto"/>
        </w:rPr>
        <w:t>, which amends the presentation of net periodic pension and postretirement benefit cost (“net benefit cost”).</w:t>
      </w:r>
      <w:r>
        <w:rPr>
          <w:rFonts w:ascii="Arial" w:cs="Arial" w:eastAsia="Arial" w:hAnsi="Arial"/>
          <w:sz w:val="16"/>
          <w:szCs w:val="16"/>
          <w:i w:val="1"/>
          <w:iCs w:val="1"/>
          <w:color w:val="auto"/>
        </w:rPr>
        <w:t xml:space="preserve"> </w:t>
      </w:r>
      <w:r>
        <w:rPr>
          <w:rFonts w:ascii="Arial" w:cs="Arial" w:eastAsia="Arial" w:hAnsi="Arial"/>
          <w:sz w:val="16"/>
          <w:szCs w:val="16"/>
          <w:color w:val="auto"/>
        </w:rPr>
        <w:t>The service cost component of net benefit cost will be bifurcated and presented with other employee compensation costs, while other components of net benefit costs will be presented separately. The standard is required to be applied on a retrospective basis and will be effective beginning with the first quarter of 2018, although early adoption is permitted. We are evaluating the impact that this new standard will have on our Consolidated Financial Statements.</w:t>
      </w:r>
    </w:p>
    <w:p>
      <w:pPr>
        <w:spacing w:after="0" w:line="1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which eliminates a current exception in U.S. GAAP to the recognition of the income tax effects of temporary differences that result from intra-entity transfers of non-inventory assets. The intra-entity exception is being eliminated under the ASU. The standard is required to be applied on a modified retrospective basis and will be effective beginning with the first quarter of 2018. Early adoption is permitted. We estimate that the impact that this new standard will have on our Consolidated Financial Statements will be a reversal of $110 million of prepaid taxes through retained earnings.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a lessee to recognize a lease asset and lease liability for most leases, including those classified as operating leases under existing U.S. GAAP. The ASU also changes the definition of a lease and requires expanded quantitative and qualitative disclosures for both lessees and lessors.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ASU 2016-02, we will revise our leasing policies to require most of the leases, where we are the lessee, to be recognized on the balance sheet as a lease asset and lease liability whereas currently we do not recognize operating leases on our balance sheet. Further, we will separate leases from other contracts where we are either the lessor or lessee when the rights conveyed under the contract indicate there is a lease, where we may not be required to do so under existing policies. While we cannot calculate the impact ASU 2016-02 will have on Weatherford’s financial statements, we anticipate that Weatherford’s assets and liabilities will increase by a significant amount.</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standard will be effective for us beginning with the first quarter of 2019. We do not anticipate adopting ASU 2016-02 early, which is permitted under the standard. ASU 2016-02 requires lessees and lessors to recognize and measure leases at the beginning of the earliest period presented using a modified retrospective transition method but permits certain practical expedients to be applied, which may exclude certain leases that commenced before the effective date.</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will replace most existing revenue recognition guidance in U.S. GAAP. ASU 2014-09 will require an entity to recognize revenue to depict the transfer of promised goods or services to customers in an amount that reflects the consideration to which the entity expects to be entitled in exchange for those goods or services. ASU 2014-09 requires a five-step approach to recognizing revenue: 1) identify the contract, 2) identify performance obligations, 3) determine the transaction price, 4) allocate the transaction price, and 5) recognize revenue. Subsequent to ASU 2014-09’s issuance, Topic 606 has been affected by other FASB updates that address certain aspects of Topic 606 or revised the effective date of the accounting changes.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ASU 2014-09, we will revise our revenue recognition policy to require revenue recognition when control passes. This is a change from current policies, which generally require revenue recognition when delivery has occurred and risk and rewards of ownership have passed.</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intend to adopt ASU 2014-09 as of its effective date in the first quarter of 2018. ASU 2014-09 permits two transition methods: the retrospective method or the modified retrospective method. Weatherford will be applying modified retrospective method which requires the recognition of a cumulative effect as an adjustment to opening retained earnings on the initial date of adoption.</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planned and commenced our implementation of ASU 2014-09. We have substantially completed an assessment of the differences between ASU 2014-09 and current accounting practices (gap analysis). Our approach involved comparing existing accounting requirements to the requirements under Topic 606 for each of our product lines and reviewing a sample of contracts within each product line and region. We are currently in the process of establishing new policies, procedures, and controls, establishing appropriate presentation and disclosure changes and quantifying any adoption date adjustments. Although not finalized, based on the implementation efforts performed, management’s assessment is that ASU 2014-09 is not expected to materially affect us. Any changes are not expected to have any direct impact to our cash flows.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5" w:name="page26"/>
    <w:bookmarkEnd w:id="2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19.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International plc (“Weatherford Ireland”), a public limited company organized under the laws of Ireland, a Swiss tax resident, and the ultimate parent of the Weatherford group, guarantees the obligations of its subsidiaries – Weatherford International Ltd., a Bermuda exempted company (“Weatherford Bermuda”), and Weatherford International, LLC, a Delaware limited liability company (“Weatherford Delaware”), including the notes and credit facilities listed below.</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6.80% senior notes of Weatherford Delaware were guaranteed by Weatherford Bermuda at September 30, 2017 and December 31, 2016. At December 31, 2016, Weatherford Bermuda also guaranteed the 6.35% senior notes of Weatherford Delaware.</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obligations of Weatherford Bermuda were guaranteed by Weatherford Delaware at September 30, 2017 and December 31, 2016: (1) Revolving Credit Agreement, (2) Term Loan Agreement, (3) 6.50% senior notes, (4) 6.00% senior notes, (5) 7.00% senior notes, (6) 9.625% senior notes, (7) 9.875% senior notes due 2039, (8) 5.125% senior notes, (9) 6.75% senior notes, (10) 4.50% senior notes, (11) 5.95% senior notes, (12) 5.875% exchangeable senior notes, (13) 7.75% senior notes, (14) 8.25% senior notes and (15) 9.875% senior notes due 2024.</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certain of these guarantee arrangements, we are required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w:t>
      </w:r>
    </w:p>
    <w:p>
      <w:pPr>
        <w:spacing w:after="0" w:line="18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September 30, 2017</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 (Loss)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1,121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6" w:name="page27"/>
    <w:bookmarkEnd w:id="2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September 30, 2016</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(2,301)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4,772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4,772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(1,780)</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(1,846)</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(1,384)</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4,772</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259"/>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(1,822)</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(1,861)</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4,842</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(1,822)</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49" w:right="239" w:bottom="1440" w:gutter="0" w:footer="0" w:header="0"/>
        </w:sectPr>
      </w:pPr>
    </w:p>
    <w:bookmarkStart w:id="27" w:name="page28"/>
    <w:bookmarkEnd w:id="2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Nine Months Ended September 30, 2017</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Weatherford</w:t>
            </w:r>
          </w:p>
        </w:tc>
        <w:tc>
          <w:tcPr>
            <w:tcW w:w="16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w w:val="97"/>
              </w:rPr>
              <w:t>Weatherford</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Ireland</w:t>
            </w:r>
          </w:p>
        </w:tc>
        <w:tc>
          <w:tcPr>
            <w:tcW w:w="160" w:type="dxa"/>
            <w:vAlign w:val="bottom"/>
          </w:tcPr>
          <w:p>
            <w:pPr>
              <w:spacing w:after="0"/>
              <w:rPr>
                <w:sz w:val="18"/>
                <w:szCs w:val="18"/>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b w:val="1"/>
                <w:bCs w:val="1"/>
                <w:color w:val="auto"/>
              </w:rPr>
              <w:t>Bermuda</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Subsidiaries</w:t>
            </w:r>
          </w:p>
        </w:tc>
        <w:tc>
          <w:tcPr>
            <w:tcW w:w="12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4,209</w:t>
            </w:r>
          </w:p>
        </w:tc>
        <w:tc>
          <w:tcPr>
            <w:tcW w:w="0" w:type="dxa"/>
            <w:vAlign w:val="bottom"/>
          </w:tcPr>
          <w:p>
            <w:pPr>
              <w:spacing w:after="0"/>
              <w:rPr>
                <w:sz w:val="1"/>
                <w:szCs w:val="1"/>
                <w:color w:val="auto"/>
              </w:rPr>
            </w:pPr>
          </w:p>
        </w:tc>
      </w:tr>
      <w:tr>
        <w:trPr>
          <w:trHeight w:val="237"/>
        </w:trPr>
        <w:tc>
          <w:tcPr>
            <w:tcW w:w="256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(4,596)</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318"/>
        </w:trPr>
        <w:tc>
          <w:tcPr>
            <w:tcW w:w="25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6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33"/>
        </w:trPr>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560" w:type="dxa"/>
            <w:vAlign w:val="bottom"/>
          </w:tcPr>
          <w:p>
            <w:pPr>
              <w:ind w:left="40"/>
              <w:spacing w:after="0"/>
              <w:rPr>
                <w:sz w:val="20"/>
                <w:szCs w:val="20"/>
                <w:color w:val="auto"/>
              </w:rPr>
            </w:pPr>
            <w:r>
              <w:rPr>
                <w:rFonts w:ascii="Arial" w:cs="Arial" w:eastAsia="Arial" w:hAnsi="Arial"/>
                <w:sz w:val="16"/>
                <w:szCs w:val="16"/>
                <w:color w:val="auto"/>
              </w:rPr>
              <w:t>Equity in Subsidiary Income (Loss)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7"/>
        </w:trPr>
        <w:tc>
          <w:tcPr>
            <w:tcW w:w="2560" w:type="dxa"/>
            <w:vAlign w:val="bottom"/>
          </w:tcPr>
          <w:p>
            <w:pPr>
              <w:ind w:left="40"/>
              <w:spacing w:after="0"/>
              <w:rPr>
                <w:sz w:val="20"/>
                <w:szCs w:val="20"/>
                <w:color w:val="auto"/>
              </w:rPr>
            </w:pPr>
            <w:r>
              <w:rPr>
                <w:rFonts w:ascii="Arial" w:cs="Arial" w:eastAsia="Arial" w:hAnsi="Arial"/>
                <w:sz w:val="16"/>
                <w:szCs w:val="16"/>
                <w:color w:val="auto"/>
                <w:w w:val="96"/>
              </w:rPr>
              <w:t>Income (Loss) Before Income Taxes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(1,149)</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1,851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33"/>
        </w:trPr>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(Provision) Benefit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7"/>
        </w:trPr>
        <w:tc>
          <w:tcPr>
            <w:tcW w:w="25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(1,149)</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1,851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33"/>
        </w:trPr>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0"/>
        </w:trPr>
        <w:tc>
          <w:tcPr>
            <w:tcW w:w="256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(1,149)</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1,851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1,773</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240" w:top="449" w:right="639" w:bottom="1440" w:gutter="0" w:footer="0" w:header="0"/>
        </w:sectPr>
      </w:pPr>
    </w:p>
    <w:bookmarkStart w:id="28" w:name="page29"/>
    <w:bookmarkEnd w:id="2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Nine Months Ended September 30, 2016</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Weatherford</w:t>
            </w: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Bermuda</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Subsidiaries</w:t>
            </w:r>
          </w:p>
        </w:tc>
        <w:tc>
          <w:tcPr>
            <w:tcW w:w="12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4,343</w:t>
            </w: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(6,195)</w:t>
            </w:r>
          </w:p>
        </w:tc>
        <w:tc>
          <w:tcPr>
            <w:tcW w:w="0" w:type="dxa"/>
            <w:vAlign w:val="bottom"/>
          </w:tcPr>
          <w:p>
            <w:pPr>
              <w:spacing w:after="0"/>
              <w:rPr>
                <w:sz w:val="1"/>
                <w:szCs w:val="1"/>
                <w:color w:val="auto"/>
              </w:rPr>
            </w:pPr>
          </w:p>
        </w:tc>
      </w:tr>
      <w:tr>
        <w:trPr>
          <w:trHeight w:val="33"/>
        </w:trPr>
        <w:tc>
          <w:tcPr>
            <w:tcW w:w="2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0" w:type="dxa"/>
            <w:vAlign w:val="bottom"/>
          </w:tcPr>
          <w:p>
            <w:pPr>
              <w:spacing w:after="0"/>
              <w:rPr>
                <w:sz w:val="1"/>
                <w:szCs w:val="1"/>
                <w:color w:val="auto"/>
              </w:rPr>
            </w:pPr>
          </w:p>
        </w:tc>
      </w:tr>
      <w:tr>
        <w:trPr>
          <w:trHeight w:val="291"/>
        </w:trPr>
        <w:tc>
          <w:tcPr>
            <w:tcW w:w="26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6,103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7"/>
        </w:trPr>
        <w:tc>
          <w:tcPr>
            <w:tcW w:w="266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(2,843)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6,501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(2,340)</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17"/>
        </w:trPr>
        <w:tc>
          <w:tcPr>
            <w:tcW w:w="26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(2,843)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6,501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(2,829)</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0"/>
        </w:trPr>
        <w:tc>
          <w:tcPr>
            <w:tcW w:w="266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(2,843)</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(2,437)</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(2,264)</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6,501</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(2,843)</w:t>
            </w:r>
          </w:p>
        </w:tc>
        <w:tc>
          <w:tcPr>
            <w:tcW w:w="0" w:type="dxa"/>
            <w:vAlign w:val="bottom"/>
          </w:tcPr>
          <w:p>
            <w:pPr>
              <w:spacing w:after="0"/>
              <w:rPr>
                <w:sz w:val="1"/>
                <w:szCs w:val="1"/>
                <w:color w:val="auto"/>
              </w:rPr>
            </w:pPr>
          </w:p>
        </w:tc>
      </w:tr>
      <w:tr>
        <w:trPr>
          <w:trHeight w:val="259"/>
        </w:trPr>
        <w:tc>
          <w:tcPr>
            <w:tcW w:w="2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6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(2,751)</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(2,501)</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6,514</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(2,751)</w:t>
            </w:r>
          </w:p>
        </w:tc>
        <w:tc>
          <w:tcPr>
            <w:tcW w:w="0" w:type="dxa"/>
            <w:vAlign w:val="bottom"/>
          </w:tcPr>
          <w:p>
            <w:pPr>
              <w:spacing w:after="0"/>
              <w:rPr>
                <w:sz w:val="1"/>
                <w:szCs w:val="1"/>
                <w:color w:val="auto"/>
              </w:rPr>
            </w:pPr>
          </w:p>
        </w:tc>
      </w:tr>
      <w:tr>
        <w:trPr>
          <w:trHeight w:val="219"/>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240" w:top="449" w:right="639" w:bottom="1440" w:gutter="0" w:footer="0" w:header="0"/>
        </w:sectPr>
      </w:pPr>
    </w:p>
    <w:bookmarkStart w:id="29" w:name="page30"/>
    <w:bookmarkEnd w:id="2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4,598</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5,016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5,043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7,979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6,956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6,970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16,571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12,013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2,079</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2,525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2,470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7,127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7,530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10,629</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1,663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8,265</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8,541</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16,571</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(23,027)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12,013</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49" w:right="239" w:bottom="1440" w:gutter="0" w:footer="0" w:header="0"/>
        </w:sectPr>
      </w:pPr>
    </w:p>
    <w:bookmarkStart w:id="30" w:name="page31"/>
    <w:bookmarkEnd w:id="3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December 31, 2016</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3,873</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4,338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4,910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8,669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8,301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(20,422)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7,751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7,754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16,888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12,664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2,249</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2,520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2,428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6,944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7,403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10,596</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2,418</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9,268</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8,817</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16,888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(24,727)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12,664</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9" w:right="239" w:bottom="1440" w:gutter="0" w:footer="0" w:header="0"/>
        </w:sectPr>
      </w:pPr>
    </w:p>
    <w:bookmarkStart w:id="31" w:name="page32"/>
    <w:bookmarkEnd w:id="3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Nine Months Ended September 30, 2017</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(1,149)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1,851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(Loss) to Net Cash Provided (Used) by</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Assets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4"/>
              </w:rPr>
              <w:t>Acquisitions of Businesses, Net of Cash</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Acquired</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Sale of Assets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Payment Related to Sale of Businesses,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Investing Activities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49" w:right="239" w:bottom="1440" w:gutter="0" w:footer="0" w:header="0"/>
        </w:sectPr>
      </w:pPr>
    </w:p>
    <w:bookmarkStart w:id="32" w:name="page33"/>
    <w:bookmarkEnd w:id="3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Nine Months Ended September 30, 2016</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(2,843)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(2,437)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6,501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(2,829)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Income(Loss) to Net Cash Provided</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(Used) by 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1,959</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of Intellectual Property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Insurance Proceeds Related to Rig Loss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1,258</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Issuance of Ordinary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9" w:right="239" w:bottom="1440" w:gutter="0" w:footer="0" w:header="0"/>
        </w:sectPr>
      </w:pPr>
    </w:p>
    <w:bookmarkStart w:id="33" w:name="page34"/>
    <w:bookmarkEnd w:id="3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 Subsequent Events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At the end of the third quarter of 2017, changes to the Company’s organization structure were internally announced by the Company’s management. Implementation of these changes commenced in the beginning of the fourth quarter of 2017, and, as a result, we are in the process of reassessing our reportable segments. The reportable segment changes will be based on management’s organization and view of Weatherford’s business when making operating decisions and assessing performance. The purpose of the internal changes is to flatten the organization structure, reduce our costs and accelerate decision-making processes. These internal reporting changes, including changes to our reportable segments, will occur during the rest of the fourth quarter of 2017. The Company will begin reporting new reportable segments in the fourth quarter earnings release and the 2017 annual financial statements on Form 10-K and all prior periods reported will reflect the reportable segment changes.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used herein, the “Company,” “we,” “us” and “our” refer to Weatherford International plc (“Weatherford Ireland”),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“Part II – Other Information – Item 1A. – Risk Factors.”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operations in approximately 90 countries and have service and sales locations in nearly all of the oil and natural gas producing regions in the world. Our operational performance is reviewed on a geographic basis, and we report the following regions as separate, distinct reporting segments: North America, MENA/Asia Pacific, Europe/SSA/Russia, Latin America and Land Drilling Rigs.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principally provide products, equipment and services to the oil and natural gas exploration and production industry, both on land and offshore, through our three business groups: (1) Formation Evaluation and Well Construction and (2) Completion and Production, and (3) Land Drilling Rigs, which together include the company’s product lines.</w:t>
      </w:r>
    </w:p>
    <w:p>
      <w:pPr>
        <w:spacing w:after="0" w:line="181" w:lineRule="exact"/>
        <w:rPr>
          <w:sz w:val="20"/>
          <w:szCs w:val="20"/>
          <w:color w:val="auto"/>
        </w:rPr>
      </w:pPr>
    </w:p>
    <w:p>
      <w:pPr>
        <w:jc w:val="both"/>
        <w:ind w:left="740" w:hanging="327"/>
        <w:spacing w:after="0" w:line="264"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Formation Evaluation and Well Construction </w:t>
      </w:r>
      <w:r>
        <w:rPr>
          <w:rFonts w:ascii="Arial" w:cs="Arial" w:eastAsia="Arial" w:hAnsi="Arial"/>
          <w:sz w:val="18"/>
          <w:szCs w:val="18"/>
          <w:color w:val="auto"/>
        </w:rPr>
        <w:t>includes Managed-Pressure Drilling, Drilling Services, Tubular Running Services, Drilling Tools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Rental Equipment, Wireline Services, Testing and Production Services, Re-entry and Fishing, Cementing Products, Liner Systems, Reservoir Solutions and Surface Logging Systems.</w:t>
      </w:r>
    </w:p>
    <w:p>
      <w:pPr>
        <w:spacing w:after="0" w:line="73"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includes Artificial Lift Systems, Stimulation and Completion Systems.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Land Drilling Rigs </w:t>
      </w:r>
      <w:r>
        <w:rPr>
          <w:rFonts w:ascii="Arial" w:cs="Arial" w:eastAsia="Arial" w:hAnsi="Arial"/>
          <w:sz w:val="18"/>
          <w:szCs w:val="18"/>
          <w:color w:val="auto"/>
        </w:rPr>
        <w:t>encompasses our land drilling rigs business, including the products and services ancillary thereto.</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49" w:right="239" w:bottom="1440" w:gutter="0" w:footer="0" w:header="0"/>
        </w:sectPr>
      </w:pPr>
    </w:p>
    <w:bookmarkStart w:id="34" w:name="page35"/>
    <w:bookmarkEnd w:id="3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level of spending in the energy industry is heavily influenced by current and expected future prices of oil and natural gas. Changes in expenditures result in an increased or decreased demand for our products and services. Rig count is an indicator of the level of spending for exploration and production of oil and natural gas reserves. The following chart sets forth certain statistics that reflect current and historical market conditions:</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North</w:t>
            </w:r>
          </w:p>
        </w:tc>
        <w:tc>
          <w:tcPr>
            <w:tcW w:w="15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Henry Hub</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American</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8"/>
              </w:rPr>
              <w:t>International Rig</w:t>
            </w:r>
          </w:p>
        </w:tc>
      </w:tr>
      <w:tr>
        <w:trPr>
          <w:trHeight w:val="261"/>
        </w:trPr>
        <w:tc>
          <w:tcPr>
            <w:tcW w:w="3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ind w:left="80"/>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140" w:type="dxa"/>
            <w:vAlign w:val="bottom"/>
          </w:tcPr>
          <w:p>
            <w:pPr>
              <w:spacing w:after="0"/>
              <w:rPr>
                <w:sz w:val="22"/>
                <w:szCs w:val="22"/>
                <w:color w:val="auto"/>
              </w:rPr>
            </w:pPr>
          </w:p>
        </w:tc>
        <w:tc>
          <w:tcPr>
            <w:tcW w:w="118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2"/>
              </w:rPr>
              <w:t xml:space="preserve">Gas </w:t>
            </w:r>
            <w:r>
              <w:rPr>
                <w:rFonts w:ascii="Arial" w:cs="Arial" w:eastAsia="Arial" w:hAnsi="Arial"/>
                <w:sz w:val="25"/>
                <w:szCs w:val="25"/>
                <w:b w:val="1"/>
                <w:bCs w:val="1"/>
                <w:color w:val="auto"/>
                <w:w w:val="82"/>
                <w:vertAlign w:val="superscript"/>
              </w:rPr>
              <w:t>(b)</w:t>
            </w:r>
          </w:p>
        </w:tc>
        <w:tc>
          <w:tcPr>
            <w:tcW w:w="1600" w:type="dxa"/>
            <w:vAlign w:val="bottom"/>
            <w:gridSpan w:val="2"/>
          </w:tcPr>
          <w:p>
            <w:pPr>
              <w:jc w:val="center"/>
              <w:ind w:right="10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1500" w:type="dxa"/>
            <w:vAlign w:val="bottom"/>
          </w:tcPr>
          <w:p>
            <w:pPr>
              <w:jc w:val="right"/>
              <w:ind w:right="33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2017</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December 31, 2016</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2016</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27"/>
        </w:trPr>
        <w:tc>
          <w:tcPr>
            <w:tcW w:w="3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Price per barrel of West Texas Intermediate (“WTI”) crude oil as of the date indicated at Cushing, Oklahoma – Source: Thomson Reuters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Price per MM/BTU as of the date indicated at Henry Hub Louisiana – Source: Thomson Reuters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Quarterly average rig count – Source: Baker Hughes Rig Count</w:t>
      </w:r>
    </w:p>
    <w:p>
      <w:pPr>
        <w:spacing w:after="0" w:line="21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first nine months of 2017 oil prices ranged from a high of $54.45 per barrel in mid-February to a low of $42.53 per barrel in mid-June on the New York Mercantile Exchange. Natural gas ranged from a high of $3.42 MM/BTU in mid-January to a low of $2.56 MM/BTU in mid-February. Factors influencing oil and natural gas prices during the period include hydrocarbon inventory levels, realized and expected global economic growth, realized and expected levels of hydrocarbon demand, level of production capacity and weather and geopolitical uncertainty.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results for the nine months of 2017 continued to be challenged by the continued volatility in oil prices and severe market contraction for our products and services. Market weakness and contraction has materially reduced capital spending by our customers, which has reduced our revenue, both through lower activity levels and pricing. We believe our industry will remain range bound within this ‘medium-for-longer’ price level for some time, until production growth is moderated. In the interim, we expect continuous short-term cyclical fluctuations. Adapting to this likely new paradigm, our industry must transform itself. We will continue to push innovation, both from a technical and a business model perspective, and we will deliver operational excellence to bring the cost of production down to a point at which market participants can make a decent return. This includes commencing in the fourth quarter a transformation program to generate cost savings through flattening our structure, driving process changes, improving the efficiency of our supply chain and sales organizations and continuing to rationalize our manufacturing footprint.</w:t>
      </w:r>
    </w:p>
    <w:p>
      <w:pPr>
        <w:spacing w:after="0" w:line="1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For the remainder of 2017, we expect growth in North America to be driven by completion systems, artificial lift, and drilling services as rig count increases, pricing power improves and supplies tighten. Internationally, we continue to anticipate growth in the Middle East and North Africa region as a result of recent market share gains that began in the second half 2016 which will be increasing to their full scope of work for the remainder of 2017, while activity in Russia will increase and Europe is expected to remain stable. We believe Latin America will remain relatively subdued for the remainder of 2017 while the deepwater markets in both Sub-Sahara Africa and Asia Pacific have likely reached their bottom with no expected improvements in the near term.</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current industry conditions, steadier oil prices and an increase in spending and activity, we continue to believe that over the longer term the outlook for our businesses is favorable. As decline rates accelerate and reservoir productivity complexities increase, our clients will continue to face challenges associated with decreasing the cost of extraction activities and securing desired rates of production. These challenges increase our customers’ requirements for technologies that improve productivity and efficiency and therefore increase demand for our products and services. These factors provide us with a positive outlook for our businesses over the longer term. However, the level of improvement in our businesses in the future will depend heavily on pricing, volume of work and our ability to offer solutions to more efficiently extract hydrocarbons, control costs and penetrate new and existing markets with our newly developed technologies.</w:t>
      </w:r>
    </w:p>
    <w:p>
      <w:pPr>
        <w:spacing w:after="0" w:line="18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We continually seek opportunities to maximize efficiency and value through various transactions, including purchases or dispositions of assets, businesses, investments or joint ventures. We evaluate our disposition candidates based on the strategic fit within our business and/or objectives. We announced in March of 2017 that we will be contributing our North America land pressure pumping assets, multistage completions, and pump-down perforating businesses into a joint venture with Schlumberger named OneStim</w:t>
      </w:r>
      <w:r>
        <w:rPr>
          <w:rFonts w:ascii="Arial" w:cs="Arial" w:eastAsia="Arial" w:hAnsi="Arial"/>
          <w:sz w:val="25"/>
          <w:szCs w:val="25"/>
          <w:color w:val="auto"/>
          <w:vertAlign w:val="superscript"/>
        </w:rPr>
        <w:t>SM</w:t>
      </w:r>
      <w:r>
        <w:rPr>
          <w:rFonts w:ascii="Arial" w:cs="Arial" w:eastAsia="Arial" w:hAnsi="Arial"/>
          <w:sz w:val="18"/>
          <w:szCs w:val="18"/>
          <w:color w:val="auto"/>
        </w:rPr>
        <w:t>. It is also our intention to divest our remaining land drilling rigs when market conditions improve. Upon completion,</w:t>
      </w: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49" w:right="239" w:bottom="1440" w:gutter="0" w:footer="0" w:header="0"/>
        </w:sectPr>
      </w:pPr>
    </w:p>
    <w:bookmarkStart w:id="35" w:name="page36"/>
    <w:bookmarkEnd w:id="35"/>
    <w:p>
      <w:pPr>
        <w:jc w:val="both"/>
        <w:spacing w:after="0" w:line="342" w:lineRule="auto"/>
        <w:rPr>
          <w:sz w:val="20"/>
          <w:szCs w:val="20"/>
          <w:color w:val="auto"/>
        </w:rPr>
      </w:pPr>
      <w:r>
        <w:rPr>
          <w:rFonts w:ascii="Arial" w:cs="Arial" w:eastAsia="Arial" w:hAnsi="Arial"/>
          <w:sz w:val="16"/>
          <w:szCs w:val="16"/>
          <w:color w:val="auto"/>
        </w:rPr>
        <w:t>the cash proceeds from any divestitures are expected to be used for working capital or to repay or repurchase debt. Any such debt reduction may include the repurchase of our outstanding senior notes prior to their maturity in the open market or through a privately negotiated transaction or otherwise.</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oilfield services industry growth is highly dependent on many external factors, such as our customers’ capital expenditures, world economic and political conditions, the price of oil and natural gas, member-country quota compliance within OPEC and weather conditions and other factors, including those described in the section entitled “Forward-Looking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industry offers many opportunities and challenges. The cyclicality of the energy industry impacts the demand for our products and services. Certain of our products and services, such as our drilling and evaluation services, well installation services and well completion services, depend on the level of exploration and development activity and the completion phase of the well life cycle. Other products and services, such as our production optimization and artificial lift systems, are dependent on production activity. We have created a long-term strategy aimed at growing our businesses, servicing our customers, and most importantly, creating value for our shareholders. The success of our long-term strategy will be determined by our ability to manage effectively any industry cyclicality, including the ongoing and prolonged industry downturn and our ability to respond to industry demands and periods of over-supply or low oil prices, successfully maximize the benefits from our acquisitions and complete the disposition of our land drilling rigs business.</w:t>
      </w:r>
    </w:p>
    <w:p>
      <w:pPr>
        <w:spacing w:after="0" w:line="200" w:lineRule="exact"/>
        <w:rPr>
          <w:sz w:val="20"/>
          <w:szCs w:val="20"/>
          <w:color w:val="auto"/>
        </w:rPr>
      </w:pPr>
    </w:p>
    <w:p>
      <w:pPr>
        <w:spacing w:after="0" w:line="21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36" w:name="page37"/>
    <w:bookmarkEnd w:id="3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contains selected financial data comparing our consolidated and segment results from operations for the third quarter of 2017 and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Favorable</w:t>
            </w:r>
          </w:p>
        </w:tc>
        <w:tc>
          <w:tcPr>
            <w:tcW w:w="12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620" w:type="dxa"/>
            <w:vAlign w:val="bottom"/>
          </w:tcPr>
          <w:p>
            <w:pPr>
              <w:ind w:left="8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(Unfavorable)</w:t>
            </w:r>
          </w:p>
        </w:tc>
        <w:tc>
          <w:tcPr>
            <w:tcW w:w="12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7"/>
        </w:trPr>
        <w:tc>
          <w:tcPr>
            <w:tcW w:w="5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MENA/Asia Pacific</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5620" w:type="dxa"/>
            <w:vAlign w:val="bottom"/>
          </w:tcPr>
          <w:p>
            <w:pPr>
              <w:ind w:left="22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Land Drilling Rigs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7"/>
        </w:trPr>
        <w:tc>
          <w:tcPr>
            <w:tcW w:w="5620" w:type="dxa"/>
            <w:vAlign w:val="bottom"/>
          </w:tcPr>
          <w:p>
            <w:pPr>
              <w:ind w:left="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135 %</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MENA/Asia Pacific</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200 %</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567 %</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154 %</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Land Drilling Rigs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131 %</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5620" w:type="dxa"/>
            <w:vAlign w:val="bottom"/>
          </w:tcPr>
          <w:p>
            <w:pPr>
              <w:ind w:left="180"/>
              <w:spacing w:after="0"/>
              <w:rPr>
                <w:sz w:val="20"/>
                <w:szCs w:val="20"/>
                <w:color w:val="auto"/>
              </w:rPr>
            </w:pPr>
            <w:r>
              <w:rPr>
                <w:rFonts w:ascii="Arial" w:cs="Arial" w:eastAsia="Arial" w:hAnsi="Arial"/>
                <w:sz w:val="17"/>
                <w:szCs w:val="17"/>
                <w:color w:val="auto"/>
              </w:rPr>
              <w:t>Long-lived Asset Impairments, Write-Downs and Other Charges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Restructuring Charges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Litigation Charges, Net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144 %</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97"/>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620" w:type="dxa"/>
            <w:vAlign w:val="bottom"/>
          </w:tcPr>
          <w:p>
            <w:pPr>
              <w:ind w:left="40"/>
              <w:spacing w:after="0"/>
              <w:rPr>
                <w:sz w:val="20"/>
                <w:szCs w:val="20"/>
                <w:color w:val="auto"/>
              </w:rPr>
            </w:pPr>
            <w:r>
              <w:rPr>
                <w:rFonts w:ascii="Arial" w:cs="Arial" w:eastAsia="Arial" w:hAnsi="Arial"/>
                <w:sz w:val="17"/>
                <w:szCs w:val="17"/>
                <w:color w:val="auto"/>
              </w:rPr>
              <w:t>Warrant Fair Value Adjustment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96 %</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Diluted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459"/>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830"/>
              <w:spacing w:after="0"/>
              <w:rPr>
                <w:sz w:val="20"/>
                <w:szCs w:val="20"/>
                <w:color w:val="auto"/>
              </w:rPr>
            </w:pPr>
            <w:r>
              <w:rPr>
                <w:rFonts w:ascii="Arial" w:cs="Arial" w:eastAsia="Arial" w:hAnsi="Arial"/>
                <w:sz w:val="18"/>
                <w:szCs w:val="18"/>
                <w:color w:val="auto"/>
                <w:w w:val="89"/>
              </w:rPr>
              <w:t>35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37" w:name="page38"/>
    <w:bookmarkEnd w:id="3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contains selected financial data comparing our consolidated and segment results from operations for the first nine months of 2017 and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Nine Months Ended</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Favorable</w:t>
            </w:r>
          </w:p>
        </w:tc>
        <w:tc>
          <w:tcPr>
            <w:tcW w:w="12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620" w:type="dxa"/>
            <w:vAlign w:val="bottom"/>
          </w:tcPr>
          <w:p>
            <w:pPr>
              <w:ind w:left="8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(Unfavorable)</w:t>
            </w:r>
          </w:p>
        </w:tc>
        <w:tc>
          <w:tcPr>
            <w:tcW w:w="12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7"/>
        </w:trPr>
        <w:tc>
          <w:tcPr>
            <w:tcW w:w="5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MENA/Asia Pacific</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5620" w:type="dxa"/>
            <w:vAlign w:val="bottom"/>
          </w:tcPr>
          <w:p>
            <w:pPr>
              <w:ind w:left="22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3,913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Land Drilling Rigs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5620" w:type="dxa"/>
            <w:vAlign w:val="bottom"/>
          </w:tcPr>
          <w:p>
            <w:pPr>
              <w:ind w:left="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4,209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4,343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MENA/Asia Pacific</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450 %</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400 %</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Land Drilling Rigs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5620" w:type="dxa"/>
            <w:vAlign w:val="bottom"/>
          </w:tcPr>
          <w:p>
            <w:pPr>
              <w:ind w:left="180"/>
              <w:spacing w:after="0"/>
              <w:rPr>
                <w:sz w:val="20"/>
                <w:szCs w:val="20"/>
                <w:color w:val="auto"/>
              </w:rPr>
            </w:pPr>
            <w:r>
              <w:rPr>
                <w:rFonts w:ascii="Arial" w:cs="Arial" w:eastAsia="Arial" w:hAnsi="Arial"/>
                <w:sz w:val="17"/>
                <w:szCs w:val="17"/>
                <w:color w:val="auto"/>
              </w:rPr>
              <w:t>Long-lived Asset Impairments, Write-Downs and Other Charges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102 %</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Restructuring Charges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Litigation Charges, Net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102 %</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97"/>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620" w:type="dxa"/>
            <w:vAlign w:val="bottom"/>
          </w:tcPr>
          <w:p>
            <w:pPr>
              <w:ind w:left="40"/>
              <w:spacing w:after="0"/>
              <w:rPr>
                <w:sz w:val="20"/>
                <w:szCs w:val="20"/>
                <w:color w:val="auto"/>
              </w:rPr>
            </w:pPr>
            <w:r>
              <w:rPr>
                <w:rFonts w:ascii="Arial" w:cs="Arial" w:eastAsia="Arial" w:hAnsi="Arial"/>
                <w:sz w:val="17"/>
                <w:szCs w:val="17"/>
                <w:color w:val="auto"/>
              </w:rPr>
              <w:t>Bond Tender Premium, Net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Warrant Fair Value Adjustment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620" w:type="dxa"/>
            <w:vAlign w:val="bottom"/>
          </w:tcPr>
          <w:p>
            <w:pPr>
              <w:ind w:left="40"/>
              <w:spacing w:after="0"/>
              <w:rPr>
                <w:sz w:val="20"/>
                <w:szCs w:val="20"/>
                <w:color w:val="auto"/>
              </w:rPr>
            </w:pPr>
            <w:r>
              <w:rPr>
                <w:rFonts w:ascii="Arial" w:cs="Arial" w:eastAsia="Arial" w:hAnsi="Arial"/>
                <w:sz w:val="17"/>
                <w:szCs w:val="17"/>
                <w:color w:val="auto"/>
              </w:rPr>
              <w:t>Currency Devaluation Charges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85 %</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Diluted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891"/>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830"/>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38" w:name="page39"/>
    <w:bookmarkEnd w:id="3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Percentage by Business Group</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chart contains the percentage distribution of our consolidated revenues by our business groups for the third quarter and the first nine months of 2017 and 2016:</w:t>
      </w:r>
    </w:p>
    <w:p>
      <w:pPr>
        <w:spacing w:after="0" w:line="112"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232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540" w:type="dxa"/>
            <w:vAlign w:val="bottom"/>
          </w:tcPr>
          <w:p>
            <w:pPr>
              <w:spacing w:after="0"/>
              <w:rPr>
                <w:sz w:val="23"/>
                <w:szCs w:val="23"/>
                <w:color w:val="auto"/>
              </w:rPr>
            </w:pPr>
          </w:p>
        </w:tc>
        <w:tc>
          <w:tcPr>
            <w:tcW w:w="23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c>
          <w:tcPr>
            <w:tcW w:w="232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5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45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Formation Evaluation and Well Construction</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Completion and Production</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36</w:t>
            </w:r>
          </w:p>
        </w:tc>
      </w:tr>
      <w:tr>
        <w:trPr>
          <w:trHeight w:val="27"/>
        </w:trPr>
        <w:tc>
          <w:tcPr>
            <w:tcW w:w="4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Drilling Rigs</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r>
      <w:tr>
        <w:trPr>
          <w:trHeight w:val="257"/>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Revenues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Consolidated revenues increased $104 million, or 8%, in the third quarter and decreased $134 million, or 3%, during the first nine months of 2017 compared to the third quarter and the first nine months of 2016, respectively. Revenues increased across the regions, except Latin America, in the third quarter of 2017 compared to the same period of the prior year. Revenue decreases in Latin America, MENA/Asia Pacific and Land Drilling Rigs during the first nine months of 2017 compared to the same period in the prior year were due to lower activity, whereas revenues in North America and Europe/SSA/Russia increased.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impacting revenues in the third quarter of 2017 compared to the same period of the prior year were as follows:</w:t>
      </w:r>
    </w:p>
    <w:p>
      <w:pPr>
        <w:spacing w:after="0" w:line="225" w:lineRule="exact"/>
        <w:rPr>
          <w:sz w:val="20"/>
          <w:szCs w:val="20"/>
          <w:color w:val="auto"/>
        </w:rPr>
      </w:pPr>
    </w:p>
    <w:p>
      <w:pPr>
        <w:ind w:left="660" w:right="2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North America revenues increased $89 million, or 20%, due to higher activity and sales related to the 92% increase in North American rig count since the third quarter of 2016, partially offset by the shutdown of our U.S. pressure pumping operations in the fourth quarter of 2016.</w:t>
      </w:r>
    </w:p>
    <w:p>
      <w:pPr>
        <w:spacing w:after="0" w:line="146" w:lineRule="exact"/>
        <w:rPr>
          <w:rFonts w:ascii="Arial" w:cs="Arial" w:eastAsia="Arial" w:hAnsi="Arial"/>
          <w:sz w:val="17"/>
          <w:szCs w:val="17"/>
          <w:color w:val="auto"/>
        </w:rPr>
      </w:pPr>
    </w:p>
    <w:p>
      <w:pPr>
        <w:jc w:val="both"/>
        <w:ind w:left="660" w:hanging="328"/>
        <w:spacing w:after="0" w:line="30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Revenues in our International segments increased $7 million, or 1%, primarily in Europe/SSA/Russia due to higher customer activity in Russia and a strong product line mix in the North Sea and a marginal improvement in MENA/Asia Pacific, partially offset by a decrease in Latin America. The decrease in Latin America is primarily concentrated in Venezuela, Brazil and Bolivia due to lower activity in the well integrity and completion product lines, partially offset by improvements among nearly all our product lines in Colombia from an increase in the number of operating rigs.</w:t>
      </w:r>
    </w:p>
    <w:p>
      <w:pPr>
        <w:spacing w:after="0" w:line="15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Land Drilling Rigs revenues increased $8 million primarily in Algeria and Kuwait due to fully operational contracts, partially offset by a decrease in activity in Oman.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impacting revenues in the first nine months of 2017 compared to the same period of the prior year were as follows:</w:t>
      </w:r>
    </w:p>
    <w:p>
      <w:pPr>
        <w:spacing w:after="0" w:line="225" w:lineRule="exact"/>
        <w:rPr>
          <w:sz w:val="20"/>
          <w:szCs w:val="20"/>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North America revenues increased $110 million, or 8%, due to higher activity and sales related to the 92% increase in North American rig count since the third quarter of 2016, partially offset by the shutdown of our U.S. pressure pumping operations in the fourth quarter of 2016.</w:t>
      </w:r>
    </w:p>
    <w:p>
      <w:pPr>
        <w:spacing w:after="0" w:line="146" w:lineRule="exact"/>
        <w:rPr>
          <w:rFonts w:ascii="Arial" w:cs="Arial" w:eastAsia="Arial" w:hAnsi="Arial"/>
          <w:sz w:val="17"/>
          <w:szCs w:val="17"/>
          <w:color w:val="auto"/>
        </w:rPr>
      </w:pPr>
    </w:p>
    <w:p>
      <w:pPr>
        <w:jc w:val="both"/>
        <w:ind w:left="66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Revenues in our International segments declined $214 million, or 8%, primarily in Latin America and concentrated in Argentina, Venezuela and Brazil in the well integrity and completion product lines, as well as the negative impact the change in accounting for revenue with our largest customer in Venezuela of approximately $51 million. This decline was partially offset by improvements among nearly all our product lines in Colombia from an increase in the number of operating rigs. In MENA/Asia Pacific, the revenues decline was primarily due to lower activity on the Zubair project, a non-renewal of a contract in the United Arab Emirates and overall lower demand for services and continued pricing pressures, causing a broad decline in the Asia Pacific countries and in a concentration of countries in the Middle East, partially offset by improvement in Kuwait. The overall International decline was offset by an improvement in Europe/SSA/Russia due to higher customer activity in Russia and a strong product line mix in the North Sea.</w:t>
      </w:r>
    </w:p>
    <w:p>
      <w:pPr>
        <w:spacing w:after="0" w:line="19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Land Drilling Rigs revenues declined $30 million primarily in Oman, Iraq and Saudi Arabia partially offset by an improved operational efficiency and fully operational contracts in Algeria and Kuwait.</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49" w:right="239" w:bottom="1440" w:gutter="0" w:footer="0" w:header="0"/>
        </w:sectPr>
      </w:pPr>
    </w:p>
    <w:bookmarkStart w:id="39" w:name="page40"/>
    <w:bookmarkEnd w:id="3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Consolidated operating results improved $881 million, or 93%, in the third quarter of 2017 and $1.5 billion, or 79%, during the first nine months of 2017 compared to the third quarter and the first nine months of 2016, respectively. Segment operating income improved $145 million, or 131%, in the third quarter of 2017 and $277 million, or 83%, during the first nine months of 2017 compared to the third quarter and the first nine months of 2016, respectively.</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segment operating income improvement was primarily due to reduced expenses from the shutdown of our pressure pumping operations in North America, higher activity and productivity related to the increase in North American rig count, higher utilization in our product lines, improved sales mix and the continued realization of savings from cost reduction measures related to headcount reductions and facility closures, and lower depreciation and amortization due to decreased capital spending.</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Consolidated operating loss for the third quarter of 2017 and 2016 also included net charges of $28 million and $771 million, respectively, and are as follows:</w:t>
      </w:r>
    </w:p>
    <w:p>
      <w:pPr>
        <w:spacing w:after="0" w:line="27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$34 million in 2017 compared to $22 million in 2016 of severance and other restructuring charges;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 million in net credits in 2017 and $9 million in 2016 of net charges primarily related to litigation reserves;</w:t>
      </w:r>
    </w:p>
    <w:p>
      <w:pPr>
        <w:spacing w:after="0" w:line="117"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 million in net credits in 2017 primarily related to the revaluation of the liability at settlement resulting in net gains associated with our supplemental executive retirement plan net of asset write-downs and other charges; and</w:t>
      </w:r>
    </w:p>
    <w:p>
      <w:pPr>
        <w:spacing w:after="0" w:line="62"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2016, we had $740 million of charges comprised of long-lived asset impairments of $436 million, inventory charges of $198 million, account receivables reserves and write-offs of $62 million and $44 million of other asset write-offs and charges.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Consolidated operating loss for the first nine months of 2017 and 2016 also included net charges of $119 million and $1.29 billion, respectively, and are as follows:</w:t>
      </w:r>
    </w:p>
    <w:p>
      <w:pPr>
        <w:spacing w:after="0" w:line="17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$140 million in 2017 compared to $150 million in 2016 of severance and other restructuring charges;</w:t>
      </w:r>
    </w:p>
    <w:p>
      <w:pPr>
        <w:spacing w:after="0" w:line="117"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$17 million in net credits in 2017 primarily related to gains related to the amortization and revaluation of the liability at settlement associated with our supplemental executive retirement plan;</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 million in net credits in 2017 and $190 million in 2016 of net charges primarily related to litigation reserves; and</w:t>
      </w:r>
    </w:p>
    <w:p>
      <w:pPr>
        <w:spacing w:after="0" w:line="117"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2016, we had $951 million of charges primarily comprised of long-lived asset impairments of $436 million, inventory charges of $213 million, a fair value adjustment to a note from our largest customer in Venezuela of $84 million, account receivables reserves and write-offs of $62 million and other asset write-offs and pressure pumping business related charges of $156 million.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additional information regarding charges by segment, see the subsection entitled “Segment Results” below and “Note 3 – Restructuring Charges.”</w:t>
      </w:r>
    </w:p>
    <w:p>
      <w:pPr>
        <w:spacing w:after="0" w:line="200" w:lineRule="exact"/>
        <w:rPr>
          <w:sz w:val="20"/>
          <w:szCs w:val="20"/>
          <w:color w:val="auto"/>
        </w:rPr>
      </w:pPr>
    </w:p>
    <w:p>
      <w:pPr>
        <w:spacing w:after="0" w:line="29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9" w:right="239" w:bottom="1440" w:gutter="0" w:footer="0" w:header="0"/>
        </w:sectPr>
      </w:pPr>
    </w:p>
    <w:bookmarkStart w:id="40" w:name="page41"/>
    <w:bookmarkEnd w:id="4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North America</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North America segment increased $89 million, or 20%, in the third quarter of 2017 and $110 million, or 8%, during the first nine months of 2017 compared to the third quarter and the first nine months of 2016, respectively, in most product lines due to higher drilling and completion activities. This increase in activity is related to the 92% increase in North American rig count since the third quarter of 2016, which was partially offset by the shutdown of our U.S. pressure pumping operations in the fourth quarter of 2016.</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excluding pressure pumping operations, improved $144 million, or 37%, in the third quarter of 2017 and improved $302 million, or 26%, during the first nine months of 2017 compared to the third quarter and the first nine months of 2016, respectively.</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Operating income in our North America segment improved $128 million, or 135%, in the third quarter of 2017 and $341 million, or 105%, during the first nine months of 2017 compared to the third quarter and the first nine months of 2016, respectively. This improvement in operating income is due to shutdown of our U.S. pressure pumping operations, cost savings from facility closures, headcount reductions, and lower depreciation and amortization due to decreased capital spending. In addition, increased activity and utilization in our artificial lift, well construction, completion and drilling services product lines have contributed positively to improve operating income in the third quarter and the first nine months of 2017.</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MENA/Asia Pacific</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in our MENA/Asia Pacific segment increased $6 million, or 2%, in the third quarter of 2017 and decreased $94 million, or 9%, during the first nine months of 2017 compared to the third quarter and the first nine months of 2016, respectively. MENA/Asia Pacific revenues improved marginally in the third quarter of 2017 compared to the same period of the prior year primarily in the artificial lift and drilling services product lines in Kuwait and Algeria, partially offset by a decline in the well integrity product line and the Zubair project. The revenue decline in the first nine months of 2017 compared to the same period last year was primarily due to lower activity on the completed Zubair project, a non-renewal of a contract in the United Arab Emirates and overall lower demand for services and continued pricing pressures, causing a broad decline in the Asia Pacific countries and in a concentration of countries in the Middle East, partially offset by improvement in Kuwait.</w:t>
      </w:r>
    </w:p>
    <w:p>
      <w:pPr>
        <w:spacing w:after="0" w:line="18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Operating income in the third quarter of 2017 improved $16 million, or 200%, in the third quarter of 2017 and $18 million, or 450%, during the first nine months of 2017 compared to the third quarter and the first nine months of 2016, respectively. The improvements in the third quarter and the first nine months of 2017 compared to the same periods of the prior year were primarily due to lower costs in Kuwait and on the Zubair project in Iraq.</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Europe/SSA/Russia</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Europe/SSA/Russia segment increased $27 million, or 12%, in the third quarter of 2017 and $15 million, or 2%, during the first nine months of 2017 compared to the third quarter and the first nine months of 2016, respectively. The increase compared to the same periods of the prior year was primarily due to higher customer activity in Russia and a strong product line mix in the North Sea. Product line contributions in the third quarter and the nine months were primarily from our pressure pumping, well construction, drilling services and completion product lines, partially offset by lower activity in the well integrity product line.</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Operating income increased $17 million, or 567%, in the third quarter of 2017 and $12 million, or 400%, during the first nine months of 2017 compared to the third quarter and the first nine months of 2016, respectively. The increases were driven by the increases in activity and higher utilization rates.</w:t>
      </w:r>
    </w:p>
    <w:p>
      <w:pPr>
        <w:spacing w:after="0" w:line="36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49" w:right="239" w:bottom="1440" w:gutter="0" w:footer="0" w:header="0"/>
        </w:sectPr>
      </w:pPr>
    </w:p>
    <w:bookmarkStart w:id="41" w:name="page42"/>
    <w:bookmarkEnd w:id="4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Latin America</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in our Latin America segment decreased $26 million, or 10%, in the third quarter of 2017 and $135 million, or 17%, during the first nine months of 2017 compared to the third quarter and the first nine months of 2016, respectively. The decline in revenues was primarily concentrated in Venezuela, Brazil and Bolivia in the third quarter of 2017 and Argentina, Venezuela and Brazil during the first nine months of 2017 due to lower activity in the well integrity and completion product lines for both the third quarter and the first nine months of 2017. The decline was partially offset by improvements across all our product lines in Colombia benefiting from an increase in the number of operating rigs in the third quarter and the first nine months of 2017. In addition, the revenue decrease for the nine months of 2017 was negatively impacted by the change in accounting for revenue with our largest customer in Venezuela of approximately $51 million.</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loss deteriorated $19 million, or 136%, in the third quarter of 2017 and by $90 million, or 153%, during the first nine months of 2017 compared to the third quarter and the first nine months of 2016, respectively. The decrease in the third quarter and the first nine months of 2017 was primarily impacted by a decline across most product lines with a concentration in wireline, well construction, completions and pressure pumping as customer pricing pressures and reduced demand continue.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Land Drilling Rigs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Land Drilling Rigs segment increased $8 million, or 8%, in the third quarter of 2017 and decreased $30 million, or 9% during the first nine months of 2017 compared to the third quarter and the first nine months of 2016, respectively. Operating loss improved $3 million, or 16%, in the third quarter of 2017 and deteriorated $4 million, or 6%, during the first nine months of 2017 compared to the third quarter and the first nine months of 2016, respectively.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revenues and operating results in the third quarter of 2017 compared to the same period of the prior year was due to fully operational contracts in Algeria and Kuwait, partially offset by a decrease in activity in Oman. The decrease in revenues and operating results during the first nine months of 2017 compared to the same period of the prior year was primarily in Oman, Iraq and Saudi Arabia, partially offset by an improved operational efficiency and fully operational contracts in Algeria and Kuwait.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Currency devaluation charges are included in current earnings in “Currency Devaluation Charges” on the accompanying Condensed Consolidated Statements of Operations. In the first nine months of 2016, currency devaluation charges of $31 million reflected the impact of the devaluation of the Angolan kwanza. In the third quarter and first nine months of 2017, we had no currency devaluation charges.</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Included in “Other Expense, Net” on the accompanying Condensed Consolidated Statements of Operations are other net foreign currency losses of $2 million and $15 million in the third quarter and the first nine months of 2017, respectively, compared to losses of $6 million and $4 million in the third quarter and the first nine months of 2016, respectively. Net foreign currency gains and losses are primarily due to either the strengthening or weakening U.S. dollar compared to our foreign denominated operations and the changes in fair value of our foreign currency forward contracts and cross-currency swap contracts.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interest expense was $148 million and $427 million for the third quarter and the first nine months of 2017, respectively, compared to $129 million and $363 million for the third quarter and the first nine months of 2016, respectively. The increase in interest expense for the third quarter and the first nine months of 2017 is primarily from higher average borrowings and interest rates in 2017 compared to 2016.</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Included in net interest expense in the first nine months of 2017 is interest income of $15 million primarily related to interest income recognized from the change in accounting for revenue and receivables with our largest customer in Venezuela.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and pre-tax losses for which no benefit has been recognized) for the reporting period. For the three month and nine months periods ended September 30, 2017, we determined that since small changes in estimated ordinary</w:t>
      </w: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49" w:right="239" w:bottom="1440" w:gutter="0" w:footer="0" w:header="0"/>
        </w:sectPr>
      </w:pPr>
    </w:p>
    <w:bookmarkStart w:id="42" w:name="page43"/>
    <w:bookmarkEnd w:id="4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annual income would result in significant changes in the estimated annual effective tax rate, the use of a discrete effective tax rate is appropriate for the current quarter. The discrete method treats the year-to-date period as if it was the annual period and determines the income tax expense or benefit on that basis. We will use this method each quarter until the annual effective tax rate method is deemed appropriate. For the third quarter and the first nine months of 2017, we had a tax expense of $25 million and $75 million, respectively, on a loss before income taxes of $226 million and $784 million, respectively. Results for the third quarter and the first nine months of 2017 include losses with no significant tax benefit. The tax expense for the third quarter and the first nine months of 2017 also includes withholding taxes, minimum taxes and deemed profit taxes that do not directly correlate to ordinary income or loss.</w:t>
      </w:r>
    </w:p>
    <w:p>
      <w:pPr>
        <w:spacing w:after="0" w:line="165"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$10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For both the third quarter and the first nine months of 2016, we had a tax expense of $692 million and $489 million, respectively, on a loss before income taxes of $1.1 billion and $2.3 billion, respectively. The primary component of the tax expense for the third quarter and first nine months of 2016 relates to the Company’s conclusion that certain deferred tax assets that had previously been benefited are not more likely than not to be realized. As a result, additional valuation allowances have been established for the United States and other jurisdictions.</w:t>
      </w:r>
    </w:p>
    <w:p>
      <w:pPr>
        <w:spacing w:after="0" w:line="187" w:lineRule="exact"/>
        <w:rPr>
          <w:sz w:val="20"/>
          <w:szCs w:val="20"/>
          <w:color w:val="auto"/>
        </w:rPr>
      </w:pPr>
    </w:p>
    <w:p>
      <w:pPr>
        <w:jc w:val="both"/>
        <w:ind w:firstLine="338"/>
        <w:spacing w:after="0" w:line="312" w:lineRule="auto"/>
        <w:rPr>
          <w:sz w:val="20"/>
          <w:szCs w:val="20"/>
          <w:color w:val="auto"/>
        </w:rPr>
      </w:pPr>
      <w:r>
        <w:rPr>
          <w:rFonts w:ascii="Arial" w:cs="Arial" w:eastAsia="Arial" w:hAnsi="Arial"/>
          <w:sz w:val="16"/>
          <w:szCs w:val="16"/>
          <w:color w:val="auto"/>
        </w:rPr>
        <w:t>Our results for the third quarter of 2016 include charges with no significant tax benefit principally related to $436 million of long-lived asset impairment, $198 million of excess and obsolete inventory charges, $62 million in accounts receivable reserves and write-offs, and $44 million of other asset write-offs and charges. In addition, we recorded a tax charge of $137 million for a non-cash tax expense related to an internal restructuring of subsidiaries.</w:t>
      </w:r>
    </w:p>
    <w:p>
      <w:pPr>
        <w:spacing w:after="0" w:line="147"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Our results for the first nine months of 2016 also include charges with no significant tax benefit principally related to $436 million of long-lived asset impairment, $213 million of excess and obsolete inventory charges, $140 million of settlement charges, $84 million related to a note adjustment for our largest customer in Venezuela, $78 million of bond tender premium, $62 million in accounts receivable reserves and write-offs, $31 million of currency devaluation related to the Angolan kwanza, $20 million in pressure pumping business related charges, and $15 million in supply agreement charges related to a non-core business divestitures. In addition, we recorded a tax charge of $526 million for the establishment of a valuation allowance, and $137 million for a non-cash tax expense related to an internal restructuring of subsidiaries.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Due to the ongoing lower than anticipated levels of exploration and production spending, we continue to reduce our overall cost structure and workforce to better align with current activity levels. The ongoing cost reduction plans, which began in 2016 and is continuing through 2017 (the “2016 Plan”), included a workforce reduction and other cost reduction measures initiated across our geographic regions.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2016 Plan, we recognized restructuring charges of $34 million and $140 million in the third quarter and the first nine months of 2017, respectively, which include termination (severance) charges of $15 million and $71 million, respectively, and other restructuring charges of $19 million and $57 million, respectively. Other restructuring charges include contract termination costs, relocation and other associated costs. The first nine months of 2017 also includes restructuring related asset charges of $12 million.</w:t>
      </w:r>
    </w:p>
    <w:p>
      <w:pPr>
        <w:spacing w:after="0" w:line="18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Also in connection with the 2016 Plan, we recognized restructuring charges of $22 million and $150 million in the third quarter and the first nine months of 2016, respectively, which include termination (severance) charges of $18 million and $126 million, respectively, and other restructuring charges of $4 million and $24 million, respectively. Other restructuring charges include contract termination costs, relocation and other associated costs. Please see “Note 3</w:t>
      </w:r>
    </w:p>
    <w:p>
      <w:pPr>
        <w:ind w:left="5780" w:right="2200" w:hanging="5778"/>
        <w:spacing w:after="0" w:line="793" w:lineRule="auto"/>
        <w:rPr>
          <w:sz w:val="20"/>
          <w:szCs w:val="20"/>
          <w:color w:val="auto"/>
        </w:rPr>
      </w:pPr>
      <w:r>
        <w:rPr>
          <w:rFonts w:ascii="Arial" w:cs="Arial" w:eastAsia="Arial" w:hAnsi="Arial"/>
          <w:sz w:val="18"/>
          <w:szCs w:val="18"/>
          <w:color w:val="auto"/>
        </w:rPr>
        <w:t>– Restructuring Charges” to our Condensed Consolidated Financial Statements for additional details of our charges by segment. 41</w:t>
      </w:r>
    </w:p>
    <w:p>
      <w:pPr>
        <w:sectPr>
          <w:pgSz w:w="11900" w:h="16838" w:orient="portrait"/>
          <w:cols w:equalWidth="0" w:num="1">
            <w:col w:w="11420"/>
          </w:cols>
          <w:pgMar w:left="240" w:top="449" w:right="239" w:bottom="1440" w:gutter="0" w:footer="0" w:header="0"/>
        </w:sectPr>
      </w:pPr>
    </w:p>
    <w:bookmarkStart w:id="43" w:name="page44"/>
    <w:bookmarkEnd w:id="4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September 30, 2017, we had cash and cash equivalents of $445 million compared to $1 billion at December 31, 2016. The following table summarizes cash flows provided by (used in) each type of activity for the nine months of 2017 and 2016:</w:t>
      </w:r>
    </w:p>
    <w:p>
      <w:pPr>
        <w:spacing w:after="0" w:line="11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7"/>
        </w:trPr>
        <w:tc>
          <w:tcPr>
            <w:tcW w:w="7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Pr>
          <w:p>
            <w:pPr>
              <w:spacing w:after="0"/>
              <w:rPr>
                <w:sz w:val="20"/>
                <w:szCs w:val="20"/>
                <w:color w:val="auto"/>
              </w:rPr>
            </w:pPr>
          </w:p>
        </w:tc>
        <w:tc>
          <w:tcPr>
            <w:tcW w:w="15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r>
      <w:tr>
        <w:trPr>
          <w:trHeight w:val="27"/>
        </w:trPr>
        <w:tc>
          <w:tcPr>
            <w:tcW w:w="7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7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r>
      <w:tr>
        <w:trPr>
          <w:trHeight w:val="27"/>
        </w:trPr>
        <w:tc>
          <w:tcPr>
            <w:tcW w:w="7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nine months of 2017, cash used in operating activities was $484 million compared to cash used in operating activities of $444 million in the nine months of 2016.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first nine months of 2017, the primary drivers of our investing cash flow activities are capital expenditures for property, plant and equipment and the purchase of assets held for sale. Capital expenditures were $147 million and $136 million for the nine months of 2017 and 2016, respectively. The amount we spend for capital expenditures varies each year and is based on the types of contracts we enter into, our asset availability and our expectations with respect to industry activity levels in the following year. In addition, in 2017 we purchased assets held for sale of $244 million related to previously leased pressure pumping equipment.</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Investing activities in 2017 also included cash paid of $13 million to acquire intellectual property and other intangibles, $25 million related to the purchase of held to maturity bonds, and $7 million related to business acquisitions, partially offset by cash proceeds of $36 million from the disposition of assets.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Investing activities in 2016 included cash received of $39 million for insurance proceeds from the casualty loss of a rig in Kuwait and $28 million from the disposition of assets. In 2016, we paid a $20 million working capital adjustment related to the previously sold engineered chemistry and Integrity drilling fluids businesses and purchased $10 million of intellectual property and other intangibles and $5 million related to business acquisitions.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nine months of 2017, we received net proceeds of approximately $250 million from the June 2017 issuance of our 9.875% senior notes due in 2024 compared to net proceeds of $3.2 billion received in the first nine months of 2016 from the issuance of a series of offerings of senior notes senior notes and a $500 million secured term loan.</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Long-term debt repayments in the first nine months of 2017 were $53 million compared to approximately $1.9 billion in the first nine months of 2016. The long-term debt repayments in 2016 were paid with the majority of the proceeds from the issuance of $3.2 billion in debt, mentioned previously, to fund a tender offer to buy back our senior notes with a principal balance of approximately $1.9 billion. We recognized a cash loss of $78 million on the tender offer buyback transaction.</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short-term debt borrowings were $118 million in the first nine months of 2017 compared to repayments of $1.1 billion in the first nine months of 2016. The short-term debt borrowings in the first nine months of 2017 were primarily for working capital, partially offset by the repayment of our 6.35% senior notes with a principal balance of $88 million. The short-term debt repayments in the first nine months of 2016 were primarily for the repayment of borrowings under our credit facility and repayment of our 5.50% senior notes with a principal balance of $350 million.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first nine months of 2016, we received net proceeds of $623 million from the issuance of 115 million ordinary shares of the Company.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sources of available liquidity include cash and cash equivalent balances, cash generated by our operations, accounts</w:t>
      </w:r>
    </w:p>
    <w:p>
      <w:pPr>
        <w:spacing w:after="0" w:line="25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49" w:right="239" w:bottom="1440" w:gutter="0" w:footer="0" w:header="0"/>
        </w:sectPr>
      </w:pPr>
    </w:p>
    <w:bookmarkStart w:id="44" w:name="page45"/>
    <w:bookmarkEnd w:id="4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receivable factoring, dispositions, and availability under committed lines of credit. We also historically have accessed banks for short-term loans from uncommitted borrowing arrangements and have accessed the capital markets with debt and equity offerings. From time to time we may and have entered into transactions to dispose of businesses or capital assets that no longer fit our long-term strategy.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 and Secured Term Loan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 revolving credit facility (the “Revolving Credit Agreement”) maturing in July of 2019 and a secured term loan agreement (the “Term Loan Agreement” and collectively with the Revolving Credit Agreement, the “Credit Agreements”) maturing in July of 2020. Our Credit Agreements contain customary events of default, including our failure to comply with the financial covenants. As of September 30, 2017, we were in compliance with our financial covenants as defined in the Credit Agreements as well as under our indentures. Based on our current financial projections, we believe we will continue to remain in compliance with our covenants.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September 30, 2017, we had total commitments under the Revolving Credit Agreement of $1.0 billion and borrowings of $388 million under the Term Loan Agreement. At September 30, 2017, we had $691 million available under the Credit Agreements and the following table summarizes our borrowing availability under these agreements:</w:t>
      </w:r>
    </w:p>
    <w:p>
      <w:pPr>
        <w:spacing w:after="0" w:line="115" w:lineRule="exact"/>
        <w:rPr>
          <w:sz w:val="20"/>
          <w:szCs w:val="20"/>
          <w:color w:val="auto"/>
        </w:rPr>
      </w:pPr>
    </w:p>
    <w:tbl>
      <w:tblPr>
        <w:tblLayout w:type="fixed"/>
        <w:tblInd w:w="2120" w:type="dxa"/>
        <w:tblCellMar>
          <w:top w:w="0" w:type="dxa"/>
          <w:left w:w="0" w:type="dxa"/>
          <w:bottom w:w="0" w:type="dxa"/>
          <w:right w:w="0" w:type="dxa"/>
        </w:tblCellMar>
      </w:tblPr>
      <w:tr>
        <w:trPr>
          <w:trHeight w:val="225"/>
        </w:trPr>
        <w:tc>
          <w:tcPr>
            <w:tcW w:w="6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2"/>
              </w:rPr>
              <w:t>September 30,</w:t>
            </w:r>
          </w:p>
        </w:tc>
      </w:tr>
      <w:tr>
        <w:trPr>
          <w:trHeight w:val="26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37"/>
        </w:trPr>
        <w:tc>
          <w:tcPr>
            <w:tcW w:w="6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Facilities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1,388</w:t>
            </w:r>
          </w:p>
        </w:tc>
      </w:tr>
      <w:tr>
        <w:trPr>
          <w:trHeight w:val="27"/>
        </w:trPr>
        <w:tc>
          <w:tcPr>
            <w:tcW w:w="6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uses of facilities: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Revolving credit agreement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6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Letters of credit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6300" w:type="dxa"/>
            <w:vAlign w:val="bottom"/>
          </w:tcPr>
          <w:p>
            <w:pPr>
              <w:ind w:left="120"/>
              <w:spacing w:after="0"/>
              <w:rPr>
                <w:sz w:val="20"/>
                <w:szCs w:val="20"/>
                <w:color w:val="auto"/>
              </w:rPr>
            </w:pPr>
            <w:r>
              <w:rPr>
                <w:rFonts w:ascii="Arial" w:cs="Arial" w:eastAsia="Arial" w:hAnsi="Arial"/>
                <w:sz w:val="18"/>
                <w:szCs w:val="18"/>
                <w:color w:val="auto"/>
              </w:rPr>
              <w:t>Secured term loan before debt issuance cost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7"/>
        </w:trPr>
        <w:tc>
          <w:tcPr>
            <w:tcW w:w="6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Availability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0"/>
        </w:trPr>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September 30, 2017, we had $28 million in short-term borrowings under these arrangements.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 and Other Receivables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participate in factoring arrangements to sell accounts receivable to third-party financial institutions. In the first nine months of 2017, we sold accounts receivable of $150 million and recognized a loss of approximately $1 million on these sales. We received cash proceeds totaling $148 million. In the first nine months of 2016, we sold approximately $102 million and recognized a loss of $0.4 million. Our factoring transactions in the first nine months of 2017 and 2016 were recognized as sales, and the proceeds are included as operating cash flows in our Condensed Consolidated Statements of Cash Flows.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quarter of 2017, Weatherford converted trade receivables of $65 million into a note from the customer with a face value of $65 million. The note had a three year term at a 4.625% stated interest rate. We reported the note as a trading security within “Other Current Assets” at fair value on the Condensed Consolidated Balance Sheets at its fair value of $58 million on March 31, 2017. The note fair value was considered a Level 2 valuation and was estimated using secondary market data for similar bonds. During the second quarter of 2017, we sold the note for $59 million.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October 24, 2017, Standard &amp; Poor’s Global Ratings downgraded our senior unsecured notes to B- from B, with a negative outlook. Our Moody’s Investors Services credit rating on our senior unsecured notes is currently Caa1 and our short-term rating is SGL-3, both with a negative outlook. We continue to have access and expect we will continue to have access to most credit markets.</w:t>
      </w:r>
    </w:p>
    <w:p>
      <w:pPr>
        <w:spacing w:after="0" w:line="200" w:lineRule="exact"/>
        <w:rPr>
          <w:sz w:val="20"/>
          <w:szCs w:val="20"/>
          <w:color w:val="auto"/>
        </w:rPr>
      </w:pP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49" w:right="239" w:bottom="1440" w:gutter="0" w:footer="0" w:header="0"/>
        </w:sectPr>
      </w:pPr>
    </w:p>
    <w:bookmarkStart w:id="45" w:name="page46"/>
    <w:bookmarkEnd w:id="4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We anticipate our remaining 2017 cash requirements will include payments for capital expenditures, repayment of debt, interest payments on our outstanding debt, settlement payments, severance payments and payments for short-term working capital needs. Our cash requirements may also include opportunistic debt repurchases, business acquisitions and other amounts to settle litigation related matters. We anticipate funding these requirements from cash and cash equivalent balances, cash generated by our operations, availability under our credit facilities, accounts receivable factoring, and if completed, proceeds from disposals of businesses or capital assets, including the OneStim</w:t>
      </w:r>
      <w:r>
        <w:rPr>
          <w:rFonts w:ascii="Arial" w:cs="Arial" w:eastAsia="Arial" w:hAnsi="Arial"/>
          <w:sz w:val="24"/>
          <w:szCs w:val="24"/>
          <w:color w:val="auto"/>
          <w:vertAlign w:val="superscript"/>
        </w:rPr>
        <w:t>SM</w:t>
      </w:r>
      <w:r>
        <w:rPr>
          <w:rFonts w:ascii="Arial" w:cs="Arial" w:eastAsia="Arial" w:hAnsi="Arial"/>
          <w:sz w:val="17"/>
          <w:szCs w:val="17"/>
          <w:color w:val="auto"/>
        </w:rPr>
        <w:t xml:space="preserve"> joint venture proceeds of $535 million, subject to agreed purchase price adjustments, that will be received upon closing of the joint venture formation. We anticipate that cash generated from operations will be augmented by working capital improvements, increased activity and improved margins. We also historically have accessed banks for short-term loans from uncommitted borrowing arrangements and have accessed the capital markets with debt and equity offerings. From time to time we may and have entered into transactions to dispose of businesses or capital assets that no longer fit our long-term strategy.</w:t>
      </w:r>
    </w:p>
    <w:p>
      <w:pPr>
        <w:spacing w:after="0" w:line="19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Capital expenditures for 2017 are projected to be approximately $225 million (excluding the purchase of certain leased equipment utilized in our North America pressure pumping operations for a total amount of $244 million) compared to capital expenditures of $204 million in 2016. The anticipated increase is due to higher anticipated activity in the oil and gas industry related to greater volumes of work and increased rig count. The amounts we ultimately spend will depend on a number of factors including the type of contracts we enter into, asset availability and our expectations with respect to industry activity levels through the remainder of 2017. Expenditures are expected to be used primarily to support ongoing activities of our businesses and our sources of liquidity are anticipated to be sufficient to meet our needs.</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Cash and cash equivalents of $445 million at September 30, 2017 are held by subsidiaries outside of Ireland. Based on the nature of our structure, we are generally able to redeploy cash with no incremental tax. As of September 30, 2017, $118 million of our cash and cash equivalents balance was denominated in Angolan kwanza. The National Bank of Angola supervises all kwanza exchange operations and has limited U.S. Dollar conversions. Prolonged Angolan exchange limitations may and has limited our ability to repatriate earnings and exposes us to additional exchange rate risk.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Weatherford Ireland guarantees the obligations of our subsidiaries Weatherford Bermuda and Weatherford Delaware, including the notes and credit facilities listed below.</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6.80% senior notes of Weatherford Delaware were guaranteed by Weatherford Bermuda at September 30, 2017 and December 31, 2016. At December 31, 2016, Weatherford Bermuda also guaranteed the 6.35% senior notes of Weatherford Delaware.</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obligations of Weatherford Bermuda were guaranteed by Weatherford Delaware at September 30, 2017 and December 31, 2016: (1) Revolving Credit Agreement, (2) Term Loan Agreement, (3) 6.50% senior notes, (4) 6.00% senior notes, (5) 7.00% senior notes, (6) 9.625% senior notes, (7) 9.875% senior notes due 2039, (8) 5.125% senior notes, (9) 6.75% senior notes, (10) 4.50% senior notes, (11) 5.95% senior notes, (12) 5.875% exchangeable senior notes, (13) 7.75% senior notes, (14) 8.25% senior notes and (15) 9.875% senior notes due 2024.</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a result of certain of these guarantee arrangements, we are required to present condensed consolidating financial information. See “Note 19 – Condensed Consolidating Financial Statements” to our Condensed Consolidated Financial Statements for our guarantor financial information.</w:t>
      </w:r>
    </w:p>
    <w:p>
      <w:pPr>
        <w:spacing w:after="0" w:line="39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49" w:right="239" w:bottom="1440" w:gutter="0" w:footer="0" w:header="0"/>
        </w:sectPr>
      </w:pPr>
    </w:p>
    <w:bookmarkStart w:id="46" w:name="page47"/>
    <w:bookmarkEnd w:id="4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use letters of credit and performance and bid bonds in the normal course of our business. As of September 30, 2017, we had $471 million of letters of credit and performance and bid bonds outstanding, consisting of $387 million outstanding under various uncommitted credit facilities, of which $72 million has been cash collateralized (included in “Cash and Cash Equivalents” in the accompanying Condensed Consolidated Balance Sheets), and $84 million of letters of credit outstanding under our Revolving Credit Agreement. We also have $59 million of surety bonds, primarily performance bonds, issued by financial sureties against an indemnification from us. These obligations could be called by the beneficiaries should we breach certain contractual or performance obligations. If the beneficiaries were to call the letters of credit under our committed facilities, our available liquidity would be reduced by the amount called.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See “Note 11 – Derivative Instruments” to our Condensed Consolidated Financial Statements for details regarding our use of interest rate swaps and derivative contracts we enter to hedge our exposure to currency fluctuations in various foreign currencies and other derivative activities.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discussion and analysis of our financial condition and results of operation is based upon our Condensed Consolidated Financial Statements. We prepare these financial statements in conformity with U.S. generally accepted accounting principles.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Form 10-K for the year ended December 31, 2016.</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18 – New Accounting Pronouncements” to our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49" w:right="239" w:bottom="1440" w:gutter="0" w:footer="0" w:header="0"/>
        </w:sectPr>
      </w:pPr>
    </w:p>
    <w:bookmarkStart w:id="47" w:name="page48"/>
    <w:bookmarkEnd w:id="4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report contains various statements relating to future financial performance and results,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“Part II – Other Information – Item 1A. – Risk Factors” and the following:</w:t>
      </w:r>
    </w:p>
    <w:p>
      <w:pPr>
        <w:spacing w:after="0" w:line="167" w:lineRule="exact"/>
        <w:rPr>
          <w:sz w:val="20"/>
          <w:szCs w:val="20"/>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price and price volatility of oil, natural gas and natural gas liquids;</w:t>
      </w:r>
    </w:p>
    <w:p>
      <w:pPr>
        <w:spacing w:after="0" w:line="63"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spacing w:after="0" w:line="8"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 and our ability to execute or close such acquisitions and dispositions;</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63" w:lineRule="exact"/>
        <w:rPr>
          <w:rFonts w:ascii="Arial" w:cs="Arial" w:eastAsia="Arial" w:hAnsi="Arial"/>
          <w:sz w:val="18"/>
          <w:szCs w:val="18"/>
          <w:color w:val="auto"/>
        </w:rPr>
      </w:pPr>
    </w:p>
    <w:p>
      <w:pPr>
        <w:ind w:left="740" w:right="20" w:hanging="327"/>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organization restructure and the cost and support reduction plans;</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74" w:lineRule="exact"/>
        <w:rPr>
          <w:rFonts w:ascii="Arial" w:cs="Arial" w:eastAsia="Arial" w:hAnsi="Arial"/>
          <w:sz w:val="17"/>
          <w:szCs w:val="17"/>
          <w:color w:val="auto"/>
        </w:rPr>
      </w:pPr>
    </w:p>
    <w:p>
      <w:pPr>
        <w:ind w:left="740" w:right="100" w:hanging="327"/>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limited access to capital, significantly higher cost of capital, or difficulty raising additional funds in the equity or debt capital markets.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our other filings with the SEC. Our annual reports on Form 10-K, quarterly reports on Form 10-Q, current reports on Form 8-K and amendments to those reports filed or furnished pursuant to Section 13(a) or 15(d) of the Exchange Act are made available free of charge on our web site www.weatherford.com under “Investor Relations” as soon as reasonably practicable after we have electronically filed the material with, or furnished it to, the SEC.</w:t>
      </w:r>
    </w:p>
    <w:p>
      <w:pPr>
        <w:spacing w:after="0" w:line="200" w:lineRule="exact"/>
        <w:rPr>
          <w:sz w:val="20"/>
          <w:szCs w:val="20"/>
          <w:color w:val="auto"/>
        </w:rPr>
      </w:pPr>
    </w:p>
    <w:p>
      <w:pPr>
        <w:spacing w:after="0" w:line="21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49" w:right="239" w:bottom="1440" w:gutter="0" w:footer="0" w:header="0"/>
        </w:sectPr>
      </w:pPr>
    </w:p>
    <w:bookmarkStart w:id="48" w:name="page49"/>
    <w:bookmarkEnd w:id="4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quantitative and qualitative disclosures about market risk, see “Part II – Other Information – Item 7A.– Quantitative and Qualitative Disclosures about Market Risk,” in our Annual Report on Form 10-K for the fiscal year ended December 31, 2016. Our exposure to market risk has not changed materially since December 31, 2016.</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 Our management, under the supervision and with the participation of our CEO and CFO, evaluated the effectiveness of the design and operation of our disclosure controls and procedures at September 30, 2017. Based on that evaluation, our CEO and CFO concluded that our disclosure controls and procedures were effective as of September 30, 2017.</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three months ended September 30, 2017 that has materially affected, or is reasonably likely to materially affect, our internal control over financial reporting.</w:t>
      </w: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Disputes and Litigation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17 – Disputes, Litigation and Contingencies” to our Condensed Consolidated Financial Statements for details regarding our ongoing disputes and litigation.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most recent Annual Report on Form 10-K, Part I, under the heading “Item 1A. – Risk Factors” and other information included and incorporated by reference in this report. The risk factor below updates our risk factors in our Annual Report on Form 10-K for the fiscal year ended December 31, 2016. As of September 30, 2017, there have been no other material changes in our assessment of our risk factors from those set forth in our Annual Report on Form 10-K for the fiscal year ended December 31, 2016.</w:t>
      </w:r>
    </w:p>
    <w:p>
      <w:pPr>
        <w:spacing w:after="0" w:line="18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Our business in Venezuela subjects us to actions by the Venezuelan government, actions by the U.S. and foreign governments, actions, including delayed payment, by our primary customer, and currency risk, each of which could have a material adverse effect on our liquidity, results of operations and financial condition.</w:t>
      </w:r>
    </w:p>
    <w:p>
      <w:pPr>
        <w:spacing w:after="0" w:line="18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future financial results of our Venezuelan operations may be adversely affected by many factors, including our ability to take action to mitigate the effect of exchange controls, actions of the Venezuelan government, continued inflation, actions and sanctions by the U.S. and foreign governments, and customer payments and spending. In August 2017, economic sanctions around certain financing transactions in Venezuela were imposed by the U.S. government. These sanctions could affect our ability to collect payment on our receivables. Additionally, we are experiencing, and may continue to experience, a delay in payment on our receivables from our primary customer in Venezuela. If this customer further delays paying or fails to pay a significant amount of our outstanding receivables, or if there is a major action by the Venezuelan government, it could have a material adverse effect on our liquidity, consolidated results of operations and consolidated financial condition. For further information, see Note 1 – General to our Condensed Consolidated Financial Statements and Item 7. – Management’s Discussion and Analysis of Financial Condition and Results of Operations.</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believe there are risks associated with our operations in Venezuela, which continues to experience significant political and economic turmoil. The political and economic conditions have worsened further in 2017, leading to uncertainty in the future business climate, the state of security, and governance of the country. This environment increases the risk of civil unrest, armed</w:t>
      </w: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49" w:right="239" w:bottom="1440" w:gutter="0" w:footer="0" w:header="0"/>
        </w:sectPr>
      </w:pPr>
    </w:p>
    <w:bookmarkStart w:id="49" w:name="page50"/>
    <w:bookmarkEnd w:id="4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conflicts, adverse actions by the government of Venezuela, or imposition of further sanctions or other actions by the U.S. and foreign governments that may restrict our ability to continue operations or realize the value of our assets. This development could delay or prevent our ability to generate additional revenue, collect our receivables or continue our operations in Venezuela.</w:t>
      </w:r>
    </w:p>
    <w:p>
      <w:pPr>
        <w:spacing w:after="0" w:line="17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We may not be able to complete our contemplated divestitures and we may not achieve the intended benefits of any acquisition, divestiture or joint venture.</w:t>
      </w:r>
    </w:p>
    <w:p>
      <w:pPr>
        <w:spacing w:after="0" w:line="16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From time to time, we pursue strategic divestitures, acquisitions, investments and joint ventures (“transactions”). For example, in 2014, we divested certain of our non-core businesses. However, due to sustained unfavorable market conditions, we have not yet completed the divestiture of the remaining portion of our land drilling rigs. Any such divestiture, accomplished through an initial public offering, a spin-off, an asset sale, or some combination of the foregoing, will be complex in nature and may be affected by unanticipated developments, such as the continued significant and sustained decrease in the price of crude oil, delays in obtaining regulatory or governmental approvals and challenges in establishing processes and infrastructure for both the underlying business and for potential investors or buyers of the business, which may result in such divestiture being delayed, or not being completed at all.</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in November 2016, we shut down our U.S. pressure pumping operations and idled the related assets, with the intent to dispose of these assets. In March of 2017, we agreed to contribute these assets to the OneStim joint venture with affiliates of Schlumberger Ltd. which we expect to close in the fourth quarter of 2017. However, the closing is subject to regulatory approvals and other customary closing conditions, and the purchase price is contractually subject to adjustment, which depending on the relative size of fleets out of service might be substantial.</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Even if successful, any of these contemplated or other future transactions may reduce our earnings for a number of reasons, and pose many other risks that could adversely affect or operations or financial results, including:</w:t>
      </w:r>
    </w:p>
    <w:p>
      <w:pPr>
        <w:spacing w:after="0" w:line="170" w:lineRule="exact"/>
        <w:rPr>
          <w:sz w:val="20"/>
          <w:szCs w:val="20"/>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acquired entities or joint ventures may not operate profitably, which could adversely affect our operating income or operating margins, and we may be unable to recover our investments;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effectively influence the operations of our joint ventures, or we may be exposed to certain liabilities if our joint venture partners do not fulfill their obligations;</w:t>
      </w:r>
    </w:p>
    <w:p>
      <w:pPr>
        <w:spacing w:after="0" w:line="170"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these transactions require significant investment of time and resources, may disrupt our business, distract management from other responsibilities and may result in losses on disposal or continued financial involvement in any divested business, including through indemnification, guarantee or other financial arrangements, for a period of time following the transaction, which may adversely affect our financial results; and</w:t>
      </w:r>
    </w:p>
    <w:p>
      <w:pPr>
        <w:spacing w:after="0" w:line="146"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fully realize the intended or expected benefits of consummating such transactions.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49" w:right="239" w:bottom="1440" w:gutter="0" w:footer="0" w:header="0"/>
        </w:sectPr>
      </w:pPr>
    </w:p>
    <w:bookmarkStart w:id="50" w:name="page51"/>
    <w:bookmarkEnd w:id="50"/>
    <w:p>
      <w:pPr>
        <w:ind w:left="305"/>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25"/>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05"/>
        <w:spacing w:after="0"/>
        <w:rPr>
          <w:sz w:val="20"/>
          <w:szCs w:val="20"/>
          <w:color w:val="auto"/>
        </w:rPr>
      </w:pPr>
      <w:r>
        <w:rPr>
          <w:rFonts w:ascii="Arial" w:cs="Arial" w:eastAsia="Arial" w:hAnsi="Arial"/>
          <w:sz w:val="17"/>
          <w:szCs w:val="17"/>
          <w:color w:val="auto"/>
        </w:rPr>
        <w:t>All exhibits are incorporated herein by reference to a prior filing as indicated, unless otherwise designated with an dagger (†) or double dagger (††)</w:t>
      </w:r>
    </w:p>
    <w:p>
      <w:pPr>
        <w:spacing w:after="0" w:line="395" w:lineRule="exact"/>
        <w:rPr>
          <w:sz w:val="20"/>
          <w:szCs w:val="20"/>
          <w:color w:val="auto"/>
        </w:rPr>
      </w:pPr>
    </w:p>
    <w:p>
      <w:pPr>
        <w:ind w:left="205"/>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65"/>
        <w:spacing w:after="0"/>
        <w:tabs>
          <w:tab w:leader="none" w:pos="1125"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22860</wp:posOffset>
            </wp:positionV>
            <wp:extent cx="7246620"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42" w:lineRule="exact"/>
        <w:rPr>
          <w:sz w:val="20"/>
          <w:szCs w:val="20"/>
          <w:color w:val="auto"/>
        </w:rPr>
      </w:pPr>
    </w:p>
    <w:p>
      <w:pPr>
        <w:ind w:left="1145" w:right="140" w:hanging="766"/>
        <w:spacing w:after="0" w:line="277" w:lineRule="auto"/>
        <w:tabs>
          <w:tab w:leader="none" w:pos="1125" w:val="left"/>
        </w:tabs>
        <w:rPr>
          <w:rFonts w:ascii="Arial" w:cs="Arial" w:eastAsia="Arial" w:hAnsi="Arial"/>
          <w:sz w:val="18"/>
          <w:szCs w:val="18"/>
          <w:color w:val="0000FF"/>
        </w:rPr>
      </w:pPr>
      <w:hyperlink r:id="rId11">
        <w:r>
          <w:rPr>
            <w:rFonts w:ascii="Arial" w:cs="Arial" w:eastAsia="Arial" w:hAnsi="Arial"/>
            <w:sz w:val="18"/>
            <w:szCs w:val="18"/>
            <w:u w:val="single" w:color="auto"/>
            <w:color w:val="0000FF"/>
          </w:rPr>
          <w:t>3.1</w:t>
        </w:r>
      </w:hyperlink>
      <w:r>
        <w:rPr>
          <w:rFonts w:ascii="Arial" w:cs="Arial" w:eastAsia="Arial" w:hAnsi="Arial"/>
          <w:sz w:val="18"/>
          <w:szCs w:val="18"/>
          <w:color w:val="0000FF"/>
        </w:rPr>
        <w:tab/>
        <w:t>Memorandum and Articles of Association of Weatherford International public limited company (incorporated by reference as Exhibit 2.1 of the Weatherford’s Form 8-K filed April 2, 2014, File No. 1-36504).</w:t>
      </w:r>
    </w:p>
    <w:p>
      <w:pPr>
        <w:spacing w:after="0" w:line="8" w:lineRule="exact"/>
        <w:rPr>
          <w:sz w:val="20"/>
          <w:szCs w:val="20"/>
          <w:color w:val="auto"/>
        </w:rPr>
      </w:pPr>
    </w:p>
    <w:p>
      <w:pPr>
        <w:ind w:left="1145" w:right="80" w:hanging="811"/>
        <w:spacing w:after="0" w:line="277" w:lineRule="auto"/>
        <w:tabs>
          <w:tab w:leader="none" w:pos="1125" w:val="left"/>
        </w:tabs>
        <w:rPr>
          <w:rFonts w:ascii="Arial" w:cs="Arial" w:eastAsia="Arial" w:hAnsi="Arial"/>
          <w:sz w:val="18"/>
          <w:szCs w:val="18"/>
          <w:color w:val="0000FF"/>
        </w:rPr>
      </w:pPr>
      <w:hyperlink r:id="rId12">
        <w:r>
          <w:rPr>
            <w:rFonts w:ascii="Arial" w:cs="Arial" w:eastAsia="Arial" w:hAnsi="Arial"/>
            <w:sz w:val="18"/>
            <w:szCs w:val="18"/>
            <w:u w:val="single" w:color="auto"/>
            <w:color w:val="0000FF"/>
          </w:rPr>
          <w:t>10.1</w:t>
        </w:r>
      </w:hyperlink>
      <w:r>
        <w:rPr>
          <w:rFonts w:ascii="Arial" w:cs="Arial" w:eastAsia="Arial" w:hAnsi="Arial"/>
          <w:sz w:val="18"/>
          <w:szCs w:val="18"/>
          <w:color w:val="0000FF"/>
        </w:rPr>
        <w:tab/>
        <w:t>Form of Change of Control Agreement, entered into by Karl Blanchard on August 21, 2017 (incorporated by reference to Exhibit 10.1 of the Company’s Current Report on Form 8-K filed December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wp:posOffset>
            </wp:positionV>
            <wp:extent cx="7246620"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left="1145" w:right="160" w:hanging="811"/>
        <w:spacing w:after="0" w:line="264" w:lineRule="auto"/>
        <w:tabs>
          <w:tab w:leader="none" w:pos="1125" w:val="left"/>
        </w:tabs>
        <w:rPr>
          <w:rFonts w:ascii="Arial" w:cs="Arial" w:eastAsia="Arial" w:hAnsi="Arial"/>
          <w:sz w:val="18"/>
          <w:szCs w:val="18"/>
          <w:color w:val="0000FF"/>
        </w:rPr>
      </w:pPr>
      <w:hyperlink r:id="rId14">
        <w:r>
          <w:rPr>
            <w:rFonts w:ascii="Arial" w:cs="Arial" w:eastAsia="Arial" w:hAnsi="Arial"/>
            <w:sz w:val="18"/>
            <w:szCs w:val="18"/>
            <w:u w:val="single" w:color="auto"/>
            <w:color w:val="0000FF"/>
          </w:rPr>
          <w:t>10.2</w:t>
        </w:r>
      </w:hyperlink>
      <w:r>
        <w:rPr>
          <w:rFonts w:ascii="Arial" w:cs="Arial" w:eastAsia="Arial" w:hAnsi="Arial"/>
          <w:sz w:val="18"/>
          <w:szCs w:val="18"/>
          <w:color w:val="0000FF"/>
        </w:rPr>
        <w:tab/>
        <w:t>Form of Deed of Indemnity of Weatherford International plc entered into by Karl Blanchard on August 21, 2017 and Roxanne J. Decyk and David S. King on September 25, 2017 (incorporated by reference to Exhibit 10.11 of the Company’s Current Report on Form 8-K12B filed June 17, 2014).</w:t>
      </w:r>
    </w:p>
    <w:p>
      <w:pPr>
        <w:spacing w:after="0" w:line="19" w:lineRule="exact"/>
        <w:rPr>
          <w:sz w:val="20"/>
          <w:szCs w:val="20"/>
          <w:color w:val="auto"/>
        </w:rPr>
      </w:pPr>
    </w:p>
    <w:p>
      <w:pPr>
        <w:ind w:left="345"/>
        <w:spacing w:after="0"/>
        <w:tabs>
          <w:tab w:leader="none" w:pos="1125" w:val="left"/>
        </w:tabs>
        <w:rPr>
          <w:rFonts w:ascii="Arial" w:cs="Arial" w:eastAsia="Arial" w:hAnsi="Arial"/>
          <w:sz w:val="18"/>
          <w:szCs w:val="18"/>
          <w:color w:val="0000FF"/>
        </w:rPr>
      </w:pPr>
      <w:hyperlink r:id="rId15">
        <w:r>
          <w:rPr>
            <w:rFonts w:ascii="Arial" w:cs="Arial" w:eastAsia="Arial" w:hAnsi="Arial"/>
            <w:sz w:val="18"/>
            <w:szCs w:val="18"/>
            <w:u w:val="single" w:color="auto"/>
            <w:color w:val="0000FF"/>
          </w:rPr>
          <w:t>10.3</w:t>
        </w:r>
      </w:hyperlink>
      <w:r>
        <w:rPr>
          <w:rFonts w:ascii="Arial" w:cs="Arial" w:eastAsia="Arial" w:hAnsi="Arial"/>
          <w:sz w:val="18"/>
          <w:szCs w:val="18"/>
          <w:color w:val="0000FF"/>
        </w:rPr>
        <w:tab/>
      </w:r>
      <w:r>
        <w:rPr>
          <w:rFonts w:ascii="Arial" w:cs="Arial" w:eastAsia="Arial" w:hAnsi="Arial"/>
          <w:sz w:val="16"/>
          <w:szCs w:val="16"/>
          <w:color w:val="0000FF"/>
        </w:rPr>
        <w:t>Form of Deed of Indemnity of Weatherford International Ltd. (Bermuda) entered into by Roxanne J. Decyk and David S. King on September</w:t>
      </w:r>
    </w:p>
    <w:p>
      <w:pPr>
        <w:spacing w:after="0" w:line="23" w:lineRule="exact"/>
        <w:rPr>
          <w:sz w:val="20"/>
          <w:szCs w:val="20"/>
          <w:color w:val="auto"/>
        </w:rPr>
      </w:pPr>
    </w:p>
    <w:p>
      <w:pPr>
        <w:ind w:left="1145"/>
        <w:spacing w:after="0"/>
        <w:rPr>
          <w:sz w:val="20"/>
          <w:szCs w:val="20"/>
          <w:color w:val="auto"/>
        </w:rPr>
      </w:pPr>
      <w:r>
        <w:rPr>
          <w:rFonts w:ascii="Arial" w:cs="Arial" w:eastAsia="Arial" w:hAnsi="Arial"/>
          <w:sz w:val="18"/>
          <w:szCs w:val="18"/>
          <w:color w:val="auto"/>
        </w:rPr>
        <w:t>21, 2017 (incorporated by reference to Exhibit 10.12 of the Company’s Current Report on Form 8-K12B filed June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22860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 w:lineRule="exact"/>
        <w:rPr>
          <w:sz w:val="20"/>
          <w:szCs w:val="20"/>
          <w:color w:val="auto"/>
        </w:rPr>
      </w:pPr>
    </w:p>
    <w:p>
      <w:pPr>
        <w:ind w:left="285"/>
        <w:spacing w:after="0"/>
        <w:tabs>
          <w:tab w:leader="none" w:pos="1125" w:val="left"/>
        </w:tabs>
        <w:rPr>
          <w:rFonts w:ascii="Arial" w:cs="Arial" w:eastAsia="Arial" w:hAnsi="Arial"/>
          <w:sz w:val="18"/>
          <w:szCs w:val="18"/>
          <w:color w:val="auto"/>
        </w:rPr>
      </w:pPr>
      <w:r>
        <w:rPr>
          <w:rFonts w:ascii="Arial" w:cs="Arial" w:eastAsia="Arial" w:hAnsi="Arial"/>
          <w:sz w:val="18"/>
          <w:szCs w:val="18"/>
          <w:color w:val="auto"/>
        </w:rPr>
        <w:t>†</w:t>
      </w:r>
      <w:hyperlink w:anchor="page53">
        <w:r>
          <w:rPr>
            <w:rFonts w:ascii="Arial" w:cs="Arial" w:eastAsia="Arial" w:hAnsi="Arial"/>
            <w:sz w:val="18"/>
            <w:szCs w:val="18"/>
            <w:u w:val="single" w:color="auto"/>
            <w:color w:val="0000FF"/>
          </w:rPr>
          <w:t>10.4</w:t>
        </w:r>
      </w:hyperlink>
      <w:r>
        <w:rPr>
          <w:rFonts w:ascii="Arial" w:cs="Arial" w:eastAsia="Arial" w:hAnsi="Arial"/>
          <w:sz w:val="18"/>
          <w:szCs w:val="18"/>
          <w:color w:val="auto"/>
        </w:rPr>
        <w:tab/>
      </w:r>
      <w:r>
        <w:rPr>
          <w:rFonts w:ascii="Arial" w:cs="Arial" w:eastAsia="Arial" w:hAnsi="Arial"/>
          <w:sz w:val="16"/>
          <w:szCs w:val="16"/>
          <w:color w:val="auto"/>
        </w:rPr>
        <w:t>Deed of Indemnity of Weatherford International Ltd. (Bermuda) entered into by Karl Blanchard on August 21, 2017.</w:t>
      </w:r>
    </w:p>
    <w:p>
      <w:pPr>
        <w:spacing w:after="0" w:line="63" w:lineRule="exact"/>
        <w:rPr>
          <w:sz w:val="20"/>
          <w:szCs w:val="20"/>
          <w:color w:val="auto"/>
        </w:rPr>
      </w:pPr>
    </w:p>
    <w:p>
      <w:pPr>
        <w:ind w:left="1145" w:right="100" w:hanging="856"/>
        <w:spacing w:after="0" w:line="277" w:lineRule="auto"/>
        <w:tabs>
          <w:tab w:leader="none" w:pos="1125" w:val="left"/>
        </w:tabs>
        <w:rPr>
          <w:rFonts w:ascii="Arial" w:cs="Arial" w:eastAsia="Arial" w:hAnsi="Arial"/>
          <w:sz w:val="18"/>
          <w:szCs w:val="18"/>
          <w:color w:val="auto"/>
        </w:rPr>
      </w:pPr>
      <w:r>
        <w:rPr>
          <w:rFonts w:ascii="Arial" w:cs="Arial" w:eastAsia="Arial" w:hAnsi="Arial"/>
          <w:sz w:val="18"/>
          <w:szCs w:val="18"/>
          <w:color w:val="auto"/>
        </w:rPr>
        <w:t>†</w:t>
      </w:r>
      <w:hyperlink w:anchor="page66">
        <w:r>
          <w:rPr>
            <w:rFonts w:ascii="Arial" w:cs="Arial" w:eastAsia="Arial" w:hAnsi="Arial"/>
            <w:sz w:val="18"/>
            <w:szCs w:val="18"/>
            <w:u w:val="single" w:color="auto"/>
            <w:color w:val="0000FF"/>
          </w:rPr>
          <w:t>10.5</w:t>
        </w:r>
      </w:hyperlink>
      <w:r>
        <w:rPr>
          <w:rFonts w:ascii="Arial" w:cs="Arial" w:eastAsia="Arial" w:hAnsi="Arial"/>
          <w:sz w:val="18"/>
          <w:szCs w:val="18"/>
          <w:color w:val="auto"/>
        </w:rPr>
        <w:tab/>
        <w:t>Form of Restricted Share Units Award Agreement (CIC: Retirement - Director) pursuant to the Weatherford International plc 2010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85"/>
        <w:spacing w:after="0"/>
        <w:tabs>
          <w:tab w:leader="none" w:pos="1125" w:val="left"/>
        </w:tabs>
        <w:rPr>
          <w:rFonts w:ascii="Arial" w:cs="Arial" w:eastAsia="Arial" w:hAnsi="Arial"/>
          <w:sz w:val="18"/>
          <w:szCs w:val="18"/>
          <w:color w:val="auto"/>
        </w:rPr>
      </w:pPr>
      <w:r>
        <w:rPr>
          <w:rFonts w:ascii="Arial" w:cs="Arial" w:eastAsia="Arial" w:hAnsi="Arial"/>
          <w:sz w:val="18"/>
          <w:szCs w:val="18"/>
          <w:color w:val="auto"/>
        </w:rPr>
        <w:t>†</w:t>
      </w:r>
      <w:hyperlink w:anchor="page75">
        <w:r>
          <w:rPr>
            <w:rFonts w:ascii="Arial" w:cs="Arial" w:eastAsia="Arial" w:hAnsi="Arial"/>
            <w:sz w:val="18"/>
            <w:szCs w:val="18"/>
            <w:u w:val="single" w:color="auto"/>
            <w:color w:val="0000FF"/>
          </w:rPr>
          <w:t>31.1</w:t>
        </w:r>
      </w:hyperlink>
      <w:r>
        <w:rPr>
          <w:rFonts w:ascii="Arial" w:cs="Arial" w:eastAsia="Arial" w:hAnsi="Arial"/>
          <w:sz w:val="18"/>
          <w:szCs w:val="18"/>
          <w:color w:val="auto"/>
        </w:rPr>
        <w:tab/>
      </w:r>
      <w:r>
        <w:rPr>
          <w:rFonts w:ascii="Arial" w:cs="Arial" w:eastAsia="Arial" w:hAnsi="Arial"/>
          <w:sz w:val="16"/>
          <w:szCs w:val="16"/>
          <w:color w:val="auto"/>
        </w:rPr>
        <w:t>Certification of Chief Executive Officer pursuant to Section 302 of the Sarbanes-Oxley Act of 2002.</w:t>
      </w:r>
    </w:p>
    <w:p>
      <w:pPr>
        <w:spacing w:after="0" w:line="63" w:lineRule="exact"/>
        <w:rPr>
          <w:sz w:val="20"/>
          <w:szCs w:val="20"/>
          <w:color w:val="auto"/>
        </w:rPr>
      </w:pPr>
    </w:p>
    <w:p>
      <w:pPr>
        <w:ind w:left="285"/>
        <w:spacing w:after="0"/>
        <w:tabs>
          <w:tab w:leader="none" w:pos="1125" w:val="left"/>
        </w:tabs>
        <w:rPr>
          <w:rFonts w:ascii="Arial" w:cs="Arial" w:eastAsia="Arial" w:hAnsi="Arial"/>
          <w:sz w:val="18"/>
          <w:szCs w:val="18"/>
          <w:color w:val="auto"/>
        </w:rPr>
      </w:pPr>
      <w:r>
        <w:rPr>
          <w:rFonts w:ascii="Arial" w:cs="Arial" w:eastAsia="Arial" w:hAnsi="Arial"/>
          <w:sz w:val="18"/>
          <w:szCs w:val="18"/>
          <w:color w:val="auto"/>
        </w:rPr>
        <w:t>†</w:t>
      </w:r>
      <w:hyperlink w:anchor="page76">
        <w:r>
          <w:rPr>
            <w:rFonts w:ascii="Arial" w:cs="Arial" w:eastAsia="Arial" w:hAnsi="Arial"/>
            <w:sz w:val="18"/>
            <w:szCs w:val="18"/>
            <w:u w:val="single" w:color="auto"/>
            <w:color w:val="0000FF"/>
          </w:rPr>
          <w:t>31.2</w:t>
        </w:r>
      </w:hyperlink>
      <w:r>
        <w:rPr>
          <w:rFonts w:ascii="Arial" w:cs="Arial" w:eastAsia="Arial" w:hAnsi="Arial"/>
          <w:sz w:val="18"/>
          <w:szCs w:val="18"/>
          <w:color w:val="auto"/>
        </w:rPr>
        <w:tab/>
      </w:r>
      <w:r>
        <w:rPr>
          <w:rFonts w:ascii="Arial" w:cs="Arial" w:eastAsia="Arial" w:hAnsi="Arial"/>
          <w:sz w:val="16"/>
          <w:szCs w:val="16"/>
          <w:color w:val="auto"/>
        </w:rPr>
        <w:t>Certification of Chief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45"/>
        <w:spacing w:after="0"/>
        <w:tabs>
          <w:tab w:leader="none" w:pos="1125" w:val="left"/>
        </w:tabs>
        <w:rPr>
          <w:rFonts w:ascii="Arial" w:cs="Arial" w:eastAsia="Arial" w:hAnsi="Arial"/>
          <w:sz w:val="18"/>
          <w:szCs w:val="18"/>
          <w:color w:val="auto"/>
        </w:rPr>
      </w:pPr>
      <w:r>
        <w:rPr>
          <w:rFonts w:ascii="Arial" w:cs="Arial" w:eastAsia="Arial" w:hAnsi="Arial"/>
          <w:sz w:val="18"/>
          <w:szCs w:val="18"/>
          <w:color w:val="auto"/>
        </w:rPr>
        <w:t>††</w:t>
      </w:r>
      <w:hyperlink w:anchor="page77">
        <w:r>
          <w:rPr>
            <w:rFonts w:ascii="Arial" w:cs="Arial" w:eastAsia="Arial" w:hAnsi="Arial"/>
            <w:sz w:val="18"/>
            <w:szCs w:val="18"/>
            <w:u w:val="single" w:color="auto"/>
            <w:color w:val="0000FF"/>
          </w:rPr>
          <w:t>32.1</w:t>
        </w:r>
      </w:hyperlink>
      <w:r>
        <w:rPr>
          <w:rFonts w:ascii="Arial" w:cs="Arial" w:eastAsia="Arial" w:hAnsi="Arial"/>
          <w:sz w:val="18"/>
          <w:szCs w:val="18"/>
          <w:color w:val="auto"/>
        </w:rPr>
        <w:tab/>
      </w:r>
      <w:r>
        <w:rPr>
          <w:rFonts w:ascii="Arial" w:cs="Arial" w:eastAsia="Arial" w:hAnsi="Arial"/>
          <w:sz w:val="16"/>
          <w:szCs w:val="16"/>
          <w:color w:val="auto"/>
        </w:rPr>
        <w:t>Certification of Chief Executive Officer pursuant to Section 906 of the Sarbanes-Oxley Act of 2002.</w:t>
      </w:r>
    </w:p>
    <w:p>
      <w:pPr>
        <w:spacing w:after="0" w:line="63" w:lineRule="exact"/>
        <w:rPr>
          <w:sz w:val="20"/>
          <w:szCs w:val="20"/>
          <w:color w:val="auto"/>
        </w:rPr>
      </w:pPr>
    </w:p>
    <w:p>
      <w:pPr>
        <w:ind w:left="245"/>
        <w:spacing w:after="0"/>
        <w:tabs>
          <w:tab w:leader="none" w:pos="1125" w:val="left"/>
        </w:tabs>
        <w:rPr>
          <w:rFonts w:ascii="Arial" w:cs="Arial" w:eastAsia="Arial" w:hAnsi="Arial"/>
          <w:sz w:val="18"/>
          <w:szCs w:val="18"/>
          <w:color w:val="auto"/>
        </w:rPr>
      </w:pPr>
      <w:r>
        <w:rPr>
          <w:rFonts w:ascii="Arial" w:cs="Arial" w:eastAsia="Arial" w:hAnsi="Arial"/>
          <w:sz w:val="18"/>
          <w:szCs w:val="18"/>
          <w:color w:val="auto"/>
        </w:rPr>
        <w:t>††</w:t>
      </w:r>
      <w:hyperlink w:anchor="page78">
        <w:r>
          <w:rPr>
            <w:rFonts w:ascii="Arial" w:cs="Arial" w:eastAsia="Arial" w:hAnsi="Arial"/>
            <w:sz w:val="18"/>
            <w:szCs w:val="18"/>
            <w:u w:val="single" w:color="auto"/>
            <w:color w:val="0000FF"/>
          </w:rPr>
          <w:t>32.2</w:t>
        </w:r>
      </w:hyperlink>
      <w:r>
        <w:rPr>
          <w:rFonts w:ascii="Arial" w:cs="Arial" w:eastAsia="Arial" w:hAnsi="Arial"/>
          <w:sz w:val="18"/>
          <w:szCs w:val="18"/>
          <w:color w:val="auto"/>
        </w:rPr>
        <w:tab/>
      </w:r>
      <w:r>
        <w:rPr>
          <w:rFonts w:ascii="Arial" w:cs="Arial" w:eastAsia="Arial" w:hAnsi="Arial"/>
          <w:sz w:val="16"/>
          <w:szCs w:val="16"/>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246620" cy="995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246620" cy="995045"/>
                    </a:xfrm>
                    <a:prstGeom prst="rect">
                      <a:avLst/>
                    </a:prstGeom>
                    <a:noFill/>
                  </pic:spPr>
                </pic:pic>
              </a:graphicData>
            </a:graphic>
          </wp:anchor>
        </w:drawing>
      </w:r>
    </w:p>
    <w:p>
      <w:pPr>
        <w:spacing w:after="0" w:line="43" w:lineRule="exact"/>
        <w:rPr>
          <w:sz w:val="20"/>
          <w:szCs w:val="20"/>
          <w:color w:val="auto"/>
        </w:rPr>
      </w:pPr>
    </w:p>
    <w:p>
      <w:pPr>
        <w:ind w:left="1145" w:hanging="879"/>
        <w:spacing w:after="0" w:line="258" w:lineRule="auto"/>
        <w:tabs>
          <w:tab w:leader="none" w:pos="1125"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Weatherford International plc's Quarterly Report on Form 10-Q for the third quarter ended September 30, 2017, formatted in XBRL (eXtensible Business Reporting Language):</w:t>
      </w:r>
    </w:p>
    <w:p>
      <w:pPr>
        <w:spacing w:after="0" w:line="1" w:lineRule="exact"/>
        <w:rPr>
          <w:sz w:val="20"/>
          <w:szCs w:val="20"/>
          <w:color w:val="auto"/>
        </w:rPr>
      </w:pPr>
    </w:p>
    <w:p>
      <w:pPr>
        <w:ind w:left="1405" w:hanging="257"/>
        <w:spacing w:after="0"/>
        <w:tabs>
          <w:tab w:leader="none" w:pos="14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unaudited Condensed Consolidated Balance Sheets,</w:t>
      </w:r>
    </w:p>
    <w:p>
      <w:pPr>
        <w:spacing w:after="0" w:line="9" w:lineRule="exact"/>
        <w:rPr>
          <w:rFonts w:ascii="Arial" w:cs="Arial" w:eastAsia="Arial" w:hAnsi="Arial"/>
          <w:sz w:val="18"/>
          <w:szCs w:val="18"/>
          <w:color w:val="auto"/>
        </w:rPr>
      </w:pPr>
    </w:p>
    <w:p>
      <w:pPr>
        <w:ind w:left="1405" w:hanging="257"/>
        <w:spacing w:after="0"/>
        <w:tabs>
          <w:tab w:leader="none" w:pos="14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Operations,</w:t>
      </w:r>
    </w:p>
    <w:p>
      <w:pPr>
        <w:spacing w:after="0" w:line="9" w:lineRule="exact"/>
        <w:rPr>
          <w:rFonts w:ascii="Arial" w:cs="Arial" w:eastAsia="Arial" w:hAnsi="Arial"/>
          <w:sz w:val="18"/>
          <w:szCs w:val="18"/>
          <w:color w:val="auto"/>
        </w:rPr>
      </w:pPr>
    </w:p>
    <w:p>
      <w:pPr>
        <w:ind w:left="1405" w:hanging="257"/>
        <w:spacing w:after="0"/>
        <w:tabs>
          <w:tab w:leader="none" w:pos="14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Comprehensive Income (Loss),</w:t>
      </w:r>
    </w:p>
    <w:p>
      <w:pPr>
        <w:spacing w:after="0" w:line="9" w:lineRule="exact"/>
        <w:rPr>
          <w:rFonts w:ascii="Arial" w:cs="Arial" w:eastAsia="Arial" w:hAnsi="Arial"/>
          <w:sz w:val="18"/>
          <w:szCs w:val="18"/>
          <w:color w:val="auto"/>
        </w:rPr>
      </w:pPr>
    </w:p>
    <w:p>
      <w:pPr>
        <w:ind w:left="1405" w:hanging="257"/>
        <w:spacing w:after="0"/>
        <w:tabs>
          <w:tab w:leader="none" w:pos="14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Cash Flows, and</w:t>
      </w:r>
    </w:p>
    <w:p>
      <w:pPr>
        <w:spacing w:after="0" w:line="9" w:lineRule="exact"/>
        <w:rPr>
          <w:rFonts w:ascii="Arial" w:cs="Arial" w:eastAsia="Arial" w:hAnsi="Arial"/>
          <w:sz w:val="18"/>
          <w:szCs w:val="18"/>
          <w:color w:val="auto"/>
        </w:rPr>
      </w:pPr>
    </w:p>
    <w:p>
      <w:pPr>
        <w:ind w:left="1405" w:hanging="257"/>
        <w:spacing w:after="0"/>
        <w:tabs>
          <w:tab w:leader="none" w:pos="14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related notes to the unaudited Condensed Consolidated Financial Statements.</w:t>
      </w:r>
    </w:p>
    <w:p>
      <w:pPr>
        <w:spacing w:after="0" w:line="183" w:lineRule="exact"/>
        <w:rPr>
          <w:rFonts w:ascii="Arial" w:cs="Arial" w:eastAsia="Arial" w:hAnsi="Arial"/>
          <w:sz w:val="18"/>
          <w:szCs w:val="18"/>
          <w:color w:val="auto"/>
        </w:rPr>
      </w:pPr>
    </w:p>
    <w:p>
      <w:pPr>
        <w:ind w:left="1005" w:hanging="1005"/>
        <w:spacing w:after="0"/>
        <w:tabs>
          <w:tab w:leader="none" w:pos="100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Submitted pursuant to Rule 405 and 406T of Regulation S-T.</w:t>
      </w:r>
    </w:p>
    <w:p>
      <w:pPr>
        <w:spacing w:after="0" w:line="63" w:lineRule="exact"/>
        <w:rPr>
          <w:sz w:val="20"/>
          <w:szCs w:val="20"/>
          <w:color w:val="auto"/>
        </w:rPr>
      </w:pPr>
    </w:p>
    <w:p>
      <w:pPr>
        <w:ind w:left="1005" w:hanging="1005"/>
        <w:spacing w:after="0"/>
        <w:tabs>
          <w:tab w:leader="none" w:pos="100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Filed herewith.</w:t>
      </w:r>
    </w:p>
    <w:p>
      <w:pPr>
        <w:spacing w:after="0" w:line="63" w:lineRule="exact"/>
        <w:rPr>
          <w:sz w:val="20"/>
          <w:szCs w:val="20"/>
          <w:color w:val="auto"/>
        </w:rPr>
      </w:pPr>
    </w:p>
    <w:p>
      <w:pPr>
        <w:ind w:left="1005" w:hanging="1005"/>
        <w:spacing w:after="0"/>
        <w:tabs>
          <w:tab w:leader="none" w:pos="100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5"/>
          </w:cols>
          <w:pgMar w:left="275" w:top="449" w:right="259" w:bottom="1440" w:gutter="0" w:footer="0" w:header="0"/>
        </w:sectPr>
      </w:pPr>
    </w:p>
    <w:bookmarkStart w:id="51" w:name="page52"/>
    <w:bookmarkEnd w:id="5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Weatherford International plc</w:t>
            </w:r>
          </w:p>
        </w:tc>
      </w:tr>
      <w:tr>
        <w:trPr>
          <w:trHeight w:val="594"/>
        </w:trPr>
        <w:tc>
          <w:tcPr>
            <w:tcW w:w="3300" w:type="dxa"/>
            <w:vAlign w:val="bottom"/>
          </w:tcPr>
          <w:p>
            <w:pPr>
              <w:spacing w:after="0"/>
              <w:rPr>
                <w:sz w:val="20"/>
                <w:szCs w:val="20"/>
                <w:color w:val="auto"/>
              </w:rPr>
            </w:pPr>
            <w:r>
              <w:rPr>
                <w:rFonts w:ascii="Arial" w:cs="Arial" w:eastAsia="Arial" w:hAnsi="Arial"/>
                <w:sz w:val="18"/>
                <w:szCs w:val="18"/>
                <w:color w:val="auto"/>
              </w:rPr>
              <w:t>Date: November 1, 2017</w:t>
            </w:r>
          </w:p>
        </w:tc>
        <w:tc>
          <w:tcPr>
            <w:tcW w:w="5880" w:type="dxa"/>
            <w:vAlign w:val="bottom"/>
            <w:gridSpan w:val="2"/>
          </w:tcPr>
          <w:p>
            <w:pPr>
              <w:ind w:left="1540"/>
              <w:spacing w:after="0"/>
              <w:rPr>
                <w:sz w:val="20"/>
                <w:szCs w:val="20"/>
                <w:color w:val="auto"/>
              </w:rPr>
            </w:pPr>
            <w:r>
              <w:rPr>
                <w:rFonts w:ascii="Arial" w:cs="Arial" w:eastAsia="Arial" w:hAnsi="Arial"/>
                <w:sz w:val="18"/>
                <w:szCs w:val="18"/>
                <w:color w:val="auto"/>
              </w:rPr>
              <w:t>By: /s/ Christoph Bausch</w:t>
            </w:r>
          </w:p>
        </w:tc>
      </w:tr>
      <w:tr>
        <w:trPr>
          <w:trHeight w:val="27"/>
        </w:trPr>
        <w:tc>
          <w:tcPr>
            <w:tcW w:w="3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Christoph Bausch</w:t>
            </w:r>
          </w:p>
        </w:tc>
      </w:tr>
      <w:tr>
        <w:trPr>
          <w:trHeight w:val="270"/>
        </w:trPr>
        <w:tc>
          <w:tcPr>
            <w:tcW w:w="33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33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918"/>
        </w:trPr>
        <w:tc>
          <w:tcPr>
            <w:tcW w:w="3300" w:type="dxa"/>
            <w:vAlign w:val="bottom"/>
          </w:tcPr>
          <w:p>
            <w:pPr>
              <w:spacing w:after="0"/>
              <w:rPr>
                <w:sz w:val="20"/>
                <w:szCs w:val="20"/>
                <w:color w:val="auto"/>
              </w:rPr>
            </w:pPr>
            <w:r>
              <w:rPr>
                <w:rFonts w:ascii="Arial" w:cs="Arial" w:eastAsia="Arial" w:hAnsi="Arial"/>
                <w:sz w:val="18"/>
                <w:szCs w:val="18"/>
                <w:color w:val="auto"/>
              </w:rPr>
              <w:t>Date: November 1, 2017</w:t>
            </w:r>
          </w:p>
        </w:tc>
        <w:tc>
          <w:tcPr>
            <w:tcW w:w="5880" w:type="dxa"/>
            <w:vAlign w:val="bottom"/>
            <w:gridSpan w:val="2"/>
          </w:tcPr>
          <w:p>
            <w:pPr>
              <w:ind w:left="1540"/>
              <w:spacing w:after="0"/>
              <w:rPr>
                <w:sz w:val="20"/>
                <w:szCs w:val="20"/>
                <w:color w:val="auto"/>
              </w:rPr>
            </w:pPr>
            <w:r>
              <w:rPr>
                <w:rFonts w:ascii="Arial" w:cs="Arial" w:eastAsia="Arial" w:hAnsi="Arial"/>
                <w:sz w:val="18"/>
                <w:szCs w:val="18"/>
                <w:color w:val="auto"/>
              </w:rPr>
              <w:t>By: /s/ Doug M. Mills</w:t>
            </w:r>
          </w:p>
        </w:tc>
      </w:tr>
      <w:tr>
        <w:trPr>
          <w:trHeight w:val="27"/>
        </w:trPr>
        <w:tc>
          <w:tcPr>
            <w:tcW w:w="3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Doug M. Mills</w:t>
            </w:r>
          </w:p>
        </w:tc>
      </w:tr>
      <w:tr>
        <w:trPr>
          <w:trHeight w:val="270"/>
        </w:trPr>
        <w:tc>
          <w:tcPr>
            <w:tcW w:w="33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Vice President and</w:t>
            </w:r>
          </w:p>
        </w:tc>
      </w:tr>
      <w:tr>
        <w:trPr>
          <w:trHeight w:val="270"/>
        </w:trPr>
        <w:tc>
          <w:tcPr>
            <w:tcW w:w="33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620"/>
          </w:cols>
          <w:pgMar w:left="240" w:top="449" w:right="10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10.4</w:t>
      </w:r>
    </w:p>
    <w:p>
      <w:pPr>
        <w:spacing w:after="0" w:line="319" w:lineRule="exact"/>
        <w:rPr>
          <w:sz w:val="20"/>
          <w:szCs w:val="20"/>
          <w:color w:val="auto"/>
        </w:rPr>
      </w:pPr>
    </w:p>
    <w:p>
      <w:pPr>
        <w:jc w:val="center"/>
        <w:ind w:left="620"/>
        <w:spacing w:after="0"/>
        <w:rPr>
          <w:sz w:val="20"/>
          <w:szCs w:val="20"/>
          <w:color w:val="auto"/>
        </w:rPr>
      </w:pPr>
      <w:r>
        <w:rPr>
          <w:rFonts w:ascii="Arial" w:cs="Arial" w:eastAsia="Arial" w:hAnsi="Arial"/>
          <w:sz w:val="20"/>
          <w:szCs w:val="20"/>
          <w:b w:val="1"/>
          <w:bCs w:val="1"/>
          <w:color w:val="auto"/>
        </w:rPr>
        <w:t>DEED OF INDEMNIFICATION</w:t>
      </w:r>
    </w:p>
    <w:p>
      <w:pPr>
        <w:spacing w:after="0" w:line="162" w:lineRule="exact"/>
        <w:rPr>
          <w:sz w:val="20"/>
          <w:szCs w:val="20"/>
          <w:color w:val="auto"/>
        </w:rPr>
      </w:pPr>
    </w:p>
    <w:p>
      <w:pPr>
        <w:jc w:val="both"/>
        <w:ind w:firstLine="621"/>
        <w:spacing w:after="0" w:line="253" w:lineRule="auto"/>
        <w:rPr>
          <w:sz w:val="20"/>
          <w:szCs w:val="20"/>
          <w:color w:val="auto"/>
        </w:rPr>
      </w:pPr>
      <w:r>
        <w:rPr>
          <w:rFonts w:ascii="Arial" w:cs="Arial" w:eastAsia="Arial" w:hAnsi="Arial"/>
          <w:sz w:val="20"/>
          <w:szCs w:val="20"/>
          <w:color w:val="auto"/>
        </w:rPr>
        <w:t>This DEED OF INDEMNIFICATION (this “</w:t>
      </w:r>
      <w:r>
        <w:rPr>
          <w:rFonts w:ascii="Arial" w:cs="Arial" w:eastAsia="Arial" w:hAnsi="Arial"/>
          <w:sz w:val="20"/>
          <w:szCs w:val="20"/>
          <w:b w:val="1"/>
          <w:bCs w:val="1"/>
          <w:color w:val="auto"/>
        </w:rPr>
        <w:t>Deed</w:t>
      </w:r>
      <w:r>
        <w:rPr>
          <w:rFonts w:ascii="Arial" w:cs="Arial" w:eastAsia="Arial" w:hAnsi="Arial"/>
          <w:sz w:val="20"/>
          <w:szCs w:val="20"/>
          <w:color w:val="auto"/>
        </w:rPr>
        <w:t xml:space="preserve">”) is dated August 21, 2017 between (i) </w:t>
      </w:r>
      <w:r>
        <w:rPr>
          <w:rFonts w:ascii="Arial" w:cs="Arial" w:eastAsia="Arial" w:hAnsi="Arial"/>
          <w:sz w:val="20"/>
          <w:szCs w:val="20"/>
          <w:b w:val="1"/>
          <w:bCs w:val="1"/>
          <w:color w:val="auto"/>
        </w:rPr>
        <w:t>Weatherford International Ltd.</w:t>
      </w:r>
      <w:r>
        <w:rPr>
          <w:rFonts w:ascii="Arial" w:cs="Arial" w:eastAsia="Arial" w:hAnsi="Arial"/>
          <w:sz w:val="20"/>
          <w:szCs w:val="20"/>
          <w:color w:val="auto"/>
        </w:rPr>
        <w:t>, a Bermuda exempted company with its registered office located at 2 Church Street, Clarendon House, Hamilton HM11, Bermuda (the “</w:t>
      </w:r>
      <w:r>
        <w:rPr>
          <w:rFonts w:ascii="Arial" w:cs="Arial" w:eastAsia="Arial" w:hAnsi="Arial"/>
          <w:sz w:val="20"/>
          <w:szCs w:val="20"/>
          <w:b w:val="1"/>
          <w:bCs w:val="1"/>
          <w:color w:val="auto"/>
        </w:rPr>
        <w:t>Company</w:t>
      </w:r>
      <w:r>
        <w:rPr>
          <w:rFonts w:ascii="Arial" w:cs="Arial" w:eastAsia="Arial" w:hAnsi="Arial"/>
          <w:sz w:val="20"/>
          <w:szCs w:val="20"/>
          <w:color w:val="auto"/>
        </w:rPr>
        <w:t>”) and (ii) Karl Blanchard (“</w:t>
      </w:r>
      <w:r>
        <w:rPr>
          <w:rFonts w:ascii="Arial" w:cs="Arial" w:eastAsia="Arial" w:hAnsi="Arial"/>
          <w:sz w:val="20"/>
          <w:szCs w:val="20"/>
          <w:b w:val="1"/>
          <w:bCs w:val="1"/>
          <w:color w:val="auto"/>
        </w:rPr>
        <w:t>Indemnitee</w:t>
      </w:r>
      <w:r>
        <w:rPr>
          <w:rFonts w:ascii="Arial" w:cs="Arial" w:eastAsia="Arial" w:hAnsi="Arial"/>
          <w:sz w:val="20"/>
          <w:szCs w:val="20"/>
          <w:color w:val="auto"/>
        </w:rPr>
        <w: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Weatherford International plc (“</w:t>
      </w:r>
      <w:r>
        <w:rPr>
          <w:rFonts w:ascii="Arial" w:cs="Arial" w:eastAsia="Arial" w:hAnsi="Arial"/>
          <w:sz w:val="20"/>
          <w:szCs w:val="20"/>
          <w:b w:val="1"/>
          <w:bCs w:val="1"/>
          <w:color w:val="auto"/>
        </w:rPr>
        <w:t>Weatherford Ireland</w:t>
      </w:r>
      <w:r>
        <w:rPr>
          <w:rFonts w:ascii="Arial" w:cs="Arial" w:eastAsia="Arial" w:hAnsi="Arial"/>
          <w:sz w:val="20"/>
          <w:szCs w:val="20"/>
          <w:color w:val="auto"/>
        </w:rPr>
        <w:t>”) is the Company’s ultimate parent company;</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highly skilled and competent persons are becoming more reluctant to serve public companies as directors, officers and or employees unless they are provided with adequate protection through insurance and indemnification against inordinate risks of claims and actions against them arising out of their service to and activities on behalf of such companies and uncertainties relating to indemnification increase the difficulty of attracting and retaining such persons;</w:t>
      </w:r>
    </w:p>
    <w:p>
      <w:pPr>
        <w:spacing w:after="0" w:line="1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Company and Indemnitee are aware of provisions under Irish law that may limit the level of indemnification available to directors, officers and/or employees of Weatherford Ireland;</w:t>
      </w:r>
    </w:p>
    <w:p>
      <w:pPr>
        <w:spacing w:after="0" w:line="12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the Board has determined that an inability to attract and retain such persons is detrimental to the best interests of the Company and that the Company should act to assure such persons that there will be increased certainty of such protection in the future;</w:t>
      </w:r>
    </w:p>
    <w:p>
      <w:pPr>
        <w:spacing w:after="0" w:line="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Company desires to ensure that Weatherford Ireland benefits from the services of highly skilled and competent persons such as Indemnitee;</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it is reasonable, prudent and necessary for the Company to contractually obligate itself to indemnify Indemnitee to the fullest extent permitted by Bermuda law so that Indemnitee will serve or continue to serve Weatherford Ireland free from undue concern that Indemnitee will not be so indemnified;</w:t>
      </w:r>
    </w:p>
    <w:p>
      <w:pPr>
        <w:spacing w:after="0" w:line="1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WHEREAS, the Company has requested that, at or following the date of this Deed, Weatherford Ireland guarantee certain debt and take other actions for the benefit of the Company. In partial consideration therefor, the Company has agreed to provide, from time to time after the date of this Deed, indemnity and other rights to the directors, officers and/or employees of Weatherford Ireland; and</w:t>
      </w:r>
    </w:p>
    <w:p>
      <w:pPr>
        <w:spacing w:after="0" w:line="1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WHEREAS, Indemnitee is willing to serve, continue to serve and to take on additional service for or on behalf of Weatherford Ireland and, as partial consideration for agreeing to do so, the Company has agreed to enter into this Deed with Indemnitee.</w:t>
      </w:r>
    </w:p>
    <w:p>
      <w:pPr>
        <w:spacing w:after="0" w:line="99"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20"/>
          <w:szCs w:val="20"/>
          <w:color w:val="auto"/>
        </w:rPr>
        <w:t>NOW, THEREFORE, in consideration of the premises and the covenants contained herein, the Company and Indemnitee do hereby covenant and agree as follows: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INTERPRETATION</w:t>
      </w:r>
    </w:p>
    <w:p>
      <w:pPr>
        <w:spacing w:after="0" w:line="21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In this Deed unless the context otherwise requires, the following words and expressions shall have the following meanings: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shall have the meaning set forth in Rule 12b-2 promulgated under Section 12 of the Exchange Act;</w:t>
      </w:r>
    </w:p>
    <w:p>
      <w:pPr>
        <w:sectPr>
          <w:pgSz w:w="11900" w:h="16838" w:orient="portrait"/>
          <w:cols w:equalWidth="0" w:num="1">
            <w:col w:w="11420"/>
          </w:cols>
          <w:pgMar w:left="240" w:top="585" w:right="239" w:bottom="1440" w:gutter="0" w:footer="0" w:header="0"/>
        </w:sectPr>
      </w:pPr>
    </w:p>
    <w:bookmarkStart w:id="53" w:name="page54"/>
    <w:bookmarkEnd w:id="53"/>
    <w:p>
      <w:pPr>
        <w:jc w:val="both"/>
        <w:ind w:firstLine="621"/>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Assets</w:t>
      </w:r>
      <w:r>
        <w:rPr>
          <w:rFonts w:ascii="Arial" w:cs="Arial" w:eastAsia="Arial" w:hAnsi="Arial"/>
          <w:sz w:val="20"/>
          <w:szCs w:val="20"/>
          <w:color w:val="auto"/>
        </w:rPr>
        <w:t>” mean the assets (of any kind) owned by Weatherford Ireland, including, without limitation, the securities of Weatherford Ireland’s Subsidiaries and any of the assets owned by Weatherford Ireland’s Subsidiaries.</w:t>
      </w:r>
    </w:p>
    <w:p>
      <w:pPr>
        <w:spacing w:after="0" w:line="110" w:lineRule="exact"/>
        <w:rPr>
          <w:sz w:val="20"/>
          <w:szCs w:val="20"/>
          <w:color w:val="auto"/>
        </w:rPr>
      </w:pPr>
    </w:p>
    <w:p>
      <w:pPr>
        <w:ind w:left="620" w:right="3420"/>
        <w:spacing w:after="0" w:line="40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Beneficial Owner</w:t>
      </w:r>
      <w:r>
        <w:rPr>
          <w:rFonts w:ascii="Arial" w:cs="Arial" w:eastAsia="Arial" w:hAnsi="Arial"/>
          <w:sz w:val="20"/>
          <w:szCs w:val="20"/>
          <w:color w:val="auto"/>
        </w:rPr>
        <w:t>” shall have the meaning set forth in Rule 13d-3 under the Exchange Act; “</w:t>
      </w:r>
      <w:r>
        <w:rPr>
          <w:rFonts w:ascii="Arial" w:cs="Arial" w:eastAsia="Arial" w:hAnsi="Arial"/>
          <w:sz w:val="20"/>
          <w:szCs w:val="20"/>
          <w:b w:val="1"/>
          <w:bCs w:val="1"/>
          <w:color w:val="auto"/>
        </w:rPr>
        <w:t>Board</w:t>
      </w:r>
      <w:r>
        <w:rPr>
          <w:rFonts w:ascii="Arial" w:cs="Arial" w:eastAsia="Arial" w:hAnsi="Arial"/>
          <w:sz w:val="20"/>
          <w:szCs w:val="20"/>
          <w:color w:val="auto"/>
        </w:rPr>
        <w:t>” means the board of directors of the Company;</w:t>
      </w:r>
    </w:p>
    <w:p>
      <w:pPr>
        <w:spacing w:after="0" w:line="1" w:lineRule="exact"/>
        <w:rPr>
          <w:sz w:val="20"/>
          <w:szCs w:val="20"/>
          <w:color w:val="auto"/>
        </w:rPr>
      </w:pPr>
    </w:p>
    <w:p>
      <w:pPr>
        <w:jc w:val="both"/>
        <w:ind w:firstLine="621"/>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 Designee</w:t>
      </w:r>
      <w:r>
        <w:rPr>
          <w:rFonts w:ascii="Arial" w:cs="Arial" w:eastAsia="Arial" w:hAnsi="Arial"/>
          <w:sz w:val="19"/>
          <w:szCs w:val="19"/>
          <w:color w:val="auto"/>
        </w:rPr>
        <w:t>” means any officer or director of the Company as may be designated by the Board from time to time to exercise the rights of the Board Designee set forth in ARTICLE 5 in lieu of the Board unless otherwise determined by the Board (it being acknowledged that the Board has authorized and approved that any of the Chief Executive Officer or General Counsel of the Company may act as a Board Designee under this Deed until such time as otherwise determined by the Board); provided that no action taken by a Board Designee shall be valid unless notice thereof is promptly delivered to the Board and any such action shall not be in respect of any Proceedings to which such Board Designee was, is or is reasonably expected to be a party and provided further that the Board may revoke the powers of any Board Designee at any time by written notice to the Board Designee; any such revocation shall not affect any prior act of a Board Designee unless such act is determined by the Board to have been taken by the Board Designee in bad faith;</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any day on which banks in Bermuda are open for business;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in Control</w:t>
      </w:r>
      <w:r>
        <w:rPr>
          <w:rFonts w:ascii="Arial" w:cs="Arial" w:eastAsia="Arial" w:hAnsi="Arial"/>
          <w:sz w:val="20"/>
          <w:szCs w:val="20"/>
          <w:color w:val="auto"/>
        </w:rPr>
        <w:t>” means the occurrence of any event set forth in any one of the following paragraphs:</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any Person is or becomes the Beneficial Owner, directly or indirectly, of twenty percent (20%) or more of either (A) the then outstanding registered shares of Weatherford Ireland (the “</w:t>
      </w:r>
      <w:r>
        <w:rPr>
          <w:rFonts w:ascii="Arial" w:cs="Arial" w:eastAsia="Arial" w:hAnsi="Arial"/>
          <w:sz w:val="20"/>
          <w:szCs w:val="20"/>
          <w:b w:val="1"/>
          <w:bCs w:val="1"/>
          <w:color w:val="auto"/>
        </w:rPr>
        <w:t>Outstanding Company Registered Shares</w:t>
      </w:r>
      <w:r>
        <w:rPr>
          <w:rFonts w:ascii="Arial" w:cs="Arial" w:eastAsia="Arial" w:hAnsi="Arial"/>
          <w:sz w:val="20"/>
          <w:szCs w:val="20"/>
          <w:color w:val="auto"/>
        </w:rPr>
        <w:t>”) or (B) the combined voting power of the then outstanding voting securities of Weatherford Ireland entitled to vote generally in the election of directors (the “</w:t>
      </w:r>
      <w:r>
        <w:rPr>
          <w:rFonts w:ascii="Arial" w:cs="Arial" w:eastAsia="Arial" w:hAnsi="Arial"/>
          <w:sz w:val="20"/>
          <w:szCs w:val="20"/>
          <w:b w:val="1"/>
          <w:bCs w:val="1"/>
          <w:color w:val="auto"/>
        </w:rPr>
        <w:t>Outstanding Company</w:t>
      </w:r>
      <w:r>
        <w:rPr>
          <w:rFonts w:ascii="Arial" w:cs="Arial" w:eastAsia="Arial" w:hAnsi="Arial"/>
          <w:sz w:val="20"/>
          <w:szCs w:val="20"/>
          <w:color w:val="auto"/>
        </w:rPr>
        <w:t xml:space="preserve"> </w:t>
      </w:r>
      <w:r>
        <w:rPr>
          <w:rFonts w:ascii="Arial" w:cs="Arial" w:eastAsia="Arial" w:hAnsi="Arial"/>
          <w:sz w:val="20"/>
          <w:szCs w:val="20"/>
          <w:b w:val="1"/>
          <w:bCs w:val="1"/>
          <w:color w:val="auto"/>
        </w:rPr>
        <w:t>Voting Securities</w:t>
      </w:r>
      <w:r>
        <w:rPr>
          <w:rFonts w:ascii="Arial" w:cs="Arial" w:eastAsia="Arial" w:hAnsi="Arial"/>
          <w:sz w:val="20"/>
          <w:szCs w:val="20"/>
          <w:color w:val="auto"/>
        </w:rPr>
        <w:t>”), excluding any Person who becomes such a Beneficial Owner in connection with a transaction that complies with clauses</w:t>
      </w:r>
      <w:r>
        <w:rPr>
          <w:rFonts w:ascii="Arial" w:cs="Arial" w:eastAsia="Arial" w:hAnsi="Arial"/>
          <w:sz w:val="20"/>
          <w:szCs w:val="20"/>
          <w:b w:val="1"/>
          <w:bCs w:val="1"/>
          <w:color w:val="auto"/>
        </w:rPr>
        <w:t xml:space="preserve"> </w:t>
      </w:r>
      <w:r>
        <w:rPr>
          <w:rFonts w:ascii="Arial" w:cs="Arial" w:eastAsia="Arial" w:hAnsi="Arial"/>
          <w:sz w:val="20"/>
          <w:szCs w:val="20"/>
          <w:color w:val="auto"/>
        </w:rPr>
        <w:t>(A), (B) and (C) of paragraph (iii) below;</w:t>
      </w:r>
    </w:p>
    <w:p>
      <w:pPr>
        <w:spacing w:after="0" w:line="1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individuals, who, as of the date of this Deed, constitute the board of directors of Weatherford Ireland (the “</w:t>
      </w:r>
      <w:r>
        <w:rPr>
          <w:rFonts w:ascii="Arial" w:cs="Arial" w:eastAsia="Arial" w:hAnsi="Arial"/>
          <w:sz w:val="20"/>
          <w:szCs w:val="20"/>
          <w:b w:val="1"/>
          <w:bCs w:val="1"/>
          <w:color w:val="auto"/>
        </w:rPr>
        <w:t>Incumbent Board</w:t>
      </w:r>
      <w:r>
        <w:rPr>
          <w:rFonts w:ascii="Arial" w:cs="Arial" w:eastAsia="Arial" w:hAnsi="Arial"/>
          <w:sz w:val="20"/>
          <w:szCs w:val="20"/>
          <w:color w:val="auto"/>
        </w:rPr>
        <w:t xml:space="preserve">”) cease for any reason to constitute at least two-thirds (2/3) of the such board;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individual becoming a director subsequent to the date of this Deed whose election, or nomination for election by Weatherford Ireland’s shareholders, was approved by a vote of at least two-thirds (2/3)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 of directors of Weatherford Ireland;</w:t>
      </w:r>
    </w:p>
    <w:p>
      <w:pPr>
        <w:spacing w:after="0" w:line="1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consummation of an acquisition, reorganization, reincorporation, redomestication, merger, amalgamation, consolidation, plan or scheme of arrangement, exchange offer, business combination or similar transaction of Weatherford Ireland or any of its Subsidiaries or the sale, transfer or other disposition of all or substantially all of Weatherford Ireland’s Assets (any of which a “</w:t>
      </w:r>
      <w:r>
        <w:rPr>
          <w:rFonts w:ascii="Arial" w:cs="Arial" w:eastAsia="Arial" w:hAnsi="Arial"/>
          <w:sz w:val="18"/>
          <w:szCs w:val="18"/>
          <w:b w:val="1"/>
          <w:bCs w:val="1"/>
          <w:color w:val="auto"/>
        </w:rPr>
        <w:t>Corporate Transaction</w:t>
      </w:r>
      <w:r>
        <w:rPr>
          <w:rFonts w:ascii="Arial" w:cs="Arial" w:eastAsia="Arial" w:hAnsi="Arial"/>
          <w:sz w:val="18"/>
          <w:szCs w:val="18"/>
          <w:color w:val="auto"/>
        </w:rPr>
        <w:t>”), unless, following such Corporate Transaction or series of related Corporate Transactions, as the case may be, (A) all of the individuals and Entities who were the Beneficial Owners, respectively, of the Outstanding Company Registered Shares and Outstanding Company Voting Securities immediately prior to such Corporate Transaction own or beneficially own, directly or indirectly, more than sixty-six and two-thirds percent (66-2/3%) of, respectively, the Outstanding Company Registered Shares and the combined voting power of the Outstanding Company Voting Securities entitled to vote generally in the election of directors (or other governing body), as the case</w:t>
      </w:r>
    </w:p>
    <w:p>
      <w:pPr>
        <w:sectPr>
          <w:pgSz w:w="11900" w:h="16838" w:orient="portrait"/>
          <w:cols w:equalWidth="0" w:num="1">
            <w:col w:w="11420"/>
          </w:cols>
          <w:pgMar w:left="240" w:top="576" w:right="239" w:bottom="1440" w:gutter="0" w:footer="0" w:header="0"/>
        </w:sectPr>
      </w:pPr>
    </w:p>
    <w:bookmarkStart w:id="54" w:name="page55"/>
    <w:bookmarkEnd w:id="54"/>
    <w:p>
      <w:pPr>
        <w:jc w:val="both"/>
        <w:spacing w:after="0" w:line="271" w:lineRule="auto"/>
        <w:rPr>
          <w:sz w:val="20"/>
          <w:szCs w:val="20"/>
          <w:color w:val="auto"/>
        </w:rPr>
      </w:pPr>
      <w:r>
        <w:rPr>
          <w:rFonts w:ascii="Arial" w:cs="Arial" w:eastAsia="Arial" w:hAnsi="Arial"/>
          <w:sz w:val="18"/>
          <w:szCs w:val="18"/>
          <w:color w:val="auto"/>
        </w:rPr>
        <w:t>may be, of the Entity resulting from such Corporate Transaction (including, without limitation, an Entity (including any new parent Entity) which as a result of such transaction owns Weatherford Ireland or all or substantially all of Weatherford Ireland‘s Assets either directly or through one (1) or more Subsidiaries or Entities) in substantially the same proportions as their ownership, immediately prior to such Corporate Transaction, of the Outstanding Company Registered Shares and the Outstanding Company Voting Securities, as the case may be, (B) no Person (excluding any Entity resulting from such Corporate Transaction or any employee benefit plan (or related trust) of Weatherford Ireland or such Entity resulting from such Corporate Transaction) beneficially owns, directly or indirectly, twenty percent (20%) or more of, respectively, the then outstanding shares of common stock of the Entity resulting from such Corporate Transaction or the combined voting power of the then outstanding voting securities of such Entity except to the extent that such ownership existed prior to the Corporate Transaction and (C) at least two-thirds (2/3) of the members of the board of directors (or other governing body) of the Entity resulting from such Corporate Transaction were members of the Incumbent Board at the time of the approval of such Corporate Transaction; or</w:t>
      </w:r>
    </w:p>
    <w:p>
      <w:pPr>
        <w:spacing w:after="0" w:line="1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approval or adoption by the board of directors of Weatherford Ireland or the shareholders of Weatherford Ireland of a plan or proposal which could result directly or indirectly in the liquidation, transfer, sale or other disposal of all or substantially all of Weatherford Ireland’s Assets or the dissolution of Weatherford Ireland, excluding any transaction that complies with clauses (A), (B) and (C) of paragraph (iii) above;</w:t>
      </w:r>
    </w:p>
    <w:p>
      <w:pPr>
        <w:spacing w:after="0" w:line="9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Companies Act</w:t>
      </w:r>
      <w:r>
        <w:rPr>
          <w:rFonts w:ascii="Arial" w:cs="Arial" w:eastAsia="Arial" w:hAnsi="Arial"/>
          <w:sz w:val="20"/>
          <w:szCs w:val="20"/>
          <w:color w:val="auto"/>
        </w:rPr>
        <w:t>” means the Companies Act 1981 of Bermuda;</w:t>
      </w:r>
    </w:p>
    <w:p>
      <w:pPr>
        <w:spacing w:after="0" w:line="162" w:lineRule="exact"/>
        <w:rPr>
          <w:sz w:val="20"/>
          <w:szCs w:val="20"/>
          <w:color w:val="auto"/>
        </w:rPr>
      </w:pPr>
    </w:p>
    <w:p>
      <w:pPr>
        <w:jc w:val="both"/>
        <w:ind w:firstLine="621"/>
        <w:spacing w:after="0" w:line="248" w:lineRule="auto"/>
        <w:rPr>
          <w:sz w:val="20"/>
          <w:szCs w:val="20"/>
          <w:color w:val="auto"/>
        </w:rPr>
      </w:pPr>
      <w:r>
        <w:rPr>
          <w:rFonts w:ascii="Arial" w:cs="Arial" w:eastAsia="Arial" w:hAnsi="Arial"/>
          <w:sz w:val="20"/>
          <w:szCs w:val="20"/>
          <w:b w:val="1"/>
          <w:bCs w:val="1"/>
          <w:color w:val="auto"/>
        </w:rPr>
        <w:t>“Corporate Status</w:t>
      </w:r>
      <w:r>
        <w:rPr>
          <w:rFonts w:ascii="Arial" w:cs="Arial" w:eastAsia="Arial" w:hAnsi="Arial"/>
          <w:sz w:val="20"/>
          <w:szCs w:val="20"/>
          <w:color w:val="auto"/>
        </w:rPr>
        <w:t>” means the status of a person who is or was a director, officer, employee, agent, or fiduciary of Weatherford Ireland</w:t>
      </w:r>
      <w:r>
        <w:rPr>
          <w:rFonts w:ascii="Arial" w:cs="Arial" w:eastAsia="Arial" w:hAnsi="Arial"/>
          <w:sz w:val="20"/>
          <w:szCs w:val="20"/>
          <w:b w:val="1"/>
          <w:bCs w:val="1"/>
          <w:color w:val="auto"/>
        </w:rPr>
        <w:t xml:space="preserve"> </w:t>
      </w:r>
      <w:r>
        <w:rPr>
          <w:rFonts w:ascii="Arial" w:cs="Arial" w:eastAsia="Arial" w:hAnsi="Arial"/>
          <w:sz w:val="20"/>
          <w:szCs w:val="20"/>
          <w:color w:val="auto"/>
        </w:rPr>
        <w:t>or any other Group Company, or is or was serving at the request of Weatherford Ireland and/or the Company as a director, officer, employee, agent or fiduciary of any other company, corporation, partnership, limited liability company, joint venture, trust, employee benefit plan or other Entity or enterprise;</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Court</w:t>
      </w:r>
      <w:r>
        <w:rPr>
          <w:rFonts w:ascii="Arial" w:cs="Arial" w:eastAsia="Arial" w:hAnsi="Arial"/>
          <w:sz w:val="20"/>
          <w:szCs w:val="20"/>
          <w:color w:val="auto"/>
        </w:rPr>
        <w:t>” means the Supreme Court of Bermuda;</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Deed</w:t>
      </w:r>
      <w:r>
        <w:rPr>
          <w:rFonts w:ascii="Arial" w:cs="Arial" w:eastAsia="Arial" w:hAnsi="Arial"/>
          <w:sz w:val="20"/>
          <w:szCs w:val="20"/>
          <w:color w:val="auto"/>
        </w:rPr>
        <w:t>” means this Deed of Indemnification;</w:t>
      </w:r>
    </w:p>
    <w:p>
      <w:pPr>
        <w:spacing w:after="0" w:line="162" w:lineRule="exact"/>
        <w:rPr>
          <w:sz w:val="20"/>
          <w:szCs w:val="20"/>
          <w:color w:val="auto"/>
        </w:rPr>
      </w:pPr>
    </w:p>
    <w:p>
      <w:pPr>
        <w:jc w:val="both"/>
        <w:ind w:firstLine="621"/>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Disinterested Director</w:t>
      </w:r>
      <w:r>
        <w:rPr>
          <w:rFonts w:ascii="Arial" w:cs="Arial" w:eastAsia="Arial" w:hAnsi="Arial"/>
          <w:sz w:val="20"/>
          <w:szCs w:val="20"/>
          <w:color w:val="auto"/>
        </w:rPr>
        <w:t>” means a director of the Company who is not or was not a party to a Proceeding in respect of which indemnification is sought by Indemnitee;</w:t>
      </w:r>
    </w:p>
    <w:p>
      <w:pPr>
        <w:spacing w:after="0" w:line="110" w:lineRule="exact"/>
        <w:rPr>
          <w:sz w:val="20"/>
          <w:szCs w:val="20"/>
          <w:color w:val="auto"/>
        </w:rPr>
      </w:pPr>
    </w:p>
    <w:p>
      <w:pPr>
        <w:jc w:val="both"/>
        <w:ind w:firstLine="621"/>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Entity</w:t>
      </w:r>
      <w:r>
        <w:rPr>
          <w:rFonts w:ascii="Arial" w:cs="Arial" w:eastAsia="Arial" w:hAnsi="Arial"/>
          <w:sz w:val="20"/>
          <w:szCs w:val="20"/>
          <w:color w:val="auto"/>
        </w:rPr>
        <w:t>” means any corporation, partnership, association, joint-stock company, limited liability company, trust, unincorporated organization or other business entity.</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Securities Exchange Act of 1934, as amended from time to time;</w:t>
      </w:r>
    </w:p>
    <w:p>
      <w:pPr>
        <w:spacing w:after="0" w:line="162" w:lineRule="exact"/>
        <w:rPr>
          <w:sz w:val="20"/>
          <w:szCs w:val="20"/>
          <w:color w:val="auto"/>
        </w:rPr>
      </w:pPr>
    </w:p>
    <w:p>
      <w:pPr>
        <w:jc w:val="both"/>
        <w:ind w:firstLine="621"/>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Expenses</w:t>
      </w:r>
      <w:r>
        <w:rPr>
          <w:rFonts w:ascii="Arial" w:cs="Arial" w:eastAsia="Arial" w:hAnsi="Arial"/>
          <w:sz w:val="20"/>
          <w:szCs w:val="20"/>
          <w:color w:val="auto"/>
        </w:rPr>
        <w:t>” shall mean all costs, expenses, and obligations paid or incurred in connection with investigating, litigating, being a witness in, defending or participating in, or preparing to litigate, defend, be a witness in or participate in any matter that is the subject of a Proceeding, including attorneys’, experts’ and accountants’ fees and court costs;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Companies</w:t>
      </w:r>
      <w:r>
        <w:rPr>
          <w:rFonts w:ascii="Arial" w:cs="Arial" w:eastAsia="Arial" w:hAnsi="Arial"/>
          <w:sz w:val="18"/>
          <w:szCs w:val="18"/>
          <w:color w:val="auto"/>
        </w:rPr>
        <w:t>” means Weatherford Ireland and each Subsidiary of Weatherford Ireland (wherever incorporated or organized);</w:t>
      </w:r>
    </w:p>
    <w:p>
      <w:pPr>
        <w:spacing w:after="0" w:line="185"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Counsel</w:t>
      </w:r>
      <w:r>
        <w:rPr>
          <w:rFonts w:ascii="Arial" w:cs="Arial" w:eastAsia="Arial" w:hAnsi="Arial"/>
          <w:sz w:val="18"/>
          <w:szCs w:val="18"/>
          <w:color w:val="auto"/>
        </w:rPr>
        <w:t>” means a law firm or a member of a law firm that neither is presently nor in the past five years has been retained to represent: (i) the Company, Weatherford Ireland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w:t>
      </w:r>
    </w:p>
    <w:p>
      <w:pPr>
        <w:sectPr>
          <w:pgSz w:w="11900" w:h="16838" w:orient="portrait"/>
          <w:cols w:equalWidth="0" w:num="1">
            <w:col w:w="11420"/>
          </w:cols>
          <w:pgMar w:left="240" w:top="582" w:right="239" w:bottom="1440" w:gutter="0" w:footer="0" w:header="0"/>
        </w:sectPr>
      </w:pPr>
    </w:p>
    <w:bookmarkStart w:id="55" w:name="page56"/>
    <w:bookmarkEnd w:id="55"/>
    <w:p>
      <w:pPr>
        <w:jc w:val="both"/>
        <w:ind w:right="20"/>
        <w:spacing w:after="0" w:line="260" w:lineRule="auto"/>
        <w:rPr>
          <w:sz w:val="20"/>
          <w:szCs w:val="20"/>
          <w:color w:val="auto"/>
        </w:rPr>
      </w:pPr>
      <w:r>
        <w:rPr>
          <w:rFonts w:ascii="Arial" w:cs="Arial" w:eastAsia="Arial" w:hAnsi="Arial"/>
          <w:sz w:val="20"/>
          <w:szCs w:val="20"/>
          <w:color w:val="auto"/>
        </w:rPr>
        <w:t>of interest in representing any of the Company, Weatherford Ireland or Indemnitee in an action to determine Indemnitee’s right to indemnification under this Deed;</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Parties</w:t>
      </w:r>
      <w:r>
        <w:rPr>
          <w:rFonts w:ascii="Arial" w:cs="Arial" w:eastAsia="Arial" w:hAnsi="Arial"/>
          <w:sz w:val="20"/>
          <w:szCs w:val="20"/>
          <w:color w:val="auto"/>
        </w:rPr>
        <w:t>” means the parties to this Deed collectively, and “Party” means any one of them;</w:t>
      </w:r>
    </w:p>
    <w:p>
      <w:pPr>
        <w:spacing w:after="0" w:line="162"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have the meaning given in Section 3(a)(9) of the Exchange Act, as modified and used in Sections 13(d) and 14(d) thereof, except that such term shall not include (i) Weatherford Ireland or any of its Subsidiaries, (ii) a trustee or other fiduciary holding securities under terms of an employee benefit and compensation plans, agreements, arrangements, programs, policies, practices, contracts or agreement of Weatherford Ireland and its Affiliated companies (collectively, “</w:t>
      </w:r>
      <w:r>
        <w:rPr>
          <w:rFonts w:ascii="Arial" w:cs="Arial" w:eastAsia="Arial" w:hAnsi="Arial"/>
          <w:sz w:val="18"/>
          <w:szCs w:val="18"/>
          <w:u w:val="single" w:color="auto"/>
          <w:color w:val="auto"/>
        </w:rPr>
        <w:t>Benefit Plans</w:t>
      </w:r>
      <w:r>
        <w:rPr>
          <w:rFonts w:ascii="Arial" w:cs="Arial" w:eastAsia="Arial" w:hAnsi="Arial"/>
          <w:sz w:val="18"/>
          <w:szCs w:val="18"/>
          <w:color w:val="auto"/>
        </w:rPr>
        <w:t>”), (iii) an underwriter temporarily holding securities pursuant to an offering by Weatherford Ireland of such securities, or (iv) a corporation or other Entity owned, directly or indirectly, by the shareholders of Weatherford Ireland in the same proportions as their ownership of registered shares of Weatherford Ireland;</w:t>
      </w:r>
    </w:p>
    <w:p>
      <w:pPr>
        <w:spacing w:after="0" w:line="106" w:lineRule="exact"/>
        <w:rPr>
          <w:sz w:val="20"/>
          <w:szCs w:val="20"/>
          <w:color w:val="auto"/>
        </w:rPr>
      </w:pPr>
    </w:p>
    <w:p>
      <w:pPr>
        <w:jc w:val="both"/>
        <w:ind w:firstLine="621"/>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Proceeding</w:t>
      </w:r>
      <w:r>
        <w:rPr>
          <w:rFonts w:ascii="Arial" w:cs="Arial" w:eastAsia="Arial" w:hAnsi="Arial"/>
          <w:sz w:val="20"/>
          <w:szCs w:val="20"/>
          <w:color w:val="auto"/>
        </w:rPr>
        <w:t>” means any actual, threatened, pending or completed action, suit, arbitration, alternate dispute resolution mechanism, investigation, administrative hearing or any other actual, threatened, pending or completed proceeding, inquiry, hearing or investigation, whether civil, criminal, administrative or investigative and whether formal or informal (including, but not limited to, the investigation, defense, settlement or appeal of any of the forgoing); and</w:t>
      </w:r>
    </w:p>
    <w:p>
      <w:pPr>
        <w:spacing w:after="0" w:line="130" w:lineRule="exact"/>
        <w:rPr>
          <w:sz w:val="20"/>
          <w:szCs w:val="20"/>
          <w:color w:val="auto"/>
        </w:rPr>
      </w:pPr>
    </w:p>
    <w:p>
      <w:pPr>
        <w:jc w:val="both"/>
        <w:ind w:right="32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xml:space="preserve">” means any majority-owned subsidiary of Weatherford Ireland or any majority-owned subsidiary thereof, or any other Entity in which Weatherford Ireland owns, directly or indirectly, a significant financial interest;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Chief Executive Officer of Weatherford Ireland designates such Entity to be a Subsidiary for the purposes of this Agreement.</w:t>
      </w:r>
    </w:p>
    <w:p>
      <w:pPr>
        <w:spacing w:after="0" w:line="34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color w:val="auto"/>
        </w:rPr>
        <w:t>In this Deed unless the context otherwise requires:</w:t>
      </w:r>
    </w:p>
    <w:p>
      <w:pPr>
        <w:spacing w:after="0" w:line="243" w:lineRule="exact"/>
        <w:rPr>
          <w:sz w:val="20"/>
          <w:szCs w:val="20"/>
          <w:color w:val="auto"/>
        </w:rPr>
      </w:pPr>
    </w:p>
    <w:p>
      <w:pPr>
        <w:jc w:val="both"/>
        <w:ind w:firstLine="656"/>
        <w:spacing w:after="0" w:line="278" w:lineRule="auto"/>
        <w:tabs>
          <w:tab w:leader="none" w:pos="1546" w:val="left"/>
        </w:tabs>
        <w:numPr>
          <w:ilvl w:val="1"/>
          <w:numId w:val="19"/>
        </w:numPr>
        <w:rPr>
          <w:rFonts w:ascii="Arial" w:cs="Arial" w:eastAsia="Arial" w:hAnsi="Arial"/>
          <w:sz w:val="18"/>
          <w:szCs w:val="18"/>
          <w:color w:val="auto"/>
        </w:rPr>
      </w:pPr>
      <w:r>
        <w:rPr>
          <w:rFonts w:ascii="Arial" w:cs="Arial" w:eastAsia="Arial" w:hAnsi="Arial"/>
          <w:sz w:val="20"/>
          <w:szCs w:val="20"/>
          <w:color w:val="auto"/>
        </w:rPr>
        <w:t>references to statutory provisions shall be construed as references to those provisions as amended or re-enacted or as their application is modified by other provisions from time to time and shall include references to any provisions of which they are re-enactments (whether with or without modification);</w:t>
      </w:r>
    </w:p>
    <w:p>
      <w:pPr>
        <w:spacing w:after="0" w:line="200" w:lineRule="exact"/>
        <w:rPr>
          <w:rFonts w:ascii="Arial" w:cs="Arial" w:eastAsia="Arial" w:hAnsi="Arial"/>
          <w:sz w:val="18"/>
          <w:szCs w:val="18"/>
          <w:color w:val="auto"/>
        </w:rPr>
      </w:pPr>
    </w:p>
    <w:p>
      <w:pPr>
        <w:jc w:val="both"/>
        <w:ind w:firstLine="629"/>
        <w:spacing w:after="0" w:line="278" w:lineRule="auto"/>
        <w:tabs>
          <w:tab w:leader="none" w:pos="1523" w:val="left"/>
        </w:tabs>
        <w:numPr>
          <w:ilvl w:val="0"/>
          <w:numId w:val="20"/>
        </w:numPr>
        <w:rPr>
          <w:rFonts w:ascii="Arial" w:cs="Arial" w:eastAsia="Arial" w:hAnsi="Arial"/>
          <w:sz w:val="18"/>
          <w:szCs w:val="18"/>
          <w:color w:val="auto"/>
        </w:rPr>
      </w:pPr>
      <w:r>
        <w:rPr>
          <w:rFonts w:ascii="Arial" w:cs="Arial" w:eastAsia="Arial" w:hAnsi="Arial"/>
          <w:sz w:val="20"/>
          <w:szCs w:val="20"/>
          <w:color w:val="auto"/>
        </w:rPr>
        <w:t>references to articles, sections and schedules are references to articles and sections hereof and schedules hereto; references to sub-sections or paragraphs are, unless otherwise stated, references to sub-sections of the section or paragraphs of the schedule in which the reference appears;</w:t>
      </w:r>
    </w:p>
    <w:p>
      <w:pPr>
        <w:spacing w:after="0" w:line="200" w:lineRule="exact"/>
        <w:rPr>
          <w:rFonts w:ascii="Arial" w:cs="Arial" w:eastAsia="Arial" w:hAnsi="Arial"/>
          <w:sz w:val="18"/>
          <w:szCs w:val="18"/>
          <w:color w:val="auto"/>
        </w:rPr>
      </w:pPr>
    </w:p>
    <w:p>
      <w:pPr>
        <w:ind w:firstLine="629"/>
        <w:spacing w:after="0" w:line="289" w:lineRule="auto"/>
        <w:tabs>
          <w:tab w:leader="none" w:pos="1523" w:val="left"/>
        </w:tabs>
        <w:numPr>
          <w:ilvl w:val="0"/>
          <w:numId w:val="20"/>
        </w:numPr>
        <w:rPr>
          <w:rFonts w:ascii="Arial" w:cs="Arial" w:eastAsia="Arial" w:hAnsi="Arial"/>
          <w:sz w:val="18"/>
          <w:szCs w:val="18"/>
          <w:color w:val="auto"/>
        </w:rPr>
      </w:pPr>
      <w:r>
        <w:rPr>
          <w:rFonts w:ascii="Arial" w:cs="Arial" w:eastAsia="Arial" w:hAnsi="Arial"/>
          <w:sz w:val="20"/>
          <w:szCs w:val="20"/>
          <w:color w:val="auto"/>
        </w:rPr>
        <w:t>references to the singular shall include the plural and vice versa and references to the masculine shall include the feminine and/or neuter and vice versa; and</w:t>
      </w:r>
    </w:p>
    <w:p>
      <w:pPr>
        <w:spacing w:after="0" w:line="188" w:lineRule="exact"/>
        <w:rPr>
          <w:rFonts w:ascii="Arial" w:cs="Arial" w:eastAsia="Arial" w:hAnsi="Arial"/>
          <w:sz w:val="18"/>
          <w:szCs w:val="18"/>
          <w:color w:val="auto"/>
        </w:rPr>
      </w:pPr>
    </w:p>
    <w:p>
      <w:pPr>
        <w:ind w:left="1540" w:hanging="911"/>
        <w:spacing w:after="0"/>
        <w:tabs>
          <w:tab w:leader="none" w:pos="1540" w:val="left"/>
        </w:tabs>
        <w:numPr>
          <w:ilvl w:val="0"/>
          <w:numId w:val="20"/>
        </w:numPr>
        <w:rPr>
          <w:rFonts w:ascii="Arial" w:cs="Arial" w:eastAsia="Arial" w:hAnsi="Arial"/>
          <w:sz w:val="16"/>
          <w:szCs w:val="16"/>
          <w:color w:val="auto"/>
        </w:rPr>
      </w:pPr>
      <w:r>
        <w:rPr>
          <w:rFonts w:ascii="Arial" w:cs="Arial" w:eastAsia="Arial" w:hAnsi="Arial"/>
          <w:sz w:val="18"/>
          <w:szCs w:val="18"/>
          <w:color w:val="auto"/>
        </w:rPr>
        <w:t>references to persons shall include companies, partnerships, associations and bodies of persons, whether incorporated or</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unincorporated.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 TO SERVE</w:t>
      </w:r>
    </w:p>
    <w:p>
      <w:pPr>
        <w:spacing w:after="0" w:line="213" w:lineRule="exact"/>
        <w:rPr>
          <w:sz w:val="20"/>
          <w:szCs w:val="20"/>
          <w:color w:val="auto"/>
        </w:rPr>
      </w:pPr>
    </w:p>
    <w:p>
      <w:pPr>
        <w:jc w:val="both"/>
        <w:ind w:firstLine="621"/>
        <w:spacing w:after="0" w:line="246" w:lineRule="auto"/>
        <w:rPr>
          <w:sz w:val="20"/>
          <w:szCs w:val="20"/>
          <w:color w:val="auto"/>
        </w:rPr>
      </w:pPr>
      <w:r>
        <w:rPr>
          <w:rFonts w:ascii="Arial" w:cs="Arial" w:eastAsia="Arial" w:hAnsi="Arial"/>
          <w:sz w:val="20"/>
          <w:szCs w:val="20"/>
          <w:color w:val="auto"/>
        </w:rPr>
        <w:t>Indemnitee agrees to serve as a director, officer and/or employee of Weatherford Ireland. This Deed does not create or otherwise establish any right on the part of Indemnitee to be and continue to be elected or appointed a director, officer and/or employee of Weatherford Ireland or any other Group Company and does not create an employment contract between Weatherford Ireland and Indemnitee or between the Company and Indemnitee.</w:t>
      </w:r>
    </w:p>
    <w:p>
      <w:pPr>
        <w:sectPr>
          <w:pgSz w:w="11900" w:h="16838" w:orient="portrait"/>
          <w:cols w:equalWidth="0" w:num="1">
            <w:col w:w="11420"/>
          </w:cols>
          <w:pgMar w:left="240" w:top="582" w:right="239" w:bottom="1440" w:gutter="0" w:footer="0" w:header="0"/>
        </w:sectPr>
      </w:pPr>
    </w:p>
    <w:bookmarkStart w:id="56" w:name="page57"/>
    <w:bookmarkEnd w:id="56"/>
    <w:p>
      <w:pPr>
        <w:jc w:val="center"/>
        <w:ind w:left="660"/>
        <w:spacing w:after="0"/>
        <w:rPr>
          <w:sz w:val="20"/>
          <w:szCs w:val="20"/>
          <w:color w:val="auto"/>
        </w:rPr>
      </w:pPr>
      <w:r>
        <w:rPr>
          <w:rFonts w:ascii="Arial" w:cs="Arial" w:eastAsia="Arial" w:hAnsi="Arial"/>
          <w:sz w:val="20"/>
          <w:szCs w:val="20"/>
          <w:b w:val="1"/>
          <w:bCs w:val="1"/>
          <w:color w:val="auto"/>
        </w:rPr>
        <w:t>ARTICLE 3</w:t>
      </w:r>
    </w:p>
    <w:p>
      <w:pPr>
        <w:spacing w:after="0" w:line="22" w:lineRule="exact"/>
        <w:rPr>
          <w:sz w:val="20"/>
          <w:szCs w:val="20"/>
          <w:color w:val="auto"/>
        </w:rPr>
      </w:pPr>
    </w:p>
    <w:p>
      <w:pPr>
        <w:jc w:val="center"/>
        <w:ind w:left="660"/>
        <w:spacing w:after="0"/>
        <w:rPr>
          <w:sz w:val="20"/>
          <w:szCs w:val="20"/>
          <w:color w:val="auto"/>
        </w:rPr>
      </w:pPr>
      <w:r>
        <w:rPr>
          <w:rFonts w:ascii="Arial" w:cs="Arial" w:eastAsia="Arial" w:hAnsi="Arial"/>
          <w:sz w:val="20"/>
          <w:szCs w:val="20"/>
          <w:b w:val="1"/>
          <w:bCs w:val="1"/>
          <w:color w:val="auto"/>
        </w:rPr>
        <w:t>INDEMNITY OF DIRECTOR/OFFICER/EMPLOYEE</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3.1 Subject to </w:t>
      </w:r>
      <w:r>
        <w:rPr>
          <w:rFonts w:ascii="Arial" w:cs="Arial" w:eastAsia="Arial" w:hAnsi="Arial"/>
          <w:sz w:val="18"/>
          <w:szCs w:val="18"/>
          <w:u w:val="single" w:color="auto"/>
          <w:color w:val="auto"/>
        </w:rPr>
        <w:t>ARTICLE 10</w:t>
      </w:r>
      <w:r>
        <w:rPr>
          <w:rFonts w:ascii="Arial" w:cs="Arial" w:eastAsia="Arial" w:hAnsi="Arial"/>
          <w:sz w:val="18"/>
          <w:szCs w:val="18"/>
          <w:color w:val="auto"/>
        </w:rPr>
        <w:t>, the Company shall indemnify, defend and hold harmless Indemnitee against all Expenses, damages, losses, liabilities, judgments, penalties, fines and amounts paid in settlement if Indemnitee was or is a party to or participant in, or is threatened to be made a party to or participant in, any Proceeding, including a Proceeding brought by or in the right of Weatherford Ireland and/or the Company, by reason of the fact or assertion that Indemnitee is or was a director, officer, employee, agent, or fiduciary of Weatherford Ireland and/or the Company or is or was serving at the request of Weatherford Ireland and/or the Company as a director, officer, employee, agent, or fiduciary of any other Group Company or any other company, corporation, partnership, limited liability company, joint venture, trust, employee benefit plan or other Entity or enterprise or by reason of anything done or not done by Indemnitee in any such capacity.</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3.2 Subject to </w:t>
      </w:r>
      <w:r>
        <w:rPr>
          <w:rFonts w:ascii="Arial" w:cs="Arial" w:eastAsia="Arial" w:hAnsi="Arial"/>
          <w:sz w:val="20"/>
          <w:szCs w:val="20"/>
          <w:u w:val="single" w:color="auto"/>
          <w:color w:val="auto"/>
        </w:rPr>
        <w:t>ARTICLE 10</w:t>
      </w:r>
      <w:r>
        <w:rPr>
          <w:rFonts w:ascii="Arial" w:cs="Arial" w:eastAsia="Arial" w:hAnsi="Arial"/>
          <w:sz w:val="20"/>
          <w:szCs w:val="20"/>
          <w:color w:val="auto"/>
        </w:rPr>
        <w:t>, if Indemnitee is entitled under any provision of this Agreement to indemnification for some or a portion of Expenses, damages, losses, liabilities, judgments, penalties, fines and amounts paid in settlement, but not the total amount thereof, the Company shall indemnify, defend and hold harmless Indemnitee for such portion of the Expenses, damages, losses, liabilities, judgments, penalties, fines, amounts paid in settlement and any other amounts that Indemnitee becomes legally obligated to pay in connection with any Proceeding to which Indemnitee is entitled.</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3.3 Subject to </w:t>
      </w:r>
      <w:r>
        <w:rPr>
          <w:rFonts w:ascii="Arial" w:cs="Arial" w:eastAsia="Arial" w:hAnsi="Arial"/>
          <w:sz w:val="19"/>
          <w:szCs w:val="19"/>
          <w:u w:val="single" w:color="auto"/>
          <w:color w:val="auto"/>
        </w:rPr>
        <w:t>ARTICLE 10</w:t>
      </w:r>
      <w:r>
        <w:rPr>
          <w:rFonts w:ascii="Arial" w:cs="Arial" w:eastAsia="Arial" w:hAnsi="Arial"/>
          <w:sz w:val="19"/>
          <w:szCs w:val="19"/>
          <w:color w:val="auto"/>
        </w:rPr>
        <w:t>, the Company shall indemnify, defend and hold harmless Indemnitee against all Expenses, damages, losses, liabilities, judgments, penalties, fines and amounts paid in settlement if Indemnitee was or is a party to or participant in, or is threatened to be made a party to or participant in, any Proceeding specifically related to Indemnitee’s Employment Agreement with his prior employer dated September 23, 2016 or Indemnitee’s Separation Agreement with his prior employer dated June 30, 2017 (the “</w:t>
      </w:r>
      <w:r>
        <w:rPr>
          <w:rFonts w:ascii="Arial" w:cs="Arial" w:eastAsia="Arial" w:hAnsi="Arial"/>
          <w:sz w:val="19"/>
          <w:szCs w:val="19"/>
          <w:b w:val="1"/>
          <w:bCs w:val="1"/>
          <w:color w:val="auto"/>
        </w:rPr>
        <w:t>Separation Agreement</w:t>
      </w:r>
      <w:r>
        <w:rPr>
          <w:rFonts w:ascii="Arial" w:cs="Arial" w:eastAsia="Arial" w:hAnsi="Arial"/>
          <w:sz w:val="19"/>
          <w:szCs w:val="19"/>
          <w:color w:val="auto"/>
        </w:rPr>
        <w:t>”). Further, the Company agrees that in the event that Indemnitee’s prior employer takes the position that Indemnitee has forfeited any amounts due under the Separation Agreement by becoming employed by Weatherford Ireland or a Subsidiary, the Company will pay or cause to be paid to Indemnitee such amounts due under the Separation Agreement pursuant to its terms. Indemnitee agrees to cooperate in good faith with the Company to seek any available recourse on behalf of Indemnitee, Weatherford Ireland or the Company for such amounts and any related damages under the Separation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 FOR EXPENSES OF A WITNESS</w:t>
      </w:r>
    </w:p>
    <w:p>
      <w:pPr>
        <w:spacing w:after="0" w:line="213"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ARTICLE 10</w:t>
      </w:r>
      <w:r>
        <w:rPr>
          <w:rFonts w:ascii="Arial" w:cs="Arial" w:eastAsia="Arial" w:hAnsi="Arial"/>
          <w:sz w:val="20"/>
          <w:szCs w:val="20"/>
          <w:color w:val="auto"/>
        </w:rPr>
        <w:t>, to the extent that Indemnitee is, by reason of Indemnitee’s Corporate Status, a witness in any Proceeding, Indemnitee shall be indemnified by the Company against all Expenses actually and reasonably incurred by Indemnitee or on Indemnitee’s behalf in connection therewith.</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DETERMINATION OF ENTITLEMENT TO INDEMNIFICATION</w:t>
      </w:r>
    </w:p>
    <w:p>
      <w:pPr>
        <w:spacing w:after="0" w:line="21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5.1 Indemnitee shall request indemnification pursuant to this Deed by notice in writing to the General Counsel of the Company. The General Counsel shall, promptly upon receipt of Indemnitee’s request for indemnification, advise in writing the Board and the Board Designee or such other person or persons empowered to make the determination as provided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that Indemnitee has made such request for indemnification. Upon making such request for indemnification, Indemnitee shall be presumed to be entitled to indemnification hereunder and the Company shall have the burden of proof in the making of any determination contrary to such presumption.</w:t>
      </w:r>
    </w:p>
    <w:p>
      <w:pPr>
        <w:sectPr>
          <w:pgSz w:w="11900" w:h="16838" w:orient="portrait"/>
          <w:cols w:equalWidth="0" w:num="1">
            <w:col w:w="11420"/>
          </w:cols>
          <w:pgMar w:left="240" w:top="576" w:right="239" w:bottom="1440" w:gutter="0" w:footer="0" w:header="0"/>
        </w:sectPr>
      </w:pPr>
    </w:p>
    <w:bookmarkStart w:id="57" w:name="page58"/>
    <w:bookmarkEnd w:id="57"/>
    <w:p>
      <w:pPr>
        <w:jc w:val="both"/>
        <w:spacing w:after="0" w:line="250" w:lineRule="auto"/>
        <w:rPr>
          <w:sz w:val="20"/>
          <w:szCs w:val="20"/>
          <w:color w:val="auto"/>
        </w:rPr>
      </w:pPr>
      <w:r>
        <w:rPr>
          <w:rFonts w:ascii="Arial" w:cs="Arial" w:eastAsia="Arial" w:hAnsi="Arial"/>
          <w:sz w:val="20"/>
          <w:szCs w:val="20"/>
          <w:color w:val="auto"/>
        </w:rPr>
        <w:t>5.2 Upon written request by Indemnitee for indemnification hereunder, the entitlement of Indemnitee to indemnification pursuant to the terms of this Deed shall be determined in the following circumstances and by the following person or persons who, in each instance, shall be empowered to make such determination:</w:t>
      </w:r>
    </w:p>
    <w:p>
      <w:pPr>
        <w:spacing w:after="0" w:line="213" w:lineRule="exact"/>
        <w:rPr>
          <w:sz w:val="20"/>
          <w:szCs w:val="20"/>
          <w:color w:val="auto"/>
        </w:rPr>
      </w:pPr>
    </w:p>
    <w:p>
      <w:pPr>
        <w:ind w:left="1500" w:hanging="871"/>
        <w:spacing w:after="0"/>
        <w:tabs>
          <w:tab w:leader="none" w:pos="1500" w:val="left"/>
        </w:tabs>
        <w:numPr>
          <w:ilvl w:val="0"/>
          <w:numId w:val="21"/>
        </w:numPr>
        <w:rPr>
          <w:rFonts w:ascii="Arial" w:cs="Arial" w:eastAsia="Arial" w:hAnsi="Arial"/>
          <w:sz w:val="18"/>
          <w:szCs w:val="18"/>
          <w:color w:val="auto"/>
        </w:rPr>
      </w:pPr>
      <w:r>
        <w:rPr>
          <w:rFonts w:ascii="Arial" w:cs="Arial" w:eastAsia="Arial" w:hAnsi="Arial"/>
          <w:sz w:val="20"/>
          <w:szCs w:val="20"/>
          <w:color w:val="auto"/>
        </w:rPr>
        <w:t>if a Change in Control shall not have occurred,</w:t>
      </w:r>
    </w:p>
    <w:p>
      <w:pPr>
        <w:spacing w:after="0" w:line="242" w:lineRule="exact"/>
        <w:rPr>
          <w:rFonts w:ascii="Arial" w:cs="Arial" w:eastAsia="Arial" w:hAnsi="Arial"/>
          <w:sz w:val="18"/>
          <w:szCs w:val="18"/>
          <w:color w:val="auto"/>
        </w:rPr>
      </w:pPr>
    </w:p>
    <w:p>
      <w:pPr>
        <w:ind w:left="1920" w:hanging="656"/>
        <w:spacing w:after="0"/>
        <w:tabs>
          <w:tab w:leader="none" w:pos="1920" w:val="left"/>
        </w:tabs>
        <w:numPr>
          <w:ilvl w:val="1"/>
          <w:numId w:val="21"/>
        </w:numPr>
        <w:rPr>
          <w:rFonts w:ascii="Arial" w:cs="Arial" w:eastAsia="Arial" w:hAnsi="Arial"/>
          <w:sz w:val="18"/>
          <w:szCs w:val="18"/>
          <w:color w:val="auto"/>
        </w:rPr>
      </w:pPr>
      <w:r>
        <w:rPr>
          <w:rFonts w:ascii="Arial" w:cs="Arial" w:eastAsia="Arial" w:hAnsi="Arial"/>
          <w:sz w:val="20"/>
          <w:szCs w:val="20"/>
          <w:color w:val="auto"/>
        </w:rPr>
        <w:t>by the Board, by a majority vote of the Disinterested Directors, or by the Board Designee; or</w:t>
      </w:r>
    </w:p>
    <w:p>
      <w:pPr>
        <w:spacing w:after="0" w:line="229" w:lineRule="exact"/>
        <w:rPr>
          <w:rFonts w:ascii="Arial" w:cs="Arial" w:eastAsia="Arial" w:hAnsi="Arial"/>
          <w:sz w:val="18"/>
          <w:szCs w:val="18"/>
          <w:color w:val="auto"/>
        </w:rPr>
      </w:pPr>
    </w:p>
    <w:p>
      <w:pPr>
        <w:jc w:val="both"/>
        <w:ind w:left="1920" w:hanging="656"/>
        <w:spacing w:after="0" w:line="245" w:lineRule="auto"/>
        <w:tabs>
          <w:tab w:leader="none" w:pos="1920" w:val="left"/>
        </w:tabs>
        <w:numPr>
          <w:ilvl w:val="1"/>
          <w:numId w:val="21"/>
        </w:numPr>
        <w:rPr>
          <w:rFonts w:ascii="Arial" w:cs="Arial" w:eastAsia="Arial" w:hAnsi="Arial"/>
          <w:sz w:val="18"/>
          <w:szCs w:val="18"/>
          <w:color w:val="auto"/>
        </w:rPr>
      </w:pPr>
      <w:r>
        <w:rPr>
          <w:rFonts w:ascii="Arial" w:cs="Arial" w:eastAsia="Arial" w:hAnsi="Arial"/>
          <w:sz w:val="20"/>
          <w:szCs w:val="20"/>
          <w:color w:val="auto"/>
        </w:rPr>
        <w:t>if such Board vote or the Board Designee determination under (a)(i) is not obtainable or, even if obtainable, if such Disinterested Directors (by majority vote) or the Board Designee so directs, by (y) Independent Counsel in a written opinion to the Board and the Board Designee, a copy of which shall be delivered to Indemnitee; or (z) a majority vote of the shareholders of the Company; and</w:t>
      </w:r>
    </w:p>
    <w:p>
      <w:pPr>
        <w:ind w:left="1500" w:hanging="871"/>
        <w:spacing w:after="0"/>
        <w:tabs>
          <w:tab w:leader="none" w:pos="1500" w:val="left"/>
        </w:tabs>
        <w:numPr>
          <w:ilvl w:val="0"/>
          <w:numId w:val="21"/>
        </w:numPr>
        <w:rPr>
          <w:rFonts w:ascii="Arial" w:cs="Arial" w:eastAsia="Arial" w:hAnsi="Arial"/>
          <w:sz w:val="18"/>
          <w:szCs w:val="18"/>
          <w:color w:val="auto"/>
        </w:rPr>
      </w:pPr>
      <w:r>
        <w:rPr>
          <w:rFonts w:ascii="Arial" w:cs="Arial" w:eastAsia="Arial" w:hAnsi="Arial"/>
          <w:sz w:val="20"/>
          <w:szCs w:val="20"/>
          <w:color w:val="auto"/>
        </w:rPr>
        <w:t>if a Change in Control shall have occurred,</w:t>
      </w:r>
    </w:p>
    <w:p>
      <w:pPr>
        <w:spacing w:after="0" w:line="235" w:lineRule="exact"/>
        <w:rPr>
          <w:rFonts w:ascii="Arial" w:cs="Arial" w:eastAsia="Arial" w:hAnsi="Arial"/>
          <w:sz w:val="18"/>
          <w:szCs w:val="18"/>
          <w:color w:val="auto"/>
        </w:rPr>
      </w:pPr>
    </w:p>
    <w:p>
      <w:pPr>
        <w:ind w:left="1920" w:hanging="656"/>
        <w:spacing w:after="0" w:line="260" w:lineRule="auto"/>
        <w:tabs>
          <w:tab w:leader="none" w:pos="1920" w:val="left"/>
        </w:tabs>
        <w:numPr>
          <w:ilvl w:val="1"/>
          <w:numId w:val="21"/>
        </w:numPr>
        <w:rPr>
          <w:rFonts w:ascii="Arial" w:cs="Arial" w:eastAsia="Arial" w:hAnsi="Arial"/>
          <w:sz w:val="18"/>
          <w:szCs w:val="18"/>
          <w:color w:val="auto"/>
        </w:rPr>
      </w:pPr>
      <w:r>
        <w:rPr>
          <w:rFonts w:ascii="Arial" w:cs="Arial" w:eastAsia="Arial" w:hAnsi="Arial"/>
          <w:sz w:val="20"/>
          <w:szCs w:val="20"/>
          <w:color w:val="auto"/>
        </w:rPr>
        <w:t>by Independent Counsel in a written opinion to the Board and the Board Designee, a copy of which shall be delivered to Indemnitee; or</w:t>
      </w:r>
    </w:p>
    <w:p>
      <w:pPr>
        <w:spacing w:after="0" w:line="190" w:lineRule="exact"/>
        <w:rPr>
          <w:rFonts w:ascii="Arial" w:cs="Arial" w:eastAsia="Arial" w:hAnsi="Arial"/>
          <w:sz w:val="18"/>
          <w:szCs w:val="18"/>
          <w:color w:val="auto"/>
        </w:rPr>
      </w:pPr>
    </w:p>
    <w:p>
      <w:pPr>
        <w:ind w:left="1920" w:hanging="656"/>
        <w:spacing w:after="0" w:line="260" w:lineRule="auto"/>
        <w:tabs>
          <w:tab w:leader="none" w:pos="1920" w:val="left"/>
        </w:tabs>
        <w:numPr>
          <w:ilvl w:val="1"/>
          <w:numId w:val="21"/>
        </w:numPr>
        <w:rPr>
          <w:rFonts w:ascii="Arial" w:cs="Arial" w:eastAsia="Arial" w:hAnsi="Arial"/>
          <w:sz w:val="18"/>
          <w:szCs w:val="18"/>
          <w:color w:val="auto"/>
        </w:rPr>
      </w:pPr>
      <w:r>
        <w:rPr>
          <w:rFonts w:ascii="Arial" w:cs="Arial" w:eastAsia="Arial" w:hAnsi="Arial"/>
          <w:sz w:val="20"/>
          <w:szCs w:val="20"/>
          <w:color w:val="auto"/>
        </w:rPr>
        <w:t xml:space="preserve">at Indemnitee’s sole option, Indemnitee shall have the right to direct that such determination be made in the manner provided in </w:t>
      </w:r>
      <w:r>
        <w:rPr>
          <w:rFonts w:ascii="Arial" w:cs="Arial" w:eastAsia="Arial" w:hAnsi="Arial"/>
          <w:sz w:val="20"/>
          <w:szCs w:val="20"/>
          <w:u w:val="single" w:color="auto"/>
          <w:color w:val="auto"/>
        </w:rPr>
        <w:t>Section 5.2(a)</w:t>
      </w:r>
      <w:r>
        <w:rPr>
          <w:rFonts w:ascii="Arial" w:cs="Arial" w:eastAsia="Arial" w:hAnsi="Arial"/>
          <w:sz w:val="20"/>
          <w:szCs w:val="20"/>
          <w:color w:val="auto"/>
        </w:rPr>
        <w:t>; and</w:t>
      </w:r>
    </w:p>
    <w:p>
      <w:pPr>
        <w:spacing w:after="0" w:line="203" w:lineRule="exact"/>
        <w:rPr>
          <w:rFonts w:ascii="Arial" w:cs="Arial" w:eastAsia="Arial" w:hAnsi="Arial"/>
          <w:sz w:val="18"/>
          <w:szCs w:val="18"/>
          <w:color w:val="auto"/>
        </w:rPr>
      </w:pPr>
    </w:p>
    <w:p>
      <w:pPr>
        <w:ind w:firstLine="629"/>
        <w:spacing w:after="0" w:line="289" w:lineRule="auto"/>
        <w:tabs>
          <w:tab w:leader="none" w:pos="1483" w:val="left"/>
        </w:tabs>
        <w:numPr>
          <w:ilvl w:val="0"/>
          <w:numId w:val="21"/>
        </w:numPr>
        <w:rPr>
          <w:rFonts w:ascii="Arial" w:cs="Arial" w:eastAsia="Arial" w:hAnsi="Arial"/>
          <w:sz w:val="18"/>
          <w:szCs w:val="18"/>
          <w:color w:val="auto"/>
        </w:rPr>
      </w:pPr>
      <w:r>
        <w:rPr>
          <w:rFonts w:ascii="Arial" w:cs="Arial" w:eastAsia="Arial" w:hAnsi="Arial"/>
          <w:sz w:val="20"/>
          <w:szCs w:val="20"/>
          <w:color w:val="auto"/>
        </w:rPr>
        <w:t>if indemnification is requested under Section 3.3, entitlement to such indemnification shall be automatic upon presenting satisfactory evidence of Indemnitee’s claim to the General Counsel of the Company.</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5.3 For purposes of </w:t>
      </w:r>
      <w:r>
        <w:rPr>
          <w:rFonts w:ascii="Arial" w:cs="Arial" w:eastAsia="Arial" w:hAnsi="Arial"/>
          <w:sz w:val="19"/>
          <w:szCs w:val="19"/>
          <w:u w:val="single" w:color="auto"/>
          <w:color w:val="auto"/>
        </w:rPr>
        <w:t>Section 5.2(a)(ii)</w:t>
      </w:r>
      <w:r>
        <w:rPr>
          <w:rFonts w:ascii="Arial" w:cs="Arial" w:eastAsia="Arial" w:hAnsi="Arial"/>
          <w:sz w:val="19"/>
          <w:szCs w:val="19"/>
          <w:color w:val="auto"/>
        </w:rPr>
        <w:t xml:space="preserve">, Independent Counsel shall be selected by the Board or the Board Designee and approved by Indemnitee and for purposes of </w:t>
      </w:r>
      <w:r>
        <w:rPr>
          <w:rFonts w:ascii="Arial" w:cs="Arial" w:eastAsia="Arial" w:hAnsi="Arial"/>
          <w:sz w:val="19"/>
          <w:szCs w:val="19"/>
          <w:u w:val="single" w:color="auto"/>
          <w:color w:val="auto"/>
        </w:rPr>
        <w:t>Section 5.2(b)</w:t>
      </w:r>
      <w:r>
        <w:rPr>
          <w:rFonts w:ascii="Arial" w:cs="Arial" w:eastAsia="Arial" w:hAnsi="Arial"/>
          <w:sz w:val="19"/>
          <w:szCs w:val="19"/>
          <w:color w:val="auto"/>
        </w:rPr>
        <w:t xml:space="preserve">, Independent Counsel shall be selected by Indemnitee. Upon failure of the Board or the Board Designee to so select such Independent Counsel or upon failure of Indemnitee to so approve, such Independent Counsel shall be selected by a single arbitrator pursuant to the rules of the American Arbitration Association. Such determination of entitlement to indemnification shall be made not later than 60 days after receipt by the Company of a written request for indemnification. Such request shall include documentation or information which is reasonably necessary for such determination and which is reasonably available to Indemnitee. Subject to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any Expenses incurred by Indemnitee in connection with Indemnitee’s request for indemnification hereunder shall be borne by the Company irrespective of the outcome of the determination of Indemnitee’s entitlement to indemnification. If the person or persons making such determination shall determine that Indemnitee is entitled to indemnification as to part (but not all) of the application for indemnification, such persons may, subject to </w:t>
      </w:r>
      <w:r>
        <w:rPr>
          <w:rFonts w:ascii="Arial" w:cs="Arial" w:eastAsia="Arial" w:hAnsi="Arial"/>
          <w:sz w:val="19"/>
          <w:szCs w:val="19"/>
          <w:u w:val="single" w:color="auto"/>
          <w:color w:val="auto"/>
        </w:rPr>
        <w:t>ARTICLE 10</w:t>
      </w:r>
      <w:r>
        <w:rPr>
          <w:rFonts w:ascii="Arial" w:cs="Arial" w:eastAsia="Arial" w:hAnsi="Arial"/>
          <w:sz w:val="19"/>
          <w:szCs w:val="19"/>
          <w:color w:val="auto"/>
        </w:rPr>
        <w:t>, reasonably prorate such partial indemnification among such claims, issues or matters in respect of which indemnification is requested.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ADVANCEMENT OF EXPENSES</w:t>
      </w:r>
    </w:p>
    <w:p>
      <w:pPr>
        <w:spacing w:after="0" w:line="21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All reasonable Expenses incurred by, and advances of disbursements required of, Indemnitee in connection with any Proceeding and in connection with Indemnitee seeking an adjudication or award in arbitration pursuant to this Deed shall, at the request of Indemnitee, be paid by the Company in advance of the final disposition of any such Proceeding, adjudication or arbitration as promptly as possible, and in any</w:t>
      </w:r>
    </w:p>
    <w:p>
      <w:pPr>
        <w:sectPr>
          <w:pgSz w:w="11900" w:h="16838" w:orient="portrait"/>
          <w:cols w:equalWidth="0" w:num="1">
            <w:col w:w="11420"/>
          </w:cols>
          <w:pgMar w:left="240" w:top="812" w:right="239" w:bottom="1440" w:gutter="0" w:footer="0" w:header="0"/>
        </w:sectPr>
      </w:pPr>
    </w:p>
    <w:bookmarkStart w:id="58" w:name="page59"/>
    <w:bookmarkEnd w:id="58"/>
    <w:p>
      <w:pPr>
        <w:jc w:val="both"/>
        <w:spacing w:after="0" w:line="257" w:lineRule="auto"/>
        <w:rPr>
          <w:sz w:val="20"/>
          <w:szCs w:val="20"/>
          <w:color w:val="auto"/>
        </w:rPr>
      </w:pPr>
      <w:r>
        <w:rPr>
          <w:rFonts w:ascii="Arial" w:cs="Arial" w:eastAsia="Arial" w:hAnsi="Arial"/>
          <w:sz w:val="19"/>
          <w:szCs w:val="19"/>
          <w:color w:val="auto"/>
        </w:rPr>
        <w:t xml:space="preserve">event within twenty days after the receipt by the Company of a statement or statements from Indemnitee requesting such advance or advances from time to time. Such statement or statements shall reasonably evidence the Expenses incurred by, or disbursements required of, Indemnitee in connection therewith. Notwithstanding any determination as to entitlement to indemnification made pursuant to </w:t>
      </w:r>
      <w:r>
        <w:rPr>
          <w:rFonts w:ascii="Arial" w:cs="Arial" w:eastAsia="Arial" w:hAnsi="Arial"/>
          <w:sz w:val="19"/>
          <w:szCs w:val="19"/>
          <w:u w:val="single" w:color="auto"/>
          <w:color w:val="auto"/>
        </w:rPr>
        <w:t>ARTICLE 5 or 7</w:t>
      </w:r>
      <w:r>
        <w:rPr>
          <w:rFonts w:ascii="Arial" w:cs="Arial" w:eastAsia="Arial" w:hAnsi="Arial"/>
          <w:sz w:val="19"/>
          <w:szCs w:val="19"/>
          <w:color w:val="auto"/>
        </w:rPr>
        <w:t xml:space="preserve">, Indemnitee agrees that it will forthwith (and, in any event, not later than twenty days from the date the Company provides a written demand therefor and irrespective of any appeal rights which the Indemnitee may have or exercise) repay any advance of funds made by the Company pursuant to this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in the event of any allegation of fraud or dishonesty in the relevant Proceeding is proved against the Indemnitee. The Company shall have the burden of proof in any determination under this </w:t>
      </w:r>
      <w:r>
        <w:rPr>
          <w:rFonts w:ascii="Arial" w:cs="Arial" w:eastAsia="Arial" w:hAnsi="Arial"/>
          <w:sz w:val="19"/>
          <w:szCs w:val="19"/>
          <w:u w:val="single" w:color="auto"/>
          <w:color w:val="auto"/>
        </w:rPr>
        <w:t>ARTICLE 6</w:t>
      </w:r>
      <w:r>
        <w:rPr>
          <w:rFonts w:ascii="Arial" w:cs="Arial" w:eastAsia="Arial" w:hAnsi="Arial"/>
          <w:sz w:val="19"/>
          <w:szCs w:val="19"/>
          <w:color w:val="auto"/>
        </w:rPr>
        <w:t>. No amounts advanced hereunder shall be deemed an extension of credit by the Company to Indemnitee.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REMEDIES OF INDEMNITEE IN CASES OF DETERMINATION NOT TO INDEMNIFY OR TO ADVANCE EXPENSES OR</w:t>
      </w:r>
    </w:p>
    <w:p>
      <w:pPr>
        <w:jc w:val="center"/>
        <w:spacing w:after="0"/>
        <w:rPr>
          <w:sz w:val="20"/>
          <w:szCs w:val="20"/>
          <w:color w:val="auto"/>
        </w:rPr>
      </w:pPr>
      <w:r>
        <w:rPr>
          <w:rFonts w:ascii="Arial" w:cs="Arial" w:eastAsia="Arial" w:hAnsi="Arial"/>
          <w:sz w:val="20"/>
          <w:szCs w:val="20"/>
          <w:b w:val="1"/>
          <w:bCs w:val="1"/>
          <w:color w:val="auto"/>
        </w:rPr>
        <w:t>FAILURE TO TIMELY PAY</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7.1 In the event that: (a) a determination is made that Indemnitee is not entitled to indemnification hereunder; (b) payment has not been timely made following a determination of entitlement to indemnification pursuant to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or (c) Expenses or disbursements required of the Indemnitee are not advanced pursuant to </w:t>
      </w:r>
      <w:r>
        <w:rPr>
          <w:rFonts w:ascii="Arial" w:cs="Arial" w:eastAsia="Arial" w:hAnsi="Arial"/>
          <w:sz w:val="18"/>
          <w:szCs w:val="18"/>
          <w:u w:val="single" w:color="auto"/>
          <w:color w:val="auto"/>
        </w:rPr>
        <w:t>ARTICLE 6</w:t>
      </w:r>
      <w:r>
        <w:rPr>
          <w:rFonts w:ascii="Arial" w:cs="Arial" w:eastAsia="Arial" w:hAnsi="Arial"/>
          <w:sz w:val="18"/>
          <w:szCs w:val="18"/>
          <w:color w:val="auto"/>
        </w:rPr>
        <w:t>, Indemnitee shall be entitled to apply to the Court or any other court of competent jurisdiction for a determination of Indemnitee’s entitlement to such indemnification, indemnification payment or advance.</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7.2 Alternatively to </w:t>
      </w:r>
      <w:r>
        <w:rPr>
          <w:rFonts w:ascii="Arial" w:cs="Arial" w:eastAsia="Arial" w:hAnsi="Arial"/>
          <w:sz w:val="20"/>
          <w:szCs w:val="20"/>
          <w:u w:val="single" w:color="auto"/>
          <w:color w:val="auto"/>
        </w:rPr>
        <w:t>Section 7.1</w:t>
      </w:r>
      <w:r>
        <w:rPr>
          <w:rFonts w:ascii="Arial" w:cs="Arial" w:eastAsia="Arial" w:hAnsi="Arial"/>
          <w:sz w:val="20"/>
          <w:szCs w:val="20"/>
          <w:color w:val="auto"/>
        </w:rPr>
        <w:t>, Indemnitee, at Indemnitee’s sole option, may seek an award in arbitration to be conducted by a single arbitrator pursuant to the rules of the American Arbitration Association, such award to be made within sixty days following Indemnitee’s filing of the request for arbitration. The Company shall not oppose Indemnitee’s right to seek any such adjudication or award in arbitration or any other claim.</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7.3 A judicial proceeding or arbitration pursuant to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shall be made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and Indemnitee shall not be prejudiced by reason of a determination otherwise made hereunder (if so made) that Indemnitee is not entitled to indemnification. If the court or arbitrator shall determine that Indemnitee is entitled to any indemnification or advance hereunder, the Company shall pay all reasonable Expenses actually incurred by Indemnitee in connection with such adjudication or award in arbitration (including, but not limited to, any appellate proceedings) (the “</w:t>
      </w:r>
      <w:r>
        <w:rPr>
          <w:rFonts w:ascii="Arial" w:cs="Arial" w:eastAsia="Arial" w:hAnsi="Arial"/>
          <w:sz w:val="18"/>
          <w:szCs w:val="18"/>
          <w:b w:val="1"/>
          <w:bCs w:val="1"/>
          <w:color w:val="auto"/>
        </w:rPr>
        <w:t>Article 7 Expenses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Indemnitee agrees that it will forthwith (and, in any event, not later than twenty days from the date the Company provides a written demand therefor and irrespective of any appeal rights which the Indemnitee may have or exercise) repay such Article 7 Expenses in the event that any allegation of fraud or dishonesty is proved against the Indemnitee in the Proceeding in respect of which the Indemnitee was seeking indemnification or an advance of monies hereunder.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RIGHTS TO INDEMNIFICATION</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 xml:space="preserve">8.1 The indemnification and advancement of Expenses provided by this Deed shall not be deemed exclusive of any other right to which Indemnitee previously, now or in the future may be entitled under any provision of the Company’s memorandum of association, bye-laws, any other agreement (including any agreement between Indemnitee and any other Group Company), vote of shareholders of the Company, the Board or Disinterested Directors, provision of law, or otherwise;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shall not be obligated under this Deed to make any payment pursuant to this Deed for which payment has been actually made to or on behalf of Indemnitee by or on behalf of any of the Group Companies under any insurance policy or other indemnity provision, except in respect of any excess beyond the amount paid under any such insurance policy or other indemnity provisions.</w:t>
      </w:r>
    </w:p>
    <w:p>
      <w:pPr>
        <w:sectPr>
          <w:pgSz w:w="11900" w:h="16838" w:orient="portrait"/>
          <w:cols w:equalWidth="0" w:num="1">
            <w:col w:w="11420"/>
          </w:cols>
          <w:pgMar w:left="240" w:top="582" w:right="239" w:bottom="1440" w:gutter="0" w:footer="0" w:header="0"/>
        </w:sectPr>
      </w:pPr>
    </w:p>
    <w:bookmarkStart w:id="59" w:name="page60"/>
    <w:bookmarkEnd w:id="59"/>
    <w:p>
      <w:pPr>
        <w:jc w:val="both"/>
        <w:spacing w:after="0" w:line="246" w:lineRule="auto"/>
        <w:rPr>
          <w:sz w:val="20"/>
          <w:szCs w:val="20"/>
          <w:color w:val="auto"/>
        </w:rPr>
      </w:pPr>
      <w:r>
        <w:rPr>
          <w:rFonts w:ascii="Arial" w:cs="Arial" w:eastAsia="Arial" w:hAnsi="Arial"/>
          <w:sz w:val="20"/>
          <w:szCs w:val="20"/>
          <w:color w:val="auto"/>
        </w:rPr>
        <w:t>8.2 In the event of any payment under this Deed, the Group Companies shall be subrogated to the extent of such payment to all of the rights of recovery of Indemnitee, who shall execute at the request of the Company all papers required and take all action necessary to secure such rights, including execution of such documents as are necessary to enable the Company and/or Weatherford Ireland to bring suit to enforce such rights.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ATTORNEYS’ FEES AND OTHER EXPENSES TO ENFORCE DEED</w:t>
      </w:r>
    </w:p>
    <w:p>
      <w:pPr>
        <w:spacing w:after="0" w:line="213"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9"/>
          <w:szCs w:val="19"/>
          <w:color w:val="auto"/>
        </w:rPr>
        <w:t xml:space="preserve">In the event that Indemnitee is subject to or intervenes in any Proceeding in which the validity or enforceability of this Deed is at issue or seeks an adjudication or award in arbitration to enforce Indemnitee’s rights under, or to recover damages for breach of, this Deed, Indemnitee, if Indemnitee prevails in whole or in part in such action, shall, subject to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be entitled to recover from the Company and shall be indemnified by the Company against, any Expenses reasonably incurred by Indemnitee;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bringing any action for adjudication or award in arbitration to enforce Indemnitee’s rights, Indemnitee acted in good faith.</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LIMITATION OF INDEMNIFICATION</w:t>
      </w:r>
    </w:p>
    <w:p>
      <w:pPr>
        <w:spacing w:after="0" w:line="213"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9"/>
          <w:szCs w:val="19"/>
          <w:color w:val="auto"/>
        </w:rPr>
        <w:t xml:space="preserve">Notwithstanding any other terms of this Deed, nothing herein shall indemnify Indemnitee against, or exempt Indemnitee from, any liability arising from or in connection with or in respect of Indemnitee’s fraud or dishonesty proved against the Indemnitee;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Bermuda applicable law changes after the date of this Deed so that the Company may, under such law, at the applicable time, indemnify Indemnitee to an extent greater than provided in this Deed (as a result of the restrictions contained herein or current law), the Company shall indemnify Indemnitee to the fullest extent permitted under applicable law at such time, as so changed.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LIABILITY INSURANCE</w:t>
      </w:r>
    </w:p>
    <w:p>
      <w:pPr>
        <w:spacing w:after="0" w:line="213"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color w:val="auto"/>
        </w:rPr>
        <w:t>To the extent the Company maintains an insurance policy or policies providing directors’, officers’ and employees’ liability insurance, Indemnitee shall be covered by such policy or policies, in accordance with its or their terms, to the maximum extent of the coverage available for any Company director, officer or employee.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DURATION OF DEED</w:t>
      </w:r>
    </w:p>
    <w:p>
      <w:pPr>
        <w:spacing w:after="0" w:line="213"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color w:val="auto"/>
        </w:rPr>
        <w:t xml:space="preserve">This Deed shall apply with respect to Indemnitee’s occupation of any of the position(s) described in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of this Deed prior to the date of this Deed and with respect to all periods of such service after the date of this Deed, even though Indemnitee may have ceased to occupy such positions(s).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PROCEEDINGS BY INDEMNITEE</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13.1 Indemnitee agrees promptly to notify the Company in writing upon being served with any summons, citation, subpoena, complaint, indictment, information or other document relating to any Proceeding which may be subject to indemnification hereunder;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failure to so notify the Company will not relieve the Company from any liability it may have to Indemnitee except to the extent that such failure materially</w:t>
      </w:r>
    </w:p>
    <w:p>
      <w:pPr>
        <w:sectPr>
          <w:pgSz w:w="11900" w:h="16838" w:orient="portrait"/>
          <w:cols w:equalWidth="0" w:num="1">
            <w:col w:w="11420"/>
          </w:cols>
          <w:pgMar w:left="240" w:top="582" w:right="239" w:bottom="1440" w:gutter="0" w:footer="0" w:header="0"/>
        </w:sectPr>
      </w:pPr>
    </w:p>
    <w:bookmarkStart w:id="60" w:name="page61"/>
    <w:bookmarkEnd w:id="60"/>
    <w:p>
      <w:pPr>
        <w:spacing w:after="0" w:line="260" w:lineRule="auto"/>
        <w:rPr>
          <w:sz w:val="20"/>
          <w:szCs w:val="20"/>
          <w:color w:val="auto"/>
        </w:rPr>
      </w:pPr>
      <w:r>
        <w:rPr>
          <w:rFonts w:ascii="Arial" w:cs="Arial" w:eastAsia="Arial" w:hAnsi="Arial"/>
          <w:sz w:val="20"/>
          <w:szCs w:val="20"/>
          <w:color w:val="auto"/>
        </w:rPr>
        <w:t>prejudices the Company’s ability to defend such claim. With respect to any such Proceeding as to which Indemnitee notifies the Company of the commencement thereof:</w:t>
      </w:r>
    </w:p>
    <w:p>
      <w:pPr>
        <w:spacing w:after="0" w:line="190"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Company will be entitled to participate therein at its own expense; and</w:t>
      </w:r>
    </w:p>
    <w:p>
      <w:pPr>
        <w:spacing w:after="0" w:line="229" w:lineRule="exact"/>
        <w:rPr>
          <w:rFonts w:ascii="Arial" w:cs="Arial" w:eastAsia="Arial" w:hAnsi="Arial"/>
          <w:sz w:val="20"/>
          <w:szCs w:val="20"/>
          <w:color w:val="auto"/>
        </w:rPr>
      </w:pPr>
    </w:p>
    <w:p>
      <w:pPr>
        <w:jc w:val="both"/>
        <w:ind w:firstLine="656"/>
        <w:spacing w:after="0" w:line="271" w:lineRule="auto"/>
        <w:tabs>
          <w:tab w:leader="none" w:pos="11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except as otherwise provided below, to the extent that it may wish, the Company jointly with any other indemnifying party similarly notified will be entitled to assume the defense thereof, with counsel reasonably satisfactory to Indemnitee. After notice from the Company to Indemnitee of its election so to assume the defense thereof, the Company will not be liable to Indemnitee under this Deed for any Expenses subsequently incurred by Indemnitee in connection with the defense thereof other than, subject to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reasonable costs of investigation or as otherwise provided below. Indemnitee shall have the right to employ Indemnitee’s own counsel in such Proceeding, but the fees and Expenses of such counsel incurred after notice from the Company of its assumption of the defense thereof shall be at the expense of Indemnitee and not subject to indemnification hereunder unless (a) the employment of counsel by Indemnitee has been authorized by the Company; (b) in the reasonable opinion of counsel to Indemnitee there is or may be a conflict of interest between the Company and Indemnitee in the conduct of the defense of such Proceeding; or (c) the Company shall not in fact have employed counsel to assume the defense of such action, in each of which cases, subject to </w:t>
      </w:r>
      <w:r>
        <w:rPr>
          <w:rFonts w:ascii="Arial" w:cs="Arial" w:eastAsia="Arial" w:hAnsi="Arial"/>
          <w:sz w:val="18"/>
          <w:szCs w:val="18"/>
          <w:u w:val="single" w:color="auto"/>
          <w:color w:val="auto"/>
        </w:rPr>
        <w:t>ARTICLE 10</w:t>
      </w:r>
      <w:r>
        <w:rPr>
          <w:rFonts w:ascii="Arial" w:cs="Arial" w:eastAsia="Arial" w:hAnsi="Arial"/>
          <w:sz w:val="18"/>
          <w:szCs w:val="18"/>
          <w:color w:val="auto"/>
        </w:rPr>
        <w:t>, the reasonable Expenses of counsel shall be at the expense of the Company.</w:t>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13.2 Neither the Company nor Indemnitee shall settle any claim without the prior written consent of the other (which shall not be unreasonably withheld, conditioned or delayed).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NOTICES</w:t>
      </w:r>
    </w:p>
    <w:p>
      <w:pPr>
        <w:spacing w:after="0" w:line="213" w:lineRule="exact"/>
        <w:rPr>
          <w:sz w:val="20"/>
          <w:szCs w:val="20"/>
          <w:color w:val="auto"/>
        </w:rPr>
      </w:pPr>
    </w:p>
    <w:p>
      <w:pPr>
        <w:jc w:val="both"/>
        <w:ind w:firstLine="621"/>
        <w:spacing w:after="0" w:line="274" w:lineRule="auto"/>
        <w:rPr>
          <w:sz w:val="20"/>
          <w:szCs w:val="20"/>
          <w:color w:val="auto"/>
        </w:rPr>
      </w:pPr>
      <w:r>
        <w:rPr>
          <w:rFonts w:ascii="Arial" w:cs="Arial" w:eastAsia="Arial" w:hAnsi="Arial"/>
          <w:sz w:val="18"/>
          <w:szCs w:val="18"/>
          <w:color w:val="auto"/>
        </w:rPr>
        <w:t xml:space="preserve">Any notice required to be given hereunder shall be in writing in the English language and shall be served by sending the same by prepaid recorded post, facsimile, email or by delivering the same by hand to the address of the Party or Parties in question as set out below (or such other address as such Party or Parties shall notify the other Parties of in accordance with this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Any notice sent by post as provided in this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shall be deemed to have been served five Business Days after dispatch and any notice sent by facsimile or email as provided in this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shall be deemed to have been served at the time of dispatch and in proving the service of the same it will be sufficient to prove in the case of a letter that such letter was properly stamped, addressed and placed in the post; and in the case of a facsimile or email that such facsimile or email was duly dispatched to a current facsimile number or email address of the addressee.</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Company </w:t>
      </w:r>
      <w:r>
        <w:rPr>
          <w:rFonts w:ascii="Arial" w:cs="Arial" w:eastAsia="Arial" w:hAnsi="Arial"/>
          <w:sz w:val="19"/>
          <w:szCs w:val="19"/>
          <w:color w:val="auto"/>
        </w:rPr>
        <w:t>-</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Weatherford International Ltd.</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Weatherford International, LLC</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2000 St. James Place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TX 77056</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General Counsel</w:t>
      </w:r>
    </w:p>
    <w:p>
      <w:pPr>
        <w:spacing w:after="0" w:line="6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LegalWeatherford@weatherford.com</w:t>
      </w:r>
    </w:p>
    <w:p>
      <w:pPr>
        <w:sectPr>
          <w:pgSz w:w="11900" w:h="16838" w:orient="portrait"/>
          <w:cols w:equalWidth="0" w:num="1">
            <w:col w:w="11420"/>
          </w:cols>
          <w:pgMar w:left="240" w:top="582" w:right="239" w:bottom="1440" w:gutter="0" w:footer="0" w:header="0"/>
        </w:sectPr>
      </w:pPr>
    </w:p>
    <w:bookmarkStart w:id="61" w:name="page62"/>
    <w:bookmarkEnd w:id="61"/>
    <w:p>
      <w:pPr>
        <w:ind w:left="520"/>
        <w:spacing w:after="0"/>
        <w:rPr>
          <w:sz w:val="20"/>
          <w:szCs w:val="20"/>
          <w:color w:val="auto"/>
        </w:rPr>
      </w:pPr>
      <w:r>
        <w:rPr>
          <w:rFonts w:ascii="Arial" w:cs="Arial" w:eastAsia="Arial" w:hAnsi="Arial"/>
          <w:sz w:val="16"/>
          <w:szCs w:val="16"/>
          <w:color w:val="auto"/>
        </w:rPr>
        <w:t>Indemnitee -</w:t>
      </w:r>
    </w:p>
    <w:p>
      <w:pPr>
        <w:sectPr>
          <w:pgSz w:w="11900" w:h="16838" w:orient="portrait"/>
          <w:cols w:equalWidth="0" w:num="1">
            <w:col w:w="11420"/>
          </w:cols>
          <w:pgMar w:left="240" w:top="976" w:right="239" w:bottom="1440" w:gutter="0" w:footer="0" w:header="0"/>
        </w:sectPr>
      </w:pP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Karl Blanchard</w:t>
      </w:r>
    </w:p>
    <w:p>
      <w:pPr>
        <w:spacing w:after="0" w:line="75" w:lineRule="exact"/>
        <w:rPr>
          <w:sz w:val="20"/>
          <w:szCs w:val="20"/>
          <w:color w:val="auto"/>
        </w:rPr>
      </w:pPr>
    </w:p>
    <w:p>
      <w:pPr>
        <w:sectPr>
          <w:pgSz w:w="11900" w:h="16838" w:orient="portrait"/>
          <w:cols w:equalWidth="0" w:num="2">
            <w:col w:w="1000" w:space="560"/>
            <w:col w:w="9860"/>
          </w:cols>
          <w:pgMar w:left="240" w:top="976" w:right="23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9172 Roundtree Drive</w:t>
      </w:r>
    </w:p>
    <w:p>
      <w:pPr>
        <w:spacing w:after="0" w:line="86" w:lineRule="exact"/>
        <w:rPr>
          <w:sz w:val="20"/>
          <w:szCs w:val="20"/>
          <w:color w:val="auto"/>
        </w:rPr>
      </w:pPr>
    </w:p>
    <w:p>
      <w:pPr>
        <w:sectPr>
          <w:pgSz w:w="11900" w:h="16838" w:orient="portrait"/>
          <w:cols w:equalWidth="0" w:num="2">
            <w:col w:w="1160" w:space="400"/>
            <w:col w:w="9860"/>
          </w:cols>
          <w:pgMar w:left="240" w:top="976" w:right="239" w:bottom="1440" w:gutter="0" w:footer="0" w:header="0"/>
          <w:type w:val="continuous"/>
        </w:sectPr>
      </w:pPr>
    </w:p>
    <w:p>
      <w:pPr>
        <w:ind w:left="1560"/>
        <w:spacing w:after="0"/>
        <w:rPr>
          <w:sz w:val="20"/>
          <w:szCs w:val="20"/>
          <w:color w:val="auto"/>
        </w:rPr>
      </w:pPr>
      <w:r>
        <w:rPr>
          <w:rFonts w:ascii="Arial" w:cs="Arial" w:eastAsia="Arial" w:hAnsi="Arial"/>
          <w:sz w:val="16"/>
          <w:szCs w:val="16"/>
          <w:color w:val="auto"/>
        </w:rPr>
        <w:t>Highlands Ranch, CO 80126</w:t>
      </w:r>
    </w:p>
    <w:p>
      <w:pPr>
        <w:sectPr>
          <w:pgSz w:w="11900" w:h="16838" w:orient="portrait"/>
          <w:cols w:equalWidth="0" w:num="1">
            <w:col w:w="11420"/>
          </w:cols>
          <w:pgMar w:left="240" w:top="976" w:right="23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15.1 Notwithstanding the expiration or termination of this Deed howsoever arising, such expiration or termination shall not operate to affect such of the provisions hereof as are expressed or intended to remain in full force and effect.</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15.2 If any of the sections, conditions, covenants or restrictions of this Deed or any deed or document emanating from it shall be found to be void but would be valid if some part thereof were deleted or modified, then such section, condition, covenant or restriction shall apply with such deletion or modification as may be necessary to make it valid and effective so as to give effect as nearly as possible to the intent manifested by such section, condition, covenant or restriction.</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15.3 This Deed shall be binding upon the Company and its successors and assigns (including any transferee of all or substantially all of its assets and any successor or resulting company by any Corporate Transaction or otherwise) and shall inure to the benefit of Indemnitee and Indemnitee’s spouse, assigns, heirs, estate, devises, executors, administrators or other legal representatives.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15.4 This Deed constitutes the entire agreement between the Parties relating to the matters covered hereby;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Deed shall not supersede any other indemnification agreement between Indemnitee and Weatherford Ireland or any Group Company (other than the Company) or any indemnification obligation of Weatherford Ireland or any Group Company to Indemnitee.</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15.5 No provision in this Deed may be amended unless such amendment is agreed to in writing and signed by Indemnitee and by a duly authorized officer of the Company. No waiver by either Party of any breach by the other Party of any condition or provision of this Deed to be performed by such other Party shall be deemed a waiver of any other condition or provision hereof (whether similar or dissimilar) nor shall such waiver constitute a continuing waiver. Any waiver must be in writing and signed by Indemnitee or a duly authorized officer of the Company, as the case may be.</w:t>
      </w:r>
    </w:p>
    <w:p>
      <w:pPr>
        <w:spacing w:after="0" w:line="208"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16"/>
          <w:szCs w:val="16"/>
          <w:color w:val="auto"/>
        </w:rPr>
        <w:t>The headings in this Deed are inserted for convenience only and shall not affect the construction of this Deed.</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15.7 This Deed may be executed in counterparts each of which when executed and delivered shall constitute an original but all such counterparts together shall constitute one and the same instrument.</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15.8 The terms and conditions of this Deed and the rights of the parties hereunder shall be governed by and construed in all respects in accordance with the laws of the Islands of Bermuda. The Parties to this Deed hereby irrevocably agree that the courts of Bermuda shall have non-exclusive jurisdiction in respect of any dispute, suit, action, arbitration or proceedings (“</w:t>
      </w:r>
      <w:r>
        <w:rPr>
          <w:rFonts w:ascii="Arial" w:cs="Arial" w:eastAsia="Arial" w:hAnsi="Arial"/>
          <w:sz w:val="19"/>
          <w:szCs w:val="19"/>
          <w:b w:val="1"/>
          <w:bCs w:val="1"/>
          <w:color w:val="auto"/>
        </w:rPr>
        <w:t>Deed Proceedings</w:t>
      </w:r>
      <w:r>
        <w:rPr>
          <w:rFonts w:ascii="Arial" w:cs="Arial" w:eastAsia="Arial" w:hAnsi="Arial"/>
          <w:sz w:val="19"/>
          <w:szCs w:val="19"/>
          <w:color w:val="auto"/>
        </w:rPr>
        <w:t>”) which may arise out of or in connection with this Deed and waive any objection to Deed Proceedings in the courts of Bermuda on the grounds of venue</w:t>
      </w:r>
    </w:p>
    <w:p>
      <w:pPr>
        <w:sectPr>
          <w:pgSz w:w="11900" w:h="16838" w:orient="portrait"/>
          <w:cols w:equalWidth="0" w:num="1">
            <w:col w:w="11420"/>
          </w:cols>
          <w:pgMar w:left="240" w:top="976" w:right="239" w:bottom="1440" w:gutter="0" w:footer="0" w:header="0"/>
          <w:type w:val="continuous"/>
        </w:sectPr>
      </w:pPr>
    </w:p>
    <w:bookmarkStart w:id="62" w:name="page63"/>
    <w:bookmarkEnd w:id="62"/>
    <w:p>
      <w:pPr>
        <w:jc w:val="both"/>
        <w:spacing w:after="0" w:line="250" w:lineRule="auto"/>
        <w:rPr>
          <w:sz w:val="20"/>
          <w:szCs w:val="20"/>
          <w:color w:val="auto"/>
        </w:rPr>
      </w:pPr>
      <w:r>
        <w:rPr>
          <w:rFonts w:ascii="Arial" w:cs="Arial" w:eastAsia="Arial" w:hAnsi="Arial"/>
          <w:sz w:val="20"/>
          <w:szCs w:val="20"/>
          <w:color w:val="auto"/>
        </w:rPr>
        <w:t xml:space="preserve">or on the basis that the Deed Proceedings have been brought in an inconvenient forum;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matters that are referred to arbitration pursuant to </w:t>
      </w:r>
      <w:r>
        <w:rPr>
          <w:rFonts w:ascii="Arial" w:cs="Arial" w:eastAsia="Arial" w:hAnsi="Arial"/>
          <w:sz w:val="20"/>
          <w:szCs w:val="20"/>
          <w:u w:val="single" w:color="auto"/>
          <w:color w:val="auto"/>
        </w:rPr>
        <w:t>Section 5.3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7.2</w:t>
      </w:r>
      <w:r>
        <w:rPr>
          <w:rFonts w:ascii="Arial" w:cs="Arial" w:eastAsia="Arial" w:hAnsi="Arial"/>
          <w:sz w:val="20"/>
          <w:szCs w:val="20"/>
          <w:color w:val="auto"/>
        </w:rPr>
        <w:t xml:space="preserve"> shall be exclusively determined by such arbitral proceedings which shall be conducted by a single arbitrator, in the English language and in Houston, Texas, USA.</w:t>
      </w:r>
    </w:p>
    <w:p>
      <w:pPr>
        <w:spacing w:after="0" w:line="20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15.9 All payments made by the Company to Indemnitee hereunder shall be deemed to have been made in the ordinary course of business of the Company, and shall not be deemed to be extraordinary payments.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15.10 The Company expressly confirms and agrees that it has entered into this Deed and assumed the obligations imposed on it hereby in order to induce Indemnitee to serve, continue to serve and to take on additional service for or on behalf of Weatherford Ireland, and the Company acknowledges that Indemnitee is relying upon this Deed in serving, continuing to serve and taking on additional service for or on behalf of Weatherford Ireland.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left blank)</w:t>
      </w:r>
    </w:p>
    <w:p>
      <w:pPr>
        <w:sectPr>
          <w:pgSz w:w="11900" w:h="16838" w:orient="portrait"/>
          <w:cols w:equalWidth="0" w:num="1">
            <w:col w:w="11420"/>
          </w:cols>
          <w:pgMar w:left="240" w:top="582" w:right="239" w:bottom="1440" w:gutter="0" w:footer="0" w:header="0"/>
        </w:sectPr>
      </w:pPr>
    </w:p>
    <w:bookmarkStart w:id="63" w:name="page64"/>
    <w:bookmarkEnd w:id="63"/>
    <w:p>
      <w:pPr>
        <w:ind w:firstLine="621"/>
        <w:spacing w:after="0" w:line="260" w:lineRule="auto"/>
        <w:rPr>
          <w:sz w:val="20"/>
          <w:szCs w:val="20"/>
          <w:color w:val="auto"/>
        </w:rPr>
      </w:pPr>
      <w:r>
        <w:rPr>
          <w:rFonts w:ascii="Arial" w:cs="Arial" w:eastAsia="Arial" w:hAnsi="Arial"/>
          <w:sz w:val="20"/>
          <w:szCs w:val="20"/>
          <w:color w:val="auto"/>
        </w:rPr>
        <w:t>IN WITNESS WHEREOF, the undersigned, intending to be bound hereby, have duly executed this Deed as deed and delivered it on the date first written above.</w:t>
      </w:r>
    </w:p>
    <w:p>
      <w:pPr>
        <w:sectPr>
          <w:pgSz w:w="11900" w:h="16838" w:orient="portrait"/>
          <w:cols w:equalWidth="0" w:num="1">
            <w:col w:w="11420"/>
          </w:cols>
          <w:pgMar w:left="240" w:top="10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20"/>
        <w:spacing w:after="0" w:line="303" w:lineRule="auto"/>
        <w:rPr>
          <w:sz w:val="20"/>
          <w:szCs w:val="20"/>
          <w:color w:val="auto"/>
        </w:rPr>
      </w:pPr>
      <w:r>
        <w:rPr>
          <w:rFonts w:ascii="Arial" w:cs="Arial" w:eastAsia="Arial" w:hAnsi="Arial"/>
          <w:sz w:val="20"/>
          <w:szCs w:val="20"/>
          <w:color w:val="auto"/>
        </w:rPr>
        <w:t>SIGNED as a DEED by Tan Kah Huan authorized signatory for Weatherford International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1" w:lineRule="exact"/>
        <w:rPr>
          <w:sz w:val="20"/>
          <w:szCs w:val="20"/>
          <w:color w:val="auto"/>
        </w:rPr>
      </w:pPr>
    </w:p>
    <w:p>
      <w:pPr>
        <w:spacing w:after="0"/>
        <w:tabs>
          <w:tab w:leader="none" w:pos="49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6"/>
          <w:szCs w:val="16"/>
          <w:u w:val="single" w:color="auto"/>
          <w:color w:val="auto"/>
        </w:rPr>
        <w:t>/s/ Tan Kah Huan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87" w:lineRule="exact"/>
        <w:rPr>
          <w:sz w:val="20"/>
          <w:szCs w:val="20"/>
          <w:color w:val="auto"/>
        </w:rPr>
      </w:pPr>
    </w:p>
    <w:p>
      <w:pPr>
        <w:sectPr>
          <w:pgSz w:w="11900" w:h="16838" w:orient="portrait"/>
          <w:cols w:equalWidth="0" w:num="2">
            <w:col w:w="3440" w:space="620"/>
            <w:col w:w="7360"/>
          </w:cols>
          <w:pgMar w:left="240" w:top="1055" w:right="239" w:bottom="1440" w:gutter="0" w:footer="0" w:header="0"/>
          <w:type w:val="continuous"/>
        </w:sectPr>
      </w:pPr>
    </w:p>
    <w:p>
      <w:pPr>
        <w:spacing w:after="0" w:line="97"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233680</wp:posOffset>
            </wp:positionV>
            <wp:extent cx="18611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358"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27305</wp:posOffset>
            </wp:positionV>
            <wp:extent cx="18611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37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456565</wp:posOffset>
            </wp:positionV>
            <wp:extent cx="18611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861185" cy="88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241935</wp:posOffset>
            </wp:positionV>
            <wp:extent cx="18611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861185" cy="88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27305</wp:posOffset>
            </wp:positionV>
            <wp:extent cx="18611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020" w:type="dxa"/>
        <w:tblCellMar>
          <w:top w:w="0" w:type="dxa"/>
          <w:left w:w="0" w:type="dxa"/>
          <w:bottom w:w="0" w:type="dxa"/>
          <w:right w:w="0" w:type="dxa"/>
        </w:tblCellMar>
      </w:tblPr>
      <w:tr>
        <w:trPr>
          <w:trHeight w:val="250"/>
        </w:trPr>
        <w:tc>
          <w:tcPr>
            <w:tcW w:w="2340" w:type="dxa"/>
            <w:vAlign w:val="bottom"/>
            <w:gridSpan w:val="2"/>
          </w:tcPr>
          <w:p>
            <w:pPr>
              <w:spacing w:after="0"/>
              <w:rPr>
                <w:sz w:val="20"/>
                <w:szCs w:val="20"/>
                <w:color w:val="auto"/>
              </w:rPr>
            </w:pPr>
            <w:r>
              <w:rPr>
                <w:rFonts w:ascii="Arial" w:cs="Arial" w:eastAsia="Arial" w:hAnsi="Arial"/>
                <w:sz w:val="20"/>
                <w:szCs w:val="20"/>
                <w:color w:val="auto"/>
              </w:rPr>
              <w:t>SIGNED as a DEED</w:t>
            </w:r>
          </w:p>
        </w:tc>
        <w:tc>
          <w:tcPr>
            <w:tcW w:w="14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41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9"/>
        </w:trPr>
        <w:tc>
          <w:tcPr>
            <w:tcW w:w="2340" w:type="dxa"/>
            <w:vAlign w:val="bottom"/>
            <w:gridSpan w:val="2"/>
          </w:tcPr>
          <w:p>
            <w:pPr>
              <w:spacing w:after="0"/>
              <w:rPr>
                <w:sz w:val="20"/>
                <w:szCs w:val="20"/>
                <w:color w:val="auto"/>
              </w:rPr>
            </w:pPr>
            <w:r>
              <w:rPr>
                <w:rFonts w:ascii="Arial" w:cs="Arial" w:eastAsia="Arial" w:hAnsi="Arial"/>
                <w:sz w:val="20"/>
                <w:szCs w:val="20"/>
                <w:color w:val="auto"/>
              </w:rPr>
              <w:t>by Karl Blanchard</w:t>
            </w:r>
          </w:p>
        </w:tc>
        <w:tc>
          <w:tcPr>
            <w:tcW w:w="14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41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1"/>
              </w:rPr>
              <w:t>/s/ Karl Blanchard</w:t>
            </w:r>
          </w:p>
        </w:tc>
      </w:tr>
      <w:tr>
        <w:trPr>
          <w:trHeight w:val="632"/>
        </w:trPr>
        <w:tc>
          <w:tcPr>
            <w:tcW w:w="2340" w:type="dxa"/>
            <w:vAlign w:val="bottom"/>
            <w:gridSpan w:val="2"/>
          </w:tcPr>
          <w:p>
            <w:pPr>
              <w:spacing w:after="0"/>
              <w:rPr>
                <w:sz w:val="20"/>
                <w:szCs w:val="20"/>
                <w:color w:val="auto"/>
              </w:rPr>
            </w:pPr>
            <w:r>
              <w:rPr>
                <w:rFonts w:ascii="Arial" w:cs="Arial" w:eastAsia="Arial" w:hAnsi="Arial"/>
                <w:sz w:val="20"/>
                <w:szCs w:val="20"/>
                <w:color w:val="auto"/>
              </w:rPr>
              <w:t>in the presence of:</w:t>
            </w:r>
          </w:p>
        </w:tc>
        <w:tc>
          <w:tcPr>
            <w:tcW w:w="14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7"/>
        </w:trPr>
        <w:tc>
          <w:tcPr>
            <w:tcW w:w="2340" w:type="dxa"/>
            <w:vAlign w:val="bottom"/>
            <w:gridSpan w:val="2"/>
          </w:tcPr>
          <w:p>
            <w:pPr>
              <w:spacing w:after="0"/>
              <w:rPr>
                <w:sz w:val="24"/>
                <w:szCs w:val="24"/>
                <w:color w:val="auto"/>
              </w:rPr>
            </w:pPr>
          </w:p>
        </w:tc>
        <w:tc>
          <w:tcPr>
            <w:tcW w:w="14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1"/>
        </w:trPr>
        <w:tc>
          <w:tcPr>
            <w:tcW w:w="900" w:type="dxa"/>
            <w:vAlign w:val="bottom"/>
          </w:tcPr>
          <w:p>
            <w:pPr>
              <w:spacing w:after="0"/>
              <w:rPr>
                <w:sz w:val="20"/>
                <w:szCs w:val="20"/>
                <w:color w:val="auto"/>
              </w:rPr>
            </w:pPr>
            <w:r>
              <w:rPr>
                <w:rFonts w:ascii="Arial" w:cs="Arial" w:eastAsia="Arial" w:hAnsi="Arial"/>
                <w:sz w:val="20"/>
                <w:szCs w:val="20"/>
                <w:color w:val="auto"/>
              </w:rPr>
              <w:t>Witness:</w:t>
            </w:r>
          </w:p>
        </w:tc>
        <w:tc>
          <w:tcPr>
            <w:tcW w:w="1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4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
        </w:trPr>
        <w:tc>
          <w:tcPr>
            <w:tcW w:w="9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578"/>
        </w:trPr>
        <w:tc>
          <w:tcPr>
            <w:tcW w:w="2340" w:type="dxa"/>
            <w:vAlign w:val="bottom"/>
            <w:gridSpan w:val="2"/>
          </w:tcPr>
          <w:p>
            <w:pPr>
              <w:spacing w:after="0"/>
              <w:rPr>
                <w:sz w:val="20"/>
                <w:szCs w:val="20"/>
                <w:color w:val="auto"/>
              </w:rPr>
            </w:pPr>
            <w:r>
              <w:rPr>
                <w:rFonts w:ascii="Arial" w:cs="Arial" w:eastAsia="Arial" w:hAnsi="Arial"/>
                <w:sz w:val="20"/>
                <w:szCs w:val="20"/>
                <w:color w:val="auto"/>
              </w:rPr>
              <w:t>Address:</w:t>
            </w:r>
          </w:p>
        </w:tc>
        <w:tc>
          <w:tcPr>
            <w:tcW w:w="14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
        </w:trPr>
        <w:tc>
          <w:tcPr>
            <w:tcW w:w="9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318"/>
        </w:trPr>
        <w:tc>
          <w:tcPr>
            <w:tcW w:w="9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8"/>
        </w:trPr>
        <w:tc>
          <w:tcPr>
            <w:tcW w:w="9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1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05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Bermuda Indemnity Agreeement]</w:t>
      </w:r>
    </w:p>
    <w:p>
      <w:pPr>
        <w:sectPr>
          <w:pgSz w:w="11900" w:h="16838" w:orient="portrait"/>
          <w:cols w:equalWidth="0" w:num="1">
            <w:col w:w="11420"/>
          </w:cols>
          <w:pgMar w:left="240" w:top="1055" w:right="239" w:bottom="1440" w:gutter="0" w:footer="0" w:header="0"/>
          <w:type w:val="continuous"/>
        </w:sectPr>
      </w:pPr>
    </w:p>
    <w:bookmarkStart w:id="64" w:name="page65"/>
    <w:bookmarkEnd w:id="6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rFonts w:ascii="Arial" w:cs="Arial" w:eastAsia="Arial" w:hAnsi="Arial"/>
          <w:sz w:val="20"/>
          <w:szCs w:val="20"/>
          <w:b w:val="1"/>
          <w:bCs w:val="1"/>
          <w:color w:val="auto"/>
        </w:rPr>
        <w:t>EXHIBIT 10.5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OMNIBUS INCENTIVE PLAN</w:t>
      </w:r>
    </w:p>
    <w:p>
      <w:pPr>
        <w:jc w:val="center"/>
        <w:spacing w:after="0"/>
        <w:rPr>
          <w:sz w:val="20"/>
          <w:szCs w:val="20"/>
          <w:color w:val="auto"/>
        </w:rPr>
      </w:pPr>
      <w:r>
        <w:rPr>
          <w:rFonts w:ascii="Arial" w:cs="Arial" w:eastAsia="Arial" w:hAnsi="Arial"/>
          <w:sz w:val="20"/>
          <w:szCs w:val="20"/>
          <w:b w:val="1"/>
          <w:bCs w:val="1"/>
          <w:color w:val="auto"/>
        </w:rPr>
        <w:t>(as amended and restated on June 17, 2014)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SHARE UNITS AWARD AGREEMENT</w:t>
      </w:r>
    </w:p>
    <w:p>
      <w:pPr>
        <w:spacing w:after="0" w:line="200" w:lineRule="exact"/>
        <w:rPr>
          <w:sz w:val="20"/>
          <w:szCs w:val="20"/>
          <w:color w:val="auto"/>
        </w:rPr>
      </w:pPr>
    </w:p>
    <w:p>
      <w:pPr>
        <w:spacing w:after="0" w:line="23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 xml:space="preserve">This Restricted Share UnitS Award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by and between Weatherford International plc,</w:t>
      </w:r>
      <w:r>
        <w:rPr>
          <w:rFonts w:ascii="Arial" w:cs="Arial" w:eastAsia="Arial" w:hAnsi="Arial"/>
          <w:sz w:val="18"/>
          <w:szCs w:val="18"/>
          <w:b w:val="1"/>
          <w:bCs w:val="1"/>
          <w:color w:val="auto"/>
        </w:rPr>
        <w:t xml:space="preserve"> </w:t>
      </w:r>
      <w:r>
        <w:rPr>
          <w:rFonts w:ascii="Arial" w:cs="Arial" w:eastAsia="Arial" w:hAnsi="Arial"/>
          <w:sz w:val="18"/>
          <w:szCs w:val="18"/>
          <w:color w:val="auto"/>
        </w:rPr>
        <w:t>an Irish public limited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who has signed or electronically accepted this Agreement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xml:space="preserve">”), effective as of </w:t>
      </w:r>
      <w:r>
        <w:rPr>
          <w:rFonts w:ascii="Arial" w:cs="Arial" w:eastAsia="Arial" w:hAnsi="Arial"/>
          <w:sz w:val="18"/>
          <w:szCs w:val="18"/>
          <w:b w:val="1"/>
          <w:bCs w:val="1"/>
          <w:color w:val="auto"/>
        </w:rPr>
        <w:t>__________ ___</w:t>
      </w:r>
      <w:r>
        <w:rPr>
          <w:rFonts w:ascii="Arial" w:cs="Arial" w:eastAsia="Arial" w:hAnsi="Arial"/>
          <w:sz w:val="18"/>
          <w:szCs w:val="18"/>
          <w:color w:val="auto"/>
        </w:rPr>
        <w:t>, 20___, pursuant to the Weatherford International plc 2010 Omnibus Incentive Plan, as amended and restated</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on June 17, 2014, and further amended on June 16, 2015 and June 15, 2017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which is incorporated by reference herein in its entirety.</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desires to grant to the Holder restricted share units of the Company (the “</w:t>
      </w:r>
      <w:r>
        <w:rPr>
          <w:rFonts w:ascii="Arial" w:cs="Arial" w:eastAsia="Arial" w:hAnsi="Arial"/>
          <w:sz w:val="20"/>
          <w:szCs w:val="20"/>
          <w:b w:val="1"/>
          <w:bCs w:val="1"/>
          <w:i w:val="1"/>
          <w:iCs w:val="1"/>
          <w:color w:val="auto"/>
        </w:rPr>
        <w:t>Units</w:t>
      </w:r>
      <w:r>
        <w:rPr>
          <w:rFonts w:ascii="Arial" w:cs="Arial" w:eastAsia="Arial" w:hAnsi="Arial"/>
          <w:sz w:val="20"/>
          <w:szCs w:val="20"/>
          <w:color w:val="auto"/>
        </w:rPr>
        <w:t>”) under the Plan, subject to the terms</w:t>
      </w:r>
      <w:r>
        <w:rPr>
          <w:rFonts w:ascii="Arial" w:cs="Arial" w:eastAsia="Arial" w:hAnsi="Arial"/>
          <w:sz w:val="20"/>
          <w:szCs w:val="20"/>
          <w:b w:val="1"/>
          <w:bCs w:val="1"/>
          <w:color w:val="auto"/>
        </w:rPr>
        <w:t xml:space="preserve"> </w:t>
      </w:r>
      <w:r>
        <w:rPr>
          <w:rFonts w:ascii="Arial" w:cs="Arial" w:eastAsia="Arial" w:hAnsi="Arial"/>
          <w:sz w:val="20"/>
          <w:szCs w:val="20"/>
          <w:color w:val="auto"/>
        </w:rPr>
        <w:t>and conditions of this Agreement and the Plan; and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Holder desires to have the opportunity to hold the Units subject to the terms and conditions of this Agreement and the Plan;</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mutual covenants and agreements contained herein, and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are hereby acknowledged, the parties hereto, intending to be legally bound hereby, agree as follows:</w:t>
      </w:r>
    </w:p>
    <w:p>
      <w:pPr>
        <w:spacing w:after="0" w:line="178" w:lineRule="exact"/>
        <w:rPr>
          <w:sz w:val="20"/>
          <w:szCs w:val="20"/>
          <w:color w:val="auto"/>
        </w:rPr>
      </w:pPr>
    </w:p>
    <w:p>
      <w:pPr>
        <w:jc w:val="both"/>
        <w:ind w:left="660" w:hanging="652"/>
        <w:spacing w:after="0" w:line="273"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Forfeiture Restrictions</w:t>
      </w:r>
      <w:r>
        <w:rPr>
          <w:rFonts w:ascii="Arial" w:cs="Arial" w:eastAsia="Arial" w:hAnsi="Arial"/>
          <w:sz w:val="19"/>
          <w:szCs w:val="19"/>
          <w:color w:val="auto"/>
        </w:rPr>
        <w:t>” shall mean any prohibitions and restrictions set forth herein or</w:t>
      </w:r>
      <w:r>
        <w:rPr>
          <w:rFonts w:ascii="Arial" w:cs="Arial" w:eastAsia="Arial" w:hAnsi="Arial"/>
          <w:sz w:val="19"/>
          <w:szCs w:val="19"/>
          <w:b w:val="1"/>
          <w:bCs w:val="1"/>
          <w:color w:val="auto"/>
        </w:rPr>
        <w:t xml:space="preserve"> </w:t>
      </w:r>
      <w:r>
        <w:rPr>
          <w:rFonts w:ascii="Arial" w:cs="Arial" w:eastAsia="Arial" w:hAnsi="Arial"/>
          <w:sz w:val="19"/>
          <w:szCs w:val="19"/>
          <w:color w:val="auto"/>
        </w:rPr>
        <w:t>in the Plan with respect to the sale or other disposition of the Units and the obligation to forfeit such Units to the Company. Capitalized terms not otherwise defined in this Agreement shall have the meanings given to such terms in the Plan.</w:t>
      </w:r>
    </w:p>
    <w:p>
      <w:pPr>
        <w:spacing w:after="0" w:line="172" w:lineRule="exact"/>
        <w:rPr>
          <w:rFonts w:ascii="Arial" w:cs="Arial" w:eastAsia="Arial" w:hAnsi="Arial"/>
          <w:sz w:val="17"/>
          <w:szCs w:val="17"/>
          <w:color w:val="auto"/>
        </w:rPr>
      </w:pPr>
    </w:p>
    <w:p>
      <w:pPr>
        <w:jc w:val="both"/>
        <w:ind w:left="660" w:hanging="652"/>
        <w:spacing w:after="0" w:line="25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20"/>
          <w:szCs w:val="20"/>
          <w:b w:val="1"/>
          <w:bCs w:val="1"/>
          <w:u w:val="single" w:color="auto"/>
          <w:color w:val="auto"/>
        </w:rPr>
        <w:t>Grant of Units</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as of the date of this Agreement and subject to the terms and conditions of this Agreement and the Plan,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hereby grants to the Holder ___________ Units. The Company and the Holder agree that this Agreement (including any country-specific appendix thereto) shall complete the terms of the Units.</w:t>
      </w:r>
    </w:p>
    <w:p>
      <w:pPr>
        <w:spacing w:after="0" w:line="191" w:lineRule="exact"/>
        <w:rPr>
          <w:rFonts w:ascii="Arial" w:cs="Arial" w:eastAsia="Arial" w:hAnsi="Arial"/>
          <w:sz w:val="18"/>
          <w:szCs w:val="18"/>
          <w:color w:val="auto"/>
        </w:rPr>
      </w:pPr>
    </w:p>
    <w:p>
      <w:pPr>
        <w:jc w:val="both"/>
        <w:ind w:left="660" w:hanging="652"/>
        <w:spacing w:after="0" w:line="24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20"/>
          <w:szCs w:val="20"/>
          <w:b w:val="1"/>
          <w:bCs w:val="1"/>
          <w:u w:val="single" w:color="auto"/>
          <w:color w:val="auto"/>
        </w:rPr>
        <w:t>Transfer Restrictions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specified herein or in the Plan, the Units may not be sold, assigned, pledged, exchanged,</w:t>
      </w:r>
      <w:r>
        <w:rPr>
          <w:rFonts w:ascii="Arial" w:cs="Arial" w:eastAsia="Arial" w:hAnsi="Arial"/>
          <w:sz w:val="20"/>
          <w:szCs w:val="20"/>
          <w:b w:val="1"/>
          <w:bCs w:val="1"/>
          <w:color w:val="auto"/>
        </w:rPr>
        <w:t xml:space="preserve"> </w:t>
      </w:r>
      <w:r>
        <w:rPr>
          <w:rFonts w:ascii="Arial" w:cs="Arial" w:eastAsia="Arial" w:hAnsi="Arial"/>
          <w:sz w:val="20"/>
          <w:szCs w:val="20"/>
          <w:color w:val="auto"/>
        </w:rPr>
        <w:t>hypothecated or otherwise transferred, encumbered or disposed of. Any such attempted sale, assignment, pledge, exchange, hypothecation, transfer, encumbrance or disposition in violation of this Agreement or the Plan shall be void, and the Company shall not be bound thereby.</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20"/>
          <w:szCs w:val="20"/>
          <w:b w:val="1"/>
          <w:bCs w:val="1"/>
          <w:u w:val="single" w:color="auto"/>
          <w:color w:val="auto"/>
        </w:rPr>
        <w:t>Vesting or Forfeiture</w:t>
      </w:r>
      <w:r>
        <w:rPr>
          <w:rFonts w:ascii="Arial" w:cs="Arial" w:eastAsia="Arial" w:hAnsi="Arial"/>
          <w:sz w:val="20"/>
          <w:szCs w:val="20"/>
          <w:b w:val="1"/>
          <w:bCs w:val="1"/>
          <w:color w:val="auto"/>
        </w:rPr>
        <w:t>.</w:t>
      </w:r>
    </w:p>
    <w:p>
      <w:pPr>
        <w:spacing w:after="0" w:line="235" w:lineRule="exact"/>
        <w:rPr>
          <w:sz w:val="20"/>
          <w:szCs w:val="20"/>
          <w:color w:val="auto"/>
        </w:rPr>
      </w:pPr>
    </w:p>
    <w:p>
      <w:pPr>
        <w:jc w:val="both"/>
        <w:ind w:left="1300" w:hanging="644"/>
        <w:spacing w:after="0" w:line="291"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8"/>
          <w:szCs w:val="18"/>
          <w:color w:val="auto"/>
        </w:rPr>
        <w:t>Except as specified otherwise in this Section 4, the Units shall be subject to Forfeiture Restrictions. The Forfeiture Restrictions shall lapse as to the Units that are granted hereby in accordance with the following schedule (each such date being a “</w:t>
      </w:r>
      <w:r>
        <w:rPr>
          <w:rFonts w:ascii="Arial" w:cs="Arial" w:eastAsia="Arial" w:hAnsi="Arial"/>
          <w:sz w:val="18"/>
          <w:szCs w:val="18"/>
          <w:b w:val="1"/>
          <w:bCs w:val="1"/>
          <w:i w:val="1"/>
          <w:iCs w:val="1"/>
          <w:color w:val="auto"/>
        </w:rPr>
        <w:t>Vesting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provided that the Units have not been forfeited to the Company prior to such date pursuant to Section 4(c).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98" w:lineRule="exact"/>
        <w:rPr>
          <w:sz w:val="20"/>
          <w:szCs w:val="20"/>
          <w:color w:val="auto"/>
        </w:rPr>
      </w:pPr>
    </w:p>
    <w:p>
      <w:pPr>
        <w:ind w:left="7500"/>
        <w:spacing w:after="0"/>
        <w:rPr>
          <w:sz w:val="20"/>
          <w:szCs w:val="20"/>
          <w:color w:val="auto"/>
        </w:rPr>
      </w:pPr>
      <w:r>
        <w:rPr>
          <w:rFonts w:ascii="Arial" w:cs="Arial" w:eastAsia="Arial" w:hAnsi="Arial"/>
          <w:sz w:val="16"/>
          <w:szCs w:val="16"/>
          <w:color w:val="auto"/>
        </w:rPr>
        <w:t>2010 Plan; RSU Director Agreement; CIC-Retirement</w:t>
      </w:r>
    </w:p>
    <w:p>
      <w:pPr>
        <w:sectPr>
          <w:pgSz w:w="11900" w:h="16838" w:orient="portrait"/>
          <w:cols w:equalWidth="0" w:num="1">
            <w:col w:w="11420"/>
          </w:cols>
          <w:pgMar w:left="240" w:top="1224" w:right="239" w:bottom="1440" w:gutter="0" w:footer="0" w:header="0"/>
        </w:sectPr>
      </w:pPr>
    </w:p>
    <w:bookmarkStart w:id="66" w:name="page67"/>
    <w:bookmarkEnd w:id="66"/>
    <w:tbl>
      <w:tblPr>
        <w:tblLayout w:type="fixed"/>
        <w:tblInd w:w="250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640" w:type="dxa"/>
            <w:vAlign w:val="bottom"/>
            <w:gridSpan w:val="2"/>
          </w:tcPr>
          <w:p>
            <w:pPr>
              <w:jc w:val="center"/>
              <w:ind w:right="640"/>
              <w:spacing w:after="0"/>
              <w:rPr>
                <w:sz w:val="20"/>
                <w:szCs w:val="20"/>
                <w:color w:val="auto"/>
              </w:rPr>
            </w:pPr>
            <w:r>
              <w:rPr>
                <w:rFonts w:ascii="Arial" w:cs="Arial" w:eastAsia="Arial" w:hAnsi="Arial"/>
                <w:sz w:val="20"/>
                <w:szCs w:val="20"/>
                <w:b w:val="1"/>
                <w:bCs w:val="1"/>
                <w:color w:val="auto"/>
                <w:w w:val="91"/>
              </w:rPr>
              <w:t>Number of</w:t>
            </w:r>
          </w:p>
        </w:tc>
      </w:tr>
      <w:tr>
        <w:trPr>
          <w:trHeight w:val="230"/>
        </w:trPr>
        <w:tc>
          <w:tcPr>
            <w:tcW w:w="1060" w:type="dxa"/>
            <w:vAlign w:val="bottom"/>
          </w:tcPr>
          <w:p>
            <w:pPr>
              <w:spacing w:after="0"/>
              <w:rPr>
                <w:sz w:val="19"/>
                <w:szCs w:val="19"/>
                <w:color w:val="auto"/>
              </w:rPr>
            </w:pPr>
          </w:p>
        </w:tc>
        <w:tc>
          <w:tcPr>
            <w:tcW w:w="6320" w:type="dxa"/>
            <w:vAlign w:val="bottom"/>
            <w:gridSpan w:val="3"/>
          </w:tcPr>
          <w:p>
            <w:pPr>
              <w:jc w:val="center"/>
              <w:ind w:left="3941"/>
              <w:spacing w:after="0"/>
              <w:rPr>
                <w:sz w:val="20"/>
                <w:szCs w:val="20"/>
                <w:color w:val="auto"/>
              </w:rPr>
            </w:pPr>
            <w:r>
              <w:rPr>
                <w:rFonts w:ascii="Arial" w:cs="Arial" w:eastAsia="Arial" w:hAnsi="Arial"/>
                <w:sz w:val="20"/>
                <w:szCs w:val="20"/>
                <w:b w:val="1"/>
                <w:bCs w:val="1"/>
                <w:color w:val="auto"/>
                <w:w w:val="90"/>
              </w:rPr>
              <w:t>Units Subject to Forfeiture</w:t>
            </w:r>
          </w:p>
        </w:tc>
      </w:tr>
      <w:tr>
        <w:trPr>
          <w:trHeight w:val="212"/>
        </w:trPr>
        <w:tc>
          <w:tcPr>
            <w:tcW w:w="1060" w:type="dxa"/>
            <w:vAlign w:val="bottom"/>
          </w:tcPr>
          <w:p>
            <w:pPr>
              <w:spacing w:after="0" w:line="212" w:lineRule="exact"/>
              <w:rPr>
                <w:sz w:val="20"/>
                <w:szCs w:val="20"/>
                <w:color w:val="auto"/>
              </w:rPr>
            </w:pPr>
            <w:r>
              <w:rPr>
                <w:rFonts w:ascii="Arial" w:cs="Arial" w:eastAsia="Arial" w:hAnsi="Arial"/>
                <w:sz w:val="20"/>
                <w:szCs w:val="20"/>
                <w:b w:val="1"/>
                <w:bCs w:val="1"/>
                <w:color w:val="auto"/>
                <w:w w:val="85"/>
              </w:rPr>
              <w:t>Vesting Date</w:t>
            </w:r>
          </w:p>
        </w:tc>
        <w:tc>
          <w:tcPr>
            <w:tcW w:w="4680" w:type="dxa"/>
            <w:vAlign w:val="bottom"/>
          </w:tcPr>
          <w:p>
            <w:pPr>
              <w:spacing w:after="0"/>
              <w:rPr>
                <w:sz w:val="18"/>
                <w:szCs w:val="18"/>
                <w:color w:val="auto"/>
              </w:rPr>
            </w:pPr>
          </w:p>
        </w:tc>
        <w:tc>
          <w:tcPr>
            <w:tcW w:w="1640" w:type="dxa"/>
            <w:vAlign w:val="bottom"/>
            <w:gridSpan w:val="2"/>
          </w:tcPr>
          <w:p>
            <w:pPr>
              <w:jc w:val="center"/>
              <w:ind w:right="640"/>
              <w:spacing w:after="0" w:line="212" w:lineRule="exact"/>
              <w:rPr>
                <w:sz w:val="20"/>
                <w:szCs w:val="20"/>
                <w:color w:val="auto"/>
              </w:rPr>
            </w:pPr>
            <w:r>
              <w:rPr>
                <w:rFonts w:ascii="Arial" w:cs="Arial" w:eastAsia="Arial" w:hAnsi="Arial"/>
                <w:sz w:val="20"/>
                <w:szCs w:val="20"/>
                <w:b w:val="1"/>
                <w:bCs w:val="1"/>
                <w:color w:val="auto"/>
                <w:w w:val="86"/>
              </w:rPr>
              <w:t>Restrictions</w:t>
            </w:r>
          </w:p>
        </w:tc>
      </w:tr>
      <w:tr>
        <w:trPr>
          <w:trHeight w:val="20"/>
        </w:trPr>
        <w:tc>
          <w:tcPr>
            <w:tcW w:w="106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1300" w:hanging="644"/>
        <w:spacing w:after="0" w:line="255" w:lineRule="auto"/>
        <w:tabs>
          <w:tab w:leader="none" w:pos="1300" w:val="left"/>
        </w:tabs>
        <w:numPr>
          <w:ilvl w:val="1"/>
          <w:numId w:val="25"/>
        </w:numPr>
        <w:rPr>
          <w:rFonts w:ascii="Arial" w:cs="Arial" w:eastAsia="Arial" w:hAnsi="Arial"/>
          <w:sz w:val="17"/>
          <w:szCs w:val="17"/>
          <w:color w:val="auto"/>
        </w:rPr>
      </w:pPr>
      <w:r>
        <w:rPr>
          <w:rFonts w:ascii="Arial" w:cs="Arial" w:eastAsia="Arial" w:hAnsi="Arial"/>
          <w:sz w:val="19"/>
          <w:szCs w:val="19"/>
          <w:color w:val="auto"/>
        </w:rPr>
        <w:t>Notwithstanding Section 4(a), if (i) the Holder’s Employment with the Company and its Affiliates is terminated prior to one or more Vesting Dates due to the death, Disability or Retirement (as defined below) of the Holder then, in either such event, all remaining Forfeiture Restrictions shall immediately lapse and the Vesting Date shall be deemed to be the date of the termination of the Holder’s Employment by reason of death, Disability or Retirement or (ii) there is a Change of Control prior to one or more Vesting Dates, then all remaining Forfeiture Restrictions shall immediately lapse and the Vesting Date shall deemed to be the date immediately preceding such Change of Control. For purposes of this Agreement, (i) “</w:t>
      </w:r>
      <w:r>
        <w:rPr>
          <w:rFonts w:ascii="Arial" w:cs="Arial" w:eastAsia="Arial" w:hAnsi="Arial"/>
          <w:sz w:val="19"/>
          <w:szCs w:val="19"/>
          <w:b w:val="1"/>
          <w:bCs w:val="1"/>
          <w:i w:val="1"/>
          <w:iCs w:val="1"/>
          <w:color w:val="auto"/>
        </w:rPr>
        <w:t>Change of</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Control</w:t>
      </w:r>
      <w:r>
        <w:rPr>
          <w:rFonts w:ascii="Arial" w:cs="Arial" w:eastAsia="Arial" w:hAnsi="Arial"/>
          <w:sz w:val="19"/>
          <w:szCs w:val="19"/>
          <w:color w:val="auto"/>
        </w:rPr>
        <w:t>” shall have the meaning ascribed thereto in the Plan; provided, that if the Units granted hereunder are subject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Section 409A such Change of Control must constitute a change in the ownership or effective control of the Company, or in the ownership of a substantial portion of the assets of the Company, as described under Code Section 409A(a)(2)(A)(v) of the Code and the regulations promulgated thereunder; and (ii) “</w:t>
      </w:r>
      <w:r>
        <w:rPr>
          <w:rFonts w:ascii="Arial" w:cs="Arial" w:eastAsia="Arial" w:hAnsi="Arial"/>
          <w:sz w:val="19"/>
          <w:szCs w:val="19"/>
          <w:b w:val="1"/>
          <w:bCs w:val="1"/>
          <w:i w:val="1"/>
          <w:iCs w:val="1"/>
          <w:color w:val="auto"/>
        </w:rPr>
        <w:t>Retirement</w:t>
      </w:r>
      <w:r>
        <w:rPr>
          <w:rFonts w:ascii="Arial" w:cs="Arial" w:eastAsia="Arial" w:hAnsi="Arial"/>
          <w:sz w:val="19"/>
          <w:szCs w:val="19"/>
          <w:color w:val="auto"/>
        </w:rPr>
        <w:t>” shall mean a retirement as a Director which is authorized in accordance with the policies and procedures of the Board.</w:t>
      </w:r>
    </w:p>
    <w:p>
      <w:pPr>
        <w:spacing w:after="0" w:line="201" w:lineRule="exact"/>
        <w:rPr>
          <w:rFonts w:ascii="Arial" w:cs="Arial" w:eastAsia="Arial" w:hAnsi="Arial"/>
          <w:sz w:val="17"/>
          <w:szCs w:val="17"/>
          <w:color w:val="auto"/>
        </w:rPr>
      </w:pPr>
    </w:p>
    <w:p>
      <w:pPr>
        <w:jc w:val="both"/>
        <w:ind w:left="1300" w:hanging="644"/>
        <w:spacing w:after="0" w:line="276"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8"/>
          <w:szCs w:val="18"/>
          <w:color w:val="auto"/>
        </w:rPr>
        <w:t>If the Holder’s Employment is terminated prior to any Vesting Date (other than a termination described in Section 4(b)), then any Forfeiture Restrictions that have not previously lapsed pursuant to the provisions of this Section 4 shall not lapse, and any Units with respect to which the Forfeiture Restrictions have not lapsed shall be forfeited to the Company on the date of the termination of the Holder’s Employment. In the event any Units are forfeited to the Company pursuant to this Agreement, the Company will not be obligated to pay the Holder any consideration whatsoever for the forfeited Units or the underlying Shares (as defined in Section 5), and the Holder will have no rights to receive any consideration for the forfeited Units.</w:t>
      </w:r>
    </w:p>
    <w:p>
      <w:pPr>
        <w:spacing w:after="0" w:line="172" w:lineRule="exact"/>
        <w:rPr>
          <w:rFonts w:ascii="Arial" w:cs="Arial" w:eastAsia="Arial" w:hAnsi="Arial"/>
          <w:sz w:val="16"/>
          <w:szCs w:val="16"/>
          <w:color w:val="auto"/>
        </w:rPr>
      </w:pPr>
    </w:p>
    <w:p>
      <w:pPr>
        <w:jc w:val="both"/>
        <w:ind w:left="660" w:hanging="652"/>
        <w:spacing w:after="0" w:line="25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20"/>
          <w:szCs w:val="20"/>
          <w:b w:val="1"/>
          <w:bCs w:val="1"/>
          <w:u w:val="single" w:color="auto"/>
          <w:color w:val="auto"/>
        </w:rPr>
        <w:t>No Dividend Equivalents</w:t>
      </w:r>
      <w:r>
        <w:rPr>
          <w:rFonts w:ascii="Arial" w:cs="Arial" w:eastAsia="Arial" w:hAnsi="Arial"/>
          <w:sz w:val="20"/>
          <w:szCs w:val="20"/>
          <w:b w:val="1"/>
          <w:bCs w:val="1"/>
          <w:color w:val="auto"/>
        </w:rPr>
        <w:t xml:space="preserve">. </w:t>
      </w:r>
      <w:r>
        <w:rPr>
          <w:rFonts w:ascii="Arial" w:cs="Arial" w:eastAsia="Arial" w:hAnsi="Arial"/>
          <w:sz w:val="20"/>
          <w:szCs w:val="20"/>
          <w:color w:val="auto"/>
        </w:rPr>
        <w:t>If during the period the Holder holds any Units awarded hereby the Company pays a dividend in cash,</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or otherwise with respect to the Company’s outstanding ordinary shares, nominal value $0.001 per share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the Holder shall receive no dividend equivalent payment with respect to the Holder’s Units.</w:t>
      </w:r>
    </w:p>
    <w:p>
      <w:pPr>
        <w:spacing w:after="0" w:line="191" w:lineRule="exact"/>
        <w:rPr>
          <w:rFonts w:ascii="Arial" w:cs="Arial" w:eastAsia="Arial" w:hAnsi="Arial"/>
          <w:sz w:val="18"/>
          <w:szCs w:val="18"/>
          <w:color w:val="auto"/>
        </w:rPr>
      </w:pPr>
    </w:p>
    <w:p>
      <w:pPr>
        <w:jc w:val="both"/>
        <w:ind w:left="660" w:hanging="652"/>
        <w:spacing w:after="0" w:line="294"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8"/>
          <w:szCs w:val="18"/>
          <w:b w:val="1"/>
          <w:bCs w:val="1"/>
          <w:u w:val="single" w:color="auto"/>
          <w:color w:val="auto"/>
        </w:rPr>
        <w:t>Delivery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lapse of any Forfeiture Restrictions within 30 days of each applicable Vesting Date under Section 4,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deliver or cause to be delivered a number of Shares equal to the number of Units with respect to which the Forfeiture Restrictions have lapsed (subject to the satisfaction by the Holder of any Tax-Related Items arising under Section 8 of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p>
      <w:pPr>
        <w:ind w:left="7500"/>
        <w:spacing w:after="0"/>
        <w:rPr>
          <w:sz w:val="20"/>
          <w:szCs w:val="20"/>
          <w:color w:val="auto"/>
        </w:rPr>
      </w:pPr>
      <w:r>
        <w:rPr>
          <w:rFonts w:ascii="Arial" w:cs="Arial" w:eastAsia="Arial" w:hAnsi="Arial"/>
          <w:sz w:val="16"/>
          <w:szCs w:val="16"/>
          <w:color w:val="auto"/>
        </w:rPr>
        <w:t>2010 Plan; RSU Director Agreement; CIC-Retirement</w:t>
      </w:r>
    </w:p>
    <w:p>
      <w:pPr>
        <w:sectPr>
          <w:pgSz w:w="11900" w:h="16838" w:orient="portrait"/>
          <w:cols w:equalWidth="0" w:num="1">
            <w:col w:w="11420"/>
          </w:cols>
          <w:pgMar w:left="240" w:top="1386" w:right="239" w:bottom="1440" w:gutter="0" w:footer="0" w:header="0"/>
        </w:sectPr>
      </w:pPr>
    </w:p>
    <w:bookmarkStart w:id="67" w:name="page68"/>
    <w:bookmarkEnd w:id="67"/>
    <w:p>
      <w:pPr>
        <w:jc w:val="both"/>
        <w:ind w:left="660" w:hanging="652"/>
        <w:spacing w:after="0" w:line="259"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9"/>
          <w:szCs w:val="19"/>
          <w:b w:val="1"/>
          <w:bCs w:val="1"/>
          <w:u w:val="single" w:color="auto"/>
          <w:color w:val="auto"/>
        </w:rPr>
        <w:t>Capital Adjustments and Reorganizations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existence of the Units shall not affect in any way the right or power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or its shareholders to make or authorize any or all adjustments, recapitalizations, reorganizations or other changes in the Company’s capital structure or its business, or any acquisition, merger, amalgamation or consolidation of the Company, or any issue of bonds, debentures, preferred or prior preference shares ahead of or affecting the Shares or the rights thereof, or the winding up, dissolution or liquidation of the Company, or any sale or transfer of all or any part of its assets or business, or any other corporate act or proceeding, whether of a similar character or otherwise, including a Change of Control (as defined in the Plan). An adjustment under this provision may have the effect of reducing the price at which Shares may be acquired to less than their nominal value (the “</w:t>
      </w:r>
      <w:r>
        <w:rPr>
          <w:rFonts w:ascii="Arial" w:cs="Arial" w:eastAsia="Arial" w:hAnsi="Arial"/>
          <w:sz w:val="19"/>
          <w:szCs w:val="19"/>
          <w:b w:val="1"/>
          <w:bCs w:val="1"/>
          <w:i w:val="1"/>
          <w:iCs w:val="1"/>
          <w:color w:val="auto"/>
        </w:rPr>
        <w:t>Shortfall</w:t>
      </w:r>
      <w:r>
        <w:rPr>
          <w:rFonts w:ascii="Arial" w:cs="Arial" w:eastAsia="Arial" w:hAnsi="Arial"/>
          <w:sz w:val="19"/>
          <w:szCs w:val="19"/>
          <w:color w:val="auto"/>
        </w:rPr>
        <w:t>”), but only if and to the extent that the Committee shall be authorized to capitalize from the reserves of the Company a sum equal to the Shortfall and to apply that sum in paying up that amount on the Shares.</w:t>
      </w:r>
    </w:p>
    <w:p>
      <w:pPr>
        <w:spacing w:after="0" w:line="187" w:lineRule="exact"/>
        <w:rPr>
          <w:rFonts w:ascii="Arial" w:cs="Arial" w:eastAsia="Arial" w:hAnsi="Arial"/>
          <w:sz w:val="17"/>
          <w:szCs w:val="17"/>
          <w:color w:val="auto"/>
        </w:rPr>
      </w:pPr>
    </w:p>
    <w:p>
      <w:pPr>
        <w:jc w:val="both"/>
        <w:ind w:left="660" w:hanging="652"/>
        <w:spacing w:after="0" w:line="27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8"/>
          <w:szCs w:val="18"/>
          <w:b w:val="1"/>
          <w:bCs w:val="1"/>
          <w:u w:val="single" w:color="auto"/>
          <w:color w:val="auto"/>
        </w:rPr>
        <w:t>Responsibility for Taxes &amp;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acknowledges that, regardless of any action taken by the Company, the ultimate</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for all income tax, social insurance, payroll tax, fringe benefits tax, payment on account or other tax-related items related to the Holder’s participation in the Plan and legally applicable to the Holder or deemed by the Company in its discretion to be an appropriate charge to the Holder even if legally applicable to the Company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the Holder’s responsibility and may exceed the amount actually withheld by the Company. The Holder further acknowledges that the Company (i) makes no representations or undertakings regarding the treatment of any Tax-Related Items in connection with any aspect of the Units, including, but not limited to, the grant, vesting or settlement of the Units, the subsequent sale of Shares acquired pursuant to such settlement and the receipt of any dividends and/or any dividend equivalents; and (ii) does not commit to and are under no obligation to structure the terms of the grant or any aspect of the Units to reduce or eliminate the Holder’s liability for Tax-Related Items or achieve any particular tax result. Further, if the Holder is subject to Tax-Related Items in more than one jurisdiction between the date of grant and the date of any relevant taxable or tax withholding event, as applicable, the Holder acknowledges that the Company may be required to withhold or account for Tax-Related Items in more than one jurisdiction.</w:t>
      </w:r>
    </w:p>
    <w:p>
      <w:pPr>
        <w:spacing w:after="0" w:line="186" w:lineRule="exact"/>
        <w:rPr>
          <w:sz w:val="20"/>
          <w:szCs w:val="20"/>
          <w:color w:val="auto"/>
        </w:rPr>
      </w:pPr>
    </w:p>
    <w:p>
      <w:pPr>
        <w:jc w:val="both"/>
        <w:ind w:left="620"/>
        <w:spacing w:after="0" w:line="291" w:lineRule="auto"/>
        <w:rPr>
          <w:sz w:val="20"/>
          <w:szCs w:val="20"/>
          <w:color w:val="auto"/>
        </w:rPr>
      </w:pPr>
      <w:r>
        <w:rPr>
          <w:rFonts w:ascii="Arial" w:cs="Arial" w:eastAsia="Arial" w:hAnsi="Arial"/>
          <w:sz w:val="18"/>
          <w:szCs w:val="18"/>
          <w:color w:val="auto"/>
        </w:rPr>
        <w:t>Prior to any relevant taxable or tax withholding event, as applicable, the Holder agrees to make adequate arrangements satisfactory to the Company to satisfy all Tax-Related Items. In this regard, the Holder authorizes the Company and/or its Affiliates, or their respective agents, at their discretion, to satisfy the obligations with regard to all Tax-Related Items by one or a combination of the following:</w:t>
      </w:r>
    </w:p>
    <w:p>
      <w:pPr>
        <w:spacing w:after="0" w:line="152" w:lineRule="exact"/>
        <w:rPr>
          <w:sz w:val="20"/>
          <w:szCs w:val="20"/>
          <w:color w:val="auto"/>
        </w:rPr>
      </w:pPr>
    </w:p>
    <w:p>
      <w:pPr>
        <w:ind w:left="1300" w:hanging="671"/>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8"/>
          <w:szCs w:val="18"/>
          <w:color w:val="auto"/>
        </w:rPr>
        <w:t>withholding from the Holder’s wages or other cash compensation paid to the Holder by the Company and/or its Affiliates; or</w:t>
      </w:r>
    </w:p>
    <w:p>
      <w:pPr>
        <w:spacing w:after="0" w:line="252" w:lineRule="exact"/>
        <w:rPr>
          <w:rFonts w:ascii="Arial" w:cs="Arial" w:eastAsia="Arial" w:hAnsi="Arial"/>
          <w:sz w:val="16"/>
          <w:szCs w:val="16"/>
          <w:color w:val="auto"/>
        </w:rPr>
      </w:pPr>
    </w:p>
    <w:p>
      <w:pPr>
        <w:jc w:val="both"/>
        <w:ind w:left="1300" w:hanging="671"/>
        <w:spacing w:after="0" w:line="250"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20"/>
          <w:szCs w:val="20"/>
          <w:color w:val="auto"/>
        </w:rPr>
        <w:t>withholding from proceeds of the Shares acquired following the lapse of the Forfeiture Restrictions either through a voluntary sale or through a mandatory sale arranged by the Company (on the Holder’s behalf pursuant to this authorization without further consent); or</w:t>
      </w:r>
    </w:p>
    <w:p>
      <w:pPr>
        <w:spacing w:after="0" w:line="199" w:lineRule="exact"/>
        <w:rPr>
          <w:rFonts w:ascii="Arial" w:cs="Arial" w:eastAsia="Arial" w:hAnsi="Arial"/>
          <w:sz w:val="18"/>
          <w:szCs w:val="18"/>
          <w:color w:val="auto"/>
        </w:rPr>
      </w:pPr>
    </w:p>
    <w:p>
      <w:pPr>
        <w:jc w:val="both"/>
        <w:ind w:left="1300" w:hanging="671"/>
        <w:spacing w:after="0" w:line="243"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20"/>
          <w:szCs w:val="20"/>
          <w:color w:val="auto"/>
        </w:rPr>
        <w:t>withholding in Shares to be delivered upon the lapse of the Forfeiture Restrictions unless the Committee, in its sole discretion, indicates that this method of withholding is not available prior to the applicable taxable or tax withholding event and further provided, that if the Holder is a Section 16 officer of the Company under the U.S. Securities and Exchange Act of 1934, as amended, then the Committee (as constituted in accordance with Rule 16b-3 under the Exchange Act) shall establish the method of withholding from alternatives (a)-(c) herein and, if the Committee does not exercise its discretion prior to the Tax-Related Items withholding</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p>
      <w:pPr>
        <w:ind w:left="7500"/>
        <w:spacing w:after="0"/>
        <w:rPr>
          <w:sz w:val="20"/>
          <w:szCs w:val="20"/>
          <w:color w:val="auto"/>
        </w:rPr>
      </w:pPr>
      <w:r>
        <w:rPr>
          <w:rFonts w:ascii="Arial" w:cs="Arial" w:eastAsia="Arial" w:hAnsi="Arial"/>
          <w:sz w:val="16"/>
          <w:szCs w:val="16"/>
          <w:color w:val="auto"/>
        </w:rPr>
        <w:t>2010 Plan; RSU Director Agreement; CIC-Retirement</w:t>
      </w:r>
    </w:p>
    <w:p>
      <w:pPr>
        <w:sectPr>
          <w:pgSz w:w="11900" w:h="16838" w:orient="portrait"/>
          <w:cols w:equalWidth="0" w:num="1">
            <w:col w:w="11420"/>
          </w:cols>
          <w:pgMar w:left="240" w:top="1224" w:right="239" w:bottom="1440" w:gutter="0" w:footer="0" w:header="0"/>
        </w:sectPr>
      </w:pPr>
    </w:p>
    <w:bookmarkStart w:id="68" w:name="page69"/>
    <w:bookmarkEnd w:id="68"/>
    <w:p>
      <w:pPr>
        <w:ind w:left="1300"/>
        <w:spacing w:after="0"/>
        <w:rPr>
          <w:sz w:val="20"/>
          <w:szCs w:val="20"/>
          <w:color w:val="auto"/>
        </w:rPr>
      </w:pPr>
      <w:r>
        <w:rPr>
          <w:rFonts w:ascii="Arial" w:cs="Arial" w:eastAsia="Arial" w:hAnsi="Arial"/>
          <w:sz w:val="20"/>
          <w:szCs w:val="20"/>
          <w:color w:val="auto"/>
        </w:rPr>
        <w:t>event, then the Holder shall be entitled to elect the method of withholding from the alternatives above.</w:t>
      </w:r>
    </w:p>
    <w:p>
      <w:pPr>
        <w:spacing w:after="0" w:line="20" w:lineRule="exact"/>
        <w:rPr>
          <w:sz w:val="20"/>
          <w:szCs w:val="20"/>
          <w:color w:val="auto"/>
        </w:rPr>
      </w:pPr>
    </w:p>
    <w:p>
      <w:pPr>
        <w:jc w:val="both"/>
        <w:ind w:left="620"/>
        <w:spacing w:after="0" w:line="242" w:lineRule="auto"/>
        <w:rPr>
          <w:sz w:val="20"/>
          <w:szCs w:val="20"/>
          <w:color w:val="auto"/>
        </w:rPr>
      </w:pPr>
      <w:r>
        <w:rPr>
          <w:rFonts w:ascii="Arial" w:cs="Arial" w:eastAsia="Arial" w:hAnsi="Arial"/>
          <w:sz w:val="20"/>
          <w:szCs w:val="20"/>
          <w:color w:val="auto"/>
        </w:rPr>
        <w:t>Depending on the withholding method, the Company may withhold or account for Tax-Related Items by considering applicable minimum statutory withholding rates or other applicable withholding rates, including maximum applicable rates, in which case the Holder will receive a refund of any over-withheld amount in cash and will have no entitlement to the Share equivalent. If the obligation for Tax-Related Items is satisfied by withholding in Shares, for tax purposes, the Holder is deemed to have been issued the full number of Shares subject to the vested Units, notwithstanding that a number of the Shares are held back solely for the purpose of paying the Tax-Related Items.</w:t>
      </w:r>
    </w:p>
    <w:p>
      <w:pPr>
        <w:spacing w:after="0" w:line="195"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Finally, the Holder agrees to pay to the Company any amount of Tax-Related Items that the Company may be required to withhold or account for as a result of the Holder’s participation in the Plan that cannot be satisfied by the means previously described. The Company may refuse to issue or deliver the Shares or the proceeds of the sale of Shares, if the Holder fails to comply with his or her obligations in connection with the Tax-Related Items.</w:t>
      </w:r>
    </w:p>
    <w:p>
      <w:pPr>
        <w:spacing w:after="0" w:line="186" w:lineRule="exact"/>
        <w:rPr>
          <w:sz w:val="20"/>
          <w:szCs w:val="20"/>
          <w:color w:val="auto"/>
        </w:rPr>
      </w:pPr>
    </w:p>
    <w:p>
      <w:pPr>
        <w:jc w:val="both"/>
        <w:ind w:left="660" w:hanging="652"/>
        <w:spacing w:after="0" w:line="275"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8"/>
          <w:szCs w:val="18"/>
          <w:b w:val="1"/>
          <w:bCs w:val="1"/>
          <w:u w:val="single" w:color="auto"/>
          <w:color w:val="auto"/>
        </w:rPr>
        <w:t>Employment or Affiliation Relationship</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of Units and the Holder’s participation in the Plan shall not create a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be interpreted as forming an employment or services contract or other affiliation with the Company or any Affiliate and shall not interfere with the ability of the Company or any Affiliate, as applicable, to terminate the Holder’s Employment. For purposes of this Agreement, the Holder shall be considered to be in the employment of, or affiliated with, the Company or its Affiliates as long as the Holder has an active employment or affiliation relationship with the Company or any Affiliate. The Committee shall determine any questions as to whether and when there has been a termination of the Holder’s Employment, and the cause of such termination, under the Plan and the Committee’s determination shall be final and binding on all persons.</w:t>
      </w:r>
    </w:p>
    <w:p>
      <w:pPr>
        <w:spacing w:after="0" w:line="176" w:lineRule="exact"/>
        <w:rPr>
          <w:rFonts w:ascii="Arial" w:cs="Arial" w:eastAsia="Arial" w:hAnsi="Arial"/>
          <w:sz w:val="16"/>
          <w:szCs w:val="16"/>
          <w:color w:val="auto"/>
        </w:rPr>
      </w:pPr>
    </w:p>
    <w:p>
      <w:pPr>
        <w:ind w:left="660" w:right="20" w:hanging="652"/>
        <w:spacing w:after="0" w:line="293"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9"/>
          <w:szCs w:val="19"/>
          <w:b w:val="1"/>
          <w:bCs w:val="1"/>
          <w:u w:val="single" w:color="auto"/>
          <w:color w:val="auto"/>
        </w:rPr>
        <w:t>Voting and Other Rights</w:t>
      </w:r>
      <w:r>
        <w:rPr>
          <w:rFonts w:ascii="Arial" w:cs="Arial" w:eastAsia="Arial" w:hAnsi="Arial"/>
          <w:sz w:val="19"/>
          <w:szCs w:val="19"/>
          <w:b w:val="1"/>
          <w:bCs w:val="1"/>
          <w:color w:val="auto"/>
        </w:rPr>
        <w:t xml:space="preserve">. </w:t>
      </w:r>
      <w:r>
        <w:rPr>
          <w:rFonts w:ascii="Arial" w:cs="Arial" w:eastAsia="Arial" w:hAnsi="Arial"/>
          <w:sz w:val="19"/>
          <w:szCs w:val="19"/>
          <w:color w:val="auto"/>
        </w:rPr>
        <w:t>The Holder shall have no rights as a shareholder of the Company in respect of the Units, including the right</w:t>
      </w:r>
      <w:r>
        <w:rPr>
          <w:rFonts w:ascii="Arial" w:cs="Arial" w:eastAsia="Arial" w:hAnsi="Arial"/>
          <w:sz w:val="19"/>
          <w:szCs w:val="19"/>
          <w:b w:val="1"/>
          <w:bCs w:val="1"/>
          <w:color w:val="auto"/>
        </w:rPr>
        <w:t xml:space="preserve"> </w:t>
      </w:r>
      <w:r>
        <w:rPr>
          <w:rFonts w:ascii="Arial" w:cs="Arial" w:eastAsia="Arial" w:hAnsi="Arial"/>
          <w:sz w:val="19"/>
          <w:szCs w:val="19"/>
          <w:color w:val="auto"/>
        </w:rPr>
        <w:t>to vote and to receive dividends and other distributions, until delivery of Shares in satisfaction of such Units.</w:t>
      </w:r>
    </w:p>
    <w:p>
      <w:pPr>
        <w:spacing w:after="0" w:line="155" w:lineRule="exact"/>
        <w:rPr>
          <w:rFonts w:ascii="Arial" w:cs="Arial" w:eastAsia="Arial" w:hAnsi="Arial"/>
          <w:sz w:val="17"/>
          <w:szCs w:val="17"/>
          <w:color w:val="auto"/>
        </w:rPr>
      </w:pPr>
    </w:p>
    <w:p>
      <w:pPr>
        <w:jc w:val="both"/>
        <w:ind w:left="660" w:hanging="652"/>
        <w:spacing w:after="0" w:line="270"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 The Holder hereby explicitly and unambiguously consents to the collection, use and transfer, in electronic or other form,</w:t>
      </w:r>
      <w:r>
        <w:rPr>
          <w:rFonts w:ascii="Arial" w:cs="Arial" w:eastAsia="Arial" w:hAnsi="Arial"/>
          <w:sz w:val="18"/>
          <w:szCs w:val="18"/>
          <w:b w:val="1"/>
          <w:bCs w:val="1"/>
          <w:color w:val="auto"/>
        </w:rPr>
        <w:t xml:space="preserve"> </w:t>
      </w:r>
      <w:r>
        <w:rPr>
          <w:rFonts w:ascii="Arial" w:cs="Arial" w:eastAsia="Arial" w:hAnsi="Arial"/>
          <w:sz w:val="18"/>
          <w:szCs w:val="18"/>
          <w:color w:val="auto"/>
        </w:rPr>
        <w:t>of the Holder’s personal data as described in this Agreement and any other grant materials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by and among, as applicable, the Company and its Affiliates for the exclusive purpose of implementing, administering and managing the Holder’s participation in the Plan. The Holder understands that the Company and its Affiliates may hold certain personal information about the Holder, including, but not limited to, the Holder’s name, home address and telephone number, date of birth, social insurance number or other identification number, salary, nationality, job title, any Shares or directorships held in the Company, details of all Units or any other entitlement to Shares awarded, canceled, exercised, vested, unvested or outstanding in the Holder’s favor, for the exclusive purpose of implementing, administering and managing the Plan. The Holder understands that Data will be transferred to Merrill Lynch, or such other stock plan service provider as may be selected by the Company in the future, which is assisting the Company with the implementation, administration and management of the Plan. The Holder understands that the recipients of the Data may be located in Ireland, the United States or elsewhere, and that the recipients’ country (e.g., the United States) may have different data privacy laws and protections than the Holder’s country. The Holder understands that if he or she resides outside the United States, he or she may request a list with the names and addresses of any potential recipients of the Data by contacting the Company. The Holder authorizes the Company, Merrill Lynch and any other possible recipients which may assist the Company (presently or in the future) with implementing, administering and managing the Plan to receive, possess, use, retain and transfer the Data, in electronic or other form, for the sole purpose of implementing,</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2010 Plan; RSU Director Agreement; CIC-Retirement</w:t>
      </w:r>
    </w:p>
    <w:p>
      <w:pPr>
        <w:sectPr>
          <w:pgSz w:w="11900" w:h="16838" w:orient="portrait"/>
          <w:cols w:equalWidth="0" w:num="1">
            <w:col w:w="11420"/>
          </w:cols>
          <w:pgMar w:left="240" w:top="1244" w:right="239" w:bottom="1440" w:gutter="0" w:footer="0" w:header="0"/>
        </w:sectPr>
      </w:pPr>
    </w:p>
    <w:bookmarkStart w:id="69" w:name="page70"/>
    <w:bookmarkEnd w:id="69"/>
    <w:p>
      <w:pPr>
        <w:jc w:val="both"/>
        <w:ind w:left="660"/>
        <w:spacing w:after="0" w:line="285" w:lineRule="auto"/>
        <w:rPr>
          <w:sz w:val="20"/>
          <w:szCs w:val="20"/>
          <w:color w:val="auto"/>
        </w:rPr>
      </w:pPr>
      <w:r>
        <w:rPr>
          <w:rFonts w:ascii="Arial" w:cs="Arial" w:eastAsia="Arial" w:hAnsi="Arial"/>
          <w:sz w:val="19"/>
          <w:szCs w:val="19"/>
          <w:color w:val="auto"/>
        </w:rPr>
        <w:t>administering and managing his or her participation in the Plan. The Holder understands that Data will be held only as long as is necessary to implement, administer and manage the Holder’s participation in the Plan. The Holder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the Company. Further, the Holder understands that he or she is providing the consents herein on a purely voluntary basis. If the Holder does not consent, or if the Holder later seeks to revoke his or her consent, his or her employment status or affiliation relationship and career with the Company will not be adversely affected; the only adverse consequence of refusing or withdrawing the Holder’s consent is that the Company would not be able to grant the Holder Units or other equity awards or administer or maintain such awards. Therefore, the Holder understands that refusing or withdrawing his or her consent may affect the Holder’s ability to participate in the Plan. For more information on the consequences of the Holder’s refusal to consent or withdrawal of consent, the Holder understands that he or she may contact the Company.</w:t>
      </w:r>
    </w:p>
    <w:p>
      <w:pPr>
        <w:spacing w:after="0" w:line="179" w:lineRule="exact"/>
        <w:rPr>
          <w:sz w:val="20"/>
          <w:szCs w:val="20"/>
          <w:color w:val="auto"/>
        </w:rPr>
      </w:pPr>
    </w:p>
    <w:p>
      <w:pPr>
        <w:jc w:val="both"/>
        <w:ind w:left="660" w:hanging="652"/>
        <w:spacing w:after="0" w:line="312" w:lineRule="auto"/>
        <w:tabs>
          <w:tab w:leader="none" w:pos="660" w:val="left"/>
        </w:tabs>
        <w:numPr>
          <w:ilvl w:val="0"/>
          <w:numId w:val="30"/>
        </w:numPr>
        <w:rPr>
          <w:rFonts w:ascii="Arial" w:cs="Arial" w:eastAsia="Arial" w:hAnsi="Arial"/>
          <w:sz w:val="15"/>
          <w:szCs w:val="15"/>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instruction, authorization, request or demand required hereunder shall be in writing, and shall be delivered either</w:t>
      </w:r>
      <w:r>
        <w:rPr>
          <w:rFonts w:ascii="Arial" w:cs="Arial" w:eastAsia="Arial" w:hAnsi="Arial"/>
          <w:sz w:val="16"/>
          <w:szCs w:val="16"/>
          <w:b w:val="1"/>
          <w:bCs w:val="1"/>
          <w:color w:val="auto"/>
        </w:rPr>
        <w:t xml:space="preserve"> </w:t>
      </w:r>
      <w:r>
        <w:rPr>
          <w:rFonts w:ascii="Arial" w:cs="Arial" w:eastAsia="Arial" w:hAnsi="Arial"/>
          <w:sz w:val="16"/>
          <w:szCs w:val="16"/>
          <w:color w:val="auto"/>
        </w:rPr>
        <w:t>by personal delivery, by facsimile, by certified or registered mail, return receipt requested, or by courier or delivery service, addressed to the Company at the address indicated below on the execution page of this Agreement, and to the Holder at the Holder’s address indicated in the Company’s register of Plan participants, or at such other address and number as a party shall have previously designated by written notice given to the other party in the manner hereinabove set forth. Notices shall be deemed given when received, if sent by facsimile (confirmation of such receipt by confirmed facsimile transmission being deemed receipt of communications sent by facsimile means); and when delivered and receipted for (or upon the date of attempted delivery where delivery is refused), if hand-delivered, sent by express courier or delivery service, or sent by certified or registered mail, return receipt requested.</w:t>
      </w:r>
    </w:p>
    <w:p>
      <w:pPr>
        <w:spacing w:after="0" w:line="152" w:lineRule="exact"/>
        <w:rPr>
          <w:rFonts w:ascii="Arial" w:cs="Arial" w:eastAsia="Arial" w:hAnsi="Arial"/>
          <w:sz w:val="15"/>
          <w:szCs w:val="15"/>
          <w:color w:val="auto"/>
        </w:rPr>
      </w:pPr>
    </w:p>
    <w:p>
      <w:pPr>
        <w:jc w:val="both"/>
        <w:ind w:left="660" w:hanging="652"/>
        <w:spacing w:after="0" w:line="257"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9"/>
          <w:szCs w:val="19"/>
          <w:b w:val="1"/>
          <w:bCs w:val="1"/>
          <w:u w:val="single" w:color="auto"/>
          <w:color w:val="auto"/>
        </w:rPr>
        <w:t>Amendment and Waiver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amended from time to time by the Committee in its discretion in any manner that it</w:t>
      </w:r>
      <w:r>
        <w:rPr>
          <w:rFonts w:ascii="Arial" w:cs="Arial" w:eastAsia="Arial" w:hAnsi="Arial"/>
          <w:sz w:val="19"/>
          <w:szCs w:val="19"/>
          <w:b w:val="1"/>
          <w:bCs w:val="1"/>
          <w:color w:val="auto"/>
        </w:rPr>
        <w:t xml:space="preserve"> </w:t>
      </w:r>
      <w:r>
        <w:rPr>
          <w:rFonts w:ascii="Arial" w:cs="Arial" w:eastAsia="Arial" w:hAnsi="Arial"/>
          <w:sz w:val="19"/>
          <w:szCs w:val="19"/>
          <w:color w:val="auto"/>
        </w:rPr>
        <w:t>deems appropriate and that is consistent with the terms of the Plan. However, no such amendment shall adversely affect in a material manner any right of the Holder without his/her written consent. Only a written instrument executed and delivered by the party waiving compliance hereof shall make any waiver of the terms or conditions effective. Any waiver granted by the Company shall be effective only if executed and delivered by a duly authorized executive officer of the Company other than the Holder. The failure of any party at any time or times to require performance of any provisions hereof shall in no manner affect the right to enforce the same. No waiver by any party of any term or condition, or the breach of any term or condition contained in this Agreement, in one or more instances, shall be construed as a continuing waiver of any such condition or breach, a waiver of any other condition, or the breach of any other term or condition.</w:t>
      </w:r>
    </w:p>
    <w:p>
      <w:pPr>
        <w:spacing w:after="0" w:line="190" w:lineRule="exact"/>
        <w:rPr>
          <w:rFonts w:ascii="Arial" w:cs="Arial" w:eastAsia="Arial" w:hAnsi="Arial"/>
          <w:sz w:val="17"/>
          <w:szCs w:val="17"/>
          <w:color w:val="auto"/>
        </w:rPr>
      </w:pPr>
    </w:p>
    <w:p>
      <w:pPr>
        <w:jc w:val="both"/>
        <w:ind w:left="660" w:hanging="652"/>
        <w:spacing w:after="0" w:line="266"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9"/>
          <w:szCs w:val="19"/>
          <w:b w:val="1"/>
          <w:bCs w:val="1"/>
          <w:u w:val="single" w:color="auto"/>
          <w:color w:val="auto"/>
        </w:rPr>
        <w:t>Governing Law and 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The validity, construction and effect of the Plan and any rules and regulations relating to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determined in accordance with applicable United States federal law and the laws of the State of Texas, without regard to any conflict of laws principles, except to the extent that the laws of Ireland mandatorily apply. The invalidity of any provision of this Agreement shall not affect any other provision of this Agreement, which shall remain in full force and effect.</w:t>
      </w:r>
    </w:p>
    <w:p>
      <w:pPr>
        <w:spacing w:after="0" w:line="179" w:lineRule="exact"/>
        <w:rPr>
          <w:rFonts w:ascii="Arial" w:cs="Arial" w:eastAsia="Arial" w:hAnsi="Arial"/>
          <w:sz w:val="17"/>
          <w:szCs w:val="17"/>
          <w:color w:val="auto"/>
        </w:rPr>
      </w:pPr>
    </w:p>
    <w:p>
      <w:pPr>
        <w:jc w:val="both"/>
        <w:ind w:left="660" w:hanging="652"/>
        <w:spacing w:after="0" w:line="266"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limitations which this Agreement and the Plan impose upon the transferability of the Units,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bind, be enforceable by and inure to the benefit of the Company and its successors and assigns, and to the Holder, his permitted assigns and, upon the Holder’s death, the Holder’s estate and beneficiaries thereof (whether by will or the laws of descent and distribution), executors, administrators, agents, and legal and personal representatives.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2010 Plan; RSU Director Agreement; CIC-Retirement</w:t>
      </w:r>
    </w:p>
    <w:p>
      <w:pPr>
        <w:sectPr>
          <w:pgSz w:w="11900" w:h="16838" w:orient="portrait"/>
          <w:cols w:equalWidth="0" w:num="1">
            <w:col w:w="11420"/>
          </w:cols>
          <w:pgMar w:left="240" w:top="1244" w:right="239" w:bottom="1440" w:gutter="0" w:footer="0" w:header="0"/>
        </w:sectPr>
      </w:pPr>
    </w:p>
    <w:bookmarkStart w:id="70" w:name="page71"/>
    <w:bookmarkEnd w:id="70"/>
    <w:p>
      <w:pPr>
        <w:spacing w:after="0" w:line="14" w:lineRule="exact"/>
        <w:rPr>
          <w:sz w:val="20"/>
          <w:szCs w:val="20"/>
          <w:color w:val="auto"/>
        </w:rPr>
      </w:pPr>
    </w:p>
    <w:p>
      <w:pPr>
        <w:jc w:val="both"/>
        <w:ind w:left="660" w:hanging="652"/>
        <w:spacing w:after="0" w:line="27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8"/>
          <w:szCs w:val="18"/>
          <w:b w:val="1"/>
          <w:bCs w:val="1"/>
          <w:u w:val="single" w:color="auto"/>
          <w:color w:val="auto"/>
        </w:rPr>
        <w:t>Electronic Delivery and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hereby consents and agrees to electronic delivery of any documents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elect to deliver (including, but not limited to, plan documents, prospectus and prospectus supplements, grant or award notifications and agreements, account statements, annual and quarterly reports, and all other forms of communications) in connection with this and any other Award made or offered under the Plan. The Holder understands that, unless revoked by the Holder by giving written notice to the Company pursuant to the Plan, this consent will be effective for the duration of the Agreement. The Holder also understands that he or she will have the right at any time to request that the Company deliver written copies of any and all materials referred to above. The Holder hereby consents to any and all procedures the Company has established or may establish for an electronic signature system for delivery and acceptance of any such documents that the Company may elect to deliver, and agree that his or her electronic signature is the same as, and will have the same force and effect as, his or her manual signature. The Holder hereby consents to receive such documents by electronic delivery and agrees to participate in the Plan through an on-line or electronic system established and maintained by the Company or a third party designated by the Company.</w:t>
      </w:r>
    </w:p>
    <w:p>
      <w:pPr>
        <w:spacing w:after="0" w:line="184" w:lineRule="exact"/>
        <w:rPr>
          <w:rFonts w:ascii="Arial" w:cs="Arial" w:eastAsia="Arial" w:hAnsi="Arial"/>
          <w:sz w:val="16"/>
          <w:szCs w:val="16"/>
          <w:color w:val="auto"/>
        </w:rPr>
      </w:pPr>
    </w:p>
    <w:p>
      <w:pPr>
        <w:ind w:left="660" w:right="20" w:hanging="652"/>
        <w:spacing w:after="0" w:line="26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two or more counterparts, each of which shall be an original for all purposes but all</w:t>
      </w:r>
      <w:r>
        <w:rPr>
          <w:rFonts w:ascii="Arial" w:cs="Arial" w:eastAsia="Arial" w:hAnsi="Arial"/>
          <w:sz w:val="20"/>
          <w:szCs w:val="20"/>
          <w:b w:val="1"/>
          <w:bCs w:val="1"/>
          <w:color w:val="auto"/>
        </w:rPr>
        <w:t xml:space="preserve"> </w:t>
      </w:r>
      <w:r>
        <w:rPr>
          <w:rFonts w:ascii="Arial" w:cs="Arial" w:eastAsia="Arial" w:hAnsi="Arial"/>
          <w:sz w:val="20"/>
          <w:szCs w:val="20"/>
          <w:color w:val="auto"/>
        </w:rPr>
        <w:t>of which taken together shall constitute but one and the same instrument.</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20"/>
          <w:szCs w:val="20"/>
          <w:b w:val="1"/>
          <w:bCs w:val="1"/>
          <w:u w:val="single" w:color="auto"/>
          <w:color w:val="auto"/>
        </w:rPr>
        <w:t>Acknowledgements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Holder acknowledges and agrees to the following:</w:t>
      </w:r>
    </w:p>
    <w:p>
      <w:pPr>
        <w:spacing w:after="0" w:line="235" w:lineRule="exact"/>
        <w:rPr>
          <w:rFonts w:ascii="Arial" w:cs="Arial" w:eastAsia="Arial" w:hAnsi="Arial"/>
          <w:sz w:val="18"/>
          <w:szCs w:val="18"/>
          <w:color w:val="auto"/>
        </w:rPr>
      </w:pPr>
    </w:p>
    <w:p>
      <w:pPr>
        <w:ind w:left="1300" w:hanging="644"/>
        <w:spacing w:after="0" w:line="260"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90" w:lineRule="exact"/>
        <w:rPr>
          <w:rFonts w:ascii="Arial" w:cs="Arial" w:eastAsia="Arial" w:hAnsi="Arial"/>
          <w:sz w:val="18"/>
          <w:szCs w:val="18"/>
          <w:color w:val="auto"/>
        </w:rPr>
      </w:pPr>
    </w:p>
    <w:p>
      <w:pPr>
        <w:ind w:left="1300" w:right="20" w:hanging="644"/>
        <w:spacing w:after="0" w:line="260"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20"/>
          <w:szCs w:val="20"/>
          <w:color w:val="auto"/>
        </w:rPr>
        <w:t>the grant of the Units is voluntary and occasional and does not create any contractual or other right to receive future grants of Units, or benefits in lieu of Units, even if Units have been granted in the past;</w:t>
      </w:r>
    </w:p>
    <w:p>
      <w:pPr>
        <w:spacing w:after="0" w:line="190" w:lineRule="exact"/>
        <w:rPr>
          <w:rFonts w:ascii="Arial" w:cs="Arial" w:eastAsia="Arial" w:hAnsi="Arial"/>
          <w:sz w:val="18"/>
          <w:szCs w:val="18"/>
          <w:color w:val="auto"/>
        </w:rPr>
      </w:pPr>
    </w:p>
    <w:p>
      <w:pPr>
        <w:ind w:left="1300" w:hanging="644"/>
        <w:spacing w:after="0"/>
        <w:tabs>
          <w:tab w:leader="none" w:pos="1300" w:val="left"/>
        </w:tabs>
        <w:numPr>
          <w:ilvl w:val="1"/>
          <w:numId w:val="31"/>
        </w:numPr>
        <w:rPr>
          <w:rFonts w:ascii="Arial" w:cs="Arial" w:eastAsia="Arial" w:hAnsi="Arial"/>
          <w:sz w:val="18"/>
          <w:szCs w:val="18"/>
          <w:color w:val="auto"/>
        </w:rPr>
      </w:pPr>
      <w:r>
        <w:rPr>
          <w:rFonts w:ascii="Arial" w:cs="Arial" w:eastAsia="Arial" w:hAnsi="Arial"/>
          <w:sz w:val="20"/>
          <w:szCs w:val="20"/>
          <w:color w:val="auto"/>
        </w:rPr>
        <w:t>all decisions with respect to future Unit or other grants, if any, will be at the sole discretion of the Company;</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1"/>
          <w:numId w:val="31"/>
        </w:numPr>
        <w:rPr>
          <w:rFonts w:ascii="Arial" w:cs="Arial" w:eastAsia="Arial" w:hAnsi="Arial"/>
          <w:sz w:val="18"/>
          <w:szCs w:val="18"/>
          <w:color w:val="auto"/>
        </w:rPr>
      </w:pPr>
      <w:r>
        <w:rPr>
          <w:rFonts w:ascii="Arial" w:cs="Arial" w:eastAsia="Arial" w:hAnsi="Arial"/>
          <w:sz w:val="20"/>
          <w:szCs w:val="20"/>
          <w:color w:val="auto"/>
        </w:rPr>
        <w:t>the Holder is voluntarily participating in the Plan;</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1"/>
          <w:numId w:val="31"/>
        </w:numPr>
        <w:rPr>
          <w:rFonts w:ascii="Arial" w:cs="Arial" w:eastAsia="Arial" w:hAnsi="Arial"/>
          <w:sz w:val="17"/>
          <w:szCs w:val="17"/>
          <w:color w:val="auto"/>
        </w:rPr>
      </w:pPr>
      <w:r>
        <w:rPr>
          <w:rFonts w:ascii="Arial" w:cs="Arial" w:eastAsia="Arial" w:hAnsi="Arial"/>
          <w:sz w:val="19"/>
          <w:szCs w:val="19"/>
          <w:color w:val="auto"/>
        </w:rPr>
        <w:t>the future value of the Shares underlying the Units is unknown, indeterminable and cannot be predicted with certainty;</w:t>
      </w:r>
    </w:p>
    <w:p>
      <w:pPr>
        <w:spacing w:after="0" w:line="240" w:lineRule="exact"/>
        <w:rPr>
          <w:rFonts w:ascii="Arial" w:cs="Arial" w:eastAsia="Arial" w:hAnsi="Arial"/>
          <w:sz w:val="17"/>
          <w:szCs w:val="17"/>
          <w:color w:val="auto"/>
        </w:rPr>
      </w:pPr>
    </w:p>
    <w:p>
      <w:pPr>
        <w:jc w:val="both"/>
        <w:ind w:left="1300" w:hanging="644"/>
        <w:spacing w:after="0" w:line="291"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8"/>
          <w:szCs w:val="18"/>
          <w:color w:val="auto"/>
        </w:rPr>
        <w:t>unless otherwise provided in the Plan or by the Company in its discretion, the Units and the benefits evidenced by this Agreement do not create any entitlement to have the Units or any such benefits transferred to, or assumed by, another company nor be exchanged, cashed out or substituted for, in connection with any corporate transaction affecting Shares; and</w:t>
      </w:r>
    </w:p>
    <w:p>
      <w:pPr>
        <w:spacing w:after="0" w:line="165" w:lineRule="exact"/>
        <w:rPr>
          <w:rFonts w:ascii="Arial" w:cs="Arial" w:eastAsia="Arial" w:hAnsi="Arial"/>
          <w:sz w:val="16"/>
          <w:szCs w:val="16"/>
          <w:color w:val="auto"/>
        </w:rPr>
      </w:pPr>
    </w:p>
    <w:p>
      <w:pPr>
        <w:jc w:val="both"/>
        <w:ind w:left="1300" w:hanging="644"/>
        <w:spacing w:after="0" w:line="246"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20"/>
          <w:szCs w:val="20"/>
          <w:color w:val="auto"/>
        </w:rPr>
        <w:t>the Company is not providing any tax, legal or financial advice, nor is the Company making any recommendations regarding the Holder’s participation in the Plan, or the Holder’s acquisition or sale of the underlying Shares. The Holder is hereby advised to consult with his or her own personal tax, legal and financial advisors regarding his or her participation in the Plan before taking any action related to the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2010 Plan; RSU Director Agreement; CIC-Retirement</w:t>
      </w:r>
    </w:p>
    <w:p>
      <w:pPr>
        <w:sectPr>
          <w:pgSz w:w="11900" w:h="16838" w:orient="portrait"/>
          <w:cols w:equalWidth="0" w:num="1">
            <w:col w:w="11420"/>
          </w:cols>
          <w:pgMar w:left="240" w:top="1440" w:right="239" w:bottom="1440" w:gutter="0" w:footer="0" w:header="0"/>
        </w:sectPr>
      </w:pPr>
    </w:p>
    <w:bookmarkStart w:id="71" w:name="page72"/>
    <w:bookmarkEnd w:id="71"/>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b w:val="1"/>
          <w:bCs w:val="1"/>
          <w:color w:val="auto"/>
        </w:rPr>
        <w:t>.</w:t>
      </w:r>
    </w:p>
    <w:p>
      <w:pPr>
        <w:spacing w:after="0" w:line="235"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1"/>
          <w:numId w:val="32"/>
        </w:numPr>
        <w:rPr>
          <w:rFonts w:ascii="Arial" w:cs="Arial" w:eastAsia="Arial" w:hAnsi="Arial"/>
          <w:sz w:val="17"/>
          <w:szCs w:val="17"/>
          <w:color w:val="auto"/>
        </w:rPr>
      </w:pPr>
      <w:r>
        <w:rPr>
          <w:rFonts w:ascii="Arial" w:cs="Arial" w:eastAsia="Arial" w:hAnsi="Arial"/>
          <w:sz w:val="19"/>
          <w:szCs w:val="19"/>
          <w:color w:val="auto"/>
        </w:rPr>
        <w:t>The delivery of the Holder’s Shares as described in Section 6 shall be made in accordance with such Section, provided that with respect to delivery due to termination of Employment for reasons other than death, the delivery at such time can be characterized as a “</w:t>
      </w:r>
      <w:r>
        <w:rPr>
          <w:rFonts w:ascii="Arial" w:cs="Arial" w:eastAsia="Arial" w:hAnsi="Arial"/>
          <w:sz w:val="19"/>
          <w:szCs w:val="19"/>
          <w:b w:val="1"/>
          <w:bCs w:val="1"/>
          <w:i w:val="1"/>
          <w:iCs w:val="1"/>
          <w:color w:val="auto"/>
        </w:rPr>
        <w:t>short-term deferral</w:t>
      </w:r>
      <w:r>
        <w:rPr>
          <w:rFonts w:ascii="Arial" w:cs="Arial" w:eastAsia="Arial" w:hAnsi="Arial"/>
          <w:sz w:val="19"/>
          <w:szCs w:val="19"/>
          <w:color w:val="auto"/>
        </w:rPr>
        <w:t>” for purposes of Section 409A or as otherwise exempt from the provisions of Section 409A, or if any portion of the delivery cannot be so characterized, and the Holder is a “</w:t>
      </w:r>
      <w:r>
        <w:rPr>
          <w:rFonts w:ascii="Arial" w:cs="Arial" w:eastAsia="Arial" w:hAnsi="Arial"/>
          <w:sz w:val="19"/>
          <w:szCs w:val="19"/>
          <w:b w:val="1"/>
          <w:bCs w:val="1"/>
          <w:i w:val="1"/>
          <w:iCs w:val="1"/>
          <w:color w:val="auto"/>
        </w:rPr>
        <w:t>specified employee</w:t>
      </w:r>
      <w:r>
        <w:rPr>
          <w:rFonts w:ascii="Arial" w:cs="Arial" w:eastAsia="Arial" w:hAnsi="Arial"/>
          <w:sz w:val="19"/>
          <w:szCs w:val="19"/>
          <w:color w:val="auto"/>
        </w:rPr>
        <w:t>” under Section 409A, such portion of the delivery shall be delayed until the earlier to occur of the Holder’s death or the date that is six months and one day following the Holder’s termination of Employment. For purposes of this Agreement, the terms “</w:t>
      </w:r>
      <w:r>
        <w:rPr>
          <w:rFonts w:ascii="Arial" w:cs="Arial" w:eastAsia="Arial" w:hAnsi="Arial"/>
          <w:sz w:val="19"/>
          <w:szCs w:val="19"/>
          <w:b w:val="1"/>
          <w:bCs w:val="1"/>
          <w:i w:val="1"/>
          <w:iCs w:val="1"/>
          <w:color w:val="auto"/>
        </w:rPr>
        <w:t>terminates</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terminated</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 of employment</w:t>
      </w:r>
      <w:r>
        <w:rPr>
          <w:rFonts w:ascii="Arial" w:cs="Arial" w:eastAsia="Arial" w:hAnsi="Arial"/>
          <w:sz w:val="19"/>
          <w:szCs w:val="19"/>
          <w:color w:val="auto"/>
        </w:rPr>
        <w:t>,” and variations thereof, as used in this Agreement to refer to the Holder’s termination of Employment, are intended to mean a termination of employment that constitutes a “</w:t>
      </w:r>
      <w:r>
        <w:rPr>
          <w:rFonts w:ascii="Arial" w:cs="Arial" w:eastAsia="Arial" w:hAnsi="Arial"/>
          <w:sz w:val="19"/>
          <w:szCs w:val="19"/>
          <w:b w:val="1"/>
          <w:bCs w:val="1"/>
          <w:i w:val="1"/>
          <w:iCs w:val="1"/>
          <w:color w:val="auto"/>
        </w:rPr>
        <w:t>separation from</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service</w:t>
      </w:r>
      <w:r>
        <w:rPr>
          <w:rFonts w:ascii="Arial" w:cs="Arial" w:eastAsia="Arial" w:hAnsi="Arial"/>
          <w:sz w:val="19"/>
          <w:szCs w:val="19"/>
          <w:color w:val="auto"/>
        </w:rPr>
        <w:t>” under Section 409A.</w:t>
      </w:r>
    </w:p>
    <w:p>
      <w:pPr>
        <w:spacing w:after="0" w:line="198" w:lineRule="exact"/>
        <w:rPr>
          <w:rFonts w:ascii="Arial" w:cs="Arial" w:eastAsia="Arial" w:hAnsi="Arial"/>
          <w:sz w:val="17"/>
          <w:szCs w:val="17"/>
          <w:color w:val="auto"/>
        </w:rPr>
      </w:pPr>
    </w:p>
    <w:p>
      <w:pPr>
        <w:jc w:val="both"/>
        <w:ind w:left="1300" w:hanging="644"/>
        <w:spacing w:after="0" w:line="272"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8"/>
          <w:szCs w:val="18"/>
          <w:color w:val="auto"/>
        </w:rPr>
        <w:t>This Agreement and the Units provided hereunder are intended to comply with Section 409A to the extent applicable thereto. Notwithstanding any provision of this Agreement to the contrary, this Agreement shall be interpreted and construed consistent with this intent. Although the Company and the Committee intend to administer this Agreement so that it will comply with the requirements of Section 409A, to the extent applicable, neither the Company nor the Committee represents or warrants that this Agreement will comply with Section 409A or any other provision of federal, state, local, or non-United States law. Neither the Company or its Affiliates, nor their respective directors, officers, employees or advisers shall be liable to any Holder (or any other individual claiming a benefit through the Holder) for any tax, interest, or penalties the Holder might owe as a result of participation in the Plan, and the Company and its Affiliates shall have no obligation to indemnify or otherwise protect any Holder from the obligation to pay any taxes pursuant to Section 409A.</w:t>
      </w:r>
    </w:p>
    <w:p>
      <w:pPr>
        <w:spacing w:after="0" w:line="178" w:lineRule="exact"/>
        <w:rPr>
          <w:rFonts w:ascii="Arial" w:cs="Arial" w:eastAsia="Arial" w:hAnsi="Arial"/>
          <w:sz w:val="16"/>
          <w:szCs w:val="16"/>
          <w:color w:val="auto"/>
        </w:rPr>
      </w:pPr>
    </w:p>
    <w:p>
      <w:pPr>
        <w:ind w:left="660" w:hanging="652"/>
        <w:spacing w:after="0" w:line="293"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If the Holder has received this Agreement, or any other document related to the Units and/or the Plan translated into a</w:t>
      </w:r>
      <w:r>
        <w:rPr>
          <w:rFonts w:ascii="Arial" w:cs="Arial" w:eastAsia="Arial" w:hAnsi="Arial"/>
          <w:sz w:val="19"/>
          <w:szCs w:val="19"/>
          <w:b w:val="1"/>
          <w:bCs w:val="1"/>
          <w:color w:val="auto"/>
        </w:rPr>
        <w:t xml:space="preserve"> </w:t>
      </w:r>
      <w:r>
        <w:rPr>
          <w:rFonts w:ascii="Arial" w:cs="Arial" w:eastAsia="Arial" w:hAnsi="Arial"/>
          <w:sz w:val="19"/>
          <w:szCs w:val="19"/>
          <w:color w:val="auto"/>
        </w:rPr>
        <w:t>language other than English and if the translated version is different than the English version, the English version will control.</w:t>
      </w:r>
    </w:p>
    <w:p>
      <w:pPr>
        <w:spacing w:after="0" w:line="141" w:lineRule="exact"/>
        <w:rPr>
          <w:rFonts w:ascii="Arial" w:cs="Arial" w:eastAsia="Arial" w:hAnsi="Arial"/>
          <w:sz w:val="17"/>
          <w:szCs w:val="17"/>
          <w:color w:val="auto"/>
        </w:rPr>
      </w:pPr>
    </w:p>
    <w:p>
      <w:pPr>
        <w:jc w:val="both"/>
        <w:ind w:left="660" w:hanging="652"/>
        <w:spacing w:after="0" w:line="24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Holder’s participation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on the Units and on any Shares acquired under the Plan, to the extent the Company determines it is necessary or advisable for legal or administrative reasons, and to require the Holder to sign any additional agreements or undertakings that may be necessary to accomplish the foregoing.</w:t>
      </w:r>
    </w:p>
    <w:p>
      <w:pPr>
        <w:spacing w:after="0" w:line="183"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20"/>
          <w:szCs w:val="20"/>
          <w:b w:val="1"/>
          <w:bCs w:val="1"/>
          <w:u w:val="single" w:color="auto"/>
          <w:color w:val="auto"/>
        </w:rPr>
        <w:t>Waiver</w:t>
      </w:r>
      <w:r>
        <w:rPr>
          <w:rFonts w:ascii="Arial" w:cs="Arial" w:eastAsia="Arial" w:hAnsi="Arial"/>
          <w:sz w:val="20"/>
          <w:szCs w:val="20"/>
          <w:color w:val="auto"/>
        </w:rPr>
        <w:t>. The Holder acknowledges that a waiver by the Company of a breach of any provision of this Agreement shall not operate or</w:t>
      </w:r>
      <w:r>
        <w:rPr>
          <w:rFonts w:ascii="Arial" w:cs="Arial" w:eastAsia="Arial" w:hAnsi="Arial"/>
          <w:sz w:val="20"/>
          <w:szCs w:val="20"/>
          <w:b w:val="1"/>
          <w:bCs w:val="1"/>
          <w:color w:val="auto"/>
        </w:rPr>
        <w:t xml:space="preserve"> </w:t>
      </w:r>
      <w:r>
        <w:rPr>
          <w:rFonts w:ascii="Arial" w:cs="Arial" w:eastAsia="Arial" w:hAnsi="Arial"/>
          <w:sz w:val="20"/>
          <w:szCs w:val="20"/>
          <w:color w:val="auto"/>
        </w:rPr>
        <w:t>be construed as a waiver of any other provision of this Agreement, or of any subsequent breach by the Holder or any other Plan participants.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98" w:lineRule="exact"/>
        <w:rPr>
          <w:sz w:val="20"/>
          <w:szCs w:val="20"/>
          <w:color w:val="auto"/>
        </w:rPr>
      </w:pPr>
    </w:p>
    <w:p>
      <w:pPr>
        <w:ind w:left="7500"/>
        <w:spacing w:after="0"/>
        <w:rPr>
          <w:sz w:val="20"/>
          <w:szCs w:val="20"/>
          <w:color w:val="auto"/>
        </w:rPr>
      </w:pPr>
      <w:r>
        <w:rPr>
          <w:rFonts w:ascii="Arial" w:cs="Arial" w:eastAsia="Arial" w:hAnsi="Arial"/>
          <w:sz w:val="16"/>
          <w:szCs w:val="16"/>
          <w:color w:val="auto"/>
        </w:rPr>
        <w:t>2010 Plan; RSU Director Agreement; CIC-Retirement</w:t>
      </w:r>
    </w:p>
    <w:p>
      <w:pPr>
        <w:sectPr>
          <w:pgSz w:w="11900" w:h="16838" w:orient="portrait"/>
          <w:cols w:equalWidth="0" w:num="1">
            <w:col w:w="11420"/>
          </w:cols>
          <w:pgMar w:left="240" w:top="1224" w:right="239" w:bottom="1440" w:gutter="0" w:footer="0" w:header="0"/>
        </w:sectPr>
      </w:pPr>
    </w:p>
    <w:bookmarkStart w:id="72" w:name="page73"/>
    <w:bookmarkEnd w:id="72"/>
    <w:p>
      <w:pPr>
        <w:jc w:val="both"/>
        <w:spacing w:after="0" w:line="291" w:lineRule="auto"/>
        <w:rPr>
          <w:sz w:val="20"/>
          <w:szCs w:val="20"/>
          <w:color w:val="auto"/>
        </w:rPr>
      </w:pPr>
      <w:r>
        <w:rPr>
          <w:rFonts w:ascii="Arial" w:cs="Arial" w:eastAsia="Arial" w:hAnsi="Arial"/>
          <w:sz w:val="18"/>
          <w:szCs w:val="18"/>
          <w:b w:val="1"/>
          <w:bCs w:val="1"/>
          <w:i w:val="1"/>
          <w:iCs w:val="1"/>
          <w:color w:val="auto"/>
        </w:rPr>
        <w:t>By the Holder’s execution or electronic acceptance of this Agreement in the manner specified in the Holder’s online account with the Company’s designated broker/stock plan administrator, the Holder and the Company have agreed that the Units are granted under and governed by the terms and conditions of this Agreement (including any country-specific appendix attached hereto) and the Plan.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2010 Plan; RSU Director Agreement; CIC-Retirement</w:t>
      </w:r>
    </w:p>
    <w:p>
      <w:pPr>
        <w:sectPr>
          <w:pgSz w:w="11900" w:h="16838" w:orient="portrait"/>
          <w:cols w:equalWidth="0" w:num="1">
            <w:col w:w="11420"/>
          </w:cols>
          <w:pgMar w:left="240" w:top="1230" w:right="239" w:bottom="1440" w:gutter="0" w:footer="0" w:header="0"/>
        </w:sectPr>
      </w:pPr>
    </w:p>
    <w:bookmarkStart w:id="73" w:name="page74"/>
    <w:bookmarkEnd w:id="73"/>
    <w:p>
      <w:pPr>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Agreement to be duly executed by an officer thereunto duly authorized, and the Holder has</w:t>
      </w:r>
      <w:r>
        <w:rPr>
          <w:rFonts w:ascii="Arial" w:cs="Arial" w:eastAsia="Arial" w:hAnsi="Arial"/>
          <w:sz w:val="20"/>
          <w:szCs w:val="20"/>
          <w:b w:val="1"/>
          <w:bCs w:val="1"/>
          <w:color w:val="auto"/>
        </w:rPr>
        <w:t xml:space="preserve"> </w:t>
      </w:r>
      <w:r>
        <w:rPr>
          <w:rFonts w:ascii="Arial" w:cs="Arial" w:eastAsia="Arial" w:hAnsi="Arial"/>
          <w:sz w:val="20"/>
          <w:szCs w:val="20"/>
          <w:color w:val="auto"/>
        </w:rPr>
        <w:t>executed this Agreement, all as of the date first above written.</w:t>
      </w:r>
    </w:p>
    <w:p>
      <w:pPr>
        <w:spacing w:after="0" w:line="200" w:lineRule="exact"/>
        <w:rPr>
          <w:sz w:val="20"/>
          <w:szCs w:val="20"/>
          <w:color w:val="auto"/>
        </w:rPr>
      </w:pPr>
    </w:p>
    <w:p>
      <w:pPr>
        <w:spacing w:after="0" w:line="369"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ADDRESS:</w:t>
      </w:r>
    </w:p>
    <w:p>
      <w:pPr>
        <w:spacing w:after="0" w:line="54"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Weststrasse 1</w:t>
      </w:r>
    </w:p>
    <w:p>
      <w:pPr>
        <w:spacing w:after="0" w:line="54"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Baar 6340, Switzerland</w:t>
      </w:r>
    </w:p>
    <w:p>
      <w:pPr>
        <w:spacing w:after="0" w:line="54"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Attn: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auto"/>
        </w:rPr>
        <w:t>HOLDER:</w:t>
      </w:r>
    </w:p>
    <w:p>
      <w:pPr>
        <w:spacing w:after="0" w:line="384"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27305</wp:posOffset>
            </wp:positionV>
            <wp:extent cx="24612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4"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27305</wp:posOffset>
            </wp:positionV>
            <wp:extent cx="24612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McCollum,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November 1, 2017</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Mark A. McCollum</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 Bausch, certify that:</w:t>
      </w:r>
    </w:p>
    <w:p>
      <w:pPr>
        <w:spacing w:after="0" w:line="22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November 1, 2017</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Christoph Bausch</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Executive Vice President and</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of Weatherford International plc (the "Company") for the period ended September 30, 2017 as filed with the Securities and Exchange Commission on the date hereof (the "Report"), I, Mark A. McCollum,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Mark A. McCollum</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President and Chief Executive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1, 2017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connection with the quarterly report on Form 10-Q of Weatherford International plc (the "Company") for the period ended September 30, 2017 as filed with the Securities and Exchange Commission on the date hereof (the "Report"), I, Christoph Bausch,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Christoph Bausch</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1, 2017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lowerLetter"/>
      <w:start w:val="1"/>
    </w:lvl>
  </w:abstractNum>
  <w:abstractNum w:abstractNumId="3">
    <w:nsid w:val="62BBD95A"/>
    <w:multiLevelType w:val="hybridMultilevel"/>
    <w:lvl w:ilvl="0">
      <w:lvlJc w:val="left"/>
      <w:lvlText w:val="(%1)"/>
      <w:numFmt w:val="lowerLetter"/>
      <w:start w:val="2"/>
    </w:lvl>
  </w:abstractNum>
  <w:abstractNum w:abstractNumId="4">
    <w:nsid w:val="436C6125"/>
    <w:multiLevelType w:val="hybridMultilevel"/>
    <w:lvl w:ilvl="0">
      <w:lvlJc w:val="left"/>
      <w:lvlText w:val="(%1)"/>
      <w:numFmt w:val="lowerLetter"/>
      <w:start w:val="1"/>
    </w:lvl>
  </w:abstractNum>
  <w:abstractNum w:abstractNumId="5">
    <w:nsid w:val="628C895D"/>
    <w:multiLevelType w:val="hybridMultilevel"/>
    <w:lvl w:ilvl="0">
      <w:lvlJc w:val="left"/>
      <w:lvlText w:val="(%1)"/>
      <w:numFmt w:val="lowerLetter"/>
      <w:start w:val="3"/>
    </w:lvl>
    <w:lvl w:ilvl="1">
      <w:lvlJc w:val="left"/>
      <w:lvlText w:val="%2."/>
      <w:numFmt w:val="decimal"/>
      <w:start w:val="17"/>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lowerLetter"/>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endash "/>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lvl w:ilvl="1">
      <w:lvlJc w:val="left"/>
      <w:lvlText w:val="(%2)"/>
      <w:numFmt w:val="decimal"/>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upperLetter"/>
      <w:start w:val="1"/>
    </w:lvl>
    <w:lvl w:ilvl="1">
      <w:lvlJc w:val="left"/>
      <w:lvlText w:val="(%2)"/>
      <w:numFmt w:val="upperLetter"/>
      <w:start w:val="1"/>
    </w:lvl>
  </w:abstractNum>
  <w:abstractNum w:abstractNumId="19">
    <w:nsid w:val="2CA88611"/>
    <w:multiLevelType w:val="hybridMultilevel"/>
    <w:lvl w:ilvl="0">
      <w:lvlJc w:val="left"/>
      <w:lvlText w:val="(%1)"/>
      <w:numFmt w:val="upperLetter"/>
      <w:start w:val="2"/>
    </w:lvl>
    <w:lvl w:ilvl="1">
      <w:lvlJc w:val="left"/>
      <w:lvlText w:val="%2"/>
      <w:numFmt w:val="upperLetter"/>
      <w:start w:val="1"/>
    </w:lvl>
  </w:abstractNum>
  <w:abstractNum w:abstractNumId="20">
    <w:nsid w:val="836C40E"/>
    <w:multiLevelType w:val="hybridMultilevel"/>
    <w:lvl w:ilvl="0">
      <w:lvlJc w:val="left"/>
      <w:lvlText w:val="(%1)"/>
      <w:numFmt w:val="lowerLetter"/>
      <w:start w:val="1"/>
    </w:lvl>
    <w:lvl w:ilvl="1">
      <w:lvlJc w:val="left"/>
      <w:lvlText w:val="(%2)"/>
      <w:numFmt w:val="lowerRoman"/>
      <w:start w:val="1"/>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decimal"/>
      <w:start w:val="1"/>
    </w:lvl>
    <w:lvl w:ilvl="1">
      <w:lvlJc w:val="left"/>
      <w:lvlText w:val="(%2)"/>
      <w:numFmt w:val="lowerLetter"/>
      <w:start w:val="2"/>
    </w:lvl>
  </w:abstractNum>
  <w:abstractNum w:abstractNumId="25">
    <w:nsid w:val="7C3DBD3D"/>
    <w:multiLevelType w:val="hybridMultilevel"/>
    <w:lvl w:ilvl="0">
      <w:lvlJc w:val="left"/>
      <w:lvlText w:val="%1."/>
      <w:numFmt w:val="decimal"/>
      <w:start w:val="5"/>
    </w:lvl>
    <w:lvl w:ilvl="1">
      <w:lvlJc w:val="left"/>
      <w:lvlText w:val="%2"/>
      <w:numFmt w:val="lowerLetter"/>
      <w:start w:val="1"/>
    </w:lvl>
  </w:abstractNum>
  <w:abstractNum w:abstractNumId="26">
    <w:nsid w:val="737B8DDC"/>
    <w:multiLevelType w:val="hybridMultilevel"/>
    <w:lvl w:ilvl="0">
      <w:lvlJc w:val="left"/>
      <w:lvlText w:val="%1."/>
      <w:numFmt w:val="decimal"/>
      <w:start w:val="7"/>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decimal"/>
      <w:start w:val="9"/>
    </w:lvl>
  </w:abstractNum>
  <w:abstractNum w:abstractNumId="29">
    <w:nsid w:val="4516DDE9"/>
    <w:multiLevelType w:val="hybridMultilevel"/>
    <w:lvl w:ilvl="0">
      <w:lvlJc w:val="left"/>
      <w:lvlText w:val="%1."/>
      <w:numFmt w:val="decimal"/>
      <w:start w:val="12"/>
    </w:lvl>
  </w:abstractNum>
  <w:abstractNum w:abstractNumId="30">
    <w:nsid w:val="3006C83E"/>
    <w:multiLevelType w:val="hybridMultilevel"/>
    <w:lvl w:ilvl="0">
      <w:lvlJc w:val="left"/>
      <w:lvlText w:val="%1."/>
      <w:numFmt w:val="decimal"/>
      <w:start w:val="16"/>
    </w:lvl>
    <w:lvl w:ilvl="1">
      <w:lvlJc w:val="left"/>
      <w:lvlText w:val="(%2)"/>
      <w:numFmt w:val="lowerLetter"/>
      <w:start w:val="1"/>
    </w:lvl>
  </w:abstractNum>
  <w:abstractNum w:abstractNumId="31">
    <w:nsid w:val="614FD4A1"/>
    <w:multiLevelType w:val="hybridMultilevel"/>
    <w:lvl w:ilvl="0">
      <w:lvlJc w:val="left"/>
      <w:lvlText w:val="%1."/>
      <w:numFmt w:val="decimal"/>
      <w:start w:val="19"/>
    </w:lvl>
    <w:lvl w:ilvl="1">
      <w:lvlJc w:val="left"/>
      <w:lvlText w:val="(%2)"/>
      <w:numFmt w:val="lowerLetter"/>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11" Type="http://schemas.openxmlformats.org/officeDocument/2006/relationships/hyperlink" Target="http://www.sec.gov/Archives/edgar/data/1453090/000145309014000034/exhibit21mergeragreementir.htm" TargetMode="External"/><Relationship Id="rId12" Type="http://schemas.openxmlformats.org/officeDocument/2006/relationships/hyperlink" Target="http://www.sec.gov/Archives/edgar/data/1603923/000160392316000287/ex101formofchangeincontrol.htm" TargetMode="External"/><Relationship Id="rId14" Type="http://schemas.openxmlformats.org/officeDocument/2006/relationships/hyperlink" Target="http://www.sec.gov/Archives/edgar/data/1603923/000160392314000013/exhibit1011deedofindemnifi.htm" TargetMode="External"/><Relationship Id="rId15" Type="http://schemas.openxmlformats.org/officeDocument/2006/relationships/hyperlink" Target="http://www.sec.gov/Archives/edgar/data/1603923/000160392314000013/exhibit1012deedofindemnif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2019-12-29T04:00:29Z</dcterms:created>
  <dcterms:modified xsi:type="dcterms:W3CDTF">2019-12-29T04:00:29Z</dcterms:modified>
</cp:coreProperties>
</file>