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27,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2016, Weatherford International plc (“we” or the “Company”) issued a news release announcing results for the quarter ended June 30, 2016. A copy of the news release is furnished as Exhibit 99.1 and incorporated into this Item 2.02.</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28, 2016, we will hold a conference call at 7:00 a.m. eastern time (“ET”), 6:00 a.m. central time (“CT”), regarding the quarterly results for the Company’s second quarter ended June 30, 2016. This scheduled conference call was previously announced on June 6, 2016 and updated on July 18, 2016. To access the call, please contact the conference call operator at 866-393-8572, or 706-643-6499 for international calls, approximately 10 minutes prior to the scheduled start time, and ask for the Weatherford conference call. A replay of the call will be available until 5:00 p.m. eastern time (“ET”), August 11, 2016. The number for the replay is 855-859-2056 or 404-537-3406 for international calls; passcode 28440390.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27, 2016, we issued a news release announcing results for the Company’s second quarter ended June 30, 2016.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July 27, 2016, announcing results for the quarter ended June 30, 2016.</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July 27, 2016, announcing results for the quarter ended June 30, 2016.</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Second Quarter 2016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Industry leading sequential decrementals of 6%; 50% incrementals (GAAP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Raised net proceeds of $2.7 billion through two successful offerings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Repaid $1.9 billion of senior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Completed 92% of previously announced 8,000 headcount reduction plan</w:t>
      </w:r>
    </w:p>
    <w:p>
      <w:pPr>
        <w:spacing w:after="0" w:line="32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July 27, 2016 - Weatherford International plc (NYSE: WFT) reported GAAP net loss for the second quarter of 2016 of $565 million, or a net loss of $0.63 per share, and adjusted net loss before charges and credits of $253 million ($0.28 adjusted net loss per share) on revenues of $1.40 billion for the second quarter of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2016 Highlights</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Industry leading operating income decrementals of 6% sequentially and 24% year-over-year; sequential incrementals of 50% (GAAP basis);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Ceased operations in three manufacturing and service facilities, a year-to-date total of seven of the nine planned closures for the 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28 additional operating and other facilities, now at 54 year-to-date, 11 more than originally projected;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92% of the planned 8,000 reduction in force, with expected annualized savings of $446 million;</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an agreement defining the terms and conditions of the Zubair early production facility construction contract settlement in the amount of $150 million;</w:t>
      </w:r>
    </w:p>
    <w:p>
      <w:pPr>
        <w:ind w:left="660" w:right="2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net proceeds of $2.7 billion from newly issued debt: $1.265 billion in exchangeable (convertible) notes maturing in 2021 and $1.5 billion in new senior notes, $750 million maturing in 2021 and $750 million maturing in 2023;</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Settled in cash a tender offer of $1.9 billion face value of existing senior notes on June 30, 2016; and</w:t>
      </w:r>
    </w:p>
    <w:p>
      <w:pPr>
        <w:spacing w:after="0" w:line="103"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Gained inclusion in the Euronext Vigeo World 120 Index, which recognizes companies achieving the most advanced Environmental, Social and Governance (ESG)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(In Millions, Except Per Share Amounts)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8"/>
              </w:rPr>
              <w:t>Three Months Ended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3/31/2016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6/30/2015</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4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Year-on-Year</w:t>
            </w:r>
          </w:p>
        </w:tc>
        <w:tc>
          <w:tcPr>
            <w:tcW w:w="3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366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520 bps</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(621 bps)</w:t>
            </w:r>
          </w:p>
        </w:tc>
        <w:tc>
          <w:tcPr>
            <w:tcW w:w="3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Operating Income (Loss) </w:t>
            </w: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Adjusted Operating Margin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 bps)</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(1,318 bps)</w:t>
            </w:r>
          </w:p>
        </w:tc>
        <w:tc>
          <w:tcPr>
            <w:tcW w:w="3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Decrementals </w:t>
            </w: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(0.61)</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Adjusted Diluted Loss per Share </w:t>
            </w: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ind w:right="1620" w:firstLine="8"/>
        <w:spacing w:after="0" w:line="394"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Operating Income, Net Loss and Diluted Loss per Share are non-GAAP measures and primarily exclude the charges and credits for the Zubair legacy contract. ** Incremental/decremental operating margin is calculated by taking the change in adjusted operating income over the change in revenue.</w:t>
      </w:r>
    </w:p>
    <w:p>
      <w:pPr>
        <w:spacing w:after="0" w:line="219"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Bernard J. Duroc-Danner, Chairman of the Board, President and Chief Executive Officer, stated, “During the second quarter, we continued to drive progress both operationally and financially.</w:t>
      </w:r>
    </w:p>
    <w:p>
      <w:pPr>
        <w:spacing w:after="0" w:line="264"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On the operational front, our results show the impact of the cost transformation of Weatherford, resulting in our adjusted operating income declining by only $11 million on a sequential revenue decline of 11% or $183 million, with an improvement in our adjusted earnings per share. Underlying our operating results are benefits from our continued cost reduction efforts, supporting strong adjusted operating income decrementals of 6% sequentially and 24% year-over-year.</w:t>
      </w:r>
    </w:p>
    <w:p>
      <w:pPr>
        <w:spacing w:after="0" w:line="242" w:lineRule="exact"/>
        <w:rPr>
          <w:sz w:val="20"/>
          <w:szCs w:val="20"/>
          <w:color w:val="auto"/>
        </w:rPr>
      </w:pPr>
    </w:p>
    <w:p>
      <w:pPr>
        <w:jc w:val="both"/>
        <w:ind w:right="20"/>
        <w:spacing w:after="0" w:line="424" w:lineRule="auto"/>
        <w:rPr>
          <w:sz w:val="20"/>
          <w:szCs w:val="20"/>
          <w:color w:val="auto"/>
        </w:rPr>
      </w:pPr>
      <w:r>
        <w:rPr>
          <w:rFonts w:ascii="Arial" w:cs="Arial" w:eastAsia="Arial" w:hAnsi="Arial"/>
          <w:sz w:val="17"/>
          <w:szCs w:val="17"/>
          <w:color w:val="auto"/>
        </w:rPr>
        <w:t>North America revenue declined 26%, outperforming a 35% reduction in average rig count and continued pricing headwinds. However, operating losses were reduced substantially with the aggressive cost actions taken this year. We believe North America activity levels have hit a bottom.</w:t>
      </w:r>
    </w:p>
    <w:p>
      <w:pPr>
        <w:spacing w:after="0" w:line="241"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Internationally, our revenue declined 3% on a sequential rig count reduction of 7%. Latin America bore the brunt of the decline with steep customer spending cuts across the board. Eastern Hemisphere revenue increased by 4% sequentially. In the Europe/Caspian/Russia/Sub-Sahara Africa region, sharp activity reductions in offshore West Africa were only partly mitigated by a seasonal recovery in Russia. In the Middle East/North Africa/ Asia Pacific region, the revenue increase reflected the final contract settlement of the Zubair project and higher activity in Algeria more than offsetting declines across several Asia Pacific operations. Revenue for the Land Drilling Rigs business declined with lower sequential utilization rates.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6" w:name="page7"/>
    <w:bookmarkEnd w:id="6"/>
    <w:p>
      <w:pPr>
        <w:jc w:val="both"/>
        <w:spacing w:after="0" w:line="366" w:lineRule="auto"/>
        <w:rPr>
          <w:sz w:val="20"/>
          <w:szCs w:val="20"/>
          <w:color w:val="auto"/>
        </w:rPr>
      </w:pPr>
      <w:r>
        <w:rPr>
          <w:rFonts w:ascii="Arial" w:cs="Arial" w:eastAsia="Arial" w:hAnsi="Arial"/>
          <w:sz w:val="18"/>
          <w:szCs w:val="18"/>
          <w:color w:val="auto"/>
        </w:rPr>
        <w:t>On the financial front, we successfully completed two upsized capital markets transactions, materially de-risking our near-term financial profile and meaningfully improving our liquidity position. We reduced near term debt maturities over the next three years from $2.1 billion down to $639 million, ensuring that we can meet our obligations under any business scenario. The settlement of the Zubair early production facility contract located in Iraq was an important milestone during the quarter. We also substantially completed our full year headcount reduction and continued to optimize our headcount support ratio, all of which should positively impact our results moving forward.</w:t>
      </w:r>
    </w:p>
    <w:p>
      <w:pPr>
        <w:spacing w:after="0" w:line="285"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industry has now hit a bottom on both the activity and pricing fronts. Customers have begun to recognize that reliable, high quality products and services have been discounted below economic minimums and are at unsustainable levels. Our conversations with several customers support expectations that both activity and pricing levels will improve gradually over the next several quarters.</w:t>
      </w:r>
    </w:p>
    <w:p>
      <w:pPr>
        <w:spacing w:after="0" w:line="277"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With our legacy issues now behind us, and a fundamentally transformed cost structure, Weatherford is positioned for the market recovery. As we look forward to a gradual improving macro environment, our core set of differentiated product lines and technology, along with a very disciplined approach and a much strengthened operational team, all support strong incremental operating income margin improvement and future free cash flow generation.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to come will reflect our transformation in all metrics.”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2016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second quarter of 2016 was $1.40 billion compared with $1.59 billion in the first quarter of 2016 and $2.39 billion in the second quarter of 2015. Second quarter revenues declined 11% sequentially and 41% from the prior year. The sequential decline was 26% in North America and 3% for International operations.</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GAAP net loss for the second quarter of 2016 was $565 million (net loss of $0.63 per share), compared to a net loss of $498 million in the first quarter of 2016 (net loss of $0.61 per share), and a net loss of $489 million in the second quarter of the prior year (net loss of $0.63 per share).</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Adjusted net loss for the second quarter of 2016 was $253 million (adjusted net loss of $0.28 per share), compared to a net loss of $239 million in the first quarter of 2016 (adjusted net loss of $0.29 per share), and a net loss of $77 million in the second quarter of the prior year (adjusted net loss of $0.10 per share).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After-tax charges, net of credits, of $312 million for the second quarter include:</w:t>
      </w:r>
    </w:p>
    <w:p>
      <w:pPr>
        <w:spacing w:after="0" w:line="104" w:lineRule="exact"/>
        <w:rPr>
          <w:sz w:val="20"/>
          <w:szCs w:val="20"/>
          <w:color w:val="auto"/>
        </w:rPr>
      </w:pPr>
    </w:p>
    <w:p>
      <w:pPr>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$146 million in charges primarily from a fair market value adjustment of a note receivable from our customer in Venezuela and write-downs in inventory and other assets;</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$101 million in litigation charges mainly related to advancement in negotiations with the SEC/DOJ regarding our income tax restatements from previous years;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$69 million in charges from bond tender premiums related to the repurchase of our senior notes;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 million in severance and restructuring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above charges were partly offset with $45 million of income from the settlement of our Zubair legacy contract.</w:t>
      </w:r>
    </w:p>
    <w:p>
      <w:pPr>
        <w:spacing w:after="0" w:line="200" w:lineRule="exact"/>
        <w:rPr>
          <w:sz w:val="20"/>
          <w:szCs w:val="20"/>
          <w:color w:val="auto"/>
        </w:rPr>
      </w:pPr>
    </w:p>
    <w:p>
      <w:pPr>
        <w:spacing w:after="0" w:line="21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Operating margin of -4.7% for the second quarter improved by 520 basis points sequentially, and deteriorated 621 basis points from the second quarter of 2015. Adjusted operating margin of -8.3%, for the second quarter decreased by 168 basis points sequentially, and declined 1,318 basis points from the second quarter of 2015. Sequentially, an overall 11% reduction in revenue resulted in adjusted operating income decrementals of 6%. Year-over-year revenue was down 41% with adjusted operating income decrementals of 24%. The negative operating margins continue to include about $50 million of costs per quarter to preserve the operating infrastructure and structural organization to enable the company to respond effectively to the anticipated increase in activity levels.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Segment Highlights</w:t>
            </w: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9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4"/>
            <w:vMerge w:val="restart"/>
          </w:tcPr>
          <w:p>
            <w:pPr>
              <w:jc w:val="right"/>
              <w:ind w:right="9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vMerge w:val="restart"/>
          </w:tcPr>
          <w:p>
            <w:pPr>
              <w:jc w:val="right"/>
              <w:ind w:right="1270"/>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line="20" w:lineRule="exact"/>
              <w:rPr>
                <w:sz w:val="1"/>
                <w:szCs w:val="1"/>
                <w:color w:val="auto"/>
              </w:rPr>
            </w:pPr>
          </w:p>
        </w:tc>
      </w:tr>
      <w:tr>
        <w:trPr>
          <w:trHeight w:val="439"/>
        </w:trPr>
        <w:tc>
          <w:tcPr>
            <w:tcW w:w="3900" w:type="dxa"/>
            <w:vAlign w:val="bottom"/>
            <w:gridSpan w:val="5"/>
          </w:tcPr>
          <w:p>
            <w:pPr>
              <w:ind w:left="40"/>
              <w:spacing w:after="0"/>
              <w:rPr>
                <w:sz w:val="20"/>
                <w:szCs w:val="20"/>
                <w:color w:val="auto"/>
              </w:rPr>
            </w:pPr>
            <w:r>
              <w:rPr>
                <w:rFonts w:ascii="Arial" w:cs="Arial" w:eastAsia="Arial" w:hAnsi="Arial"/>
                <w:sz w:val="18"/>
                <w:szCs w:val="18"/>
                <w:color w:val="auto"/>
              </w:rPr>
              <w:t>(In Millions, Except Per Share Amounts)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3/31/2016</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6/30/2015</w:t>
            </w:r>
          </w:p>
        </w:tc>
        <w:tc>
          <w:tcPr>
            <w:tcW w:w="3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44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Year-on-Year</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5"/>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543</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21"/>
                <w:szCs w:val="21"/>
                <w:color w:val="auto"/>
              </w:rPr>
            </w:pP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(26) %</w:t>
            </w:r>
          </w:p>
        </w:tc>
        <w:tc>
          <w:tcPr>
            <w:tcW w:w="15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900" w:type="dxa"/>
            <w:vAlign w:val="bottom"/>
            <w:gridSpan w:val="5"/>
          </w:tcPr>
          <w:p>
            <w:pPr>
              <w:ind w:left="40"/>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 bps)</w:t>
            </w:r>
          </w:p>
        </w:tc>
        <w:tc>
          <w:tcPr>
            <w:tcW w:w="440" w:type="dxa"/>
            <w:vAlign w:val="bottom"/>
          </w:tcPr>
          <w:p>
            <w:pPr>
              <w:spacing w:after="0"/>
              <w:rPr>
                <w:sz w:val="21"/>
                <w:szCs w:val="21"/>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(1,371 bps)</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Second quarter revenues of $401 million were down $142 million, or 26% sequentially, and down $407 million, or 50%, over the same quarter in the prior year. Second quarter operating losses decreased by $27 million sequentially to $101 million (-25.2% margin) and increased $9 million from an operating loss of $92 million in the same quarter of the prior year. The 26% decrease in sequential revenue in the region outperformed the 35% drop in the North American rig count and reflected reduced customer activity and spending as well as the Canadian seasonal spring break-up, coupled with continued pricing headwinds. Operating losses decreased sequentially, resulting in incrementals of 19%. Driving these results were the benefits from aggressive cost saving actions taken during the first half of 2016. Year-over-year decrementals were a respectable 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3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96"/>
              </w:rPr>
              <w:t>Three Months Ended</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7"/>
              </w:rPr>
              <w:t>Change</w:t>
            </w: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 Millions, Except Per Share Amounts)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3/31/2016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6/30/2015</w:t>
            </w:r>
          </w:p>
        </w:tc>
        <w:tc>
          <w:tcPr>
            <w:tcW w:w="3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Year-on-Year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Operations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1,397</w:t>
            </w:r>
          </w:p>
        </w:tc>
        <w:tc>
          <w:tcPr>
            <w:tcW w:w="320" w:type="dxa"/>
            <w:vAlign w:val="bottom"/>
          </w:tcPr>
          <w:p>
            <w:pPr>
              <w:spacing w:after="0"/>
              <w:rPr>
                <w:sz w:val="21"/>
                <w:szCs w:val="21"/>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Adjusted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21"/>
                <w:szCs w:val="21"/>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(97) %</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Adjusted Operating Margin</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 bps)</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 bps)</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Second quarter revenues of $892 million were down $31 million, or 3% sequentially, and lower by $505 million, or 36% compared to the same quarter in the prior year. Second quarter operating income of $52 million (5.8% margin) was $55 million higher sequentially and $72 million lower versus the same quarter in the prior year. Second quarter adjusted operating income of $2 million (0.2% margin) was lower by $47 million sequentially and $203 million lower versus the same quarter in the prior year. Adjusted operating income excludes both charges and credits associated with our Zubair legacy contract. The decline in international sequential revenue outperformed the rig count decrease of 7%.</w:t>
      </w:r>
    </w:p>
    <w:p>
      <w:pPr>
        <w:spacing w:after="0" w:line="2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Second quarter revenues of $249 million were down $56 million, or 18% sequentially, and down $214 million, or 46%, compared to the same quarter in the prior year. Second quarter operating income of $1 million (0.6% margin) was down 97% sequentially and down 98% compared to the same quarter in the prior year. Activity declines, particularly in Mexico, Brazil and Colombia were the primary drivers of both the revenue and operating income declines as customers continued to reduce their spend. Cost reduction actions taken late in the second quarter did not impact the results of the quarter.</w:t>
      </w:r>
    </w:p>
    <w:p>
      <w:pPr>
        <w:spacing w:after="0" w:line="2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$243 million were down $14 million, or 5% sequentially, and down $175 million, or 42%, over the same quarter in the prior year. Second quarter operating income of $1 million (0.3% margin) increased $2 million or 156% sequentially, and down 99% when compared to the same quarter in the prior year. The revenue and operating loss decline was primarily due to customer activity reductions across offshore West Africa, principally in Angola, partly offset by the seasonal recovery in Russia.</w:t>
      </w:r>
    </w:p>
    <w:p>
      <w:pPr>
        <w:spacing w:after="0" w:line="28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Second quarter revenues of $400 million were up $39 million, or 11% sequentially, and down $116 million, or 23%, from the same quarter in the prior year. Operating income of $50 million (12.5% margin) was up 209% sequentially and up 394% from the same quarter in the prior year. Adjusted operating income, which excludes the impact of the Zubair contract, was essentially at break-even levels. The sequential revenue increase was primarily due to the settlement of the Zubair legacy contract in Iraq and was partially offset by activity declines across many of the Asia Pacific operations. Sequentially, the adjusted operating income decreased due to the lower activity levels during the quarter.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Second quarter revenues of $109 million were down $10 million, or 9% sequentially, and down $76 million, or 41%, compared to the same quarter in the prior year. The termination fees earned in the first quarter of 2016 and the completion of certain projects during the second quarter were the main constituents of the sequential revenue decline. Second quarter operating loss of $17 million (-15.7% margin) was up $9 million sequentially and down $21 million from the same quarter in the prior year. The operating loss improved sequentially due to increased activity in Saudi Arabia and continued structural cost reductions.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38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July 26, 2016, Weatherford announced that it has signed a Joint Initiative Agreement (JIA) with IBM (NYSE: IBM) to collaborate on the development of new products and services for oil and gas producers that leverage IBM advanced analytics and Internet of Things capabilities on the IBM Cloud and further strengthen Weatherford's industry-leading production optimization technologies. Through the joint initiative Weatherford and IBM will develop new analytics solutions, all available via IBM Cloud, that are based on Weatherford’s extensive production optimization and engineering software platform, its supervisory control and data acquisition (SCADA) tools, and its sensors and controllers. The jointly-developed solutions will be part of the Company’s new Reservoir Solutions global business unit, which was launched in early 2016 and is dedicated to providing integrated offerings that help its clients lower their operating costs and increase production.</w:t>
      </w:r>
    </w:p>
    <w:p>
      <w:pPr>
        <w:spacing w:after="0" w:line="272" w:lineRule="exact"/>
        <w:rPr>
          <w:rFonts w:ascii="Arial" w:cs="Arial" w:eastAsia="Arial" w:hAnsi="Arial"/>
          <w:sz w:val="17"/>
          <w:szCs w:val="17"/>
          <w:color w:val="auto"/>
        </w:rPr>
      </w:pPr>
    </w:p>
    <w:p>
      <w:pPr>
        <w:jc w:val="both"/>
        <w:ind w:left="660" w:hanging="328"/>
        <w:spacing w:after="0" w:line="37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quarter, Weatherford was awarded a five-year Drilling Services contract by a Middle Eastern National Oil Company (NOC) client, effectively doubling our market share in the country. The customer made this award on the basis of our advanced Logging-while-Drilling (LWD) technology, our outstanding performance record and superior service quality.</w:t>
      </w:r>
    </w:p>
    <w:p>
      <w:pPr>
        <w:spacing w:after="0" w:line="277" w:lineRule="exact"/>
        <w:rPr>
          <w:rFonts w:ascii="Arial" w:cs="Arial" w:eastAsia="Arial" w:hAnsi="Arial"/>
          <w:sz w:val="18"/>
          <w:szCs w:val="18"/>
          <w:color w:val="auto"/>
        </w:rPr>
      </w:pPr>
    </w:p>
    <w:p>
      <w:pPr>
        <w:jc w:val="both"/>
        <w:ind w:left="660" w:hanging="328"/>
        <w:spacing w:after="0" w:line="41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Weatherford secured several multi-year contracts for Upper Completions and Well Screens for a super major on Russia’s Sakhalin Island. These contracts, combined with our existing contracts for Annular Safety Systems and Premium Open-Hole Cup Seal Packers, place our Company as the primary Completion supplier for these wells. In addition, Weatherford was awarded a contract for five wells in Australia for our new Open Hole Gravel pack system and associated pumping services. The Gravel Pack system is a clean sheet design that brings several improvements to the market over existing technology. This contract gives Weatherford their first foothold in the Asia Pacific Gravel Pack market. Both of these contract wins follow market share gains achieved in the first quarter in Norway when Weatherford was awarded the Completion work on the Fram field.</w:t>
      </w:r>
    </w:p>
    <w:p>
      <w:pPr>
        <w:spacing w:after="0" w:line="256" w:lineRule="exact"/>
        <w:rPr>
          <w:rFonts w:ascii="Arial" w:cs="Arial" w:eastAsia="Arial" w:hAnsi="Arial"/>
          <w:sz w:val="16"/>
          <w:szCs w:val="16"/>
          <w:color w:val="auto"/>
        </w:rPr>
      </w:pPr>
    </w:p>
    <w:p>
      <w:pPr>
        <w:ind w:left="660" w:right="20" w:hanging="328"/>
        <w:spacing w:after="0" w:line="42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Another notable trend this quarter was the increasing deployment of the Company’s Jet Pump in the Permian Basin, replacing previous electric submersible pumps (ESP) installations. Clients benefit from such a substitution with lower overall cost and reduced production downtime.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10" w:name="page11"/>
    <w:bookmarkEnd w:id="10"/>
    <w:p>
      <w:pPr>
        <w:jc w:val="both"/>
        <w:ind w:left="660" w:hanging="328"/>
        <w:spacing w:after="0" w:line="3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Weatherford recently completed a rigless intervention project in the Gulf of Mexico for which it was the sole service provider. This marked the first time that a complex intervention was completed by a single party with multiple vessels in the region. The ability for one company to provide this range of integrated services - including coiled tubing, well testing, thru tubing, wireline, managed pressure drilling services, and slickline - without a rig significantly simplified logistics and resulted in time and cost savings. The intervention was a success, increasing the production rate 70% beyond the operator’s expectations.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00" w:lineRule="exact"/>
        <w:rPr>
          <w:sz w:val="20"/>
          <w:szCs w:val="20"/>
          <w:color w:val="auto"/>
        </w:rPr>
      </w:pPr>
    </w:p>
    <w:p>
      <w:pPr>
        <w:spacing w:after="0" w:line="218" w:lineRule="exact"/>
        <w:rPr>
          <w:sz w:val="20"/>
          <w:szCs w:val="20"/>
          <w:color w:val="auto"/>
        </w:rPr>
      </w:pPr>
    </w:p>
    <w:p>
      <w:pPr>
        <w:jc w:val="both"/>
        <w:spacing w:after="0" w:line="417" w:lineRule="auto"/>
        <w:rPr>
          <w:sz w:val="20"/>
          <w:szCs w:val="20"/>
          <w:color w:val="auto"/>
        </w:rPr>
      </w:pPr>
      <w:r>
        <w:rPr>
          <w:rFonts w:ascii="Arial" w:cs="Arial" w:eastAsia="Arial" w:hAnsi="Arial"/>
          <w:sz w:val="16"/>
          <w:szCs w:val="16"/>
          <w:color w:val="auto"/>
        </w:rPr>
        <w:t>Net cash used in operating activities was $139 million and free cash flow used in operations was $160 million for the second quarter of 2016. Working capital balances did not generate as much cash as expected, primarily due to much slower receivable collections from some of our key customers and to a certain extent lower than expected inventory reductions due to the decline in product sales. Capital expenditures of $31 million were down $156 million, or 83% versus the same quarter in the prior year and reduced by $12 million, or 28%, from the first quarter of 2016. Also included in the quarter’s free cash flow were $97 million of debt interest payments, including an accelerated $27 million payment due to the early retirement of Weatherford’s senior notes. Additionally, $50 million of cash severance and restructuring costs were paid, to further reduce operating costs going forward.</w:t>
      </w:r>
    </w:p>
    <w:p>
      <w:pPr>
        <w:spacing w:after="0" w:line="25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Company’s second quarter capital market transactions provide plenty of near-term financial flexibility and liquidity, and successfully extend Weatherford’s near-term maturity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the current year presentation related to the adoption of new accounting standards.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32,000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Facebook, LinkedIn, Twitter and YouTube.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with financial analysts to discuss the quarterly results on July 28, 2016, at 7:00 a.m. eastern time (ET), 6:00 a.m.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central time (CT). Weatherford invites investors to listen to the call live via the Company’s website, </w:t>
      </w:r>
      <w:r>
        <w:rPr>
          <w:rFonts w:ascii="Arial" w:cs="Arial" w:eastAsia="Arial" w:hAnsi="Arial"/>
          <w:sz w:val="16"/>
          <w:szCs w:val="16"/>
          <w:u w:val="single" w:color="auto"/>
          <w:color w:val="auto"/>
        </w:rPr>
        <w:t>www.weatherford.com</w:t>
      </w:r>
      <w:r>
        <w:rPr>
          <w:rFonts w:ascii="Arial" w:cs="Arial" w:eastAsia="Arial" w:hAnsi="Arial"/>
          <w:sz w:val="16"/>
          <w:szCs w:val="16"/>
          <w:color w:val="auto"/>
        </w:rPr>
        <w:t>, in the Investor Relations section.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recording of the conference call and transcript of the call will be available in that section of the website shortly after the call ends.</w:t>
      </w:r>
    </w:p>
    <w:p>
      <w:pPr>
        <w:spacing w:after="0" w:line="200" w:lineRule="exact"/>
        <w:rPr>
          <w:sz w:val="20"/>
          <w:szCs w:val="20"/>
          <w:color w:val="auto"/>
        </w:rPr>
      </w:pP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860" w:type="dxa"/>
            <w:vAlign w:val="bottom"/>
          </w:tcPr>
          <w:p>
            <w:pPr>
              <w:ind w:left="3300"/>
              <w:spacing w:after="0"/>
              <w:rPr>
                <w:sz w:val="20"/>
                <w:szCs w:val="20"/>
                <w:color w:val="auto"/>
              </w:rPr>
            </w:pPr>
            <w:r>
              <w:rPr>
                <w:rFonts w:ascii="Arial" w:cs="Arial" w:eastAsia="Arial" w:hAnsi="Arial"/>
                <w:sz w:val="18"/>
                <w:szCs w:val="18"/>
                <w:color w:val="auto"/>
              </w:rPr>
              <w:t># # #</w:t>
            </w:r>
          </w:p>
        </w:tc>
        <w:tc>
          <w:tcPr>
            <w:tcW w:w="22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86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2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2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56"/>
        </w:trPr>
        <w:tc>
          <w:tcPr>
            <w:tcW w:w="1120" w:type="dxa"/>
            <w:vAlign w:val="bottom"/>
          </w:tcPr>
          <w:p>
            <w:pPr>
              <w:spacing w:after="0"/>
              <w:rPr>
                <w:sz w:val="22"/>
                <w:szCs w:val="22"/>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Vice President – Investor Relations, Corporate Marketing and</w:t>
            </w:r>
          </w:p>
        </w:tc>
        <w:tc>
          <w:tcPr>
            <w:tcW w:w="220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2200" w:type="dxa"/>
            <w:vAlign w:val="bottom"/>
          </w:tcPr>
          <w:p>
            <w:pPr>
              <w:spacing w:after="0"/>
              <w:rPr>
                <w:sz w:val="20"/>
                <w:szCs w:val="20"/>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size and components of the expected costs, expenses, savings and charges associated with prior workforce reduction and prior and ongoing facility closures; and risks associated with the Company’s ability to achieve the benefits and cost savings of such activities.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14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6/30/2016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6/30/2016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 East/North Africa/Asia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Europe/SSA/Russia</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 East/North Africa/Asia</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Europe/SSA/Russia</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Segment 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Loss on Sale of Businesses, Net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60" w:type="dxa"/>
            <w:vAlign w:val="bottom"/>
          </w:tcPr>
          <w:p>
            <w:pPr>
              <w:ind w:left="260"/>
              <w:spacing w:after="0"/>
              <w:rPr>
                <w:sz w:val="20"/>
                <w:szCs w:val="20"/>
                <w:color w:val="auto"/>
              </w:rPr>
            </w:pPr>
            <w:r>
              <w:rPr>
                <w:rFonts w:ascii="Arial" w:cs="Arial" w:eastAsia="Arial" w:hAnsi="Arial"/>
                <w:sz w:val="18"/>
                <w:szCs w:val="18"/>
                <w:color w:val="auto"/>
              </w:rPr>
              <w:t>Total Operating Loss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Bond Tender Premium, Net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1"/>
        </w:trPr>
        <w:tc>
          <w:tcPr>
            <w:tcW w:w="59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8"/>
                <w:szCs w:val="18"/>
                <w:color w:val="auto"/>
              </w:rPr>
              <w:t>Basic &amp;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&amp; Diluted</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1"/>
                <w:szCs w:val="21"/>
                <w:color w:val="auto"/>
              </w:rPr>
            </w:pPr>
          </w:p>
        </w:tc>
      </w:tr>
      <w:tr>
        <w:trPr>
          <w:trHeight w:val="27"/>
        </w:trPr>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600"/>
          </w:cols>
          <w:pgMar w:left="660" w:top="742" w:right="63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00"/>
          </w:cols>
          <w:pgMar w:left="660" w:top="742" w:right="6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6"/>
                <w:szCs w:val="16"/>
                <w:color w:val="auto"/>
                <w:w w:val="93"/>
              </w:rPr>
              <w:t>(Unaudited)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6/30/2016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6/30/2015</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6/30/2015</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Loss on Sale of Businesses, Net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Charges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71"/>
        </w:trPr>
        <w:tc>
          <w:tcPr>
            <w:tcW w:w="4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6/30/2015</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Product Service Line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r>
      <w:tr>
        <w:trPr>
          <w:trHeight w:val="271"/>
        </w:trPr>
        <w:tc>
          <w:tcPr>
            <w:tcW w:w="4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6/30/2015</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Services, Cementing, Liner Systems, Integrated Laboratory Services and Surface Logging.</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6/30/2016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3/31/2016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6/30/2015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6/30/2016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6/30/2015</w:t>
            </w:r>
          </w:p>
        </w:tc>
        <w:tc>
          <w:tcPr>
            <w:tcW w:w="22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GAAP 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Severance, Restructuring and Exited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Litigation Charges, Net</w:t>
            </w:r>
          </w:p>
        </w:tc>
        <w:tc>
          <w:tcPr>
            <w:tcW w:w="1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0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23"/>
                <w:szCs w:val="23"/>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Legacy Contracts and Other</w:t>
            </w:r>
          </w:p>
        </w:tc>
        <w:tc>
          <w:tcPr>
            <w:tcW w:w="1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Sale of Businesses,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auto"/>
              </w:rPr>
              <w:t>Total Non-GAAP Adjustments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Adjusted 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5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GAAP 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Bond Tender Premium, Net</w:t>
            </w:r>
          </w:p>
        </w:tc>
        <w:tc>
          <w:tcPr>
            <w:tcW w:w="1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Currency Devaluation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24"/>
                <w:szCs w:val="24"/>
                <w:color w:val="auto"/>
              </w:rPr>
            </w:pPr>
          </w:p>
        </w:tc>
      </w:tr>
      <w:tr>
        <w:trPr>
          <w:trHeight w:val="271"/>
        </w:trPr>
        <w:tc>
          <w:tcPr>
            <w:tcW w:w="5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Benefit for Income Taxes: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Tax Effect on Non-GAAP Adjustments</w:t>
            </w:r>
          </w:p>
        </w:tc>
        <w:tc>
          <w:tcPr>
            <w:tcW w:w="1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Benefit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5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GAAP 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Charges,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tcPr>
          <w:p>
            <w:pPr>
              <w:spacing w:after="0"/>
              <w:rPr>
                <w:sz w:val="24"/>
                <w:szCs w:val="24"/>
                <w:color w:val="auto"/>
              </w:rPr>
            </w:pPr>
          </w:p>
        </w:tc>
      </w:tr>
      <w:tr>
        <w:trPr>
          <w:trHeight w:val="271"/>
        </w:trPr>
        <w:tc>
          <w:tcPr>
            <w:tcW w:w="5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Diluted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Total Charges, net of tax</w:t>
            </w:r>
          </w:p>
        </w:tc>
        <w:tc>
          <w:tcPr>
            <w:tcW w:w="16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5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50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(b)</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3"/>
                <w:szCs w:val="23"/>
                <w:color w:val="auto"/>
              </w:rPr>
            </w:pPr>
          </w:p>
        </w:tc>
      </w:tr>
      <w:tr>
        <w:trPr>
          <w:trHeight w:val="263"/>
        </w:trPr>
        <w:tc>
          <w:tcPr>
            <w:tcW w:w="5060" w:type="dxa"/>
            <w:vAlign w:val="bottom"/>
          </w:tcPr>
          <w:p>
            <w:pPr>
              <w:ind w:left="160"/>
              <w:spacing w:after="0" w:line="263"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(c)</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2"/>
                <w:szCs w:val="22"/>
                <w:color w:val="auto"/>
              </w:rPr>
            </w:pPr>
          </w:p>
        </w:tc>
      </w:tr>
    </w:tbl>
    <w:p>
      <w:pPr>
        <w:ind w:left="260" w:hanging="252"/>
        <w:spacing w:after="0" w:line="241"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Impairments, Asset Write-Downs and Other include primarily write-downs of inventory, note receivable and other assets, long-lived and other asset impairment charges, supply agreement charges, insurance losses and professional fees and other charges.</w:t>
      </w: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GAAP Effective Tax Rate is the GAAP provision for income taxes divided by GAAP income before income taxes.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6/30/2015</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2,195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6,943</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6,235</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6/30/2016: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3/31/2016</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(6,594)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Issuance Fees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Bond Tender Premium,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Asset Write-Downs and Other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Billings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6/30/2016</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Six Months Ended 6/30/2016: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12/31/2015</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(6,967)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Issuance Proceeds,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Bond Tender Premium,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Rig Loss Proceeds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Asset Write-Downs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Currency Devaluation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Billings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6/30/2016</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68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0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6/30/2016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3/31/2016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12/31/2015</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r>
      <w:tr>
        <w:trPr>
          <w:trHeight w:val="257"/>
        </w:trPr>
        <w:tc>
          <w:tcPr>
            <w:tcW w:w="684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(6,967)</w:t>
            </w: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it provides useful information regarding our level of indebtedness by reflecting cash that could be used to repay debt.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6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8"/>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6/30/2016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3/31/2016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6/30/2015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6/30/2016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6/30/2015</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249</w:t>
            </w:r>
          </w:p>
        </w:tc>
      </w:tr>
      <w:tr>
        <w:trPr>
          <w:trHeight w:val="32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w:t>
            </w:r>
          </w:p>
        </w:tc>
      </w:tr>
      <w:tr>
        <w:trPr>
          <w:trHeight w:val="32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Proceeds from Dispositions and Insurance Recoveries*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318"/>
        </w:trPr>
        <w:tc>
          <w:tcPr>
            <w:tcW w:w="5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r>
      <w:tr>
        <w:trPr>
          <w:trHeight w:val="318"/>
        </w:trPr>
        <w:tc>
          <w:tcPr>
            <w:tcW w:w="5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for Litigation Reimbursements**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324"/>
        </w:trPr>
        <w:tc>
          <w:tcPr>
            <w:tcW w:w="57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Provided by (Used In)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plus proceeds from dispositions and insurance recoveries. “Free Cash Flow Provided by (Used In) Operations” is defined as net cash provided by or used in operating activities less capital expenditures plus proceeds from dispositions and insurance recoveries and adjusted for litigation reimbursements. Management uses the two free cash flow metrics to measure progress on capital efficiency and cash flow initiatives.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*Includes in the first and second quarter 2016 $6 million and $10 million, respectively, from the disposal of property, plant, and equipment and $30 million of insurance reimbursements received during the first quarter of 2016 on a land drilling rig loss.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**Includes in the first quarter 2016 insurance proceeds received during the applicable period reimbursing a portion of a shareholder derivative litigation settlement payment of $120 million made in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2019-12-09T00:47:10Z</dcterms:created>
  <dcterms:modified xsi:type="dcterms:W3CDTF">2019-12-09T00:47:10Z</dcterms:modified>
</cp:coreProperties>
</file>