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17, 2014</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333-48320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 UNDER THE SECURITIES ACT OF 1933</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Weatherford International public limited company</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Ireland</w:t>
            </w:r>
          </w:p>
        </w:tc>
        <w:tc>
          <w:tcPr>
            <w:tcW w:w="4060" w:type="dxa"/>
            <w:vAlign w:val="bottom"/>
          </w:tcPr>
          <w:p>
            <w:pPr>
              <w:jc w:val="center"/>
              <w:ind w:left="2726"/>
              <w:spacing w:after="0"/>
              <w:rPr>
                <w:sz w:val="20"/>
                <w:szCs w:val="20"/>
                <w:color w:val="auto"/>
              </w:rPr>
            </w:pPr>
            <w:r>
              <w:rPr>
                <w:rFonts w:ascii="Arial" w:cs="Arial" w:eastAsia="Arial" w:hAnsi="Arial"/>
                <w:sz w:val="18"/>
                <w:szCs w:val="18"/>
                <w:b w:val="1"/>
                <w:bCs w:val="1"/>
                <w:color w:val="auto"/>
                <w:w w:val="89"/>
              </w:rPr>
              <w:t>98-0606750</w:t>
            </w:r>
          </w:p>
        </w:tc>
      </w:tr>
      <w:tr>
        <w:trPr>
          <w:trHeight w:val="135"/>
        </w:trPr>
        <w:tc>
          <w:tcPr>
            <w:tcW w:w="4940" w:type="dxa"/>
            <w:vAlign w:val="bottom"/>
          </w:tcPr>
          <w:p>
            <w:pPr>
              <w:jc w:val="center"/>
              <w:ind w:right="2703"/>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4060" w:type="dxa"/>
            <w:vAlign w:val="bottom"/>
          </w:tcPr>
          <w:p>
            <w:pPr>
              <w:jc w:val="center"/>
              <w:ind w:left="272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940" w:type="dxa"/>
            <w:vAlign w:val="bottom"/>
          </w:tcPr>
          <w:p>
            <w:pPr>
              <w:jc w:val="center"/>
              <w:ind w:right="2703"/>
              <w:spacing w:after="0"/>
              <w:rPr>
                <w:sz w:val="20"/>
                <w:szCs w:val="20"/>
                <w:color w:val="auto"/>
              </w:rPr>
            </w:pPr>
            <w:r>
              <w:rPr>
                <w:rFonts w:ascii="Arial" w:cs="Arial" w:eastAsia="Arial" w:hAnsi="Arial"/>
                <w:sz w:val="13"/>
                <w:szCs w:val="13"/>
                <w:b w:val="1"/>
                <w:bCs w:val="1"/>
                <w:color w:val="auto"/>
                <w:w w:val="88"/>
              </w:rPr>
              <w:t>incorporation or organization)</w:t>
            </w:r>
          </w:p>
        </w:tc>
        <w:tc>
          <w:tcPr>
            <w:tcW w:w="4060" w:type="dxa"/>
            <w:vAlign w:val="bottom"/>
          </w:tcPr>
          <w:p>
            <w:pPr>
              <w:jc w:val="center"/>
              <w:ind w:left="2726"/>
              <w:spacing w:after="0"/>
              <w:rPr>
                <w:sz w:val="20"/>
                <w:szCs w:val="20"/>
                <w:color w:val="auto"/>
              </w:rPr>
            </w:pPr>
            <w:r>
              <w:rPr>
                <w:rFonts w:ascii="Arial" w:cs="Arial" w:eastAsia="Arial" w:hAnsi="Arial"/>
                <w:sz w:val="13"/>
                <w:szCs w:val="13"/>
                <w:b w:val="1"/>
                <w:bCs w:val="1"/>
                <w:color w:val="auto"/>
                <w:w w:val="91"/>
              </w:rPr>
              <w:t>Identification Number)</w:t>
            </w:r>
          </w:p>
        </w:tc>
      </w:tr>
      <w:tr>
        <w:trPr>
          <w:trHeight w:val="241"/>
        </w:trPr>
        <w:tc>
          <w:tcPr>
            <w:tcW w:w="4940" w:type="dxa"/>
            <w:vAlign w:val="bottom"/>
          </w:tcPr>
          <w:p>
            <w:pPr>
              <w:jc w:val="center"/>
              <w:ind w:right="2703"/>
              <w:spacing w:after="0"/>
              <w:rPr>
                <w:sz w:val="20"/>
                <w:szCs w:val="20"/>
                <w:color w:val="auto"/>
              </w:rPr>
            </w:pPr>
            <w:r>
              <w:rPr>
                <w:rFonts w:ascii="Arial" w:cs="Arial" w:eastAsia="Arial" w:hAnsi="Arial"/>
                <w:sz w:val="18"/>
                <w:szCs w:val="18"/>
                <w:b w:val="1"/>
                <w:bCs w:val="1"/>
                <w:color w:val="auto"/>
                <w:w w:val="87"/>
              </w:rPr>
              <w:t>Bahnhofstrasse 1</w:t>
            </w:r>
          </w:p>
        </w:tc>
        <w:tc>
          <w:tcPr>
            <w:tcW w:w="4060" w:type="dxa"/>
            <w:vAlign w:val="bottom"/>
          </w:tcPr>
          <w:p>
            <w:pPr>
              <w:spacing w:after="0"/>
              <w:rPr>
                <w:sz w:val="20"/>
                <w:szCs w:val="20"/>
                <w:color w:val="auto"/>
              </w:rPr>
            </w:pPr>
          </w:p>
        </w:tc>
      </w:tr>
      <w:tr>
        <w:trPr>
          <w:trHeight w:val="216"/>
        </w:trPr>
        <w:tc>
          <w:tcPr>
            <w:tcW w:w="4940" w:type="dxa"/>
            <w:vAlign w:val="bottom"/>
          </w:tcPr>
          <w:p>
            <w:pPr>
              <w:jc w:val="center"/>
              <w:ind w:right="2703"/>
              <w:spacing w:after="0"/>
              <w:rPr>
                <w:sz w:val="20"/>
                <w:szCs w:val="20"/>
                <w:color w:val="auto"/>
              </w:rPr>
            </w:pPr>
            <w:r>
              <w:rPr>
                <w:rFonts w:ascii="Arial" w:cs="Arial" w:eastAsia="Arial" w:hAnsi="Arial"/>
                <w:sz w:val="18"/>
                <w:szCs w:val="18"/>
                <w:b w:val="1"/>
                <w:bCs w:val="1"/>
                <w:color w:val="auto"/>
                <w:w w:val="90"/>
              </w:rPr>
              <w:t>6340 Baar, Switzerland</w:t>
            </w:r>
          </w:p>
        </w:tc>
        <w:tc>
          <w:tcPr>
            <w:tcW w:w="4060" w:type="dxa"/>
            <w:vAlign w:val="bottom"/>
          </w:tcPr>
          <w:p>
            <w:pPr>
              <w:jc w:val="center"/>
              <w:ind w:left="2726"/>
              <w:spacing w:after="0"/>
              <w:rPr>
                <w:sz w:val="20"/>
                <w:szCs w:val="20"/>
                <w:color w:val="auto"/>
              </w:rPr>
            </w:pPr>
            <w:r>
              <w:rPr>
                <w:rFonts w:ascii="Arial" w:cs="Arial" w:eastAsia="Arial" w:hAnsi="Arial"/>
                <w:sz w:val="18"/>
                <w:szCs w:val="18"/>
                <w:b w:val="1"/>
                <w:bCs w:val="1"/>
                <w:color w:val="auto"/>
                <w:w w:val="96"/>
              </w:rPr>
              <w:t>N/A</w:t>
            </w:r>
          </w:p>
        </w:tc>
      </w:tr>
      <w:tr>
        <w:trPr>
          <w:trHeight w:val="164"/>
        </w:trPr>
        <w:tc>
          <w:tcPr>
            <w:tcW w:w="4940" w:type="dxa"/>
            <w:vAlign w:val="bottom"/>
          </w:tcPr>
          <w:p>
            <w:pPr>
              <w:jc w:val="center"/>
              <w:ind w:right="2703"/>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4060" w:type="dxa"/>
            <w:vAlign w:val="bottom"/>
          </w:tcPr>
          <w:p>
            <w:pPr>
              <w:jc w:val="center"/>
              <w:ind w:left="2726"/>
              <w:spacing w:after="0"/>
              <w:rPr>
                <w:sz w:val="20"/>
                <w:szCs w:val="20"/>
                <w:color w:val="auto"/>
              </w:rPr>
            </w:pPr>
            <w:r>
              <w:rPr>
                <w:rFonts w:ascii="Arial" w:cs="Arial" w:eastAsia="Arial" w:hAnsi="Arial"/>
                <w:sz w:val="13"/>
                <w:szCs w:val="13"/>
                <w:b w:val="1"/>
                <w:bCs w:val="1"/>
                <w:color w:val="auto"/>
                <w:w w:val="90"/>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Inc. 1998 Employee Stock Option Plan, as amended</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(Full title of the plan)</w:t>
      </w:r>
    </w:p>
    <w:p>
      <w:pPr>
        <w:spacing w:after="0" w:line="1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Alejandro Cestero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Co-General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1"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with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B. Newton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 Louisiana,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427-5000</w:t>
      </w:r>
    </w:p>
    <w:p>
      <w:pPr>
        <w:spacing w:after="0" w:line="9" w:lineRule="exact"/>
        <w:rPr>
          <w:rFonts w:ascii="Arial" w:cs="Arial" w:eastAsia="Arial" w:hAnsi="Arial"/>
          <w:sz w:val="18"/>
          <w:szCs w:val="18"/>
          <w:b w:val="1"/>
          <w:bCs w:val="1"/>
          <w:color w:val="auto"/>
        </w:rPr>
      </w:pPr>
    </w:p>
    <w:p>
      <w:pPr>
        <w:ind w:left="3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4" w:lineRule="exact"/>
        <w:rPr>
          <w:sz w:val="24"/>
          <w:szCs w:val="24"/>
          <w:color w:val="auto"/>
        </w:rPr>
      </w:pPr>
    </w:p>
    <w:tbl>
      <w:tblPr>
        <w:tblLayout w:type="fixed"/>
        <w:tblInd w:w="200" w:type="dxa"/>
        <w:tblCellMar>
          <w:top w:w="0" w:type="dxa"/>
          <w:left w:w="0" w:type="dxa"/>
          <w:bottom w:w="0" w:type="dxa"/>
          <w:right w:w="0" w:type="dxa"/>
        </w:tblCellMar>
      </w:tblPr>
      <w:tr>
        <w:trPr>
          <w:trHeight w:val="235"/>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60" w:type="dxa"/>
            <w:vAlign w:val="bottom"/>
          </w:tcPr>
          <w:p>
            <w:pPr>
              <w:ind w:left="400"/>
              <w:spacing w:after="0"/>
              <w:rPr>
                <w:sz w:val="20"/>
                <w:szCs w:val="20"/>
                <w:color w:val="auto"/>
              </w:rPr>
            </w:pPr>
            <w:r>
              <w:rPr>
                <w:rFonts w:ascii="Arial" w:cs="Arial" w:eastAsia="Arial" w:hAnsi="Arial"/>
                <w:sz w:val="18"/>
                <w:szCs w:val="18"/>
                <w:color w:val="auto"/>
              </w:rPr>
              <w:t>x</w:t>
            </w:r>
          </w:p>
        </w:tc>
        <w:tc>
          <w:tcPr>
            <w:tcW w:w="328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440"/>
              <w:spacing w:after="0"/>
              <w:rPr>
                <w:sz w:val="20"/>
                <w:szCs w:val="20"/>
                <w:color w:val="auto"/>
              </w:rPr>
            </w:pPr>
            <w:r>
              <w:rPr>
                <w:rFonts w:ascii="Arial" w:cs="Arial" w:eastAsia="Arial" w:hAnsi="Arial"/>
                <w:sz w:val="14"/>
                <w:szCs w:val="14"/>
                <w:color w:val="auto"/>
                <w:w w:val="76"/>
              </w:rPr>
              <w:t>o</w:t>
            </w:r>
          </w:p>
        </w:tc>
      </w:tr>
      <w:tr>
        <w:trPr>
          <w:trHeight w:val="500"/>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4760" w:type="dxa"/>
            <w:vAlign w:val="bottom"/>
          </w:tcPr>
          <w:p>
            <w:pPr>
              <w:ind w:left="40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8"/>
                <w:szCs w:val="18"/>
                <w:color w:val="auto"/>
              </w:rPr>
              <w:t>(Do not check if a smaller reporting company)</w:t>
            </w:r>
          </w:p>
        </w:tc>
        <w:tc>
          <w:tcPr>
            <w:tcW w:w="328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4"/>
                <w:szCs w:val="14"/>
                <w:color w:val="auto"/>
                <w:w w:val="76"/>
              </w:rPr>
              <w:t>o</w:t>
            </w:r>
          </w:p>
        </w:tc>
      </w:tr>
    </w:tbl>
    <w:p>
      <w:pPr>
        <w:sectPr>
          <w:pgSz w:w="11900" w:h="16838" w:orient="portrait"/>
          <w:cols w:equalWidth="0" w:num="1">
            <w:col w:w="11420"/>
          </w:cols>
          <w:pgMar w:left="240" w:top="22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This Post-Effective Amendment No. 3 to Registration Statement on Form S-8, Registration No. 333-48320 (as amended, this “Registration Statement”) is being filed pursuant to Rule 414 under the Securities Act of 1933, as amended (the “Securities Act”), by Weatherford International plc, a public limited company organized under the laws of Ireland (“Weatherford Ireland”), as the successor issuer to Weatherford International Ltd., a Swiss joint</w:t>
      </w:r>
      <w:r>
        <w:rPr>
          <w:rFonts w:ascii="MS PGothic" w:cs="MS PGothic" w:eastAsia="MS PGothic" w:hAnsi="MS PGothic"/>
          <w:sz w:val="16"/>
          <w:szCs w:val="16"/>
          <w:color w:val="auto"/>
        </w:rPr>
        <w:t>‑</w:t>
      </w:r>
      <w:r>
        <w:rPr>
          <w:rFonts w:ascii="Arial" w:cs="Arial" w:eastAsia="Arial" w:hAnsi="Arial"/>
          <w:sz w:val="16"/>
          <w:szCs w:val="16"/>
          <w:color w:val="auto"/>
        </w:rPr>
        <w:t>stock corporation (“Weatherford Switzerland”), to reflect a merger transaction whereby Weatherford Ireland became the new public holding company and the parent of the Weatherford group of companies (the “Merger”).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(excluding shares held by, or for the benefit of, Weatherford Switzerland or any of its subsidiaries). In connection with the Merger, Weatherford Ireland assumed Weatherford Switzerland’s obligation to deliver shares under Weatherford International, Inc. 1998 Employee Stock Option Plan, as amended (the “Plan”). Consequently, ordinary shares of Weatherford Ireland will henceforth be issuable under the Plan in lieu of the registered shares of Weatherford Switzerland. Weatherford Ireland hereby expressly adopts the Registration Statement as its own registration statement for all purposes of the Securities Act and the Securities Exchange Act of 1934, as amended (the “Exchange Act”).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In accordance with Rule 428 and the requirements of Part I of Form S-8, such documents are not being filed with the United States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documents, which Weatherford Switzerland or Weatherford Ireland has filed with the Commission pursuant to the Exchange Act, are incorporated in this Registration Statement by reference and shall be deemed to be a part hereof:</w:t>
      </w:r>
    </w:p>
    <w:p>
      <w:pPr>
        <w:spacing w:after="0" w:line="170" w:lineRule="exact"/>
        <w:rPr>
          <w:sz w:val="20"/>
          <w:szCs w:val="20"/>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Commission on February 25, 2014;</w:t>
      </w:r>
    </w:p>
    <w:p>
      <w:pPr>
        <w:spacing w:after="0" w:line="8"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Commission on April 16, 2014;</w:t>
      </w:r>
    </w:p>
    <w:p>
      <w:pPr>
        <w:spacing w:after="0" w:line="8"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Commission on April 29, 2014;</w:t>
      </w:r>
    </w:p>
    <w:p>
      <w:pPr>
        <w:spacing w:after="0" w:line="86" w:lineRule="exact"/>
        <w:rPr>
          <w:rFonts w:ascii="Arial" w:cs="Arial" w:eastAsia="Arial" w:hAnsi="Arial"/>
          <w:sz w:val="16"/>
          <w:szCs w:val="16"/>
          <w:color w:val="auto"/>
        </w:rPr>
      </w:pPr>
    </w:p>
    <w:p>
      <w:pPr>
        <w:jc w:val="both"/>
        <w:ind w:left="660" w:hanging="260"/>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Commission on February 3, 2014, February 25, 2014, March 4, 2014, April 2, 2014, April 10, 2014, April 24, 2014 and June 17, 2014;</w:t>
      </w:r>
    </w:p>
    <w:p>
      <w:pPr>
        <w:spacing w:after="0" w:line="19"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Ireland’s Current Report on Form 8-K, as filed with the Commission (other than information furnished rather than filed and corresponding information furnished under Item 9.01 or included as an exhibit thereto) on June 17, 2014; and</w:t>
      </w:r>
    </w:p>
    <w:p>
      <w:pPr>
        <w:spacing w:after="0" w:line="8" w:lineRule="exact"/>
        <w:rPr>
          <w:rFonts w:ascii="Arial" w:cs="Arial" w:eastAsia="Arial" w:hAnsi="Arial"/>
          <w:sz w:val="18"/>
          <w:szCs w:val="18"/>
          <w:color w:val="auto"/>
        </w:rPr>
      </w:pPr>
    </w:p>
    <w:p>
      <w:pPr>
        <w:ind w:left="66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Commission on June 17, 2014.</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document filed by Weatherford Ireland with the Commission pursuant to Sections 13(a), 13(c), 14 and 15(d) of the Exchange Act (other than information furnished rather than filed and corresponding information furnished under Item 9.01 of Form 8-K or included as an exhibit thereto), subsequent to the date of this Registration Statement and prior to the filing of any further post-effective amendment to this Registration Statement which indicates that all securities offered herby have been sold</w:t>
      </w:r>
    </w:p>
    <w:p>
      <w:pPr>
        <w:sectPr>
          <w:pgSz w:w="11900" w:h="16838" w:orient="portrait"/>
          <w:cols w:equalWidth="0" w:num="1">
            <w:col w:w="11420"/>
          </w:cols>
          <w:pgMar w:left="240" w:top="580" w:right="239" w:bottom="1440"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or which deregisters all securities then remaining unsold, shall be deemed to be incorporated by reference in this Registration Statement and to be a part hereof from the date of filing of such documents.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Acts 1963-2013 (the “Irish Companies Acts”). The Irish Companies Acts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Irish companies may take out directors and officers liability insurance as well as other types of insurance, for their directors and officers.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07"/>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w:t>
            </w:r>
            <w:r>
              <w:rPr>
                <w:rFonts w:ascii="Arial" w:cs="Arial" w:eastAsia="Arial" w:hAnsi="Arial"/>
                <w:sz w:val="18"/>
                <w:szCs w:val="18"/>
                <w:b w:val="1"/>
                <w:bCs w:val="1"/>
                <w:color w:val="auto"/>
              </w:rPr>
              <w:t>,</w:t>
            </w:r>
            <w:r>
              <w:rPr>
                <w:rFonts w:ascii="Arial" w:cs="Arial" w:eastAsia="Arial" w:hAnsi="Arial"/>
                <w:sz w:val="18"/>
                <w:szCs w:val="18"/>
                <w:color w:val="auto"/>
              </w:rPr>
              <w:t xml:space="preserve">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5"/>
              </w:rPr>
              <w:t>Weatherford International, Inc. 1998 Employee Stock Option Plan, as amended (incorporated by reference to Exhibit 10.18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Weatherford International plc’s Annual Report on Form 10-K for the year ended December 31, 2003, filed on March 10, 2004).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3" w:lineRule="exact"/>
        <w:rPr>
          <w:rFonts w:ascii="Arial" w:cs="Arial" w:eastAsia="Arial" w:hAnsi="Arial"/>
          <w:sz w:val="18"/>
          <w:szCs w:val="18"/>
          <w:color w:val="auto"/>
        </w:rPr>
      </w:pPr>
    </w:p>
    <w:p>
      <w:pPr>
        <w:ind w:left="1960" w:hanging="331"/>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63" w:lineRule="exact"/>
        <w:rPr>
          <w:rFonts w:ascii="Arial" w:cs="Arial" w:eastAsia="Arial" w:hAnsi="Arial"/>
          <w:sz w:val="18"/>
          <w:szCs w:val="18"/>
          <w:color w:val="auto"/>
        </w:rPr>
      </w:pPr>
    </w:p>
    <w:p>
      <w:pPr>
        <w:jc w:val="both"/>
        <w:ind w:left="1960" w:hanging="331"/>
        <w:spacing w:after="0" w:line="291"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 w:lineRule="exact"/>
        <w:rPr>
          <w:rFonts w:ascii="Arial" w:cs="Arial" w:eastAsia="Arial" w:hAnsi="Arial"/>
          <w:sz w:val="16"/>
          <w:szCs w:val="16"/>
          <w:color w:val="auto"/>
        </w:rPr>
      </w:pPr>
    </w:p>
    <w:p>
      <w:pPr>
        <w:jc w:val="both"/>
        <w:ind w:left="1960" w:hanging="331"/>
        <w:spacing w:after="0" w:line="276"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0" w:lineRule="exact"/>
        <w:rPr>
          <w:rFonts w:ascii="Arial" w:cs="Arial" w:eastAsia="Arial" w:hAnsi="Arial"/>
          <w:sz w:val="17"/>
          <w:szCs w:val="17"/>
          <w:color w:val="auto"/>
        </w:rPr>
      </w:pPr>
    </w:p>
    <w:p>
      <w:pPr>
        <w:jc w:val="both"/>
        <w:ind w:left="1300" w:hanging="320"/>
        <w:spacing w:after="0" w:line="221" w:lineRule="exact"/>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w:t>
      </w:r>
      <w:r>
        <w:rPr>
          <w:rFonts w:ascii="MS PGothic" w:cs="MS PGothic" w:eastAsia="MS PGothic" w:hAnsi="MS PGothic"/>
          <w:sz w:val="18"/>
          <w:szCs w:val="18"/>
          <w:color w:val="auto"/>
        </w:rPr>
        <w:t>‑</w:t>
      </w:r>
      <w:r>
        <w:rPr>
          <w:rFonts w:ascii="Arial" w:cs="Arial" w:eastAsia="Arial" w:hAnsi="Arial"/>
          <w:sz w:val="18"/>
          <w:szCs w:val="18"/>
          <w:color w:val="auto"/>
        </w:rPr>
        <w:t>effective amendment shall be deemed to be a new registration statement relating to the securities offered therein, and the offering of such securities at that time shall be deemed to be the initial bona fide offering thereof.</w:t>
      </w:r>
    </w:p>
    <w:p>
      <w:pPr>
        <w:spacing w:after="0" w:line="39"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306" w:lineRule="auto"/>
        <w:rPr>
          <w:sz w:val="20"/>
          <w:szCs w:val="20"/>
          <w:color w:val="auto"/>
        </w:rPr>
      </w:pPr>
      <w:r>
        <w:rPr>
          <w:rFonts w:ascii="Arial" w:cs="Arial" w:eastAsia="Arial" w:hAnsi="Arial"/>
          <w:sz w:val="18"/>
          <w:szCs w:val="18"/>
          <w:color w:val="auto"/>
        </w:rPr>
        <w:t>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60"/>
          </w:cols>
          <w:pgMar w:left="900" w:top="61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w:t>
      </w:r>
      <w:r>
        <w:rPr>
          <w:rFonts w:ascii="MS PGothic" w:cs="MS PGothic" w:eastAsia="MS PGothic" w:hAnsi="MS PGothic"/>
          <w:sz w:val="18"/>
          <w:szCs w:val="18"/>
          <w:color w:val="auto"/>
        </w:rPr>
        <w:t>‑</w:t>
      </w:r>
      <w:r>
        <w:rPr>
          <w:rFonts w:ascii="Arial" w:cs="Arial" w:eastAsia="Arial" w:hAnsi="Arial"/>
          <w:sz w:val="18"/>
          <w:szCs w:val="18"/>
          <w:color w:val="auto"/>
        </w:rPr>
        <w:t>Effective Amendment No. 3 to the Registration Statement to be signed on its behalf by the undersigned, thereunto duly authorized, in the City of Houston, State of Texas on June 17, 2014.</w:t>
      </w:r>
    </w:p>
    <w:p>
      <w:pPr>
        <w:ind w:left="4000"/>
        <w:spacing w:after="0"/>
        <w:rPr>
          <w:sz w:val="20"/>
          <w:szCs w:val="20"/>
          <w:color w:val="auto"/>
        </w:rPr>
      </w:pPr>
      <w:r>
        <w:rPr>
          <w:rFonts w:ascii="Arial" w:cs="Arial" w:eastAsia="Arial" w:hAnsi="Arial"/>
          <w:sz w:val="18"/>
          <w:szCs w:val="18"/>
          <w:b w:val="1"/>
          <w:bCs w:val="1"/>
          <w:color w:val="auto"/>
        </w:rPr>
        <w:t>WEATHERFORD INTERNATIONAL PLC</w:t>
      </w:r>
    </w:p>
    <w:p>
      <w:pPr>
        <w:spacing w:after="0" w:line="15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Chief Executive Officer, Chairman of the Board</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and Director (Principal Executive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Dr. Bernard J. Duroc-Danner and Alejandro Cestero,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3 to the Registration Statement on Form S-8 has been signed by the following persons in the capacities indicated below on June 17, 2014.</w:t>
      </w:r>
    </w:p>
    <w:p>
      <w:pPr>
        <w:sectPr>
          <w:pgSz w:w="11900" w:h="16838" w:orient="portrait"/>
          <w:cols w:equalWidth="0" w:num="1">
            <w:col w:w="11420"/>
          </w:cols>
          <w:pgMar w:left="240" w:top="580" w:right="239" w:bottom="1440" w:gutter="0" w:footer="0" w:header="0"/>
        </w:sectPr>
      </w:pPr>
    </w:p>
    <w:p>
      <w:pPr>
        <w:spacing w:after="0" w:line="112"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34290</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jc w:val="center"/>
        <w:ind w:left="980"/>
        <w:spacing w:after="0"/>
        <w:rPr>
          <w:sz w:val="20"/>
          <w:szCs w:val="20"/>
          <w:color w:val="auto"/>
        </w:rPr>
      </w:pPr>
      <w:r>
        <w:rPr>
          <w:rFonts w:ascii="Arial" w:cs="Arial" w:eastAsia="Arial" w:hAnsi="Arial"/>
          <w:sz w:val="16"/>
          <w:szCs w:val="16"/>
          <w:u w:val="single" w:color="auto"/>
          <w:color w:val="auto"/>
        </w:rPr>
        <w:t>/s/Dr. Bernard J. Duroc-Danner</w:t>
      </w:r>
    </w:p>
    <w:p>
      <w:pPr>
        <w:spacing w:after="0" w:line="46"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Dr. Bernard J. Duroc-Danner</w:t>
      </w:r>
    </w:p>
    <w:p>
      <w:pPr>
        <w:spacing w:after="0" w:line="60"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/s/Krishna Shivram</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Krishna Shivram</w:t>
      </w:r>
    </w:p>
    <w:p>
      <w:pPr>
        <w:spacing w:after="0" w:line="49"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/s/Douglas M. Mills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Douglas M. Mills</w:t>
      </w:r>
    </w:p>
    <w:p>
      <w:pPr>
        <w:spacing w:after="0" w:line="49" w:lineRule="exact"/>
        <w:rPr>
          <w:sz w:val="20"/>
          <w:szCs w:val="20"/>
          <w:color w:val="auto"/>
        </w:rPr>
      </w:pPr>
    </w:p>
    <w:p>
      <w:pPr>
        <w:jc w:val="right"/>
        <w:ind w:right="800"/>
        <w:spacing w:after="0"/>
        <w:rPr>
          <w:sz w:val="20"/>
          <w:szCs w:val="20"/>
          <w:color w:val="auto"/>
        </w:rPr>
      </w:pPr>
      <w:r>
        <w:rPr>
          <w:rFonts w:ascii="Arial" w:cs="Arial" w:eastAsia="Arial" w:hAnsi="Arial"/>
          <w:sz w:val="18"/>
          <w:szCs w:val="18"/>
          <w:u w:val="single" w:color="auto"/>
          <w:color w:val="auto"/>
        </w:rPr>
        <w:t>/s/David J. Butters</w:t>
      </w:r>
    </w:p>
    <w:p>
      <w:pPr>
        <w:spacing w:after="0" w:line="23"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David J. Butters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/s/John D. Gass</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John D. Gass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/s/Francis S. Kalman</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Francis S. Kalman</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/s/William E. Macaulay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William E. Macaulay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K. Moses, Jr.</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K. Moses, Jr.</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/s/Dr. Guillermo Ortiz</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Dr. Guillermo Ortiz</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/s/Sir Emyr Jones Parry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Sir Emyr Jones Parry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A. Rayne</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A. Rayne</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/s/Alejandro Cestero</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61" w:lineRule="exact"/>
        <w:rPr>
          <w:sz w:val="20"/>
          <w:szCs w:val="20"/>
          <w:color w:val="auto"/>
        </w:rPr>
      </w:pPr>
    </w:p>
    <w:p>
      <w:pPr>
        <w:ind w:right="1760"/>
        <w:spacing w:after="0" w:line="277" w:lineRule="auto"/>
        <w:rPr>
          <w:sz w:val="20"/>
          <w:szCs w:val="20"/>
          <w:color w:val="auto"/>
        </w:rPr>
      </w:pPr>
      <w:r>
        <w:rPr>
          <w:rFonts w:ascii="Arial" w:cs="Arial" w:eastAsia="Arial" w:hAnsi="Arial"/>
          <w:sz w:val="18"/>
          <w:szCs w:val="18"/>
          <w:color w:val="auto"/>
        </w:rPr>
        <w:t>President, Chief Executive Officer, Chairman of the Board and Director (Principal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p>
      <w:pPr>
        <w:sectPr>
          <w:pgSz w:w="11900" w:h="16838" w:orient="portrait"/>
          <w:cols w:equalWidth="0" w:num="2">
            <w:col w:w="3760" w:space="720"/>
            <w:col w:w="6940"/>
          </w:cols>
          <w:pgMar w:left="240" w:top="580"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07"/>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w:t>
            </w:r>
            <w:r>
              <w:rPr>
                <w:rFonts w:ascii="Arial" w:cs="Arial" w:eastAsia="Arial" w:hAnsi="Arial"/>
                <w:sz w:val="18"/>
                <w:szCs w:val="18"/>
                <w:b w:val="1"/>
                <w:bCs w:val="1"/>
                <w:color w:val="auto"/>
              </w:rPr>
              <w:t>,</w:t>
            </w:r>
            <w:r>
              <w:rPr>
                <w:rFonts w:ascii="Arial" w:cs="Arial" w:eastAsia="Arial" w:hAnsi="Arial"/>
                <w:sz w:val="18"/>
                <w:szCs w:val="18"/>
                <w:color w:val="auto"/>
              </w:rPr>
              <w:t xml:space="preserve">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5"/>
              </w:rPr>
              <w:t>Weatherford International, Inc. 1998 Employee Stock Option Plan, as amended (incorporated by reference to Exhibit 10.18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Weatherford International plc’s Annual Report on Form 10-K for the year ended December 31, 2003, filed on March 10, 2004).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ectPr>
          <w:pgSz w:w="11900" w:h="16838" w:orient="portrait"/>
          <w:cols w:equalWidth="0" w:num="1">
            <w:col w:w="11420"/>
          </w:cols>
          <w:pgMar w:left="240" w:top="742"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85725</wp:posOffset>
            </wp:positionV>
            <wp:extent cx="3164205" cy="132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420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0"/>
          <w:szCs w:val="20"/>
          <w:color w:val="auto"/>
        </w:rPr>
        <w:t>Weatherford International plc</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0"/>
          <w:szCs w:val="20"/>
          <w:color w:val="auto"/>
        </w:rPr>
        <w:t>Alpenstrasse 15</w:t>
      </w:r>
    </w:p>
    <w:p>
      <w:pPr>
        <w:ind w:left="40"/>
        <w:spacing w:after="0"/>
        <w:rPr>
          <w:sz w:val="20"/>
          <w:szCs w:val="20"/>
          <w:color w:val="auto"/>
        </w:rPr>
      </w:pPr>
      <w:r>
        <w:rPr>
          <w:rFonts w:ascii="Arial" w:cs="Arial" w:eastAsia="Arial" w:hAnsi="Arial"/>
          <w:sz w:val="20"/>
          <w:szCs w:val="20"/>
          <w:color w:val="auto"/>
        </w:rPr>
        <w:t>6300 Zug</w:t>
      </w:r>
    </w:p>
    <w:p>
      <w:pPr>
        <w:ind w:left="40"/>
        <w:spacing w:after="0"/>
        <w:rPr>
          <w:sz w:val="20"/>
          <w:szCs w:val="20"/>
          <w:color w:val="auto"/>
        </w:rPr>
      </w:pPr>
      <w:r>
        <w:rPr>
          <w:rFonts w:ascii="Arial" w:cs="Arial" w:eastAsia="Arial" w:hAnsi="Arial"/>
          <w:sz w:val="20"/>
          <w:szCs w:val="20"/>
          <w:color w:val="auto"/>
        </w:rPr>
        <w:t>Switzerland</w:t>
      </w:r>
    </w:p>
    <w:p>
      <w:pPr>
        <w:spacing w:after="0" w:line="281" w:lineRule="exact"/>
        <w:rPr>
          <w:sz w:val="20"/>
          <w:szCs w:val="20"/>
          <w:color w:val="auto"/>
        </w:rPr>
      </w:pPr>
    </w:p>
    <w:p>
      <w:pPr>
        <w:ind w:left="40" w:right="2220"/>
        <w:spacing w:after="0" w:line="278" w:lineRule="auto"/>
        <w:rPr>
          <w:sz w:val="20"/>
          <w:szCs w:val="20"/>
          <w:color w:val="auto"/>
        </w:rPr>
      </w:pPr>
      <w:r>
        <w:rPr>
          <w:rFonts w:ascii="Arial" w:cs="Arial" w:eastAsia="Arial" w:hAnsi="Arial"/>
          <w:sz w:val="20"/>
          <w:szCs w:val="20"/>
          <w:color w:val="auto"/>
        </w:rPr>
        <w:t>Our Ref Your Ref 17 June 2014 FBO 661725.4</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International plc, an Irish public company limited by shares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Post-Effective Amendment on Form S-8 (File No. 333-48320)</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acted on behalf of Weatherford International plc, a public limited company incorporated under the laws of Ireland with company number 540406 (the “</w:t>
      </w:r>
      <w:r>
        <w:rPr>
          <w:rFonts w:ascii="Arial" w:cs="Arial" w:eastAsia="Arial" w:hAnsi="Arial"/>
          <w:sz w:val="20"/>
          <w:szCs w:val="20"/>
          <w:b w:val="1"/>
          <w:bCs w:val="1"/>
          <w:color w:val="auto"/>
        </w:rPr>
        <w:t>Company</w:t>
      </w:r>
      <w:r>
        <w:rPr>
          <w:rFonts w:ascii="Arial" w:cs="Arial" w:eastAsia="Arial" w:hAnsi="Arial"/>
          <w:sz w:val="20"/>
          <w:szCs w:val="20"/>
          <w:color w:val="auto"/>
        </w:rPr>
        <w:t>”) in connection with the post-effective amendment to the registration statement on Form S-8 (File No. 333-48320) (the “</w:t>
      </w:r>
      <w:r>
        <w:rPr>
          <w:rFonts w:ascii="Arial" w:cs="Arial" w:eastAsia="Arial" w:hAnsi="Arial"/>
          <w:sz w:val="20"/>
          <w:szCs w:val="20"/>
          <w:b w:val="1"/>
          <w:bCs w:val="1"/>
          <w:color w:val="auto"/>
        </w:rPr>
        <w:t>Post-Effective Amendment</w:t>
      </w:r>
      <w:r>
        <w:rPr>
          <w:rFonts w:ascii="Arial" w:cs="Arial" w:eastAsia="Arial" w:hAnsi="Arial"/>
          <w:sz w:val="20"/>
          <w:szCs w:val="20"/>
          <w:color w:val="auto"/>
        </w:rPr>
        <w:t>”) to be filed by the Company, pursuant to the Securities Act of 1933 of the United States of America, as amended (the “</w:t>
      </w:r>
      <w:r>
        <w:rPr>
          <w:rFonts w:ascii="Arial" w:cs="Arial" w:eastAsia="Arial" w:hAnsi="Arial"/>
          <w:sz w:val="20"/>
          <w:szCs w:val="20"/>
          <w:b w:val="1"/>
          <w:bCs w:val="1"/>
          <w:color w:val="auto"/>
        </w:rPr>
        <w:t>Securities Act</w:t>
      </w:r>
      <w:r>
        <w:rPr>
          <w:rFonts w:ascii="Arial" w:cs="Arial" w:eastAsia="Arial" w:hAnsi="Arial"/>
          <w:sz w:val="20"/>
          <w:szCs w:val="20"/>
          <w:color w:val="auto"/>
        </w:rPr>
        <w:t>”), with the Securities and Exchange Commission of the United States of America (the “</w:t>
      </w:r>
      <w:r>
        <w:rPr>
          <w:rFonts w:ascii="Arial" w:cs="Arial" w:eastAsia="Arial" w:hAnsi="Arial"/>
          <w:sz w:val="20"/>
          <w:szCs w:val="20"/>
          <w:b w:val="1"/>
          <w:bCs w:val="1"/>
          <w:color w:val="auto"/>
        </w:rPr>
        <w:t>SEC</w:t>
      </w:r>
      <w:r>
        <w:rPr>
          <w:rFonts w:ascii="Arial" w:cs="Arial" w:eastAsia="Arial" w:hAnsi="Arial"/>
          <w:sz w:val="20"/>
          <w:szCs w:val="20"/>
          <w:color w:val="auto"/>
        </w:rPr>
        <w:t>”) with respect to the Company’s ordinary shares (nominal value of US$0.001 per share) (the “</w:t>
      </w:r>
      <w:r>
        <w:rPr>
          <w:rFonts w:ascii="Arial" w:cs="Arial" w:eastAsia="Arial" w:hAnsi="Arial"/>
          <w:sz w:val="20"/>
          <w:szCs w:val="20"/>
          <w:b w:val="1"/>
          <w:bCs w:val="1"/>
          <w:color w:val="auto"/>
        </w:rPr>
        <w:t>Shares</w:t>
      </w:r>
      <w:r>
        <w:rPr>
          <w:rFonts w:ascii="Arial" w:cs="Arial" w:eastAsia="Arial" w:hAnsi="Arial"/>
          <w:sz w:val="20"/>
          <w:szCs w:val="20"/>
          <w:color w:val="auto"/>
        </w:rPr>
        <w:t>”) to be issued and delivered under the Weatherford International, Inc. 1998 Employee Stock Plan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90"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216" w:lineRule="exact"/>
        <w:rPr>
          <w:sz w:val="20"/>
          <w:szCs w:val="20"/>
          <w:color w:val="auto"/>
        </w:rPr>
      </w:pPr>
    </w:p>
    <w:p>
      <w:pPr>
        <w:ind w:left="1260" w:hanging="644"/>
        <w:spacing w:after="0"/>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final form of the Post-Effective Amendment to be filed by the Company with the SEC;</w:t>
      </w:r>
    </w:p>
    <w:p>
      <w:pPr>
        <w:spacing w:after="0" w:line="215"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copy of the memorandum and articles of association of the Company, certified by the secretary of the Company as being true, complete and up-to-date;</w:t>
      </w:r>
    </w:p>
    <w:p>
      <w:pPr>
        <w:spacing w:after="0" w:line="176" w:lineRule="exact"/>
        <w:rPr>
          <w:rFonts w:ascii="Arial" w:cs="Arial" w:eastAsia="Arial" w:hAnsi="Arial"/>
          <w:sz w:val="20"/>
          <w:szCs w:val="20"/>
          <w:color w:val="auto"/>
        </w:rPr>
      </w:pPr>
    </w:p>
    <w:p>
      <w:pPr>
        <w:ind w:left="1260" w:right="20" w:hanging="644"/>
        <w:spacing w:after="0" w:line="287" w:lineRule="auto"/>
        <w:tabs>
          <w:tab w:leader="none" w:pos="126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copy minutes of a meeting of the board of directors’ of the Company held on 3 March 2014 and 6 June 2014, certified by the secretary to be a true and complete copy of those board minutes which have not since been amended or rescinded;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407670</wp:posOffset>
            </wp:positionV>
            <wp:extent cx="5848985" cy="986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9861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1260" w:right="20" w:hanging="644"/>
        <w:spacing w:after="0" w:line="260"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copy written resolutions of the shareholders of the Company dated 6 June 2014, certified by the secretary to be true and complete copies of those shareholders’ resolutions which have not since been amended or rescinded;</w:t>
      </w:r>
    </w:p>
    <w:p>
      <w:pPr>
        <w:spacing w:after="0" w:line="170" w:lineRule="exact"/>
        <w:rPr>
          <w:rFonts w:ascii="Arial" w:cs="Arial" w:eastAsia="Arial" w:hAnsi="Arial"/>
          <w:sz w:val="20"/>
          <w:szCs w:val="20"/>
          <w:color w:val="auto"/>
        </w:rPr>
      </w:pPr>
    </w:p>
    <w:p>
      <w:pPr>
        <w:ind w:left="1260" w:hanging="644"/>
        <w:spacing w:after="0"/>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certificate of the secretary of the Company (the “</w:t>
      </w:r>
      <w:r>
        <w:rPr>
          <w:rFonts w:ascii="Arial" w:cs="Arial" w:eastAsia="Arial" w:hAnsi="Arial"/>
          <w:sz w:val="20"/>
          <w:szCs w:val="20"/>
          <w:b w:val="1"/>
          <w:bCs w:val="1"/>
          <w:color w:val="auto"/>
        </w:rPr>
        <w:t>Certificate</w:t>
      </w:r>
      <w:r>
        <w:rPr>
          <w:rFonts w:ascii="Arial" w:cs="Arial" w:eastAsia="Arial" w:hAnsi="Arial"/>
          <w:sz w:val="20"/>
          <w:szCs w:val="20"/>
          <w:color w:val="auto"/>
        </w:rPr>
        <w:t>”); and</w:t>
      </w:r>
    </w:p>
    <w:p>
      <w:pPr>
        <w:spacing w:after="0" w:line="221" w:lineRule="exact"/>
        <w:rPr>
          <w:rFonts w:ascii="Arial" w:cs="Arial" w:eastAsia="Arial" w:hAnsi="Arial"/>
          <w:sz w:val="20"/>
          <w:szCs w:val="20"/>
          <w:color w:val="auto"/>
        </w:rPr>
      </w:pPr>
    </w:p>
    <w:p>
      <w:pPr>
        <w:jc w:val="both"/>
        <w:ind w:left="1260" w:hanging="644"/>
        <w:spacing w:after="0" w:line="250"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facsimile copy of the results of searches made on 16 June 2014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20"/>
          <w:szCs w:val="20"/>
          <w:b w:val="1"/>
          <w:bCs w:val="1"/>
          <w:color w:val="auto"/>
        </w:rPr>
        <w:t>Searches</w:t>
      </w:r>
      <w:r>
        <w:rPr>
          <w:rFonts w:ascii="Arial" w:cs="Arial" w:eastAsia="Arial" w:hAnsi="Arial"/>
          <w:sz w:val="20"/>
          <w:szCs w:val="20"/>
          <w:color w:val="auto"/>
        </w:rPr>
        <w:t>”).</w:t>
      </w:r>
    </w:p>
    <w:p>
      <w:pPr>
        <w:spacing w:after="0" w:line="186"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152"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Post-Effective Amendment or the Plan nor have we attempted to determine whether any material facts have been omitted therefrom.</w:t>
      </w:r>
    </w:p>
    <w:p>
      <w:pPr>
        <w:spacing w:after="0" w:line="19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186" w:lineRule="exact"/>
        <w:rPr>
          <w:sz w:val="20"/>
          <w:szCs w:val="20"/>
          <w:color w:val="auto"/>
        </w:rPr>
      </w:pPr>
    </w:p>
    <w:p>
      <w:pPr>
        <w:jc w:val="both"/>
        <w:ind w:left="620" w:right="20" w:hanging="620"/>
        <w:spacing w:after="0" w:line="250" w:lineRule="auto"/>
        <w:tabs>
          <w:tab w:leader="none" w:pos="60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86"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This opinion is delivered in connection with the filing of the Post-Effective Amendment with the SEC and is strictly limited to the matters stated herein and does not extend to, and is not to be read as extending by implication to, any other matter. We hereby consent to the filing of this opinion as an exhibit to the Post-Effective Amendment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Post-Effective Amendment and is not to be use, circulated, quoted or otherwise referred to for any other purpose without our express written consent.</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We assume no obligation to update the opinions set forth in this letter.</w:t>
      </w:r>
    </w:p>
    <w:p>
      <w:pPr>
        <w:spacing w:after="0" w:line="210"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Assumptions</w:t>
      </w:r>
    </w:p>
    <w:p>
      <w:pPr>
        <w:spacing w:after="0" w:line="221"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For the purpose of giving this opinion we have assumed:</w:t>
      </w:r>
    </w:p>
    <w:p>
      <w:pPr>
        <w:spacing w:after="0" w:line="215" w:lineRule="exact"/>
        <w:rPr>
          <w:rFonts w:ascii="Arial" w:cs="Arial" w:eastAsia="Arial" w:hAnsi="Arial"/>
          <w:sz w:val="20"/>
          <w:szCs w:val="20"/>
          <w:color w:val="auto"/>
        </w:rPr>
      </w:pPr>
    </w:p>
    <w:p>
      <w:pPr>
        <w:ind w:left="1260" w:hanging="644"/>
        <w:spacing w:after="0"/>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authenticity and completeness of all documents submitted to us as originals;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30573165.1</w:t>
      </w:r>
    </w:p>
    <w:p>
      <w:pPr>
        <w:sectPr>
          <w:pgSz w:w="11900" w:h="16838" w:orient="portrait"/>
          <w:cols w:equalWidth="0" w:num="1">
            <w:col w:w="11420"/>
          </w:cols>
          <w:pgMar w:left="240" w:top="690" w:right="239" w:bottom="1440" w:gutter="0" w:footer="0" w:header="0"/>
        </w:sectPr>
      </w:pPr>
    </w:p>
    <w:bookmarkStart w:id="9" w:name="page10"/>
    <w:bookmarkEnd w:id="9"/>
    <w:p>
      <w:pPr>
        <w:ind w:left="1260" w:hanging="644"/>
        <w:spacing w:after="0" w:line="316"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30" w:lineRule="exact"/>
        <w:rPr>
          <w:rFonts w:ascii="Arial" w:cs="Arial" w:eastAsia="Arial" w:hAnsi="Arial"/>
          <w:sz w:val="18"/>
          <w:szCs w:val="18"/>
          <w:color w:val="auto"/>
        </w:rPr>
      </w:pPr>
    </w:p>
    <w:p>
      <w:pPr>
        <w:ind w:left="1260" w:hanging="644"/>
        <w:spacing w:after="0"/>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genuineness of the signatures and seals on all original and copy documents which we have examined;</w:t>
      </w:r>
    </w:p>
    <w:p>
      <w:pPr>
        <w:spacing w:after="0" w:line="215" w:lineRule="exact"/>
        <w:rPr>
          <w:rFonts w:ascii="Arial" w:cs="Arial" w:eastAsia="Arial" w:hAnsi="Arial"/>
          <w:sz w:val="20"/>
          <w:szCs w:val="20"/>
          <w:color w:val="auto"/>
        </w:rPr>
      </w:pPr>
    </w:p>
    <w:p>
      <w:pPr>
        <w:jc w:val="both"/>
        <w:ind w:left="1260" w:hanging="644"/>
        <w:spacing w:after="0" w:line="246"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the proceedings described in the copy minutes of the meeting of the board of directors of the Company referred to above and examined for the purposes of this opinion were conducted in the manner therein described, that the meeting was properly convened and constituted and that the resolutions referred to therein were duly passed and adopted and have not since been amended or rescinded;</w:t>
      </w:r>
    </w:p>
    <w:p>
      <w:pPr>
        <w:spacing w:after="0" w:line="191"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the written resolutions of the shareholders referred to above were duly passed and adopted and have not since been amended or rescinded;</w:t>
      </w:r>
    </w:p>
    <w:p>
      <w:pPr>
        <w:spacing w:after="0" w:line="176" w:lineRule="exact"/>
        <w:rPr>
          <w:rFonts w:ascii="Arial" w:cs="Arial" w:eastAsia="Arial" w:hAnsi="Arial"/>
          <w:sz w:val="20"/>
          <w:szCs w:val="20"/>
          <w:color w:val="auto"/>
        </w:rPr>
      </w:pPr>
    </w:p>
    <w:p>
      <w:pPr>
        <w:jc w:val="both"/>
        <w:ind w:left="1260" w:hanging="644"/>
        <w:spacing w:after="0" w:line="257"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at the time of the allotment of any Shares: (i) the Company will have a sufficient number of authorised but unissued Shares in its capital (at least equal to the number of Shares to be allotted and issued); (ii) the directors of the Company will have been generally and unconditionally authorised by ordinary resolution of the shareholders, in accordance with section 20 of the Companies (Amendment) Act 1983, as amended (the “</w:t>
      </w:r>
      <w:r>
        <w:rPr>
          <w:rFonts w:ascii="Arial" w:cs="Arial" w:eastAsia="Arial" w:hAnsi="Arial"/>
          <w:sz w:val="19"/>
          <w:szCs w:val="19"/>
          <w:b w:val="1"/>
          <w:bCs w:val="1"/>
          <w:color w:val="auto"/>
        </w:rPr>
        <w:t>1983 Act</w:t>
      </w:r>
      <w:r>
        <w:rPr>
          <w:rFonts w:ascii="Arial" w:cs="Arial" w:eastAsia="Arial" w:hAnsi="Arial"/>
          <w:sz w:val="19"/>
          <w:szCs w:val="19"/>
          <w:color w:val="auto"/>
        </w:rPr>
        <w:t>”), to allot a sufficient number of Shares (at least equal to the number of Shares to be allotted and issued); and (iii) if issued for cash consideration, such Shares will be allotted and issued in accordance with section 23(1) of the 1983 Act or the directors will have been empowered, by special resolution of the shareholders, passed in accordance with section 23 and section 24(1) of the 1983 Act, to allot and issue such Shares as of the said section 23(1) did not apply to such allotment and issue;</w:t>
      </w:r>
    </w:p>
    <w:p>
      <w:pPr>
        <w:spacing w:after="0" w:line="181" w:lineRule="exact"/>
        <w:rPr>
          <w:rFonts w:ascii="Arial" w:cs="Arial" w:eastAsia="Arial" w:hAnsi="Arial"/>
          <w:sz w:val="19"/>
          <w:szCs w:val="19"/>
          <w:color w:val="auto"/>
        </w:rPr>
      </w:pPr>
    </w:p>
    <w:p>
      <w:pPr>
        <w:ind w:left="1260" w:hanging="644"/>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at the time of the allotment of any Shares, the Post-Effective Amendment will be effective and continue to be effective;</w:t>
      </w:r>
    </w:p>
    <w:p>
      <w:pPr>
        <w:spacing w:after="0" w:line="238" w:lineRule="exact"/>
        <w:rPr>
          <w:rFonts w:ascii="Arial" w:cs="Arial" w:eastAsia="Arial" w:hAnsi="Arial"/>
          <w:sz w:val="18"/>
          <w:szCs w:val="18"/>
          <w:color w:val="auto"/>
        </w:rPr>
      </w:pPr>
    </w:p>
    <w:p>
      <w:pPr>
        <w:jc w:val="both"/>
        <w:ind w:left="1260" w:hanging="644"/>
        <w:spacing w:after="0" w:line="244"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any Shares allotted and issued in accordance with the Post-Effective Amendment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29 to 33 of the 1983 Act have been complied with;</w:t>
      </w:r>
    </w:p>
    <w:p>
      <w:pPr>
        <w:spacing w:after="0" w:line="194" w:lineRule="exact"/>
        <w:rPr>
          <w:rFonts w:ascii="Arial" w:cs="Arial" w:eastAsia="Arial" w:hAnsi="Arial"/>
          <w:sz w:val="20"/>
          <w:szCs w:val="20"/>
          <w:color w:val="auto"/>
        </w:rPr>
      </w:pPr>
    </w:p>
    <w:p>
      <w:pPr>
        <w:jc w:val="both"/>
        <w:ind w:left="1260" w:hanging="644"/>
        <w:spacing w:after="0" w:line="263"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176" w:lineRule="exact"/>
        <w:rPr>
          <w:rFonts w:ascii="Arial" w:cs="Arial" w:eastAsia="Arial" w:hAnsi="Arial"/>
          <w:sz w:val="19"/>
          <w:szCs w:val="19"/>
          <w:color w:val="auto"/>
        </w:rPr>
      </w:pPr>
    </w:p>
    <w:p>
      <w:pPr>
        <w:jc w:val="both"/>
        <w:ind w:left="1260" w:hanging="644"/>
        <w:spacing w:after="0" w:line="250"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30573165.1</w:t>
      </w:r>
    </w:p>
    <w:p>
      <w:pPr>
        <w:sectPr>
          <w:pgSz w:w="11900" w:h="16838" w:orient="portrait"/>
          <w:cols w:equalWidth="0" w:num="1">
            <w:col w:w="11420"/>
          </w:cols>
          <w:pgMar w:left="240" w:top="690" w:right="239" w:bottom="1440" w:gutter="0" w:footer="0" w:header="0"/>
        </w:sectPr>
      </w:pPr>
    </w:p>
    <w:bookmarkStart w:id="10" w:name="page11"/>
    <w:bookmarkEnd w:id="10"/>
    <w:p>
      <w:pPr>
        <w:jc w:val="both"/>
        <w:ind w:left="1260" w:hanging="644"/>
        <w:spacing w:after="0" w:line="257"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181" w:lineRule="exact"/>
        <w:rPr>
          <w:rFonts w:ascii="Arial" w:cs="Arial" w:eastAsia="Arial" w:hAnsi="Arial"/>
          <w:sz w:val="19"/>
          <w:szCs w:val="19"/>
          <w:color w:val="auto"/>
        </w:rPr>
      </w:pPr>
    </w:p>
    <w:p>
      <w:pPr>
        <w:jc w:val="both"/>
        <w:ind w:left="1260" w:hanging="644"/>
        <w:spacing w:after="0" w:line="246"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the Company has not given, nor shall it give, directly or indirectly, and whether by means of a loan, guarantee, the provision of security or otherwise, any financial assistance, as contemplated by section 60 of the Companies Act 1963, for the purpose of, or in connection with, the purchase or subscription by any person of or for any Shares save as permitted by, or pursuant to an exemption to, the said section 60;</w:t>
      </w:r>
    </w:p>
    <w:p>
      <w:pPr>
        <w:spacing w:after="0" w:line="191"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accuracy and completeness as to factual matters of the representations and warranties of the Company contained in the Post-Effective Amendment and the accuracy of the Certificate;</w:t>
      </w:r>
    </w:p>
    <w:p>
      <w:pPr>
        <w:spacing w:after="0" w:line="176" w:lineRule="exact"/>
        <w:rPr>
          <w:rFonts w:ascii="Arial" w:cs="Arial" w:eastAsia="Arial" w:hAnsi="Arial"/>
          <w:sz w:val="20"/>
          <w:szCs w:val="20"/>
          <w:color w:val="auto"/>
        </w:rPr>
      </w:pPr>
    </w:p>
    <w:p>
      <w:pPr>
        <w:ind w:left="1260" w:right="20" w:hanging="644"/>
        <w:spacing w:after="0" w:line="316"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Post-Effective Amendment or the Plan or in any way bear upon, or are inconsistent with, the contents of this opinion;</w:t>
      </w:r>
    </w:p>
    <w:p>
      <w:pPr>
        <w:spacing w:after="0" w:line="130" w:lineRule="exact"/>
        <w:rPr>
          <w:rFonts w:ascii="Arial" w:cs="Arial" w:eastAsia="Arial" w:hAnsi="Arial"/>
          <w:sz w:val="18"/>
          <w:szCs w:val="18"/>
          <w:color w:val="auto"/>
        </w:rPr>
      </w:pPr>
    </w:p>
    <w:p>
      <w:pPr>
        <w:jc w:val="both"/>
        <w:ind w:left="1260" w:hanging="644"/>
        <w:spacing w:after="0" w:line="269"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in approving the filing by the Company of the Post-Effective Amendment,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70" w:lineRule="exact"/>
        <w:rPr>
          <w:rFonts w:ascii="Arial" w:cs="Arial" w:eastAsia="Arial" w:hAnsi="Arial"/>
          <w:sz w:val="19"/>
          <w:szCs w:val="19"/>
          <w:color w:val="auto"/>
        </w:rPr>
      </w:pPr>
    </w:p>
    <w:p>
      <w:pPr>
        <w:jc w:val="both"/>
        <w:ind w:left="1260" w:hanging="644"/>
        <w:spacing w:after="0" w:line="282"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161" w:lineRule="exact"/>
        <w:rPr>
          <w:rFonts w:ascii="Arial" w:cs="Arial" w:eastAsia="Arial" w:hAnsi="Arial"/>
          <w:sz w:val="18"/>
          <w:szCs w:val="18"/>
          <w:color w:val="auto"/>
        </w:rPr>
      </w:pPr>
    </w:p>
    <w:p>
      <w:pPr>
        <w:jc w:val="both"/>
        <w:ind w:left="1260" w:hanging="644"/>
        <w:spacing w:after="0" w:line="259"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(i) the Company was, or will be, fully solvent (A) at the time of, and immediately after, the filing of the Post-Effective Amendment and (B) at the date hereof; (ii) the Company would not, as a consequence of doing any act or thing which the Post-Effective Amendment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30573165.1</w:t>
      </w:r>
    </w:p>
    <w:p>
      <w:pPr>
        <w:sectPr>
          <w:pgSz w:w="11900" w:h="16838" w:orient="portrait"/>
          <w:cols w:equalWidth="0" w:num="1">
            <w:col w:w="11420"/>
          </w:cols>
          <w:pgMar w:left="240" w:top="690" w:right="239" w:bottom="1440" w:gutter="0" w:footer="0" w:header="0"/>
        </w:sectPr>
      </w:pPr>
    </w:p>
    <w:bookmarkStart w:id="11" w:name="page12"/>
    <w:bookmarkEnd w:id="11"/>
    <w:p>
      <w:pPr>
        <w:ind w:left="1260" w:hanging="644"/>
        <w:spacing w:after="0" w:line="260" w:lineRule="auto"/>
        <w:tabs>
          <w:tab w:leader="none" w:pos="1260" w:val="left"/>
        </w:tabs>
        <w:numPr>
          <w:ilvl w:val="0"/>
          <w:numId w:val="10"/>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the truth of all representations and information given to us in reply to any queries we have made which we have considered necessary for the purposes of giving this opinion.</w:t>
      </w:r>
    </w:p>
    <w:p>
      <w:pPr>
        <w:spacing w:after="0" w:line="171"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221" w:lineRule="exact"/>
        <w:rPr>
          <w:rFonts w:ascii="Arial" w:cs="Arial" w:eastAsia="Arial" w:hAnsi="Arial"/>
          <w:sz w:val="20"/>
          <w:szCs w:val="20"/>
          <w:color w:val="auto"/>
        </w:rPr>
      </w:pPr>
    </w:p>
    <w:p>
      <w:pPr>
        <w:jc w:val="both"/>
        <w:ind w:left="620"/>
        <w:spacing w:after="0" w:line="276"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159"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Qualifications</w:t>
      </w:r>
    </w:p>
    <w:p>
      <w:pPr>
        <w:spacing w:after="0" w:line="221"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The opinions set forth in this opinion letter are given subject to the following qualifications:</w:t>
      </w:r>
    </w:p>
    <w:p>
      <w:pPr>
        <w:spacing w:after="0" w:line="215" w:lineRule="exact"/>
        <w:rPr>
          <w:rFonts w:ascii="Arial" w:cs="Arial" w:eastAsia="Arial" w:hAnsi="Arial"/>
          <w:sz w:val="20"/>
          <w:szCs w:val="20"/>
          <w:color w:val="auto"/>
        </w:rPr>
      </w:pPr>
    </w:p>
    <w:p>
      <w:pPr>
        <w:ind w:left="1540" w:hanging="911"/>
        <w:spacing w:after="0" w:line="260" w:lineRule="auto"/>
        <w:tabs>
          <w:tab w:leader="none" w:pos="15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a search at the Companies Registration Office is not capable of revealing whether or not a winding up petition or a petition for the appointment of an examiner has been presented; and</w:t>
      </w:r>
    </w:p>
    <w:p>
      <w:pPr>
        <w:spacing w:after="0" w:line="176" w:lineRule="exact"/>
        <w:rPr>
          <w:rFonts w:ascii="Arial" w:cs="Arial" w:eastAsia="Arial" w:hAnsi="Arial"/>
          <w:sz w:val="20"/>
          <w:szCs w:val="20"/>
          <w:color w:val="auto"/>
        </w:rPr>
      </w:pPr>
    </w:p>
    <w:p>
      <w:pPr>
        <w:ind w:left="1540" w:hanging="911"/>
        <w:spacing w:after="0" w:line="260" w:lineRule="auto"/>
        <w:tabs>
          <w:tab w:leader="none" w:pos="15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a search at the Registry of Winding up Petitions at the Central Office of the High Court is not capable of revealing whether or not a receiver has been appointed.</w:t>
      </w:r>
    </w:p>
    <w:p>
      <w:pPr>
        <w:spacing w:after="0" w:line="177"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MATHESON</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30573165.1</w:t>
      </w:r>
    </w:p>
    <w:p>
      <w:pPr>
        <w:sectPr>
          <w:pgSz w:w="11900" w:h="16838" w:orient="portrait"/>
          <w:cols w:equalWidth="0" w:num="1">
            <w:col w:w="11420"/>
          </w:cols>
          <w:pgMar w:left="240" w:top="69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on Form S-8 of Weatherford International plc, successor issuer to Weatherford International Ltd., relating to the Weatherford International, Inc. 1998 Employee Stock Option Plan, as amended,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which reports appear in the December 31, 2013 annual report on Form 10-K of Weatherford International Ltd.</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2014</w:t>
      </w:r>
    </w:p>
    <w:p>
      <w:pPr>
        <w:sectPr>
          <w:pgSz w:w="11900" w:h="16838" w:orient="portrait"/>
          <w:cols w:equalWidth="0" w:num="1">
            <w:col w:w="11420"/>
          </w:cols>
          <w:pgMar w:left="240" w:top="5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consent to the incorporation by reference in the Registration Statement (Form S-8 No. 333-48320) pertaining to the Weatherford International, Inc. 1998 Employee Stock Option Plan, as amended,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9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17,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713"/>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2"/>
      <w:numFmt w:val="bullet"/>
      <w:start w:val="1"/>
    </w:lvl>
    <w:lvl w:ilvl="1">
      <w:lvlJc w:val="left"/>
      <w:lvlText w:val="(%2)"/>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18"/>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2019-12-08T10:14:21Z</dcterms:created>
  <dcterms:modified xsi:type="dcterms:W3CDTF">2019-12-08T10:14:21Z</dcterms:modified>
</cp:coreProperties>
</file>