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ectPr>
          <w:pgSz w:w="11900" w:h="16838" w:orient="portrait"/>
          <w:cols w:equalWidth="0" w:num="1">
            <w:col w:w="11240"/>
          </w:cols>
          <w:pgMar w:left="240" w:top="688" w:right="419" w:bottom="1440" w:gutter="0" w:footer="0" w:header="0"/>
        </w:sectPr>
      </w:pP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32"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97" w:lineRule="exact"/>
        <w:rPr>
          <w:sz w:val="24"/>
          <w:szCs w:val="24"/>
          <w:color w:val="auto"/>
        </w:rPr>
      </w:pPr>
    </w:p>
    <w:p>
      <w:pPr>
        <w:sectPr>
          <w:pgSz w:w="11900" w:h="16838" w:orient="portrait"/>
          <w:cols w:equalWidth="0" w:num="2">
            <w:col w:w="7580" w:space="100"/>
            <w:col w:w="3560"/>
          </w:cols>
          <w:pgMar w:left="240" w:top="688" w:right="41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3">
            <w:col w:w="2480" w:space="720"/>
            <w:col w:w="2960" w:space="100"/>
            <w:col w:w="4980"/>
          </w:cols>
          <w:pgMar w:left="240" w:top="688" w:right="419" w:bottom="1440" w:gutter="0" w:footer="0" w:header="0"/>
          <w:type w:val="continuous"/>
        </w:sect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240"/>
          </w:cols>
          <w:pgMar w:left="240" w:top="688" w:right="419" w:bottom="1440" w:gutter="0" w:footer="0" w:header="0"/>
          <w:type w:val="continuous"/>
        </w:sectPr>
      </w:pPr>
    </w:p>
    <w:p>
      <w:pPr>
        <w:spacing w:after="0" w:line="160" w:lineRule="exact"/>
        <w:rPr>
          <w:sz w:val="24"/>
          <w:szCs w:val="24"/>
          <w:color w:val="auto"/>
        </w:rPr>
      </w:pPr>
    </w:p>
    <w:p>
      <w:pPr>
        <w:ind w:left="760" w:hanging="57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760" w:hanging="57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8" w:lineRule="exact"/>
        <w:rPr>
          <w:rFonts w:ascii="MS PGothic" w:cs="MS PGothic" w:eastAsia="MS PGothic" w:hAnsi="MS PGothic"/>
          <w:sz w:val="18"/>
          <w:szCs w:val="18"/>
          <w:color w:val="auto"/>
        </w:rPr>
      </w:pPr>
    </w:p>
    <w:p>
      <w:pPr>
        <w:ind w:left="760" w:hanging="57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760" w:hanging="57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760" w:hanging="57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48"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20" w:hanging="570"/>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720" w:hanging="570"/>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84" w:lineRule="exact"/>
        <w:rPr>
          <w:rFonts w:ascii="MS PGothic" w:cs="MS PGothic" w:eastAsia="MS PGothic" w:hAnsi="MS PGothic"/>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 which the</w:t>
      </w:r>
    </w:p>
    <w:p>
      <w:pPr>
        <w:spacing w:after="0" w:line="46"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fee is calculated and state how it was determined):</w:t>
      </w:r>
    </w:p>
    <w:p>
      <w:pPr>
        <w:spacing w:after="0" w:line="251"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720" w:hanging="570"/>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720"/>
        <w:spacing w:after="0"/>
        <w:rPr>
          <w:rFonts w:ascii="MS PGothic" w:cs="MS PGothic" w:eastAsia="MS PGothic" w:hAnsi="MS PGothic"/>
          <w:sz w:val="18"/>
          <w:szCs w:val="18"/>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w:t>
      </w:r>
    </w:p>
    <w:p>
      <w:pPr>
        <w:spacing w:after="0" w:line="46" w:lineRule="exact"/>
        <w:rPr>
          <w:rFonts w:ascii="MS PGothic" w:cs="MS PGothic" w:eastAsia="MS PGothic" w:hAnsi="MS PGothic"/>
          <w:sz w:val="18"/>
          <w:szCs w:val="18"/>
          <w:color w:val="auto"/>
        </w:rPr>
      </w:pPr>
    </w:p>
    <w:p>
      <w:pPr>
        <w:ind w:left="720" w:hanging="570"/>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160" w:hanging="443"/>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152400</wp:posOffset>
            </wp:positionV>
            <wp:extent cx="6457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-147320</wp:posOffset>
            </wp:positionV>
            <wp:extent cx="6457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-447675</wp:posOffset>
            </wp:positionV>
            <wp:extent cx="6457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-748030</wp:posOffset>
            </wp:positionV>
            <wp:extent cx="6457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-1751330</wp:posOffset>
            </wp:positionV>
            <wp:extent cx="645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-2051050</wp:posOffset>
            </wp:positionV>
            <wp:extent cx="6457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-2351405</wp:posOffset>
            </wp:positionV>
            <wp:extent cx="6457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-2788920</wp:posOffset>
            </wp:positionV>
            <wp:extent cx="6457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31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-3088640</wp:posOffset>
            </wp:positionV>
            <wp:extent cx="64573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ectPr>
          <w:pgSz w:w="11900" w:h="16838" w:orient="portrait"/>
          <w:cols w:equalWidth="0" w:num="1">
            <w:col w:w="11240"/>
          </w:cols>
          <w:pgMar w:left="240" w:top="68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Dear fellow Weatherford shareholder:</w:t>
      </w:r>
    </w:p>
    <w:p>
      <w:pPr>
        <w:spacing w:after="0" w:line="22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 xml:space="preserve">We are writing to you concerning Weatherford’s 2018 Annual General Meeting of Shareholders to be held on Friday, April 27, 2018, in Switzerland. You have previously received an electronic or hard copy of our Proxy Statement, which is also available at </w:t>
      </w:r>
      <w:r>
        <w:rPr>
          <w:rFonts w:ascii="Arial" w:cs="Arial" w:eastAsia="Arial" w:hAnsi="Arial"/>
          <w:sz w:val="17"/>
          <w:szCs w:val="17"/>
          <w:u w:val="single" w:color="auto"/>
          <w:color w:val="0000FF"/>
        </w:rPr>
        <w:t>www.weatherfordannualmeeting.com</w:t>
      </w:r>
      <w:r>
        <w:rPr>
          <w:rFonts w:ascii="Arial" w:cs="Arial" w:eastAsia="Arial" w:hAnsi="Arial"/>
          <w:sz w:val="17"/>
          <w:szCs w:val="17"/>
          <w:color w:val="auto"/>
        </w:rPr>
        <w:t>. In our Proxy Statement, our Board of Directors unanimously recommends a vote “FOR” the election of each of our director nominees.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was the case last year, ISS Proxy Advisory Services has recommended against the election of Weatherford’s director nominee, Dr. Guillermo Ortiz, based on their characterization of his service as being “overboarded.” Glass Lewis, another proxy advisory firm, has again this year recommended a vote in favor of Dr. Ortiz.</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Dr. Ortiz is in his second year of service on the board of Banco BTG Pactual and BTG Pactual Participations. BTG Pactual is structured as two separate sub-groups of commonly owned entities: (i) Banco BTG Pactual and (ii) BTG Pactual Participations, which is the general partner of, and controls, BTGI. However, the two sub-groups are managed in a strategically unified manner for the benefit of the overall enterprise. As such, Weatherford continues to consider this service, and the related time commitment of Dr. Ortiz, to be for the benefit of one company and we do not view him as “overboarded.” At last year’s annual general meeting of shareholders, over 77% of the votes cast were in favor of Dr. Ortiz’s re-election.</w:t>
      </w:r>
    </w:p>
    <w:p>
      <w:pPr>
        <w:spacing w:after="0" w:line="1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set forth in our corporate governance principles, when evaluating our directors in consideration of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continue to strongly believe Dr. Ortiz has devoted, and will continue to devote, sufficient time to carry out his Weatherford board duties effectively. The boards of Banco BTG Pactual and BTG Pactual Participations meet at the same time and belong to the same group of companies. Dr. Ortiz’s service on these boards does not detract from his service on Weatherford’s board. As described on page 9 of our proxy statement along with his biography, Dr. Ortiz has:</w:t>
      </w:r>
    </w:p>
    <w:p>
      <w:pPr>
        <w:spacing w:after="0" w:line="147" w:lineRule="exact"/>
        <w:rPr>
          <w:sz w:val="20"/>
          <w:szCs w:val="20"/>
          <w:color w:val="auto"/>
        </w:rPr>
      </w:pPr>
    </w:p>
    <w:p>
      <w:pPr>
        <w:ind w:left="440" w:hanging="1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international finance and banking experience in the public and private sector;</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expertise regarding global economic matters and multi-national financing, an important element of the Company’s global strategy;</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international perspective, with a focus on Latin America; and he is a</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frequent speaker, author of topical articles, and educator, providing a current perspective on financial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CONTINUES TO RECOMMEND THAT YOU VOTE “FOR” EACH NOMINEE FOR DIRECTOR.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you have not voted, you may still vote your shares until the voting deadline set forth in the Proxy Statement: (</w:t>
      </w:r>
      <w:r>
        <w:rPr>
          <w:rFonts w:ascii="Arial" w:cs="Arial" w:eastAsia="Arial" w:hAnsi="Arial"/>
          <w:sz w:val="18"/>
          <w:szCs w:val="18"/>
          <w:i w:val="1"/>
          <w:iCs w:val="1"/>
          <w:color w:val="auto"/>
        </w:rPr>
        <w:t>5:59 a.m. (Central European Time) on April</w:t>
      </w:r>
      <w:r>
        <w:rPr>
          <w:rFonts w:ascii="Arial" w:cs="Arial" w:eastAsia="Arial" w:hAnsi="Arial"/>
          <w:sz w:val="18"/>
          <w:szCs w:val="18"/>
          <w:color w:val="auto"/>
        </w:rPr>
        <w:t xml:space="preserve"> </w:t>
      </w:r>
      <w:r>
        <w:rPr>
          <w:rFonts w:ascii="Arial" w:cs="Arial" w:eastAsia="Arial" w:hAnsi="Arial"/>
          <w:sz w:val="18"/>
          <w:szCs w:val="18"/>
          <w:i w:val="1"/>
          <w:iCs w:val="1"/>
          <w:color w:val="auto"/>
        </w:rPr>
        <w:t>26, 2018 (11:59 p.m. (Eastern Time) on April 25, 2018</w:t>
      </w:r>
      <w:r>
        <w:rPr>
          <w:rFonts w:ascii="Arial" w:cs="Arial" w:eastAsia="Arial" w:hAnsi="Arial"/>
          <w:sz w:val="18"/>
          <w:szCs w:val="18"/>
          <w:color w:val="auto"/>
        </w:rPr>
        <w: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you have already voted your shares and wish to change your vote, you may still do so. Please let us know if you wish to discuss. Contact information is below.</w:t>
      </w:r>
    </w:p>
    <w:p>
      <w:pPr>
        <w:spacing w:after="0" w:line="170" w:lineRule="exact"/>
        <w:rPr>
          <w:sz w:val="20"/>
          <w:szCs w:val="20"/>
          <w:color w:val="auto"/>
        </w:rPr>
      </w:pPr>
    </w:p>
    <w:p>
      <w:pPr>
        <w:ind w:left="660" w:right="5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Christina M. Ibrahim, Executive Vice President, General Counsel, Chief Compliance Officer and Corporate Secretary, Phone: 713.836.7024, </w:t>
      </w:r>
      <w:r>
        <w:rPr>
          <w:rFonts w:ascii="Arial" w:cs="Arial" w:eastAsia="Arial" w:hAnsi="Arial"/>
          <w:sz w:val="18"/>
          <w:szCs w:val="18"/>
          <w:u w:val="single" w:color="auto"/>
          <w:color w:val="0000FF"/>
        </w:rPr>
        <w:t>Christina.Ibrahim@weatherford.com</w:t>
      </w:r>
    </w:p>
    <w:p>
      <w:pPr>
        <w:spacing w:after="0" w:line="170" w:lineRule="exact"/>
        <w:rPr>
          <w:rFonts w:ascii="Arial" w:cs="Arial" w:eastAsia="Arial" w:hAnsi="Arial"/>
          <w:sz w:val="18"/>
          <w:szCs w:val="18"/>
          <w:color w:val="auto"/>
        </w:rPr>
      </w:pPr>
    </w:p>
    <w:p>
      <w:pPr>
        <w:ind w:left="660" w:right="14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Karen David-Green, Vice President of Investor Relations, Marketing and Communications, Phone: 713.836.7430, </w:t>
      </w:r>
      <w:r>
        <w:rPr>
          <w:rFonts w:ascii="Arial" w:cs="Arial" w:eastAsia="Arial" w:hAnsi="Arial"/>
          <w:sz w:val="18"/>
          <w:szCs w:val="18"/>
          <w:u w:val="single" w:color="auto"/>
          <w:color w:val="0000FF"/>
        </w:rPr>
        <w:t>Karen.David-Green@weatherford.com</w:t>
      </w:r>
      <w:r>
        <w:rPr>
          <w:rFonts w:ascii="Arial" w:cs="Arial" w:eastAsia="Arial" w:hAnsi="Arial"/>
          <w:sz w:val="18"/>
          <w:szCs w:val="18"/>
          <w:color w:val="000000"/>
        </w:rPr>
        <w:t>; or</w:t>
      </w:r>
    </w:p>
    <w:p>
      <w:pPr>
        <w:sectPr>
          <w:pgSz w:w="11900" w:h="16838" w:orient="portrait"/>
          <w:cols w:equalWidth="0" w:num="1">
            <w:col w:w="11360"/>
          </w:cols>
          <w:pgMar w:left="240" w:top="58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Thank you for your time and consideration of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Kindest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Christina M. Ibrahim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Christina M. Ibrahim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 Chief Compliance Officer and 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Karen David-Green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Karen David-Green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 Marketing and Communications</w:t>
      </w:r>
    </w:p>
    <w:sectPr>
      <w:pgSz w:w="11900" w:h="16838" w:orient="portrait"/>
      <w:cols w:equalWidth="0" w:num="1">
        <w:col w:w="10219"/>
      </w:cols>
      <w:pgMar w:left="24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2019-12-08T10:33:30Z</dcterms:created>
  <dcterms:modified xsi:type="dcterms:W3CDTF">2019-12-08T10:33:30Z</dcterms:modified>
</cp:coreProperties>
</file>