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Garcia Christian A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Weatherford International plc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WFTLF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345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34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68,966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68,966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04/17/2020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5,598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5.65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63,368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grant of restricted share units and therefore has no price. This grant vests in equal installments on April 17, 2020, January 6, 2021 and January 6, 2022.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withholding of a portion of vested restricted share units to satisfy the reporting person's tax withholding obligations upon vesting.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Jonathan B. Wolens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5715</wp:posOffset>
            </wp:positionV>
            <wp:extent cx="13201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1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5099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04/17/2020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660" w:space="12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527370" TargetMode="External"/><Relationship Id="rId14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2020-04-20T16:32:02Z</dcterms:created>
  <dcterms:modified xsi:type="dcterms:W3CDTF">2020-04-20T16:32:02Z</dcterms:modified>
</cp:coreProperties>
</file>