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3031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30314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2"/>
            <w:vMerge w:val="restart"/>
          </w:tcPr>
          <w:p>
            <w:pPr>
              <w:spacing w:after="0" w:line="181" w:lineRule="exact"/>
              <w:rPr>
                <w:rFonts w:ascii="Arial" w:cs="Arial" w:eastAsia="Arial" w:hAnsi="Arial"/>
                <w:sz w:val="16"/>
                <w:szCs w:val="16"/>
                <w:color w:val="0000EE"/>
                <w:w w:val="89"/>
              </w:rPr>
            </w:pPr>
            <w:hyperlink r:id="rId11">
              <w:r>
                <w:rPr>
                  <w:rFonts w:ascii="Arial" w:cs="Arial" w:eastAsia="Arial" w:hAnsi="Arial"/>
                  <w:sz w:val="16"/>
                  <w:szCs w:val="16"/>
                  <w:color w:val="0000EE"/>
                  <w:w w:val="89"/>
                </w:rPr>
                <w:t>Jennings H. Keith</w:t>
              </w:r>
            </w:hyperlink>
          </w:p>
        </w:tc>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Borders>
              <w:bottom w:val="single" w:sz="8" w:color="0000EE"/>
            </w:tcBorders>
            <w:gridSpan w:val="2"/>
            <w:vMerge w:val="continue"/>
          </w:tcPr>
          <w:p>
            <w:pPr>
              <w:spacing w:after="0"/>
              <w:rPr>
                <w:sz w:val="9"/>
                <w:szCs w:val="9"/>
                <w:color w:val="auto"/>
              </w:rPr>
            </w:pPr>
          </w:p>
        </w:tc>
        <w:tc>
          <w:tcPr>
            <w:tcW w:w="86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06/01/2021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86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0"/>
                <w:szCs w:val="10"/>
                <w:color w:val="auto"/>
              </w:rPr>
              <w:t>(Last)</w:t>
            </w:r>
          </w:p>
        </w:tc>
        <w:tc>
          <w:tcPr>
            <w:tcW w:w="1180" w:type="dxa"/>
            <w:vAlign w:val="bottom"/>
            <w:gridSpan w:val="2"/>
          </w:tcPr>
          <w:p>
            <w:pPr>
              <w:ind w:left="22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gridSpan w:val="3"/>
          </w:tcPr>
          <w:p>
            <w:pPr>
              <w:spacing w:after="0"/>
              <w:rPr>
                <w:sz w:val="20"/>
                <w:szCs w:val="20"/>
                <w:color w:val="auto"/>
              </w:rPr>
            </w:pPr>
            <w:r>
              <w:rPr>
                <w:rFonts w:ascii="Arial" w:cs="Arial" w:eastAsia="Arial" w:hAnsi="Arial"/>
                <w:sz w:val="13"/>
                <w:szCs w:val="13"/>
                <w:color w:val="0000FF"/>
              </w:rPr>
              <w:t>2000 ST. JAMES PLACE</w:t>
            </w: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860" w:type="dxa"/>
            <w:vAlign w:val="bottom"/>
            <w:gridSpan w:val="3"/>
          </w:tcPr>
          <w:p>
            <w:pPr>
              <w:spacing w:after="0"/>
              <w:rPr>
                <w:sz w:val="20"/>
                <w:szCs w:val="20"/>
                <w:color w:val="auto"/>
              </w:rPr>
            </w:pPr>
            <w:r>
              <w:rPr>
                <w:rFonts w:ascii="Arial" w:cs="Arial" w:eastAsia="Arial" w:hAnsi="Arial"/>
                <w:sz w:val="10"/>
                <w:szCs w:val="10"/>
                <w:color w:val="auto"/>
              </w:rPr>
              <w:t>(Street)</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0000FF"/>
              </w:rPr>
              <w:t>HOUSTON</w:t>
            </w:r>
          </w:p>
        </w:tc>
        <w:tc>
          <w:tcPr>
            <w:tcW w:w="1180" w:type="dxa"/>
            <w:vAlign w:val="bottom"/>
            <w:gridSpan w:val="2"/>
          </w:tcPr>
          <w:p>
            <w:pPr>
              <w:ind w:left="220"/>
              <w:spacing w:after="0"/>
              <w:rPr>
                <w:sz w:val="20"/>
                <w:szCs w:val="20"/>
                <w:color w:val="auto"/>
              </w:rPr>
            </w:pPr>
            <w:r>
              <w:rPr>
                <w:rFonts w:ascii="Arial" w:cs="Arial" w:eastAsia="Arial" w:hAnsi="Arial"/>
                <w:sz w:val="13"/>
                <w:szCs w:val="13"/>
                <w:color w:val="0000FF"/>
              </w:rPr>
              <w:t>TX</w:t>
            </w:r>
          </w:p>
        </w:tc>
        <w:tc>
          <w:tcPr>
            <w:tcW w:w="1140" w:type="dxa"/>
            <w:vAlign w:val="bottom"/>
          </w:tcPr>
          <w:p>
            <w:pPr>
              <w:ind w:left="100"/>
              <w:spacing w:after="0"/>
              <w:rPr>
                <w:sz w:val="20"/>
                <w:szCs w:val="20"/>
                <w:color w:val="auto"/>
              </w:rPr>
            </w:pPr>
            <w:r>
              <w:rPr>
                <w:rFonts w:ascii="Arial" w:cs="Arial" w:eastAsia="Arial" w:hAnsi="Arial"/>
                <w:sz w:val="13"/>
                <w:szCs w:val="13"/>
                <w:color w:val="0000FF"/>
              </w:rPr>
              <w:t>77056</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6"/>
          <w:szCs w:val="16"/>
          <w:color w:val="0000EE"/>
        </w:rPr>
      </w:pPr>
      <w:hyperlink r:id="rId12">
        <w:r>
          <w:rPr>
            <w:rFonts w:ascii="Arial" w:cs="Arial" w:eastAsia="Arial" w:hAnsi="Arial"/>
            <w:sz w:val="16"/>
            <w:szCs w:val="16"/>
            <w:u w:val="single" w:color="auto"/>
            <w:color w:val="0000EE"/>
          </w:rPr>
          <w:t>Weatherford International plc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WFRD</w:t>
      </w:r>
      <w:r>
        <w:rPr>
          <w:rFonts w:ascii="Arial" w:cs="Arial" w:eastAsia="Arial" w:hAnsi="Arial"/>
          <w:sz w:val="16"/>
          <w:szCs w:val="16"/>
          <w:color w:val="0000EE"/>
        </w:rPr>
        <w:t xml:space="preserve"> </w:t>
      </w:r>
      <w:r>
        <w:rPr>
          <w:rFonts w:ascii="Arial" w:cs="Arial" w:eastAsia="Arial" w:hAnsi="Arial"/>
          <w:sz w:val="16"/>
          <w:szCs w:val="16"/>
          <w:color w:val="000000"/>
        </w:rPr>
        <w:t>]</w:t>
      </w:r>
    </w:p>
    <w:p>
      <w:pPr>
        <w:spacing w:after="0" w:line="294"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240" w:type="dxa"/>
            <w:vAlign w:val="bottom"/>
            <w:gridSpan w:val="3"/>
          </w:tcPr>
          <w:p>
            <w:pPr>
              <w:spacing w:after="0"/>
              <w:rPr>
                <w:sz w:val="20"/>
                <w:szCs w:val="20"/>
                <w:color w:val="auto"/>
              </w:rPr>
            </w:pPr>
            <w:r>
              <w:rPr>
                <w:rFonts w:ascii="Arial" w:cs="Arial" w:eastAsia="Arial" w:hAnsi="Arial"/>
                <w:sz w:val="10"/>
                <w:szCs w:val="10"/>
                <w:color w:val="auto"/>
              </w:rPr>
              <w:t>4. 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21"/>
        </w:trPr>
        <w:tc>
          <w:tcPr>
            <w:tcW w:w="2040" w:type="dxa"/>
            <w:vAlign w:val="bottom"/>
            <w:gridSpan w:val="2"/>
          </w:tcPr>
          <w:p>
            <w:pPr>
              <w:spacing w:after="0"/>
              <w:rPr>
                <w:sz w:val="20"/>
                <w:szCs w:val="20"/>
                <w:color w:val="auto"/>
              </w:rPr>
            </w:pPr>
            <w:r>
              <w:rPr>
                <w:rFonts w:ascii="Arial" w:cs="Arial" w:eastAsia="Arial" w:hAnsi="Arial"/>
                <w:sz w:val="10"/>
                <w:szCs w:val="10"/>
                <w:color w:val="auto"/>
              </w:rPr>
              <w:t>(Check all applicable)</w:t>
            </w: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400" w:type="dxa"/>
            <w:vAlign w:val="bottom"/>
          </w:tcPr>
          <w:p>
            <w:pPr>
              <w:spacing w:after="0"/>
              <w:rPr>
                <w:sz w:val="5"/>
                <w:szCs w:val="5"/>
                <w:color w:val="auto"/>
              </w:rPr>
            </w:pPr>
          </w:p>
        </w:tc>
        <w:tc>
          <w:tcPr>
            <w:tcW w:w="164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200" w:type="dxa"/>
            <w:vAlign w:val="bottom"/>
            <w:vMerge w:val="restart"/>
          </w:tcPr>
          <w:p>
            <w:pPr>
              <w:ind w:left="6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400" w:type="dxa"/>
            <w:vAlign w:val="bottom"/>
            <w:vMerge w:val="restart"/>
          </w:tcPr>
          <w:p>
            <w:pPr>
              <w:ind w:left="200"/>
              <w:spacing w:after="0"/>
              <w:rPr>
                <w:sz w:val="20"/>
                <w:szCs w:val="20"/>
                <w:color w:val="auto"/>
              </w:rPr>
            </w:pPr>
            <w:r>
              <w:rPr>
                <w:rFonts w:ascii="Arial" w:cs="Arial" w:eastAsia="Arial" w:hAnsi="Arial"/>
                <w:sz w:val="13"/>
                <w:szCs w:val="13"/>
                <w:color w:val="0000FF"/>
              </w:rPr>
              <w:t>X</w:t>
            </w:r>
          </w:p>
        </w:tc>
        <w:tc>
          <w:tcPr>
            <w:tcW w:w="164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gridSpan w:val="2"/>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100"/>
        </w:trPr>
        <w:tc>
          <w:tcPr>
            <w:tcW w:w="400" w:type="dxa"/>
            <w:vAlign w:val="bottom"/>
            <w:vMerge w:val="continue"/>
          </w:tcPr>
          <w:p>
            <w:pPr>
              <w:spacing w:after="0"/>
              <w:rPr>
                <w:sz w:val="8"/>
                <w:szCs w:val="8"/>
                <w:color w:val="auto"/>
              </w:rPr>
            </w:pPr>
          </w:p>
        </w:tc>
        <w:tc>
          <w:tcPr>
            <w:tcW w:w="1640" w:type="dxa"/>
            <w:vAlign w:val="bottom"/>
            <w:vMerge w:val="restart"/>
          </w:tcPr>
          <w:p>
            <w:pPr>
              <w:ind w:left="120"/>
              <w:spacing w:after="0"/>
              <w:rPr>
                <w:sz w:val="20"/>
                <w:szCs w:val="20"/>
                <w:color w:val="auto"/>
              </w:rPr>
            </w:pPr>
            <w:r>
              <w:rPr>
                <w:rFonts w:ascii="Arial" w:cs="Arial" w:eastAsia="Arial" w:hAnsi="Arial"/>
                <w:sz w:val="10"/>
                <w:szCs w:val="10"/>
                <w:color w:val="auto"/>
              </w:rPr>
              <w:t>Officer (give title below)</w:t>
            </w:r>
          </w:p>
        </w:tc>
        <w:tc>
          <w:tcPr>
            <w:tcW w:w="1200" w:type="dxa"/>
            <w:vAlign w:val="bottom"/>
            <w:vMerge w:val="restart"/>
          </w:tcPr>
          <w:p>
            <w:pPr>
              <w:ind w:left="6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8"/>
                <w:szCs w:val="8"/>
                <w:color w:val="auto"/>
              </w:rPr>
            </w:pPr>
          </w:p>
        </w:tc>
        <w:tc>
          <w:tcPr>
            <w:tcW w:w="2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0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vMerge w:val="restart"/>
          </w:tcPr>
          <w:p>
            <w:pPr>
              <w:ind w:left="80"/>
              <w:spacing w:after="0"/>
              <w:rPr>
                <w:sz w:val="20"/>
                <w:szCs w:val="20"/>
                <w:color w:val="auto"/>
              </w:rPr>
            </w:pPr>
            <w:r>
              <w:rPr>
                <w:rFonts w:ascii="Arial" w:cs="Arial" w:eastAsia="Arial" w:hAnsi="Arial"/>
                <w:sz w:val="13"/>
                <w:szCs w:val="13"/>
                <w:color w:val="0000FF"/>
              </w:rPr>
              <w:t>X</w:t>
            </w:r>
          </w:p>
        </w:tc>
        <w:tc>
          <w:tcPr>
            <w:tcW w:w="2360" w:type="dxa"/>
            <w:vAlign w:val="bottom"/>
            <w:vMerge w:val="restart"/>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90"/>
        </w:trPr>
        <w:tc>
          <w:tcPr>
            <w:tcW w:w="400" w:type="dxa"/>
            <w:vAlign w:val="bottom"/>
          </w:tcPr>
          <w:p>
            <w:pPr>
              <w:spacing w:after="0"/>
              <w:rPr>
                <w:sz w:val="7"/>
                <w:szCs w:val="7"/>
                <w:color w:val="auto"/>
              </w:rPr>
            </w:pPr>
          </w:p>
        </w:tc>
        <w:tc>
          <w:tcPr>
            <w:tcW w:w="1640" w:type="dxa"/>
            <w:vAlign w:val="bottom"/>
            <w:vMerge w:val="restart"/>
          </w:tcPr>
          <w:p>
            <w:pPr>
              <w:ind w:left="820"/>
              <w:spacing w:after="0"/>
              <w:rPr>
                <w:sz w:val="20"/>
                <w:szCs w:val="20"/>
                <w:color w:val="auto"/>
              </w:rPr>
            </w:pPr>
            <w:r>
              <w:rPr>
                <w:rFonts w:ascii="Arial" w:cs="Arial" w:eastAsia="Arial" w:hAnsi="Arial"/>
                <w:sz w:val="13"/>
                <w:szCs w:val="13"/>
                <w:color w:val="0000FF"/>
                <w:w w:val="97"/>
              </w:rPr>
              <w:t>EVP and CFO</w:t>
            </w:r>
          </w:p>
        </w:tc>
        <w:tc>
          <w:tcPr>
            <w:tcW w:w="1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2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4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60" w:type="dxa"/>
            <w:vAlign w:val="bottom"/>
            <w:vMerge w:val="restart"/>
          </w:tcPr>
          <w:p>
            <w:pPr>
              <w:ind w:left="10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52"/>
        </w:trPr>
        <w:tc>
          <w:tcPr>
            <w:tcW w:w="4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68"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72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8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9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8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7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940" w:type="dxa"/>
            <w:vAlign w:val="bottom"/>
            <w:vMerge w:val="restart"/>
          </w:tcPr>
          <w:p>
            <w:pPr>
              <w:ind w:left="3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jc w:val="center"/>
              <w:spacing w:after="0" w:line="110" w:lineRule="exact"/>
              <w:rPr>
                <w:sz w:val="20"/>
                <w:szCs w:val="20"/>
                <w:color w:val="auto"/>
              </w:rPr>
            </w:pPr>
            <w:r>
              <w:rPr>
                <w:rFonts w:ascii="Arial" w:cs="Arial" w:eastAsia="Arial" w:hAnsi="Arial"/>
                <w:sz w:val="10"/>
                <w:szCs w:val="10"/>
                <w:b w:val="1"/>
                <w:bCs w:val="1"/>
                <w:color w:val="auto"/>
              </w:rPr>
              <w:t>Expiration</w:t>
            </w:r>
          </w:p>
        </w:tc>
        <w:tc>
          <w:tcPr>
            <w:tcW w:w="18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940" w:type="dxa"/>
            <w:vAlign w:val="bottom"/>
          </w:tcPr>
          <w:p>
            <w:pPr>
              <w:ind w:left="34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840" w:type="dxa"/>
            <w:vAlign w:val="bottom"/>
            <w:vMerge w:val="continue"/>
          </w:tcPr>
          <w:p>
            <w:pPr>
              <w:spacing w:after="0"/>
              <w:rPr>
                <w:sz w:val="11"/>
                <w:szCs w:val="11"/>
                <w:color w:val="auto"/>
              </w:rPr>
            </w:pPr>
          </w:p>
        </w:tc>
        <w:tc>
          <w:tcPr>
            <w:tcW w:w="940" w:type="dxa"/>
            <w:vAlign w:val="bottom"/>
          </w:tcPr>
          <w:p>
            <w:pPr>
              <w:ind w:left="3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7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20" w:type="dxa"/>
            <w:vAlign w:val="bottom"/>
          </w:tcPr>
          <w:p>
            <w:pPr>
              <w:ind w:left="40"/>
              <w:spacing w:after="0"/>
              <w:rPr>
                <w:sz w:val="20"/>
                <w:szCs w:val="20"/>
                <w:color w:val="auto"/>
              </w:rPr>
            </w:pPr>
            <w:r>
              <w:rPr>
                <w:rFonts w:ascii="Arial" w:cs="Arial" w:eastAsia="Arial" w:hAnsi="Arial"/>
                <w:sz w:val="13"/>
                <w:szCs w:val="13"/>
                <w:color w:val="0000FF"/>
              </w:rPr>
              <w:t>Restricted Share Units</w:t>
            </w:r>
          </w:p>
        </w:tc>
        <w:tc>
          <w:tcPr>
            <w:tcW w:w="660" w:type="dxa"/>
            <w:vAlign w:val="bottom"/>
          </w:tcPr>
          <w:p>
            <w:pPr>
              <w:ind w:left="280"/>
              <w:spacing w:after="0"/>
              <w:rPr>
                <w:sz w:val="20"/>
                <w:szCs w:val="20"/>
                <w:color w:val="auto"/>
              </w:rPr>
            </w:pPr>
            <w:r>
              <w:rPr>
                <w:rFonts w:ascii="Arial" w:cs="Arial" w:eastAsia="Arial" w:hAnsi="Arial"/>
                <w:sz w:val="8"/>
                <w:szCs w:val="8"/>
                <w:color w:val="008000"/>
              </w:rPr>
              <w:t>(1)</w:t>
            </w:r>
          </w:p>
        </w:tc>
        <w:tc>
          <w:tcPr>
            <w:tcW w:w="580" w:type="dxa"/>
            <w:vAlign w:val="bottom"/>
          </w:tcPr>
          <w:p>
            <w:pPr>
              <w:jc w:val="center"/>
              <w:spacing w:after="0"/>
              <w:rPr>
                <w:sz w:val="20"/>
                <w:szCs w:val="20"/>
                <w:color w:val="auto"/>
              </w:rPr>
            </w:pPr>
            <w:r>
              <w:rPr>
                <w:rFonts w:ascii="Arial" w:cs="Arial" w:eastAsia="Arial" w:hAnsi="Arial"/>
                <w:sz w:val="8"/>
                <w:szCs w:val="8"/>
                <w:color w:val="008000"/>
              </w:rPr>
              <w:t>(1)</w:t>
            </w:r>
          </w:p>
        </w:tc>
        <w:tc>
          <w:tcPr>
            <w:tcW w:w="1840" w:type="dxa"/>
            <w:vAlign w:val="bottom"/>
          </w:tcPr>
          <w:p>
            <w:pPr>
              <w:ind w:left="640"/>
              <w:spacing w:after="0"/>
              <w:rPr>
                <w:sz w:val="20"/>
                <w:szCs w:val="20"/>
                <w:color w:val="auto"/>
              </w:rPr>
            </w:pPr>
            <w:r>
              <w:rPr>
                <w:rFonts w:ascii="Arial" w:cs="Arial" w:eastAsia="Arial" w:hAnsi="Arial"/>
                <w:sz w:val="13"/>
                <w:szCs w:val="13"/>
                <w:color w:val="0000FF"/>
              </w:rPr>
              <w:t>Ordinary Shares</w:t>
            </w:r>
          </w:p>
        </w:tc>
        <w:tc>
          <w:tcPr>
            <w:tcW w:w="940" w:type="dxa"/>
            <w:vAlign w:val="bottom"/>
          </w:tcPr>
          <w:p>
            <w:pPr>
              <w:jc w:val="center"/>
              <w:ind w:left="262"/>
              <w:spacing w:after="0"/>
              <w:rPr>
                <w:sz w:val="20"/>
                <w:szCs w:val="20"/>
                <w:color w:val="auto"/>
              </w:rPr>
            </w:pPr>
            <w:r>
              <w:rPr>
                <w:rFonts w:ascii="Arial" w:cs="Arial" w:eastAsia="Arial" w:hAnsi="Arial"/>
                <w:sz w:val="13"/>
                <w:szCs w:val="13"/>
                <w:color w:val="0000FF"/>
                <w:w w:val="89"/>
              </w:rPr>
              <w:t>115,796</w:t>
            </w:r>
          </w:p>
        </w:tc>
        <w:tc>
          <w:tcPr>
            <w:tcW w:w="720" w:type="dxa"/>
            <w:vAlign w:val="bottom"/>
          </w:tcPr>
          <w:p>
            <w:pPr>
              <w:ind w:left="340"/>
              <w:spacing w:after="0"/>
              <w:rPr>
                <w:sz w:val="20"/>
                <w:szCs w:val="20"/>
                <w:color w:val="auto"/>
              </w:rPr>
            </w:pPr>
            <w:r>
              <w:rPr>
                <w:rFonts w:ascii="Arial" w:cs="Arial" w:eastAsia="Arial" w:hAnsi="Arial"/>
                <w:sz w:val="8"/>
                <w:szCs w:val="8"/>
                <w:color w:val="008000"/>
              </w:rPr>
              <w:t>(1)</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20" w:type="dxa"/>
            <w:vAlign w:val="bottom"/>
          </w:tcPr>
          <w:p>
            <w:pPr>
              <w:ind w:left="40"/>
              <w:spacing w:after="0"/>
              <w:rPr>
                <w:sz w:val="20"/>
                <w:szCs w:val="20"/>
                <w:color w:val="auto"/>
              </w:rPr>
            </w:pPr>
            <w:r>
              <w:rPr>
                <w:rFonts w:ascii="Arial" w:cs="Arial" w:eastAsia="Arial" w:hAnsi="Arial"/>
                <w:sz w:val="13"/>
                <w:szCs w:val="13"/>
                <w:color w:val="0000FF"/>
              </w:rPr>
              <w:t>Performance Share Units</w:t>
            </w:r>
          </w:p>
        </w:tc>
        <w:tc>
          <w:tcPr>
            <w:tcW w:w="660" w:type="dxa"/>
            <w:vAlign w:val="bottom"/>
          </w:tcPr>
          <w:p>
            <w:pPr>
              <w:ind w:left="280"/>
              <w:spacing w:after="0"/>
              <w:rPr>
                <w:sz w:val="20"/>
                <w:szCs w:val="20"/>
                <w:color w:val="auto"/>
              </w:rPr>
            </w:pPr>
            <w:r>
              <w:rPr>
                <w:rFonts w:ascii="Arial" w:cs="Arial" w:eastAsia="Arial" w:hAnsi="Arial"/>
                <w:sz w:val="8"/>
                <w:szCs w:val="8"/>
                <w:color w:val="008000"/>
              </w:rPr>
              <w:t>(2)</w:t>
            </w:r>
          </w:p>
        </w:tc>
        <w:tc>
          <w:tcPr>
            <w:tcW w:w="580" w:type="dxa"/>
            <w:vAlign w:val="bottom"/>
          </w:tcPr>
          <w:p>
            <w:pPr>
              <w:jc w:val="center"/>
              <w:spacing w:after="0"/>
              <w:rPr>
                <w:sz w:val="20"/>
                <w:szCs w:val="20"/>
                <w:color w:val="auto"/>
              </w:rPr>
            </w:pPr>
            <w:r>
              <w:rPr>
                <w:rFonts w:ascii="Arial" w:cs="Arial" w:eastAsia="Arial" w:hAnsi="Arial"/>
                <w:sz w:val="8"/>
                <w:szCs w:val="8"/>
                <w:color w:val="008000"/>
              </w:rPr>
              <w:t>(2)</w:t>
            </w:r>
          </w:p>
        </w:tc>
        <w:tc>
          <w:tcPr>
            <w:tcW w:w="1840" w:type="dxa"/>
            <w:vAlign w:val="bottom"/>
          </w:tcPr>
          <w:p>
            <w:pPr>
              <w:ind w:left="640"/>
              <w:spacing w:after="0"/>
              <w:rPr>
                <w:sz w:val="20"/>
                <w:szCs w:val="20"/>
                <w:color w:val="auto"/>
              </w:rPr>
            </w:pPr>
            <w:r>
              <w:rPr>
                <w:rFonts w:ascii="Arial" w:cs="Arial" w:eastAsia="Arial" w:hAnsi="Arial"/>
                <w:sz w:val="13"/>
                <w:szCs w:val="13"/>
                <w:color w:val="0000FF"/>
              </w:rPr>
              <w:t>Ordinary Shares</w:t>
            </w:r>
          </w:p>
        </w:tc>
        <w:tc>
          <w:tcPr>
            <w:tcW w:w="940" w:type="dxa"/>
            <w:vAlign w:val="bottom"/>
          </w:tcPr>
          <w:p>
            <w:pPr>
              <w:jc w:val="center"/>
              <w:ind w:left="262"/>
              <w:spacing w:after="0"/>
              <w:rPr>
                <w:sz w:val="20"/>
                <w:szCs w:val="20"/>
                <w:color w:val="auto"/>
              </w:rPr>
            </w:pPr>
            <w:r>
              <w:rPr>
                <w:rFonts w:ascii="Arial" w:cs="Arial" w:eastAsia="Arial" w:hAnsi="Arial"/>
                <w:sz w:val="13"/>
                <w:szCs w:val="13"/>
                <w:color w:val="0000FF"/>
                <w:w w:val="89"/>
              </w:rPr>
              <w:t>192,993</w:t>
            </w:r>
          </w:p>
        </w:tc>
        <w:tc>
          <w:tcPr>
            <w:tcW w:w="720" w:type="dxa"/>
            <w:vAlign w:val="bottom"/>
          </w:tcPr>
          <w:p>
            <w:pPr>
              <w:ind w:left="340"/>
              <w:spacing w:after="0"/>
              <w:rPr>
                <w:sz w:val="20"/>
                <w:szCs w:val="20"/>
                <w:color w:val="auto"/>
              </w:rPr>
            </w:pPr>
            <w:r>
              <w:rPr>
                <w:rFonts w:ascii="Arial" w:cs="Arial" w:eastAsia="Arial" w:hAnsi="Arial"/>
                <w:sz w:val="8"/>
                <w:szCs w:val="8"/>
                <w:color w:val="008000"/>
              </w:rPr>
              <w:t>(2)</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20" w:type="dxa"/>
            <w:vAlign w:val="bottom"/>
          </w:tcPr>
          <w:p>
            <w:pPr>
              <w:ind w:left="40"/>
              <w:spacing w:after="0"/>
              <w:rPr>
                <w:sz w:val="20"/>
                <w:szCs w:val="20"/>
                <w:color w:val="auto"/>
              </w:rPr>
            </w:pPr>
            <w:r>
              <w:rPr>
                <w:rFonts w:ascii="Arial" w:cs="Arial" w:eastAsia="Arial" w:hAnsi="Arial"/>
                <w:sz w:val="13"/>
                <w:szCs w:val="13"/>
                <w:color w:val="0000FF"/>
              </w:rPr>
              <w:t>Phantom Restricted Share Units</w:t>
            </w:r>
          </w:p>
        </w:tc>
        <w:tc>
          <w:tcPr>
            <w:tcW w:w="660" w:type="dxa"/>
            <w:vAlign w:val="bottom"/>
          </w:tcPr>
          <w:p>
            <w:pPr>
              <w:ind w:left="280"/>
              <w:spacing w:after="0"/>
              <w:rPr>
                <w:sz w:val="20"/>
                <w:szCs w:val="20"/>
                <w:color w:val="auto"/>
              </w:rPr>
            </w:pPr>
            <w:r>
              <w:rPr>
                <w:rFonts w:ascii="Arial" w:cs="Arial" w:eastAsia="Arial" w:hAnsi="Arial"/>
                <w:sz w:val="8"/>
                <w:szCs w:val="8"/>
                <w:color w:val="008000"/>
              </w:rPr>
              <w:t>(3)</w:t>
            </w:r>
          </w:p>
        </w:tc>
        <w:tc>
          <w:tcPr>
            <w:tcW w:w="580" w:type="dxa"/>
            <w:vAlign w:val="bottom"/>
          </w:tcPr>
          <w:p>
            <w:pPr>
              <w:jc w:val="center"/>
              <w:spacing w:after="0"/>
              <w:rPr>
                <w:sz w:val="20"/>
                <w:szCs w:val="20"/>
                <w:color w:val="auto"/>
              </w:rPr>
            </w:pPr>
            <w:r>
              <w:rPr>
                <w:rFonts w:ascii="Arial" w:cs="Arial" w:eastAsia="Arial" w:hAnsi="Arial"/>
                <w:sz w:val="8"/>
                <w:szCs w:val="8"/>
                <w:color w:val="008000"/>
              </w:rPr>
              <w:t>(3)</w:t>
            </w:r>
          </w:p>
        </w:tc>
        <w:tc>
          <w:tcPr>
            <w:tcW w:w="1840" w:type="dxa"/>
            <w:vAlign w:val="bottom"/>
          </w:tcPr>
          <w:p>
            <w:pPr>
              <w:ind w:left="640"/>
              <w:spacing w:after="0"/>
              <w:rPr>
                <w:sz w:val="20"/>
                <w:szCs w:val="20"/>
                <w:color w:val="auto"/>
              </w:rPr>
            </w:pPr>
            <w:r>
              <w:rPr>
                <w:rFonts w:ascii="Arial" w:cs="Arial" w:eastAsia="Arial" w:hAnsi="Arial"/>
                <w:sz w:val="13"/>
                <w:szCs w:val="13"/>
                <w:color w:val="0000FF"/>
              </w:rPr>
              <w:t>Ordinary Shares</w:t>
            </w:r>
          </w:p>
        </w:tc>
        <w:tc>
          <w:tcPr>
            <w:tcW w:w="940" w:type="dxa"/>
            <w:vAlign w:val="bottom"/>
          </w:tcPr>
          <w:p>
            <w:pPr>
              <w:jc w:val="center"/>
              <w:ind w:left="242"/>
              <w:spacing w:after="0"/>
              <w:rPr>
                <w:sz w:val="20"/>
                <w:szCs w:val="20"/>
                <w:color w:val="auto"/>
              </w:rPr>
            </w:pPr>
            <w:r>
              <w:rPr>
                <w:rFonts w:ascii="Arial" w:cs="Arial" w:eastAsia="Arial" w:hAnsi="Arial"/>
                <w:sz w:val="13"/>
                <w:szCs w:val="13"/>
                <w:color w:val="0000FF"/>
                <w:w w:val="90"/>
              </w:rPr>
              <w:t>56,620</w:t>
            </w:r>
          </w:p>
        </w:tc>
        <w:tc>
          <w:tcPr>
            <w:tcW w:w="720" w:type="dxa"/>
            <w:vAlign w:val="bottom"/>
          </w:tcPr>
          <w:p>
            <w:pPr>
              <w:ind w:left="340"/>
              <w:spacing w:after="0"/>
              <w:rPr>
                <w:sz w:val="20"/>
                <w:szCs w:val="20"/>
                <w:color w:val="auto"/>
              </w:rPr>
            </w:pPr>
            <w:r>
              <w:rPr>
                <w:rFonts w:ascii="Arial" w:cs="Arial" w:eastAsia="Arial" w:hAnsi="Arial"/>
                <w:sz w:val="8"/>
                <w:szCs w:val="8"/>
                <w:color w:val="008000"/>
              </w:rPr>
              <w:t>(3)</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3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72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140" w:hanging="110"/>
        <w:spacing w:after="0"/>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Represents restricted share units ("RSUs") granted on January 4, 2021 pursuant to Issuer's Second Amended and Restated 2019 Equity Incentive Plan (the "2019 EIP"). The RSUs vest in two equal installments over the two-year period from the date of grant.</w:t>
      </w:r>
    </w:p>
    <w:p>
      <w:pPr>
        <w:spacing w:after="0" w:line="46" w:lineRule="exact"/>
        <w:rPr>
          <w:rFonts w:ascii="Arial" w:cs="Arial" w:eastAsia="Arial" w:hAnsi="Arial"/>
          <w:sz w:val="9"/>
          <w:szCs w:val="9"/>
          <w:color w:val="008000"/>
        </w:rPr>
      </w:pPr>
    </w:p>
    <w:p>
      <w:pPr>
        <w:ind w:left="40" w:right="420" w:hanging="10"/>
        <w:spacing w:after="0" w:line="255"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Represents performance share units ("PSUs") granted on January 4, 2021 under the 2019 EIP. The number of PSUs reported is the target award and may be subject to a payout ranging from 0% to 200% of target award depending on the actual achievement of the performance goals at the end of the performance period. The performance period is the Issuer's fiscal year ending December 21, 2022.</w:t>
      </w:r>
    </w:p>
    <w:p>
      <w:pPr>
        <w:spacing w:after="0" w:line="15" w:lineRule="exact"/>
        <w:rPr>
          <w:rFonts w:ascii="Arial" w:cs="Arial" w:eastAsia="Arial" w:hAnsi="Arial"/>
          <w:sz w:val="10"/>
          <w:szCs w:val="10"/>
          <w:color w:val="008000"/>
        </w:rPr>
      </w:pPr>
    </w:p>
    <w:p>
      <w:pPr>
        <w:ind w:left="40" w:right="440" w:hanging="10"/>
        <w:spacing w:after="0" w:line="255"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Represents phantom restricted share units granted on January 4, 2021 pursuant to the 2019 EIP. These phantom restricted share units vest in two equal installments over the two-year period from the date of grant and may be settled in cash, ordinary shares or any combination of cash and ordinary shares.</w:t>
      </w:r>
    </w:p>
    <w:p>
      <w:pPr>
        <w:spacing w:after="0" w:line="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0000FF"/>
                <w:w w:val="89"/>
              </w:rPr>
              <w:t>Jonathan B. Wolens by Power of</w:t>
            </w:r>
          </w:p>
        </w:tc>
        <w:tc>
          <w:tcPr>
            <w:tcW w:w="1100" w:type="dxa"/>
            <w:vAlign w:val="bottom"/>
            <w:gridSpan w:val="2"/>
            <w:vMerge w:val="restart"/>
          </w:tcPr>
          <w:p>
            <w:pPr>
              <w:ind w:left="500"/>
              <w:spacing w:after="0"/>
              <w:rPr>
                <w:sz w:val="20"/>
                <w:szCs w:val="20"/>
                <w:color w:val="auto"/>
              </w:rPr>
            </w:pPr>
            <w:r>
              <w:rPr>
                <w:rFonts w:ascii="Arial" w:cs="Arial" w:eastAsia="Arial" w:hAnsi="Arial"/>
                <w:sz w:val="13"/>
                <w:szCs w:val="13"/>
                <w:color w:val="0000FF"/>
                <w:w w:val="89"/>
              </w:rPr>
              <w:t>06/10/2021</w:t>
            </w:r>
          </w:p>
        </w:tc>
        <w:tc>
          <w:tcPr>
            <w:tcW w:w="0" w:type="dxa"/>
            <w:vAlign w:val="bottom"/>
          </w:tcPr>
          <w:p>
            <w:pPr>
              <w:spacing w:after="0"/>
              <w:rPr>
                <w:sz w:val="1"/>
                <w:szCs w:val="1"/>
                <w:color w:val="auto"/>
              </w:rPr>
            </w:pPr>
          </w:p>
        </w:tc>
      </w:tr>
      <w:tr>
        <w:trPr>
          <w:trHeight w:val="60"/>
        </w:trPr>
        <w:tc>
          <w:tcPr>
            <w:tcW w:w="6580" w:type="dxa"/>
            <w:vAlign w:val="bottom"/>
          </w:tcPr>
          <w:p>
            <w:pPr>
              <w:spacing w:after="0"/>
              <w:rPr>
                <w:sz w:val="5"/>
                <w:szCs w:val="5"/>
                <w:color w:val="auto"/>
              </w:rPr>
            </w:pPr>
          </w:p>
        </w:tc>
        <w:tc>
          <w:tcPr>
            <w:tcW w:w="460" w:type="dxa"/>
            <w:vAlign w:val="bottom"/>
            <w:vMerge w:val="restart"/>
          </w:tcPr>
          <w:p>
            <w:pPr>
              <w:spacing w:after="0" w:line="140" w:lineRule="exact"/>
              <w:rPr>
                <w:sz w:val="20"/>
                <w:szCs w:val="20"/>
                <w:color w:val="auto"/>
              </w:rPr>
            </w:pPr>
            <w:r>
              <w:rPr>
                <w:rFonts w:ascii="Arial" w:cs="Arial" w:eastAsia="Arial" w:hAnsi="Arial"/>
                <w:sz w:val="13"/>
                <w:szCs w:val="13"/>
                <w:color w:val="0000FF"/>
                <w:w w:val="90"/>
              </w:rPr>
              <w:t>Attorney</w:t>
            </w:r>
          </w:p>
        </w:tc>
        <w:tc>
          <w:tcPr>
            <w:tcW w:w="1240" w:type="dxa"/>
            <w:vAlign w:val="bottom"/>
            <w:vMerge w:val="restart"/>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658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5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0"/>
        </w:trPr>
        <w:tc>
          <w:tcPr>
            <w:tcW w:w="82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2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2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2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2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4" w:lineRule="exact"/>
        <w:rPr>
          <w:sz w:val="20"/>
          <w:szCs w:val="20"/>
          <w:color w:val="auto"/>
        </w:rPr>
      </w:pPr>
    </w:p>
    <w:p>
      <w:pPr>
        <w:ind w:left="320"/>
        <w:spacing w:after="0"/>
        <w:rPr>
          <w:sz w:val="20"/>
          <w:szCs w:val="20"/>
          <w:color w:val="auto"/>
        </w:rPr>
      </w:pPr>
      <w:r>
        <w:rPr>
          <w:rFonts w:ascii="Courier New" w:cs="Courier New" w:eastAsia="Courier New" w:hAnsi="Courier New"/>
          <w:sz w:val="12"/>
          <w:szCs w:val="12"/>
          <w:color w:val="auto"/>
        </w:rPr>
        <w:t>Know all by these presents that the undersigned hereby constitutes and appoints each of Scott C. Weatherholt, Christine M. Morrison and Jo</w:t>
      </w:r>
    </w:p>
    <w:p>
      <w:pPr>
        <w:spacing w:after="0" w:line="163" w:lineRule="exact"/>
        <w:rPr>
          <w:sz w:val="20"/>
          <w:szCs w:val="20"/>
          <w:color w:val="auto"/>
        </w:rPr>
      </w:pPr>
    </w:p>
    <w:p>
      <w:pPr>
        <w:ind w:left="780" w:hanging="233"/>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prepare, execute in the undersigned's name and on the undersigned's behalf, and submit to the U.S. Securities and Exchange Commissio</w:t>
      </w:r>
    </w:p>
    <w:p>
      <w:pPr>
        <w:spacing w:after="0" w:line="152" w:lineRule="exact"/>
        <w:rPr>
          <w:rFonts w:ascii="Courier New" w:cs="Courier New" w:eastAsia="Courier New" w:hAnsi="Courier New"/>
          <w:sz w:val="13"/>
          <w:szCs w:val="13"/>
          <w:color w:val="auto"/>
        </w:rPr>
      </w:pPr>
    </w:p>
    <w:p>
      <w:pPr>
        <w:ind w:left="780" w:hanging="233"/>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or director of Weatherford International p</w:t>
      </w:r>
    </w:p>
    <w:p>
      <w:pPr>
        <w:spacing w:after="0" w:line="152" w:lineRule="exact"/>
        <w:rPr>
          <w:rFonts w:ascii="Courier New" w:cs="Courier New" w:eastAsia="Courier New" w:hAnsi="Courier New"/>
          <w:sz w:val="13"/>
          <w:szCs w:val="13"/>
          <w:color w:val="auto"/>
        </w:rPr>
      </w:pPr>
    </w:p>
    <w:p>
      <w:pPr>
        <w:ind w:left="780" w:hanging="233"/>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w:t>
      </w:r>
    </w:p>
    <w:p>
      <w:pPr>
        <w:spacing w:after="0" w:line="153" w:lineRule="exact"/>
        <w:rPr>
          <w:rFonts w:ascii="Courier New" w:cs="Courier New" w:eastAsia="Courier New" w:hAnsi="Courier New"/>
          <w:sz w:val="13"/>
          <w:szCs w:val="13"/>
          <w:color w:val="auto"/>
        </w:rPr>
      </w:pPr>
    </w:p>
    <w:p>
      <w:pPr>
        <w:jc w:val="both"/>
        <w:ind w:left="320" w:firstLine="227"/>
        <w:spacing w:after="0" w:line="488" w:lineRule="auto"/>
        <w:tabs>
          <w:tab w:leader="none" w:pos="788"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 in fact, may be The undersigned hereby grants to each such attorney in fact full power and authority to do and perform any and every act and thing whatsoe This Power of Attorney shall remain in full force and effect until the undersigned is no longer required to file reports under Section 16( IN WITNESS WHEREOF, the undersigned has caused this Power of Attorney to be executed as of this 28th day of May, 2021.</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/s/ H. Keith Jennings</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H. Keith Jennings</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102387</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66868" TargetMode="External"/><Relationship Id="rId12"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2021-06-10T17:46:18Z</dcterms:created>
  <dcterms:modified xsi:type="dcterms:W3CDTF">2021-06-10T17:46:18Z</dcterms:modified>
</cp:coreProperties>
</file>