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568960</wp:posOffset>
            </wp:positionH>
            <wp:positionV relativeFrom="page">
              <wp:posOffset>612140</wp:posOffset>
            </wp:positionV>
            <wp:extent cx="6835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35140" cy="8890"/>
                    </a:xfrm>
                    <a:prstGeom prst="rect">
                      <a:avLst/>
                    </a:prstGeom>
                    <a:noFill/>
                  </pic:spPr>
                </pic:pic>
              </a:graphicData>
            </a:graphic>
          </wp:anchor>
        </w:drawing>
        <w:t>UNITED STATES</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November 7, 2016</w:t>
      </w: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Weatherford International public limited company</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Ireland</w:t>
            </w:r>
          </w:p>
        </w:tc>
        <w:tc>
          <w:tcPr>
            <w:tcW w:w="3360" w:type="dxa"/>
            <w:vAlign w:val="bottom"/>
          </w:tcPr>
          <w:p>
            <w:pPr>
              <w:jc w:val="right"/>
              <w:ind w:right="1250"/>
              <w:spacing w:after="0"/>
              <w:rPr>
                <w:sz w:val="20"/>
                <w:szCs w:val="20"/>
                <w:color w:val="auto"/>
              </w:rPr>
            </w:pPr>
            <w:r>
              <w:rPr>
                <w:rFonts w:ascii="Arial" w:cs="Arial" w:eastAsia="Arial" w:hAnsi="Arial"/>
                <w:sz w:val="18"/>
                <w:szCs w:val="18"/>
                <w:b w:val="1"/>
                <w:bCs w:val="1"/>
                <w:color w:val="auto"/>
              </w:rPr>
              <w:t>001-36504</w:t>
            </w:r>
          </w:p>
        </w:tc>
        <w:tc>
          <w:tcPr>
            <w:tcW w:w="3880" w:type="dxa"/>
            <w:vAlign w:val="bottom"/>
          </w:tcPr>
          <w:p>
            <w:pPr>
              <w:jc w:val="center"/>
              <w:ind w:left="90"/>
              <w:spacing w:after="0"/>
              <w:rPr>
                <w:sz w:val="20"/>
                <w:szCs w:val="20"/>
                <w:color w:val="auto"/>
              </w:rPr>
            </w:pPr>
            <w:r>
              <w:rPr>
                <w:rFonts w:ascii="Arial" w:cs="Arial" w:eastAsia="Arial" w:hAnsi="Arial"/>
                <w:sz w:val="18"/>
                <w:szCs w:val="18"/>
                <w:b w:val="1"/>
                <w:bCs w:val="1"/>
                <w:color w:val="auto"/>
                <w:w w:val="89"/>
              </w:rPr>
              <w:t>98-0606750</w:t>
            </w:r>
          </w:p>
        </w:tc>
      </w:tr>
      <w:tr>
        <w:trPr>
          <w:trHeight w:val="54"/>
        </w:trPr>
        <w:tc>
          <w:tcPr>
            <w:tcW w:w="4180" w:type="dxa"/>
            <w:vAlign w:val="bottom"/>
            <w:tcBorders>
              <w:bottom w:val="single" w:sz="8" w:color="auto"/>
            </w:tcBorders>
          </w:tcPr>
          <w:p>
            <w:pPr>
              <w:spacing w:after="0"/>
              <w:rPr>
                <w:sz w:val="4"/>
                <w:szCs w:val="4"/>
                <w:color w:val="auto"/>
              </w:rPr>
            </w:pPr>
          </w:p>
        </w:tc>
        <w:tc>
          <w:tcPr>
            <w:tcW w:w="3360" w:type="dxa"/>
            <w:vAlign w:val="bottom"/>
            <w:tcBorders>
              <w:bottom w:val="single" w:sz="8" w:color="auto"/>
            </w:tcBorders>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r>
      <w:tr>
        <w:trPr>
          <w:trHeight w:val="237"/>
        </w:trPr>
        <w:tc>
          <w:tcPr>
            <w:tcW w:w="4180" w:type="dxa"/>
            <w:vAlign w:val="bottom"/>
          </w:tcPr>
          <w:p>
            <w:pPr>
              <w:jc w:val="center"/>
              <w:ind w:right="130"/>
              <w:spacing w:after="0"/>
              <w:rPr>
                <w:sz w:val="20"/>
                <w:szCs w:val="20"/>
                <w:color w:val="auto"/>
              </w:rPr>
            </w:pPr>
            <w:r>
              <w:rPr>
                <w:rFonts w:ascii="Arial" w:cs="Arial" w:eastAsia="Arial" w:hAnsi="Arial"/>
                <w:sz w:val="18"/>
                <w:szCs w:val="18"/>
                <w:color w:val="auto"/>
                <w:w w:val="92"/>
              </w:rPr>
              <w:t>(State or other jurisdiction of incorporation)</w:t>
            </w:r>
          </w:p>
        </w:tc>
        <w:tc>
          <w:tcPr>
            <w:tcW w:w="3360" w:type="dxa"/>
            <w:vAlign w:val="bottom"/>
          </w:tcPr>
          <w:p>
            <w:pPr>
              <w:jc w:val="center"/>
              <w:ind w:right="10"/>
              <w:spacing w:after="0"/>
              <w:rPr>
                <w:sz w:val="20"/>
                <w:szCs w:val="20"/>
                <w:color w:val="auto"/>
              </w:rPr>
            </w:pPr>
            <w:r>
              <w:rPr>
                <w:rFonts w:ascii="Arial" w:cs="Arial" w:eastAsia="Arial" w:hAnsi="Arial"/>
                <w:sz w:val="18"/>
                <w:szCs w:val="18"/>
                <w:color w:val="auto"/>
                <w:w w:val="92"/>
              </w:rPr>
              <w:t>(Commission File Number)</w:t>
            </w:r>
          </w:p>
        </w:tc>
        <w:tc>
          <w:tcPr>
            <w:tcW w:w="3880" w:type="dxa"/>
            <w:vAlign w:val="bottom"/>
          </w:tcPr>
          <w:p>
            <w:pPr>
              <w:jc w:val="center"/>
              <w:ind w:left="90"/>
              <w:spacing w:after="0"/>
              <w:rPr>
                <w:sz w:val="20"/>
                <w:szCs w:val="20"/>
                <w:color w:val="auto"/>
              </w:rPr>
            </w:pPr>
            <w:r>
              <w:rPr>
                <w:rFonts w:ascii="Arial" w:cs="Arial" w:eastAsia="Arial" w:hAnsi="Arial"/>
                <w:sz w:val="18"/>
                <w:szCs w:val="18"/>
                <w:color w:val="auto"/>
                <w:w w:val="94"/>
              </w:rPr>
              <w:t>(I.R.S. Employer Identification No.)</w:t>
            </w:r>
          </w:p>
        </w:tc>
      </w:tr>
      <w:tr>
        <w:trPr>
          <w:trHeight w:val="405"/>
        </w:trPr>
        <w:tc>
          <w:tcPr>
            <w:tcW w:w="754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89"/>
              </w:rPr>
              <w:t>Bahnhofstrasse 1, 6340 Baar, Switzerland</w:t>
            </w:r>
          </w:p>
        </w:tc>
        <w:tc>
          <w:tcPr>
            <w:tcW w:w="3880" w:type="dxa"/>
            <w:vAlign w:val="bottom"/>
          </w:tcPr>
          <w:p>
            <w:pPr>
              <w:jc w:val="center"/>
              <w:ind w:left="90"/>
              <w:spacing w:after="0"/>
              <w:rPr>
                <w:sz w:val="20"/>
                <w:szCs w:val="20"/>
                <w:color w:val="auto"/>
              </w:rPr>
            </w:pPr>
            <w:r>
              <w:rPr>
                <w:rFonts w:ascii="Arial" w:cs="Arial" w:eastAsia="Arial" w:hAnsi="Arial"/>
                <w:sz w:val="18"/>
                <w:szCs w:val="18"/>
                <w:b w:val="1"/>
                <w:bCs w:val="1"/>
                <w:color w:val="auto"/>
                <w:w w:val="92"/>
              </w:rPr>
              <w:t>CH 6340</w:t>
            </w:r>
          </w:p>
        </w:tc>
      </w:tr>
      <w:tr>
        <w:trPr>
          <w:trHeight w:val="54"/>
        </w:trPr>
        <w:tc>
          <w:tcPr>
            <w:tcW w:w="7540" w:type="dxa"/>
            <w:vAlign w:val="bottom"/>
            <w:tcBorders>
              <w:bottom w:val="single" w:sz="8" w:color="auto"/>
            </w:tcBorders>
            <w:gridSpan w:val="2"/>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r>
      <w:tr>
        <w:trPr>
          <w:trHeight w:val="237"/>
        </w:trPr>
        <w:tc>
          <w:tcPr>
            <w:tcW w:w="754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(Address of principal executive offices)</w:t>
            </w:r>
          </w:p>
        </w:tc>
        <w:tc>
          <w:tcPr>
            <w:tcW w:w="3880" w:type="dxa"/>
            <w:vAlign w:val="bottom"/>
          </w:tcPr>
          <w:p>
            <w:pPr>
              <w:jc w:val="center"/>
              <w:ind w:left="90"/>
              <w:spacing w:after="0"/>
              <w:rPr>
                <w:sz w:val="20"/>
                <w:szCs w:val="20"/>
                <w:color w:val="auto"/>
              </w:rPr>
            </w:pPr>
            <w:r>
              <w:rPr>
                <w:rFonts w:ascii="Arial" w:cs="Arial" w:eastAsia="Arial" w:hAnsi="Arial"/>
                <w:sz w:val="18"/>
                <w:szCs w:val="18"/>
                <w:color w:val="auto"/>
                <w:w w:val="91"/>
              </w:rPr>
              <w:t>(Zip Code)</w:t>
            </w:r>
          </w:p>
        </w:tc>
      </w:tr>
    </w:tbl>
    <w:p>
      <w:pPr>
        <w:spacing w:after="0" w:line="184"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58" w:lineRule="exact"/>
        <w:rPr>
          <w:sz w:val="24"/>
          <w:szCs w:val="24"/>
          <w:color w:val="auto"/>
        </w:rPr>
      </w:pPr>
    </w:p>
    <w:p>
      <w:pPr>
        <w:ind w:left="564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442595</wp:posOffset>
            </wp:positionH>
            <wp:positionV relativeFrom="paragraph">
              <wp:posOffset>51435</wp:posOffset>
            </wp:positionV>
            <wp:extent cx="64490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88"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320" w:lineRule="exact"/>
        <w:rPr>
          <w:sz w:val="24"/>
          <w:szCs w:val="24"/>
          <w:color w:val="auto"/>
        </w:rPr>
      </w:pPr>
    </w:p>
    <w:p>
      <w:pPr>
        <w:ind w:right="120"/>
        <w:spacing w:after="0" w:line="32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1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1" w:name="page2"/>
    <w:bookmarkEnd w:id="1"/>
    <w:p>
      <w:pPr>
        <w:ind w:left="80"/>
        <w:spacing w:after="0"/>
        <w:tabs>
          <w:tab w:leader="none" w:pos="15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00" w:lineRule="exact"/>
        <w:rPr>
          <w:sz w:val="20"/>
          <w:szCs w:val="20"/>
          <w:color w:val="auto"/>
        </w:rPr>
      </w:pPr>
    </w:p>
    <w:p>
      <w:pPr>
        <w:spacing w:after="0" w:line="20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On November 7, 2016, we issued a news release updating our specified senior leverage and LC ratio covenant for the third quarter of 2016 under our revolving and term loan credit facility.</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news release contains forward-looking statements. These forward-looking statements include, among other things, the Company’s forecasts and expectations regarding business outlook and performance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also cautioned that forward-looking statements are only predictions and may differ materially from actual future events or results. Forward-looking statements are also affected by the risk factors described in the Company’s Annual Report on Form 10-K for the year ended December 31, 2015, the Company’s Quarterly Reports on Form 10-Q, and those set forth from time-to-time in the Company’s other filings with the Securities and Exchange Commission (“SEC”). We undertake no obligation to correct or update any forward-looking statement, whether as a result of new information, future events, or otherwise, except to the extent required under federal securities laws.</w:t>
      </w:r>
    </w:p>
    <w:p>
      <w:pPr>
        <w:spacing w:after="0" w:line="341"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51" w:lineRule="exact"/>
        <w:rPr>
          <w:sz w:val="20"/>
          <w:szCs w:val="20"/>
          <w:color w:val="auto"/>
        </w:rPr>
      </w:pPr>
    </w:p>
    <w:p>
      <w:pPr>
        <w:ind w:left="1640" w:hanging="994"/>
        <w:spacing w:after="0"/>
        <w:tabs>
          <w:tab w:leader="none" w:pos="1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furnished pursuant to Item 9.01 of this Form 8-K.</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Exhibit Number</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222"/>
        </w:trPr>
        <w:tc>
          <w:tcPr>
            <w:tcW w:w="1500" w:type="dxa"/>
            <w:vAlign w:val="bottom"/>
          </w:tcPr>
          <w:p>
            <w:pPr>
              <w:jc w:val="right"/>
              <w:ind w:right="510"/>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19"/>
                <w:szCs w:val="19"/>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2"/>
              </w:rPr>
              <w:t>News release dated November 7, 2016, updating specified senior leverage and LC ratio covenant for the third quarter of 2016 under</w:t>
            </w: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revolving and term loan credit facility</w:t>
            </w:r>
          </w:p>
        </w:tc>
      </w:tr>
    </w:tbl>
    <w:p>
      <w:pPr>
        <w:sectPr>
          <w:pgSz w:w="11900" w:h="16838" w:orient="portrait"/>
          <w:cols w:equalWidth="0" w:num="1">
            <w:col w:w="11420"/>
          </w:cols>
          <w:pgMar w:left="240" w:top="742" w:right="239" w:bottom="1440" w:gutter="0" w:footer="0" w:header="0"/>
        </w:sectPr>
      </w:pPr>
    </w:p>
    <w:bookmarkStart w:id="2" w:name="page3"/>
    <w:bookmarkEnd w:id="2"/>
    <w:p>
      <w:pPr>
        <w:ind w:left="5180"/>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18" w:lineRule="exact"/>
        <w:rPr>
          <w:sz w:val="20"/>
          <w:szCs w:val="20"/>
          <w:color w:val="auto"/>
        </w:rPr>
      </w:pPr>
    </w:p>
    <w:p>
      <w:pPr>
        <w:ind w:firstLine="324"/>
        <w:spacing w:after="0" w:line="3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06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Date: November 7, 2016</w:t>
      </w:r>
    </w:p>
    <w:p>
      <w:pPr>
        <w:spacing w:after="0" w:line="6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/s/ Krishna Shivram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31750</wp:posOffset>
            </wp:positionV>
            <wp:extent cx="3893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57"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Krishna Shivram</w:t>
      </w:r>
    </w:p>
    <w:p>
      <w:pPr>
        <w:spacing w:after="0" w:line="9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600"/>
          </w:cols>
          <w:pgMar w:left="240" w:top="634" w:right="10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174625</wp:posOffset>
            </wp:positionH>
            <wp:positionV relativeFrom="page">
              <wp:posOffset>680720</wp:posOffset>
            </wp:positionV>
            <wp:extent cx="1903730" cy="788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903730" cy="78867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Press Release</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Weatherford Updates Covenant Calculation</w:t>
      </w:r>
    </w:p>
    <w:p>
      <w:pPr>
        <w:spacing w:after="0" w:line="316"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color w:val="auto"/>
        </w:rPr>
        <w:t>BAAR, Switzerland, November 7, 2016 –Weatherford International plc (NYSE: WFT) announces that upon extensive review, which included the administrative agent under our credit facilities and with our internal counsel, the Company confirms that the calculation of adjusted EBITDA should be (and is now) calculated with the same formula for both of the Company’s Leverage Ratio covenants, i.e. the Specified Senior Leverage Ratio and the Specified Leverage and Letters of Credit (LC) Ratio, in the revolving and term loan credit facilities.</w:t>
      </w:r>
    </w:p>
    <w:p>
      <w:pPr>
        <w:spacing w:after="0" w:line="243" w:lineRule="exact"/>
        <w:rPr>
          <w:sz w:val="20"/>
          <w:szCs w:val="20"/>
          <w:color w:val="auto"/>
        </w:rPr>
      </w:pPr>
    </w:p>
    <w:p>
      <w:pPr>
        <w:ind w:right="380"/>
        <w:spacing w:after="0" w:line="260" w:lineRule="auto"/>
        <w:rPr>
          <w:sz w:val="20"/>
          <w:szCs w:val="20"/>
          <w:color w:val="auto"/>
        </w:rPr>
      </w:pPr>
      <w:r>
        <w:rPr>
          <w:rFonts w:ascii="Arial" w:cs="Arial" w:eastAsia="Arial" w:hAnsi="Arial"/>
          <w:sz w:val="20"/>
          <w:szCs w:val="20"/>
          <w:color w:val="auto"/>
        </w:rPr>
        <w:t>The resulting adjusted Specified Senior Leverage and LC Ratio, as of the end of the third quarter 2016, is now 3.18x, versus the previously reported ratio of 3.67x.</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There is no impact on the other two covenant calculations.</w:t>
      </w: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Weatherford</w:t>
      </w:r>
    </w:p>
    <w:p>
      <w:pPr>
        <w:spacing w:after="0" w:line="235"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 xml:space="preserve">Weatherford is one of the largest multinational oilfield service companies providing innovative solutions, technology and services to the oil and gas industry. The Company operates in over 100 countries and has a network of approximately 1,000 locations, including manufacturing, service, research and development, and training facilities and employs approximately 31,000 people. For more information, visit </w:t>
      </w:r>
      <w:r>
        <w:rPr>
          <w:rFonts w:ascii="Arial" w:cs="Arial" w:eastAsia="Arial" w:hAnsi="Arial"/>
          <w:sz w:val="20"/>
          <w:szCs w:val="20"/>
          <w:u w:val="single" w:color="auto"/>
          <w:color w:val="auto"/>
        </w:rPr>
        <w:t>www.weatherford.com</w:t>
      </w:r>
      <w:r>
        <w:rPr>
          <w:rFonts w:ascii="Arial" w:cs="Arial" w:eastAsia="Arial" w:hAnsi="Arial"/>
          <w:sz w:val="20"/>
          <w:szCs w:val="20"/>
          <w:color w:val="auto"/>
        </w:rPr>
        <w:t xml:space="preserve"> and connect with Weatherford on </w:t>
      </w:r>
      <w:r>
        <w:rPr>
          <w:rFonts w:ascii="Arial" w:cs="Arial" w:eastAsia="Arial" w:hAnsi="Arial"/>
          <w:sz w:val="20"/>
          <w:szCs w:val="20"/>
          <w:u w:val="single" w:color="auto"/>
          <w:color w:val="auto"/>
        </w:rPr>
        <w:t>LinkedIn</w:t>
      </w:r>
      <w:r>
        <w:rPr>
          <w:rFonts w:ascii="Arial" w:cs="Arial" w:eastAsia="Arial" w:hAnsi="Arial"/>
          <w:sz w:val="20"/>
          <w:szCs w:val="20"/>
          <w:color w:val="auto"/>
        </w:rPr>
        <w:t xml:space="preserve">, </w:t>
      </w:r>
      <w:r>
        <w:rPr>
          <w:rFonts w:ascii="Arial" w:cs="Arial" w:eastAsia="Arial" w:hAnsi="Arial"/>
          <w:sz w:val="20"/>
          <w:szCs w:val="20"/>
          <w:u w:val="single" w:color="auto"/>
          <w:color w:val="auto"/>
        </w:rPr>
        <w:t>Twitter, YouTube</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Facebook</w:t>
      </w:r>
      <w:r>
        <w:rPr>
          <w:rFonts w:ascii="Arial" w:cs="Arial" w:eastAsia="Arial" w:hAnsi="Arial"/>
          <w:sz w:val="20"/>
          <w:szCs w:val="20"/>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Forward-Looking Statements</w:t>
      </w:r>
    </w:p>
    <w:p>
      <w:pPr>
        <w:spacing w:after="0" w:line="235" w:lineRule="exact"/>
        <w:rPr>
          <w:sz w:val="20"/>
          <w:szCs w:val="20"/>
          <w:color w:val="auto"/>
        </w:rPr>
      </w:pPr>
    </w:p>
    <w:p>
      <w:pPr>
        <w:ind w:right="20"/>
        <w:spacing w:after="0" w:line="255" w:lineRule="auto"/>
        <w:rPr>
          <w:sz w:val="20"/>
          <w:szCs w:val="20"/>
          <w:color w:val="auto"/>
        </w:rPr>
      </w:pPr>
      <w:r>
        <w:rPr>
          <w:rFonts w:ascii="Arial" w:cs="Arial" w:eastAsia="Arial" w:hAnsi="Arial"/>
          <w:sz w:val="19"/>
          <w:szCs w:val="19"/>
          <w:color w:val="auto"/>
        </w:rPr>
        <w:t>This news release contains forward-looking statements. These forward-looking statements include, among other things, the Company’s forecasts and expectations regarding business outlook and performance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also cautioned that forward-looking statements are only predictions and may differ materially from actual future events or results. Forward-looking statements are also affected by the risk factors described in the Company’s Annual Report on Form 10-K for the year ended December 31, 2015, the Company’s Quarterly Reports on Form 10-Q, and those set forth from time-to-time in the Company’s other filings with the Securities and Exchange Commission (“SEC”). We undertake no obligation to correct or update any forward-looking statement, whether as a result of new information, future events, or otherwise, except to the extent required under federal securities laws.</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w:t>
      </w:r>
    </w:p>
    <w:p>
      <w:pPr>
        <w:sectPr>
          <w:pgSz w:w="11900" w:h="16838" w:orient="portrait"/>
          <w:cols w:equalWidth="0" w:num="1">
            <w:col w:w="11400"/>
          </w:cols>
          <w:pgMar w:left="240" w:top="1440" w:right="25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Weatherford Contacts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Krishna Shivram</w:t>
      </w:r>
    </w:p>
    <w:p>
      <w:pPr>
        <w:spacing w:after="0"/>
        <w:rPr>
          <w:sz w:val="20"/>
          <w:szCs w:val="20"/>
          <w:color w:val="auto"/>
        </w:rPr>
      </w:pPr>
      <w:r>
        <w:rPr>
          <w:rFonts w:ascii="Arial" w:cs="Arial" w:eastAsia="Arial" w:hAnsi="Arial"/>
          <w:sz w:val="20"/>
          <w:szCs w:val="20"/>
          <w:color w:val="auto"/>
        </w:rPr>
        <w:t>Executive Vice President and Chief Financial Officer</w:t>
      </w:r>
    </w:p>
    <w:p>
      <w:pPr>
        <w:spacing w:after="0"/>
        <w:rPr>
          <w:sz w:val="20"/>
          <w:szCs w:val="20"/>
          <w:color w:val="auto"/>
        </w:rPr>
      </w:pPr>
      <w:r>
        <w:rPr>
          <w:rFonts w:ascii="Arial" w:cs="Arial" w:eastAsia="Arial" w:hAnsi="Arial"/>
          <w:sz w:val="20"/>
          <w:szCs w:val="20"/>
          <w:color w:val="auto"/>
        </w:rPr>
        <w:t>+1.713.836.4610</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Karen David-Green</w:t>
      </w:r>
    </w:p>
    <w:p>
      <w:pPr>
        <w:spacing w:after="0" w:line="16" w:lineRule="exact"/>
        <w:rPr>
          <w:sz w:val="20"/>
          <w:szCs w:val="20"/>
          <w:color w:val="auto"/>
        </w:rPr>
      </w:pPr>
    </w:p>
    <w:p>
      <w:pPr>
        <w:ind w:right="3919"/>
        <w:spacing w:after="0" w:line="244" w:lineRule="auto"/>
        <w:rPr>
          <w:sz w:val="20"/>
          <w:szCs w:val="20"/>
          <w:color w:val="auto"/>
        </w:rPr>
      </w:pPr>
      <w:r>
        <w:rPr>
          <w:rFonts w:ascii="Arial" w:cs="Arial" w:eastAsia="Arial" w:hAnsi="Arial"/>
          <w:sz w:val="20"/>
          <w:szCs w:val="20"/>
          <w:color w:val="auto"/>
        </w:rPr>
        <w:t>Vice President – Investor Relations, Corporate Marketing and Communications +1.713.836.7430</w:t>
      </w:r>
    </w:p>
    <w:sectPr>
      <w:pgSz w:w="11900" w:h="16838" w:orient="portrait"/>
      <w:cols w:equalWidth="0" w:num="1">
        <w:col w:w="10219"/>
      </w:cols>
      <w:pgMar w:left="240" w:top="5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2019-12-09T01:14:35Z</dcterms:created>
  <dcterms:modified xsi:type="dcterms:W3CDTF">2019-12-09T01:14:35Z</dcterms:modified>
</cp:coreProperties>
</file>