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April 27, 2017</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333-216034</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333-216034-1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333-216034-2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38" w:lineRule="exact"/>
        <w:rPr>
          <w:sz w:val="24"/>
          <w:szCs w:val="24"/>
          <w:color w:val="auto"/>
        </w:rPr>
      </w:pPr>
    </w:p>
    <w:tbl>
      <w:tblPr>
        <w:tblLayout w:type="fixed"/>
        <w:tblInd w:w="2060" w:type="dxa"/>
        <w:tblCellMar>
          <w:top w:w="0" w:type="dxa"/>
          <w:left w:w="0" w:type="dxa"/>
          <w:bottom w:w="0" w:type="dxa"/>
          <w:right w:w="0" w:type="dxa"/>
        </w:tblCellMar>
      </w:tblPr>
      <w:tr>
        <w:trPr>
          <w:trHeight w:val="210"/>
        </w:trPr>
        <w:tc>
          <w:tcPr>
            <w:tcW w:w="1760" w:type="dxa"/>
            <w:vAlign w:val="bottom"/>
          </w:tcPr>
          <w:p>
            <w:pPr>
              <w:spacing w:after="0"/>
              <w:rPr>
                <w:sz w:val="18"/>
                <w:szCs w:val="18"/>
                <w:color w:val="auto"/>
              </w:rPr>
            </w:pPr>
          </w:p>
        </w:tc>
        <w:tc>
          <w:tcPr>
            <w:tcW w:w="5460" w:type="dxa"/>
            <w:vAlign w:val="bottom"/>
            <w:gridSpan w:val="3"/>
          </w:tcPr>
          <w:p>
            <w:pPr>
              <w:ind w:left="10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218"/>
        </w:trPr>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2380" w:type="dxa"/>
            <w:vAlign w:val="bottom"/>
          </w:tcPr>
          <w:p>
            <w:pPr>
              <w:spacing w:after="0"/>
              <w:rPr>
                <w:sz w:val="18"/>
                <w:szCs w:val="18"/>
                <w:color w:val="auto"/>
              </w:rPr>
            </w:pPr>
          </w:p>
        </w:tc>
      </w:tr>
      <w:tr>
        <w:trPr>
          <w:trHeight w:val="340"/>
        </w:trPr>
        <w:tc>
          <w:tcPr>
            <w:tcW w:w="1760" w:type="dxa"/>
            <w:vAlign w:val="bottom"/>
          </w:tcPr>
          <w:p>
            <w:pPr>
              <w:jc w:val="center"/>
              <w:ind w:right="31"/>
              <w:spacing w:after="0"/>
              <w:rPr>
                <w:sz w:val="20"/>
                <w:szCs w:val="20"/>
                <w:color w:val="auto"/>
              </w:rPr>
            </w:pPr>
            <w:r>
              <w:rPr>
                <w:rFonts w:ascii="Arial" w:cs="Arial" w:eastAsia="Arial" w:hAnsi="Arial"/>
                <w:sz w:val="16"/>
                <w:szCs w:val="16"/>
                <w:b w:val="1"/>
                <w:bCs w:val="1"/>
                <w:color w:val="auto"/>
                <w:w w:val="95"/>
              </w:rPr>
              <w:t>Ireland</w:t>
            </w:r>
          </w:p>
        </w:tc>
        <w:tc>
          <w:tcPr>
            <w:tcW w:w="5460" w:type="dxa"/>
            <w:vAlign w:val="bottom"/>
            <w:gridSpan w:val="3"/>
          </w:tcPr>
          <w:p>
            <w:pPr>
              <w:jc w:val="center"/>
              <w:ind w:left="4119"/>
              <w:spacing w:after="0"/>
              <w:rPr>
                <w:sz w:val="20"/>
                <w:szCs w:val="20"/>
                <w:color w:val="auto"/>
              </w:rPr>
            </w:pPr>
            <w:r>
              <w:rPr>
                <w:rFonts w:ascii="Arial" w:cs="Arial" w:eastAsia="Arial" w:hAnsi="Arial"/>
                <w:sz w:val="16"/>
                <w:szCs w:val="16"/>
                <w:b w:val="1"/>
                <w:bCs w:val="1"/>
                <w:color w:val="auto"/>
                <w:w w:val="91"/>
              </w:rPr>
              <w:t>98-0606750</w:t>
            </w:r>
          </w:p>
        </w:tc>
      </w:tr>
      <w:tr>
        <w:trPr>
          <w:trHeight w:val="135"/>
        </w:trPr>
        <w:tc>
          <w:tcPr>
            <w:tcW w:w="176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380" w:type="dxa"/>
            <w:vAlign w:val="bottom"/>
          </w:tcPr>
          <w:p>
            <w:pPr>
              <w:jc w:val="center"/>
              <w:ind w:left="105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176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incorporation or organization)</w:t>
            </w:r>
          </w:p>
        </w:tc>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80" w:type="dxa"/>
            <w:vAlign w:val="bottom"/>
          </w:tcPr>
          <w:p>
            <w:pPr>
              <w:jc w:val="center"/>
              <w:ind w:left="1057"/>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Weststrasse 1, 6340 Baar, Switzerland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4"/>
          <w:szCs w:val="24"/>
          <w:color w:val="auto"/>
        </w:rPr>
      </w:pPr>
    </w:p>
    <w:tbl>
      <w:tblPr>
        <w:tblLayout w:type="fixed"/>
        <w:tblInd w:w="940" w:type="dxa"/>
        <w:tblCellMar>
          <w:top w:w="0" w:type="dxa"/>
          <w:left w:w="0" w:type="dxa"/>
          <w:bottom w:w="0" w:type="dxa"/>
          <w:right w:w="0" w:type="dxa"/>
        </w:tblCellMar>
      </w:tblPr>
      <w:tr>
        <w:trPr>
          <w:trHeight w:val="198"/>
        </w:trPr>
        <w:tc>
          <w:tcPr>
            <w:tcW w:w="4840" w:type="dxa"/>
            <w:vAlign w:val="bottom"/>
          </w:tcPr>
          <w:p>
            <w:pPr>
              <w:jc w:val="center"/>
              <w:ind w:right="868"/>
              <w:spacing w:after="0"/>
              <w:rPr>
                <w:sz w:val="20"/>
                <w:szCs w:val="20"/>
                <w:color w:val="auto"/>
              </w:rPr>
            </w:pPr>
            <w:r>
              <w:rPr>
                <w:rFonts w:ascii="Arial" w:cs="Arial" w:eastAsia="Arial" w:hAnsi="Arial"/>
                <w:sz w:val="16"/>
                <w:szCs w:val="16"/>
                <w:b w:val="1"/>
                <w:bCs w:val="1"/>
                <w:color w:val="auto"/>
                <w:w w:val="95"/>
              </w:rPr>
              <w:t>Weatherford International Ltd.</w:t>
            </w:r>
          </w:p>
        </w:tc>
        <w:tc>
          <w:tcPr>
            <w:tcW w:w="4840" w:type="dxa"/>
            <w:vAlign w:val="bottom"/>
          </w:tcPr>
          <w:p>
            <w:pPr>
              <w:jc w:val="center"/>
              <w:ind w:left="828"/>
              <w:spacing w:after="0"/>
              <w:rPr>
                <w:sz w:val="20"/>
                <w:szCs w:val="20"/>
                <w:color w:val="auto"/>
              </w:rPr>
            </w:pPr>
            <w:r>
              <w:rPr>
                <w:rFonts w:ascii="Arial" w:cs="Arial" w:eastAsia="Arial" w:hAnsi="Arial"/>
                <w:sz w:val="16"/>
                <w:szCs w:val="16"/>
                <w:b w:val="1"/>
                <w:bCs w:val="1"/>
                <w:color w:val="auto"/>
                <w:w w:val="96"/>
              </w:rPr>
              <w:t>Weatherford International, LLC</w:t>
            </w:r>
          </w:p>
        </w:tc>
      </w:tr>
      <w:tr>
        <w:trPr>
          <w:trHeight w:val="139"/>
        </w:trPr>
        <w:tc>
          <w:tcPr>
            <w:tcW w:w="4840" w:type="dxa"/>
            <w:vAlign w:val="bottom"/>
          </w:tcPr>
          <w:p>
            <w:pPr>
              <w:jc w:val="center"/>
              <w:ind w:right="868"/>
              <w:spacing w:after="0" w:line="139" w:lineRule="exact"/>
              <w:rPr>
                <w:sz w:val="20"/>
                <w:szCs w:val="20"/>
                <w:color w:val="auto"/>
              </w:rPr>
            </w:pPr>
            <w:r>
              <w:rPr>
                <w:rFonts w:ascii="Arial" w:cs="Arial" w:eastAsia="Arial" w:hAnsi="Arial"/>
                <w:sz w:val="13"/>
                <w:szCs w:val="13"/>
                <w:b w:val="1"/>
                <w:bCs w:val="1"/>
                <w:color w:val="auto"/>
                <w:w w:val="86"/>
              </w:rPr>
              <w:t>(Exact name of co-registrant as specified in its charter)</w:t>
            </w:r>
          </w:p>
        </w:tc>
        <w:tc>
          <w:tcPr>
            <w:tcW w:w="4840" w:type="dxa"/>
            <w:vAlign w:val="bottom"/>
          </w:tcPr>
          <w:p>
            <w:pPr>
              <w:jc w:val="center"/>
              <w:ind w:left="828"/>
              <w:spacing w:after="0" w:line="139" w:lineRule="exact"/>
              <w:rPr>
                <w:sz w:val="20"/>
                <w:szCs w:val="20"/>
                <w:color w:val="auto"/>
              </w:rPr>
            </w:pPr>
            <w:r>
              <w:rPr>
                <w:rFonts w:ascii="Arial" w:cs="Arial" w:eastAsia="Arial" w:hAnsi="Arial"/>
                <w:sz w:val="13"/>
                <w:szCs w:val="13"/>
                <w:b w:val="1"/>
                <w:bCs w:val="1"/>
                <w:color w:val="auto"/>
                <w:w w:val="86"/>
              </w:rPr>
              <w:t>(Exact name of co-registrant as specified in its charter)</w:t>
            </w:r>
          </w:p>
        </w:tc>
      </w:tr>
      <w:tr>
        <w:trPr>
          <w:trHeight w:val="198"/>
        </w:trPr>
        <w:tc>
          <w:tcPr>
            <w:tcW w:w="4840" w:type="dxa"/>
            <w:vAlign w:val="bottom"/>
          </w:tcPr>
          <w:p>
            <w:pPr>
              <w:jc w:val="center"/>
              <w:ind w:right="868"/>
              <w:spacing w:after="0"/>
              <w:rPr>
                <w:sz w:val="20"/>
                <w:szCs w:val="20"/>
                <w:color w:val="auto"/>
              </w:rPr>
            </w:pPr>
            <w:r>
              <w:rPr>
                <w:rFonts w:ascii="Arial" w:cs="Arial" w:eastAsia="Arial" w:hAnsi="Arial"/>
                <w:sz w:val="16"/>
                <w:szCs w:val="16"/>
                <w:b w:val="1"/>
                <w:bCs w:val="1"/>
                <w:color w:val="auto"/>
                <w:w w:val="95"/>
              </w:rPr>
              <w:t>Bermuda</w:t>
            </w:r>
          </w:p>
        </w:tc>
        <w:tc>
          <w:tcPr>
            <w:tcW w:w="4840" w:type="dxa"/>
            <w:vAlign w:val="bottom"/>
          </w:tcPr>
          <w:p>
            <w:pPr>
              <w:jc w:val="center"/>
              <w:ind w:left="828"/>
              <w:spacing w:after="0"/>
              <w:rPr>
                <w:sz w:val="20"/>
                <w:szCs w:val="20"/>
                <w:color w:val="auto"/>
              </w:rPr>
            </w:pPr>
            <w:r>
              <w:rPr>
                <w:rFonts w:ascii="Arial" w:cs="Arial" w:eastAsia="Arial" w:hAnsi="Arial"/>
                <w:sz w:val="16"/>
                <w:szCs w:val="16"/>
                <w:b w:val="1"/>
                <w:bCs w:val="1"/>
                <w:color w:val="auto"/>
                <w:w w:val="93"/>
              </w:rPr>
              <w:t>Delaware</w:t>
            </w:r>
          </w:p>
        </w:tc>
      </w:tr>
      <w:tr>
        <w:trPr>
          <w:trHeight w:val="139"/>
        </w:trPr>
        <w:tc>
          <w:tcPr>
            <w:tcW w:w="4840" w:type="dxa"/>
            <w:vAlign w:val="bottom"/>
          </w:tcPr>
          <w:p>
            <w:pPr>
              <w:jc w:val="center"/>
              <w:ind w:right="868"/>
              <w:spacing w:after="0" w:line="139" w:lineRule="exact"/>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4840" w:type="dxa"/>
            <w:vAlign w:val="bottom"/>
          </w:tcPr>
          <w:p>
            <w:pPr>
              <w:jc w:val="center"/>
              <w:ind w:left="828"/>
              <w:spacing w:after="0" w:line="139" w:lineRule="exact"/>
              <w:rPr>
                <w:sz w:val="20"/>
                <w:szCs w:val="20"/>
                <w:color w:val="auto"/>
              </w:rPr>
            </w:pPr>
            <w:r>
              <w:rPr>
                <w:rFonts w:ascii="Arial" w:cs="Arial" w:eastAsia="Arial" w:hAnsi="Arial"/>
                <w:sz w:val="13"/>
                <w:szCs w:val="13"/>
                <w:b w:val="1"/>
                <w:bCs w:val="1"/>
                <w:color w:val="auto"/>
                <w:w w:val="88"/>
              </w:rPr>
              <w:t>(State or other jurisdiction of incorporation or organization)</w:t>
            </w:r>
          </w:p>
        </w:tc>
      </w:tr>
      <w:tr>
        <w:trPr>
          <w:trHeight w:val="198"/>
        </w:trPr>
        <w:tc>
          <w:tcPr>
            <w:tcW w:w="4840" w:type="dxa"/>
            <w:vAlign w:val="bottom"/>
          </w:tcPr>
          <w:p>
            <w:pPr>
              <w:jc w:val="right"/>
              <w:ind w:right="2428"/>
              <w:spacing w:after="0"/>
              <w:rPr>
                <w:sz w:val="20"/>
                <w:szCs w:val="20"/>
                <w:color w:val="auto"/>
              </w:rPr>
            </w:pPr>
            <w:r>
              <w:rPr>
                <w:rFonts w:ascii="Arial" w:cs="Arial" w:eastAsia="Arial" w:hAnsi="Arial"/>
                <w:sz w:val="16"/>
                <w:szCs w:val="16"/>
                <w:b w:val="1"/>
                <w:bCs w:val="1"/>
                <w:color w:val="auto"/>
              </w:rPr>
              <w:t>98-0371344</w:t>
            </w:r>
          </w:p>
        </w:tc>
        <w:tc>
          <w:tcPr>
            <w:tcW w:w="4840" w:type="dxa"/>
            <w:vAlign w:val="bottom"/>
          </w:tcPr>
          <w:p>
            <w:pPr>
              <w:jc w:val="right"/>
              <w:ind w:right="1508"/>
              <w:spacing w:after="0"/>
              <w:rPr>
                <w:sz w:val="20"/>
                <w:szCs w:val="20"/>
                <w:color w:val="auto"/>
              </w:rPr>
            </w:pPr>
            <w:r>
              <w:rPr>
                <w:rFonts w:ascii="Arial" w:cs="Arial" w:eastAsia="Arial" w:hAnsi="Arial"/>
                <w:sz w:val="16"/>
                <w:szCs w:val="16"/>
                <w:b w:val="1"/>
                <w:bCs w:val="1"/>
                <w:color w:val="auto"/>
              </w:rPr>
              <w:t>33-0430755</w:t>
            </w:r>
          </w:p>
        </w:tc>
      </w:tr>
      <w:tr>
        <w:trPr>
          <w:trHeight w:val="139"/>
        </w:trPr>
        <w:tc>
          <w:tcPr>
            <w:tcW w:w="4840" w:type="dxa"/>
            <w:vAlign w:val="bottom"/>
          </w:tcPr>
          <w:p>
            <w:pPr>
              <w:jc w:val="center"/>
              <w:ind w:right="868"/>
              <w:spacing w:after="0" w:line="139" w:lineRule="exact"/>
              <w:rPr>
                <w:sz w:val="20"/>
                <w:szCs w:val="20"/>
                <w:color w:val="auto"/>
              </w:rPr>
            </w:pPr>
            <w:r>
              <w:rPr>
                <w:rFonts w:ascii="Arial" w:cs="Arial" w:eastAsia="Arial" w:hAnsi="Arial"/>
                <w:sz w:val="13"/>
                <w:szCs w:val="13"/>
                <w:b w:val="1"/>
                <w:bCs w:val="1"/>
                <w:color w:val="auto"/>
                <w:w w:val="90"/>
              </w:rPr>
              <w:t>(I.R.S. Employer Identification Number)</w:t>
            </w:r>
          </w:p>
        </w:tc>
        <w:tc>
          <w:tcPr>
            <w:tcW w:w="4840" w:type="dxa"/>
            <w:vAlign w:val="bottom"/>
          </w:tcPr>
          <w:p>
            <w:pPr>
              <w:jc w:val="center"/>
              <w:ind w:left="828"/>
              <w:spacing w:after="0" w:line="139" w:lineRule="exact"/>
              <w:rPr>
                <w:sz w:val="20"/>
                <w:szCs w:val="20"/>
                <w:color w:val="auto"/>
              </w:rPr>
            </w:pPr>
            <w:r>
              <w:rPr>
                <w:rFonts w:ascii="Arial" w:cs="Arial" w:eastAsia="Arial" w:hAnsi="Arial"/>
                <w:sz w:val="13"/>
                <w:szCs w:val="13"/>
                <w:b w:val="1"/>
                <w:bCs w:val="1"/>
                <w:color w:val="auto"/>
                <w:w w:val="90"/>
              </w:rPr>
              <w:t>(I.R.S. Employer Identification Number)</w:t>
            </w:r>
          </w:p>
        </w:tc>
      </w:tr>
      <w:tr>
        <w:trPr>
          <w:trHeight w:val="203"/>
        </w:trPr>
        <w:tc>
          <w:tcPr>
            <w:tcW w:w="4840" w:type="dxa"/>
            <w:vAlign w:val="bottom"/>
          </w:tcPr>
          <w:p>
            <w:pPr>
              <w:jc w:val="center"/>
              <w:ind w:right="868"/>
              <w:spacing w:after="0"/>
              <w:rPr>
                <w:sz w:val="20"/>
                <w:szCs w:val="20"/>
                <w:color w:val="auto"/>
              </w:rPr>
            </w:pPr>
            <w:r>
              <w:rPr>
                <w:rFonts w:ascii="Arial" w:cs="Arial" w:eastAsia="Arial" w:hAnsi="Arial"/>
                <w:sz w:val="16"/>
                <w:szCs w:val="16"/>
                <w:b w:val="1"/>
                <w:bCs w:val="1"/>
                <w:color w:val="auto"/>
                <w:w w:val="89"/>
              </w:rPr>
              <w:t>2000 St. James Place, Houston, Texas 77056</w:t>
            </w:r>
          </w:p>
        </w:tc>
        <w:tc>
          <w:tcPr>
            <w:tcW w:w="4840" w:type="dxa"/>
            <w:vAlign w:val="bottom"/>
          </w:tcPr>
          <w:p>
            <w:pPr>
              <w:jc w:val="center"/>
              <w:ind w:left="828"/>
              <w:spacing w:after="0"/>
              <w:rPr>
                <w:sz w:val="20"/>
                <w:szCs w:val="20"/>
                <w:color w:val="auto"/>
              </w:rPr>
            </w:pPr>
            <w:r>
              <w:rPr>
                <w:rFonts w:ascii="Arial" w:cs="Arial" w:eastAsia="Arial" w:hAnsi="Arial"/>
                <w:sz w:val="16"/>
                <w:szCs w:val="16"/>
                <w:b w:val="1"/>
                <w:bCs w:val="1"/>
                <w:color w:val="auto"/>
                <w:w w:val="89"/>
              </w:rPr>
              <w:t>2000 St. James Place, Houston, Texas 77056</w:t>
            </w:r>
          </w:p>
        </w:tc>
      </w:tr>
      <w:tr>
        <w:trPr>
          <w:trHeight w:val="210"/>
        </w:trPr>
        <w:tc>
          <w:tcPr>
            <w:tcW w:w="4840" w:type="dxa"/>
            <w:vAlign w:val="bottom"/>
          </w:tcPr>
          <w:p>
            <w:pPr>
              <w:jc w:val="right"/>
              <w:ind w:right="2308"/>
              <w:spacing w:after="0"/>
              <w:rPr>
                <w:sz w:val="20"/>
                <w:szCs w:val="20"/>
                <w:color w:val="auto"/>
              </w:rPr>
            </w:pPr>
            <w:r>
              <w:rPr>
                <w:rFonts w:ascii="Arial" w:cs="Arial" w:eastAsia="Arial" w:hAnsi="Arial"/>
                <w:sz w:val="16"/>
                <w:szCs w:val="16"/>
                <w:b w:val="1"/>
                <w:bCs w:val="1"/>
                <w:color w:val="auto"/>
              </w:rPr>
              <w:t>(713) 836-4000</w:t>
            </w:r>
          </w:p>
        </w:tc>
        <w:tc>
          <w:tcPr>
            <w:tcW w:w="4840" w:type="dxa"/>
            <w:vAlign w:val="bottom"/>
          </w:tcPr>
          <w:p>
            <w:pPr>
              <w:jc w:val="right"/>
              <w:ind w:right="1388"/>
              <w:spacing w:after="0"/>
              <w:rPr>
                <w:sz w:val="20"/>
                <w:szCs w:val="20"/>
                <w:color w:val="auto"/>
              </w:rPr>
            </w:pPr>
            <w:r>
              <w:rPr>
                <w:rFonts w:ascii="Arial" w:cs="Arial" w:eastAsia="Arial" w:hAnsi="Arial"/>
                <w:sz w:val="16"/>
                <w:szCs w:val="16"/>
                <w:b w:val="1"/>
                <w:bCs w:val="1"/>
                <w:color w:val="auto"/>
              </w:rPr>
              <w:t>(713) 836-4000</w:t>
            </w:r>
          </w:p>
        </w:tc>
      </w:tr>
      <w:tr>
        <w:trPr>
          <w:trHeight w:val="136"/>
        </w:trPr>
        <w:tc>
          <w:tcPr>
            <w:tcW w:w="4840" w:type="dxa"/>
            <w:vAlign w:val="bottom"/>
          </w:tcPr>
          <w:p>
            <w:pPr>
              <w:jc w:val="center"/>
              <w:ind w:right="848"/>
              <w:spacing w:after="0" w:line="136" w:lineRule="exact"/>
              <w:rPr>
                <w:sz w:val="20"/>
                <w:szCs w:val="20"/>
                <w:color w:val="auto"/>
              </w:rPr>
            </w:pPr>
            <w:r>
              <w:rPr>
                <w:rFonts w:ascii="Arial" w:cs="Arial" w:eastAsia="Arial" w:hAnsi="Arial"/>
                <w:sz w:val="13"/>
                <w:szCs w:val="13"/>
                <w:b w:val="1"/>
                <w:bCs w:val="1"/>
                <w:color w:val="auto"/>
                <w:w w:val="85"/>
              </w:rPr>
              <w:t>(Address, including zip code, and telephone number, including area code,</w:t>
            </w:r>
          </w:p>
        </w:tc>
        <w:tc>
          <w:tcPr>
            <w:tcW w:w="4840" w:type="dxa"/>
            <w:vAlign w:val="bottom"/>
          </w:tcPr>
          <w:p>
            <w:pPr>
              <w:jc w:val="center"/>
              <w:ind w:left="848"/>
              <w:spacing w:after="0" w:line="136" w:lineRule="exact"/>
              <w:rPr>
                <w:sz w:val="20"/>
                <w:szCs w:val="20"/>
                <w:color w:val="auto"/>
              </w:rPr>
            </w:pPr>
            <w:r>
              <w:rPr>
                <w:rFonts w:ascii="Arial" w:cs="Arial" w:eastAsia="Arial" w:hAnsi="Arial"/>
                <w:sz w:val="13"/>
                <w:szCs w:val="13"/>
                <w:b w:val="1"/>
                <w:bCs w:val="1"/>
                <w:color w:val="auto"/>
                <w:w w:val="85"/>
              </w:rPr>
              <w:t>(Address, including zip code, and telephone number, including area code,</w:t>
            </w:r>
          </w:p>
        </w:tc>
      </w:tr>
      <w:tr>
        <w:trPr>
          <w:trHeight w:val="164"/>
        </w:trPr>
        <w:tc>
          <w:tcPr>
            <w:tcW w:w="4840" w:type="dxa"/>
            <w:vAlign w:val="bottom"/>
          </w:tcPr>
          <w:p>
            <w:pPr>
              <w:jc w:val="center"/>
              <w:ind w:right="868"/>
              <w:spacing w:after="0"/>
              <w:rPr>
                <w:sz w:val="20"/>
                <w:szCs w:val="20"/>
                <w:color w:val="auto"/>
              </w:rPr>
            </w:pPr>
            <w:r>
              <w:rPr>
                <w:rFonts w:ascii="Arial" w:cs="Arial" w:eastAsia="Arial" w:hAnsi="Arial"/>
                <w:sz w:val="13"/>
                <w:szCs w:val="13"/>
                <w:b w:val="1"/>
                <w:bCs w:val="1"/>
                <w:color w:val="auto"/>
                <w:w w:val="86"/>
              </w:rPr>
              <w:t>of co-registrant’s principal executive offices)</w:t>
            </w:r>
          </w:p>
        </w:tc>
        <w:tc>
          <w:tcPr>
            <w:tcW w:w="4840" w:type="dxa"/>
            <w:vAlign w:val="bottom"/>
          </w:tcPr>
          <w:p>
            <w:pPr>
              <w:jc w:val="center"/>
              <w:ind w:left="828"/>
              <w:spacing w:after="0"/>
              <w:rPr>
                <w:sz w:val="20"/>
                <w:szCs w:val="20"/>
                <w:color w:val="auto"/>
              </w:rPr>
            </w:pPr>
            <w:r>
              <w:rPr>
                <w:rFonts w:ascii="Arial" w:cs="Arial" w:eastAsia="Arial" w:hAnsi="Arial"/>
                <w:sz w:val="13"/>
                <w:szCs w:val="13"/>
                <w:b w:val="1"/>
                <w:bCs w:val="1"/>
                <w:color w:val="auto"/>
                <w:w w:val="86"/>
              </w:rPr>
              <w:t>of co-registrant’s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Christina M. Ibrahim</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Weatherford International plc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Executive Vice President, General Counsel and Corporate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2000 St. James Place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Houston, Texas 77056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(713) 836-4000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149225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With a copy to:</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Sean T. Wheeler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John M. Greer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Latham &amp; Watkins LLP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811 Main Street, Suite 3700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Houston, Texas 77002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0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7" w:lineRule="exact"/>
        <w:rPr>
          <w:sz w:val="24"/>
          <w:szCs w:val="24"/>
          <w:color w:val="auto"/>
        </w:rPr>
      </w:pPr>
    </w:p>
    <w:p>
      <w:pPr>
        <w:ind w:right="48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right="1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right="12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 large accelerated filer,” “ accelerated filer,” “ smaller reporting company” and “emerging growth company” in Rule 12b-2 of the Exchange Act.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4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smaller reporting company)</w:t>
            </w:r>
          </w:p>
        </w:tc>
        <w:tc>
          <w:tcPr>
            <w:tcW w:w="44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4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48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1160" w:type="dxa"/>
            <w:vAlign w:val="bottom"/>
            <w:gridSpan w:val="3"/>
          </w:tcPr>
          <w:p>
            <w:pPr>
              <w:spacing w:after="0"/>
              <w:rPr>
                <w:sz w:val="20"/>
                <w:szCs w:val="20"/>
                <w:color w:val="auto"/>
              </w:rPr>
            </w:pPr>
            <w:r>
              <w:rPr>
                <w:rFonts w:ascii="Arial" w:cs="Arial" w:eastAsia="Arial" w:hAnsi="Arial"/>
                <w:sz w:val="16"/>
                <w:szCs w:val="16"/>
                <w:color w:val="auto"/>
                <w:w w:val="93"/>
              </w:rPr>
              <w:t>If an emerging growth company, indicate by check mark if the registrant has elected not to use the extended transition period for comply with any new or revised financial</w:t>
            </w:r>
          </w:p>
        </w:tc>
        <w:tc>
          <w:tcPr>
            <w:tcW w:w="260" w:type="dxa"/>
            <w:vAlign w:val="bottom"/>
          </w:tcPr>
          <w:p>
            <w:pPr>
              <w:spacing w:after="0"/>
              <w:rPr>
                <w:sz w:val="22"/>
                <w:szCs w:val="22"/>
                <w:color w:val="auto"/>
              </w:rPr>
            </w:pPr>
          </w:p>
        </w:tc>
      </w:tr>
      <w:tr>
        <w:trPr>
          <w:trHeight w:val="254"/>
        </w:trPr>
        <w:tc>
          <w:tcPr>
            <w:tcW w:w="6680" w:type="dxa"/>
            <w:vAlign w:val="bottom"/>
            <w:gridSpan w:val="2"/>
          </w:tcPr>
          <w:p>
            <w:pPr>
              <w:spacing w:after="0"/>
              <w:rPr>
                <w:sz w:val="20"/>
                <w:szCs w:val="20"/>
                <w:color w:val="auto"/>
              </w:rPr>
            </w:pPr>
            <w:r>
              <w:rPr>
                <w:rFonts w:ascii="Arial" w:cs="Arial" w:eastAsia="Arial" w:hAnsi="Arial"/>
                <w:sz w:val="16"/>
                <w:szCs w:val="16"/>
                <w:color w:val="auto"/>
              </w:rPr>
              <w:t>accounting standards provided pursuant to Section 7(a)(2)(B) of the Securities Act.</w:t>
            </w:r>
          </w:p>
        </w:tc>
        <w:tc>
          <w:tcPr>
            <w:tcW w:w="44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260" w:type="dxa"/>
            <w:vAlign w:val="bottom"/>
          </w:tcPr>
          <w:p>
            <w:pPr>
              <w:spacing w:after="0"/>
              <w:rPr>
                <w:sz w:val="22"/>
                <w:szCs w:val="22"/>
                <w:color w:val="auto"/>
              </w:rPr>
            </w:pPr>
          </w:p>
        </w:tc>
      </w:tr>
    </w:tbl>
    <w:p>
      <w:pPr>
        <w:spacing w:after="0" w:line="8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900" w:right="60" w:hanging="325"/>
        <w:spacing w:after="0" w:line="30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number of ordinary shares of Weatherford Ireland, options to purchase ordinary shares of Weatherford Ireland, warrants to purchase ordinary shares of Weatherford Ireland, debt securities of Weatherford Bermuda (and related guarantees of Weatherford Ireland and Weatherford Delaware) and debt securities of Weatherford Delaware (and related guarantees of Weatherford Ireland and Weatherford Bermuda), as may from time to time be issued, provided such issuances shall have an aggregate initial offering price not to exceed $2,000,000,000; and</w:t>
      </w:r>
    </w:p>
    <w:p>
      <w:pPr>
        <w:spacing w:after="0" w:line="59"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warrant exercise prospectus for the offering, issuance and sale of up to 84,500,000 ordinary shares of the registrant pursuant to the exercise of a warrant to purchase the registrant’s ordinary shares outstanding on February 13, 2017.</w:t>
      </w:r>
    </w:p>
    <w:p>
      <w:pPr>
        <w:spacing w:after="0" w:line="17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base prospectus immediately follows this explanatory note. The specific terms of any securities to be offered pursuant to the base prospectus will be specified in a prospectus supplement to the base prospectus. The warrant exercise prospectus immediately follows the base prospectus.</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FF4338"/>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4338"/>
        </w:rPr>
        <w:t>Subject to Completion, Dated April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172085</wp:posOffset>
            </wp:positionV>
            <wp:extent cx="1569085"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 Irish public limited company)</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Options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Guarantees of Debt Securities</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351"/>
        </w:trPr>
        <w:tc>
          <w:tcPr>
            <w:tcW w:w="4820" w:type="dxa"/>
            <w:vAlign w:val="bottom"/>
          </w:tcPr>
          <w:p>
            <w:pPr>
              <w:jc w:val="center"/>
              <w:ind w:right="827"/>
              <w:spacing w:after="0"/>
              <w:rPr>
                <w:sz w:val="20"/>
                <w:szCs w:val="20"/>
                <w:color w:val="auto"/>
              </w:rPr>
            </w:pPr>
            <w:r>
              <w:rPr>
                <w:rFonts w:ascii="Arial" w:cs="Arial" w:eastAsia="Arial" w:hAnsi="Arial"/>
                <w:sz w:val="29"/>
                <w:szCs w:val="29"/>
                <w:b w:val="1"/>
                <w:bCs w:val="1"/>
                <w:color w:val="auto"/>
                <w:w w:val="93"/>
              </w:rPr>
              <w:t>Weatherford International Ltd.</w:t>
            </w:r>
          </w:p>
        </w:tc>
        <w:tc>
          <w:tcPr>
            <w:tcW w:w="4960" w:type="dxa"/>
            <w:vAlign w:val="bottom"/>
          </w:tcPr>
          <w:p>
            <w:pPr>
              <w:jc w:val="center"/>
              <w:ind w:left="807"/>
              <w:spacing w:after="0"/>
              <w:rPr>
                <w:sz w:val="20"/>
                <w:szCs w:val="20"/>
                <w:color w:val="auto"/>
              </w:rPr>
            </w:pPr>
            <w:r>
              <w:rPr>
                <w:rFonts w:ascii="Arial" w:cs="Arial" w:eastAsia="Arial" w:hAnsi="Arial"/>
                <w:sz w:val="29"/>
                <w:szCs w:val="29"/>
                <w:b w:val="1"/>
                <w:bCs w:val="1"/>
                <w:color w:val="auto"/>
                <w:w w:val="94"/>
              </w:rPr>
              <w:t>Weatherford International, LLC</w:t>
            </w:r>
          </w:p>
        </w:tc>
      </w:tr>
      <w:tr>
        <w:trPr>
          <w:trHeight w:val="234"/>
        </w:trPr>
        <w:tc>
          <w:tcPr>
            <w:tcW w:w="4820" w:type="dxa"/>
            <w:vAlign w:val="bottom"/>
          </w:tcPr>
          <w:p>
            <w:pPr>
              <w:jc w:val="center"/>
              <w:ind w:right="807"/>
              <w:spacing w:after="0"/>
              <w:rPr>
                <w:sz w:val="20"/>
                <w:szCs w:val="20"/>
                <w:color w:val="auto"/>
              </w:rPr>
            </w:pPr>
            <w:r>
              <w:rPr>
                <w:rFonts w:ascii="Arial" w:cs="Arial" w:eastAsia="Arial" w:hAnsi="Arial"/>
                <w:sz w:val="18"/>
                <w:szCs w:val="18"/>
                <w:b w:val="1"/>
                <w:bCs w:val="1"/>
                <w:color w:val="auto"/>
                <w:w w:val="89"/>
              </w:rPr>
              <w:t>(a Bermuda exempted company)</w:t>
            </w:r>
          </w:p>
        </w:tc>
        <w:tc>
          <w:tcPr>
            <w:tcW w:w="4960" w:type="dxa"/>
            <w:vAlign w:val="bottom"/>
          </w:tcPr>
          <w:p>
            <w:pPr>
              <w:jc w:val="center"/>
              <w:ind w:left="807"/>
              <w:spacing w:after="0"/>
              <w:rPr>
                <w:sz w:val="20"/>
                <w:szCs w:val="20"/>
                <w:color w:val="auto"/>
              </w:rPr>
            </w:pPr>
            <w:r>
              <w:rPr>
                <w:rFonts w:ascii="Arial" w:cs="Arial" w:eastAsia="Arial" w:hAnsi="Arial"/>
                <w:sz w:val="18"/>
                <w:szCs w:val="18"/>
                <w:b w:val="1"/>
                <w:bCs w:val="1"/>
                <w:color w:val="auto"/>
                <w:w w:val="92"/>
              </w:rPr>
              <w:t>(a Delaware limited liability company)</w:t>
            </w:r>
          </w:p>
        </w:tc>
      </w:tr>
      <w:tr>
        <w:trPr>
          <w:trHeight w:val="337"/>
        </w:trPr>
        <w:tc>
          <w:tcPr>
            <w:tcW w:w="4820" w:type="dxa"/>
            <w:vAlign w:val="bottom"/>
          </w:tcPr>
          <w:p>
            <w:pPr>
              <w:jc w:val="center"/>
              <w:ind w:right="827"/>
              <w:spacing w:after="0"/>
              <w:rPr>
                <w:sz w:val="20"/>
                <w:szCs w:val="20"/>
                <w:color w:val="auto"/>
              </w:rPr>
            </w:pPr>
            <w:r>
              <w:rPr>
                <w:rFonts w:ascii="Arial" w:cs="Arial" w:eastAsia="Arial" w:hAnsi="Arial"/>
                <w:sz w:val="22"/>
                <w:szCs w:val="22"/>
                <w:b w:val="1"/>
                <w:bCs w:val="1"/>
                <w:color w:val="auto"/>
                <w:w w:val="87"/>
              </w:rPr>
              <w:t>Debt Securities</w:t>
            </w:r>
          </w:p>
        </w:tc>
        <w:tc>
          <w:tcPr>
            <w:tcW w:w="4960" w:type="dxa"/>
            <w:vAlign w:val="bottom"/>
          </w:tcPr>
          <w:p>
            <w:pPr>
              <w:jc w:val="center"/>
              <w:ind w:left="807"/>
              <w:spacing w:after="0"/>
              <w:rPr>
                <w:sz w:val="20"/>
                <w:szCs w:val="20"/>
                <w:color w:val="auto"/>
              </w:rPr>
            </w:pPr>
            <w:r>
              <w:rPr>
                <w:rFonts w:ascii="Arial" w:cs="Arial" w:eastAsia="Arial" w:hAnsi="Arial"/>
                <w:sz w:val="22"/>
                <w:szCs w:val="22"/>
                <w:b w:val="1"/>
                <w:bCs w:val="1"/>
                <w:color w:val="auto"/>
                <w:w w:val="87"/>
              </w:rPr>
              <w:t>Debt Securities</w:t>
            </w:r>
          </w:p>
        </w:tc>
      </w:tr>
      <w:tr>
        <w:trPr>
          <w:trHeight w:val="281"/>
        </w:trPr>
        <w:tc>
          <w:tcPr>
            <w:tcW w:w="4820" w:type="dxa"/>
            <w:vAlign w:val="bottom"/>
          </w:tcPr>
          <w:p>
            <w:pPr>
              <w:jc w:val="center"/>
              <w:ind w:right="827"/>
              <w:spacing w:after="0"/>
              <w:rPr>
                <w:sz w:val="20"/>
                <w:szCs w:val="20"/>
                <w:color w:val="auto"/>
              </w:rPr>
            </w:pPr>
            <w:r>
              <w:rPr>
                <w:rFonts w:ascii="Arial" w:cs="Arial" w:eastAsia="Arial" w:hAnsi="Arial"/>
                <w:sz w:val="22"/>
                <w:szCs w:val="22"/>
                <w:b w:val="1"/>
                <w:bCs w:val="1"/>
                <w:color w:val="auto"/>
                <w:w w:val="87"/>
              </w:rPr>
              <w:t>Guarantees of Debt Securities</w:t>
            </w:r>
          </w:p>
        </w:tc>
        <w:tc>
          <w:tcPr>
            <w:tcW w:w="4960" w:type="dxa"/>
            <w:vAlign w:val="bottom"/>
          </w:tcPr>
          <w:p>
            <w:pPr>
              <w:jc w:val="center"/>
              <w:ind w:left="807"/>
              <w:spacing w:after="0"/>
              <w:rPr>
                <w:sz w:val="20"/>
                <w:szCs w:val="20"/>
                <w:color w:val="auto"/>
              </w:rPr>
            </w:pPr>
            <w:r>
              <w:rPr>
                <w:rFonts w:ascii="Arial" w:cs="Arial" w:eastAsia="Arial" w:hAnsi="Arial"/>
                <w:sz w:val="22"/>
                <w:szCs w:val="22"/>
                <w:b w:val="1"/>
                <w:bCs w:val="1"/>
                <w:color w:val="auto"/>
                <w:w w:val="87"/>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233680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up to $2,000,000,000 of the above listed securities, or any combination thereof, and sell from time to time in one or more offerings, at prices and on terms determined at the time of any such offering, to or through one or more underwriters, dealers and agents, or directly to purchasers, on a continuous or delayed basis.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140" w:firstLine="456"/>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3 and “</w:t>
      </w:r>
      <w:hyperlink w:anchor="page1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6 herein and in the applicable prospectus supplement and any related free writing prospectus and under similar headings in the other documents incorporated by reference into this prospectus and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880"/>
        <w:spacing w:after="0"/>
        <w:tabs>
          <w:tab w:leader="none" w:pos="70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2017.</w:t>
      </w:r>
    </w:p>
    <w:p>
      <w:pPr>
        <w:sectPr>
          <w:pgSz w:w="11900" w:h="16838" w:orient="portrait"/>
          <w:cols w:equalWidth="0" w:num="1">
            <w:col w:w="11340"/>
          </w:cols>
          <w:pgMar w:left="240" w:top="459" w:right="3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0"/>
                <w:szCs w:val="20"/>
                <w:color w:val="auto"/>
              </w:rPr>
            </w:pPr>
          </w:p>
        </w:tc>
      </w:tr>
      <w:tr>
        <w:trPr>
          <w:trHeight w:val="37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7"/>
          </w:tcPr>
          <w:p>
            <w:pPr>
              <w:spacing w:after="0" w:line="190"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40" w:type="dxa"/>
            <w:vAlign w:val="bottom"/>
            <w:gridSpan w:val="11"/>
          </w:tcPr>
          <w:p>
            <w:pPr>
              <w:spacing w:after="0"/>
              <w:rPr>
                <w:sz w:val="16"/>
                <w:szCs w:val="16"/>
                <w:color w:val="auto"/>
              </w:rPr>
            </w:pPr>
          </w:p>
        </w:tc>
        <w:tc>
          <w:tcPr>
            <w:tcW w:w="24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888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FORWARD-LOOKING STATEMENTS</w:t>
              </w:r>
            </w:hyperlink>
          </w:p>
        </w:tc>
        <w:tc>
          <w:tcPr>
            <w:tcW w:w="880" w:type="dxa"/>
            <w:vAlign w:val="bottom"/>
            <w:tcBorders>
              <w:top w:val="single" w:sz="8" w:color="0000EE"/>
            </w:tcBorders>
            <w:gridSpan w:val="6"/>
          </w:tcPr>
          <w:p>
            <w:pPr>
              <w:spacing w:after="0"/>
              <w:rPr>
                <w:sz w:val="17"/>
                <w:szCs w:val="17"/>
                <w:color w:val="auto"/>
              </w:rPr>
            </w:pPr>
          </w:p>
        </w:tc>
        <w:tc>
          <w:tcPr>
            <w:tcW w:w="50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880" w:type="dxa"/>
            <w:vAlign w:val="bottom"/>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ABOUT US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762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8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8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RATIO OF EARNINGS TO FIXED CHARGES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DILUTION</w:t>
              </w:r>
            </w:hyperlink>
          </w:p>
        </w:tc>
        <w:tc>
          <w:tcPr>
            <w:tcW w:w="538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DESCRIPTION OF OUR ORDINARY SHARES</w:t>
              </w:r>
            </w:hyperlink>
          </w:p>
        </w:tc>
        <w:tc>
          <w:tcPr>
            <w:tcW w:w="528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88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OPTIONS AND WARRANTS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6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DESCRIPTION OF DEBT SECURITIES OF WEATHERFORD BERMUDA</w:t>
              </w:r>
            </w:hyperlink>
          </w:p>
        </w:tc>
        <w:tc>
          <w:tcPr>
            <w:tcW w:w="324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72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DESCRIPTION OF DEBT SECURITIES OF WEATHERFORD DELAWARE</w:t>
              </w:r>
            </w:hyperlink>
          </w:p>
        </w:tc>
        <w:tc>
          <w:tcPr>
            <w:tcW w:w="316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MATERIAL FEDERAL INCOME TAX CONSEQUENCES</w:t>
              </w:r>
            </w:hyperlink>
          </w:p>
        </w:tc>
        <w:tc>
          <w:tcPr>
            <w:tcW w:w="448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888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CERTAIN IRISH TAX CONSIDERATIONS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CERTAIN BERMUDA TAX CONSIDERATIONS</w:t>
              </w:r>
            </w:hyperlink>
          </w:p>
        </w:tc>
        <w:tc>
          <w:tcPr>
            <w:tcW w:w="516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8880" w:type="dxa"/>
            <w:vAlign w:val="bottom"/>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CERTAIN SWISS TAX CONSIDERATIONS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PLAN OF DISTRIBUTION</w:t>
              </w:r>
            </w:hyperlink>
          </w:p>
        </w:tc>
        <w:tc>
          <w:tcPr>
            <w:tcW w:w="1260" w:type="dxa"/>
            <w:vAlign w:val="bottom"/>
            <w:tcBorders>
              <w:top w:val="single" w:sz="8" w:color="0000EE"/>
            </w:tcBorders>
            <w:gridSpan w:val="4"/>
          </w:tcPr>
          <w:p>
            <w:pPr>
              <w:spacing w:after="0"/>
              <w:rPr>
                <w:sz w:val="17"/>
                <w:szCs w:val="17"/>
                <w:color w:val="auto"/>
              </w:rPr>
            </w:pPr>
          </w:p>
        </w:tc>
        <w:tc>
          <w:tcPr>
            <w:tcW w:w="556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88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742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bl>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up to $2,000,000,000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166" w:lineRule="exact"/>
        <w:rPr>
          <w:sz w:val="20"/>
          <w:szCs w:val="20"/>
          <w:color w:val="auto"/>
        </w:rPr>
      </w:pPr>
    </w:p>
    <w:p>
      <w:pPr>
        <w:ind w:right="180" w:firstLine="456"/>
        <w:spacing w:after="0" w:line="303"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2016, as filed with the SEC on February 15, 2017;</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April 25, 2017;</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Ireland’s Current Reports on Form 8-K or Form 8-K/A, as filed with the SEC on March 10, 2017, March 24, 2017 and April 17, 2017;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approximately 90 countries and have service and sales locations in nearly all of the oil and natural gas producing regions in the world.</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of affiliates.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jc w:val="center"/>
        <w:ind w:left="360" w:right="340"/>
        <w:spacing w:after="0" w:line="449" w:lineRule="auto"/>
        <w:rPr>
          <w:sz w:val="20"/>
          <w:szCs w:val="20"/>
          <w:color w:val="auto"/>
        </w:rPr>
      </w:pPr>
      <w:r>
        <w:rPr>
          <w:rFonts w:ascii="Arial" w:cs="Arial" w:eastAsia="Arial" w:hAnsi="Arial"/>
          <w:sz w:val="18"/>
          <w:szCs w:val="18"/>
          <w:color w:val="auto"/>
        </w:rPr>
        <w:t>Our principal executive offices are located at Weststrasse 1, 6340 Baar, Switzerland and our telephone number at that location is +41.22.816.1500. 5</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203"/>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10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jc w:val="right"/>
              <w:ind w:right="483"/>
              <w:spacing w:after="0"/>
              <w:rPr>
                <w:sz w:val="20"/>
                <w:szCs w:val="20"/>
                <w:color w:val="auto"/>
              </w:rPr>
            </w:pPr>
            <w:r>
              <w:rPr>
                <w:rFonts w:ascii="Arial" w:cs="Arial" w:eastAsia="Arial" w:hAnsi="Arial"/>
                <w:sz w:val="15"/>
                <w:szCs w:val="15"/>
                <w:color w:val="auto"/>
              </w:rPr>
              <w:t>(1)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820" w:type="dxa"/>
            <w:vAlign w:val="bottom"/>
            <w:tcBorders>
              <w:top w:val="single" w:sz="8" w:color="CCEEFF"/>
            </w:tcBorders>
            <w:shd w:val="clear" w:color="auto" w:fill="CCEEFF"/>
          </w:tcPr>
          <w:p>
            <w:pPr>
              <w:jc w:val="right"/>
              <w:ind w:right="483"/>
              <w:spacing w:after="0"/>
              <w:rPr>
                <w:sz w:val="20"/>
                <w:szCs w:val="20"/>
                <w:color w:val="auto"/>
              </w:rPr>
            </w:pPr>
            <w:r>
              <w:rPr>
                <w:rFonts w:ascii="Arial" w:cs="Arial" w:eastAsia="Arial" w:hAnsi="Arial"/>
                <w:sz w:val="15"/>
                <w:szCs w:val="15"/>
                <w:color w:val="auto"/>
              </w:rPr>
              <w:t>(1)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jc w:val="right"/>
              <w:ind w:right="463"/>
              <w:spacing w:after="0"/>
              <w:rPr>
                <w:sz w:val="20"/>
                <w:szCs w:val="20"/>
                <w:color w:val="auto"/>
              </w:rPr>
            </w:pPr>
            <w:r>
              <w:rPr>
                <w:rFonts w:ascii="Arial" w:cs="Arial" w:eastAsia="Arial" w:hAnsi="Arial"/>
                <w:sz w:val="15"/>
                <w:szCs w:val="15"/>
                <w:color w:val="auto"/>
              </w:rPr>
              <w:t>(1)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bl>
    <w:p>
      <w:pPr>
        <w:spacing w:after="0" w:line="229" w:lineRule="exact"/>
        <w:rPr>
          <w:sz w:val="20"/>
          <w:szCs w:val="20"/>
          <w:color w:val="auto"/>
        </w:rPr>
      </w:pPr>
    </w:p>
    <w:p>
      <w:pPr>
        <w:ind w:left="460" w:right="7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years ended December 31, 2016, 2015, 2014, 2013 and 2012, earnings before fixed charges were inadequate to cover fixed charges by $2.9 billion, $2.1 billion, $266 million, $211 million and $349 million, respectively.</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net tangible book value as of March 31, 2017 was approximately $(911) million, or approximately $(0.92) per ordinary share. Net tangible book value per ordinary share represents our total tangible assets (which excludes goodwill and other intangible assets), less our total liabilities, divided by the aggregate number of ordinary shares outstanding. If we offer ordinary shares, purchasers of our ordinary shares in that offering may experience immediate dilution in net tangible book value per ordinary share. The prospectus supplement relating to an offering of ordinary shares will set forth the information regarding any dilutive effect of that offering.</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ORDINARY SHARES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description is a summary of our share capital. This summary does not purport to be complete and the statements in this summary are qualified in their entirety by reference to, and are subject to, the detailed provisions of the Companies Act 2014 of Ireland, as amended (the “Irish Companies Act”) and our memorandum and articles of association, which is incorporated herein by reference. We encourage you to read those laws and documents carefully.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April 15, 2017, our authorized share capital is €40,000 and $1,356,000 divided into 40,000 deferred ordinary shares with a nominal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 per share and 1,356,000,000 ordinary shares with a nominal value of $0.001 per share. The authorized share capital includes 40,000 deferred ordinary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with a nominal value of €1.00 per share in order to satisfy statutory requirements for the incorporation of all Irish public limited companies.</w:t>
      </w:r>
    </w:p>
    <w:p>
      <w:pPr>
        <w:spacing w:after="0" w:line="22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April 15, 2017, our issued share capital is $985,748, comprised of 985,747,811 ordinary shares with a nominal value of $0.001 per share.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7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determination as to whether or not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unconsolidated financial position and accord with accepted accounting practice. The relevant entity financial statements are filed in the Companies Registration Office (the official public registry for companies in Ireland).</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Dividends may be declared and paid in the form of cash, property, stock or other non-cash assets and may be paid in dollars or any other currency.</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us in relation to the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also issue redeemable shares and redeem them out of distributable profits or the proceeds of a new issue of shares for that purpose. We may not repurchase any shares if as a result of such repurchase the nominal value of the issued share capital that is not redeemable would be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Irish law, our subsidiaries may purchase our ordinary shares on-market on a recognized stock exchange such as NYSE or off-market.</w:t>
      </w:r>
    </w:p>
    <w:p>
      <w:pPr>
        <w:spacing w:after="0" w:line="23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one of our subsidiaries to make on-market purchases of ordinary shares, our shareholders must provide general authorization for such purchase by way of ordinary resolution. However, as long as this general authority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our shares that have not been fully paid-up.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12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provided under Irish law, notice of an annual or extraordinary general meeting must be given to all our shareholders and to our auditors.</w:t>
      </w:r>
    </w:p>
    <w:p>
      <w:pPr>
        <w:spacing w:after="0" w:line="23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73"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24"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shareholder or shareholders holding shares in the capital of Weatherford Ireland conferring the right to vote at the meeting being shares on which an aggregate sum has been paid-up equal to not less than one tenth of the total sum paid-up on all the shares conferring that right.</w:t>
      </w:r>
    </w:p>
    <w:p>
      <w:pPr>
        <w:spacing w:after="0" w:line="124"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5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re-registration of Weatherford Ireland from a public limited company to a private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have the right to:</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12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7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66"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5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52" w:lineRule="exact"/>
        <w:rPr>
          <w:sz w:val="20"/>
          <w:szCs w:val="20"/>
          <w:color w:val="auto"/>
        </w:rPr>
      </w:pPr>
    </w:p>
    <w:p>
      <w:pPr>
        <w:ind w:left="900" w:right="2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Ireland on those shares, whether in respect of capital or otherwise.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131" w:lineRule="exact"/>
        <w:rPr>
          <w:sz w:val="20"/>
          <w:szCs w:val="20"/>
          <w:color w:val="auto"/>
        </w:rPr>
      </w:pPr>
    </w:p>
    <w:p>
      <w:pPr>
        <w:ind w:left="900" w:right="2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75" w:lineRule="exact"/>
        <w:rPr>
          <w:rFonts w:ascii="Arial" w:cs="Arial" w:eastAsia="Arial" w:hAnsi="Arial"/>
          <w:sz w:val="18"/>
          <w:szCs w:val="18"/>
          <w:color w:val="auto"/>
        </w:rPr>
      </w:pPr>
    </w:p>
    <w:p>
      <w:pPr>
        <w:jc w:val="both"/>
        <w:ind w:left="900" w:hanging="325"/>
        <w:spacing w:after="0" w:line="28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70" w:lineRule="exact"/>
        <w:rPr>
          <w:rFonts w:ascii="Arial" w:cs="Arial" w:eastAsia="Arial" w:hAnsi="Arial"/>
          <w:sz w:val="17"/>
          <w:szCs w:val="17"/>
          <w:color w:val="auto"/>
        </w:rPr>
      </w:pPr>
    </w:p>
    <w:p>
      <w:pPr>
        <w:ind w:left="900" w:right="5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the target company must act in the interests of Weatherford Ireland as a whole and must not deny the holders of securities the opportunity to decide on the merits of the offer;</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51"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7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articles of association allocate authority over the day-to-day management of our affairs to the board of directors. The board of directors may then delegate any of its powers, authorities and discretions (with power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with respect to election at an annual general meeting, by any shareholder who holds ordinary shares or other shares in the capital of Weatherford Ireland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52" w:lineRule="exact"/>
        <w:rPr>
          <w:rFonts w:ascii="Arial" w:cs="Arial" w:eastAsia="Arial" w:hAnsi="Arial"/>
          <w:sz w:val="16"/>
          <w:szCs w:val="16"/>
          <w:color w:val="auto"/>
        </w:rPr>
      </w:pPr>
    </w:p>
    <w:p>
      <w:pPr>
        <w:ind w:left="900" w:right="22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the capital of Weatherford Ireland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92"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shall be appointed as follows:</w:t>
      </w:r>
    </w:p>
    <w:p>
      <w:pPr>
        <w:spacing w:after="0" w:line="131" w:lineRule="exact"/>
        <w:rPr>
          <w:sz w:val="20"/>
          <w:szCs w:val="20"/>
          <w:color w:val="auto"/>
        </w:rPr>
      </w:pPr>
    </w:p>
    <w:p>
      <w:pPr>
        <w:ind w:left="900" w:right="4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our shareholders by ordinary resolution at the annual general meeting in each year or at any extraordinary general meeting called for the purpose;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308" w:lineRule="auto"/>
        <w:rPr>
          <w:sz w:val="20"/>
          <w:szCs w:val="20"/>
          <w:color w:val="auto"/>
        </w:rPr>
      </w:pPr>
      <w:r>
        <w:rPr>
          <w:rFonts w:ascii="Arial" w:cs="Arial" w:eastAsia="Arial" w:hAnsi="Arial"/>
          <w:sz w:val="17"/>
          <w:szCs w:val="17"/>
          <w:color w:val="auto"/>
        </w:rPr>
        <w:t>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4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7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OPTIONS AND WARRANTS</w:t>
      </w:r>
    </w:p>
    <w:p>
      <w:pPr>
        <w:spacing w:after="0" w:line="2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description, together with the additional information that we may include in any applicable prospectus supplements and in any related free writing prospectus that we may authorize to be distributed to you, summarizes the material terms and provisions of the options and warrants exercisable for the ordinary shares that we may offer under this prospectus. While the terms we have summarized below will apply generally to any options or warrants exercisable for the ordinary shares that we may offer under this prospectus, we will describe the particular terms of any series of options or warrants in more detail in the applicable prospectus supplement. The terms of any options or warrants offered under that prospectus supplement may differ from the terms described below.</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 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 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may issue options and warrants for the purchase of ordinary shares in one or more series. We may issue options and warrants independently or together with ordinary shares, and the options and warrants may be attached to or separate from these securities.</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 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describe in the applicable prospectus supplement the terms of the series of options and warrants, including:</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 and aggregate number of the options and warrants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options or warrants may be payable;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at which and the currencies, including composite currencies, in which the securities purchasable upon exercise of such warrants shall commence and the date on which such right will expire;</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options and warrants are issued and the number of options or warrants issued with each such security or each principal amount of such security;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options and warrants;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ordinary shares purchasable upon the exercise of one option or warrant and the price at which these ordinary shares may be purchased upon such exercise;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anti-dilution provisions of the options and warrants,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provisions for changes to or adjustments in the exercise price or number of securities issuable upon exercise of the options and warrants;</w:t>
      </w:r>
    </w:p>
    <w:p>
      <w:pPr>
        <w:spacing w:after="0" w:line="153" w:lineRule="exact"/>
        <w:rPr>
          <w:rFonts w:ascii="Arial" w:cs="Arial" w:eastAsia="Arial" w:hAnsi="Arial"/>
          <w:sz w:val="16"/>
          <w:szCs w:val="16"/>
          <w:color w:val="auto"/>
        </w:rPr>
      </w:pPr>
    </w:p>
    <w:p>
      <w:pPr>
        <w:ind w:left="900" w:right="6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option and warrant agreement and the options and warrants;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any rights to redeem or call the options and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dates on which the right to exercise the options and warrants will commence and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manner in which the option and warrant agreement and options and warrants may be modified;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options or warrants which may be exercised at any one time;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title, rank, aggregate principal amount and terms of the securities with which such options or warrants are issued and the number of such options or warrants issued with each such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date on and after which such options and warrants and related securities will be separately transferable;</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proposed listing, if any, of the options and warrants or any securities purchasable upon exercise of the options and warrants on any securities exchange;</w:t>
      </w:r>
    </w:p>
    <w:p>
      <w:pPr>
        <w:spacing w:after="0" w:line="75"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certificates evidencing the options or warrants will be issued in registered or bearer form and, if registered, where they may be transferred and exchanged;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material terms of the options or warrants.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will also contain a discussion of the applicable income tax considerations relevant to the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Options and Warrants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 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 specified information, and paying the required amount to us or to the warrant agent in immediately available funds, as provided in the applicable prospectus supplement. We will set forth on the reverse side of the certificate and in the applicable prospectus 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Upon receipt of the required payment and the certificate properly completed and duly executed at the 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 and warrants. If we so indicate in the applicable prospectus supplement, holders of the options and warrants may surrender securities as all or part of the exercise price for options and warrants.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Option and Warrant Agreements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if applicable, the option or warrant agent, may amend or supplement the option or warrant agreement for a series of options or warrants 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OF WEATHERFORD BERMUDA</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Any debt securities Weatherford Bermuda offers under a prospectus supplement will be the direct senior unsecured general obligations of Weatherford Bermuda. The debt securities will be issued under the Indenture dated October 1, 2003 among Weatherford Bermuda, Weatherford Delaware and Deutsche Bank Trust Company Americas, as trustee, as supplemented by the First Supplemental Indenture dated March 25, 2008, the Second Supplemental Indenture dated January 8, 2009, the Third Supplemental Indenture dated February 26, 2009, the Fourth Supplemental Indenture dated September 23, 2010, the Fifth Supplemental Indenture dated April 4, 2012, the Sixth Supplemental Indenture dated August 14, 2012, the Seventh Supplemental Indenture dated March 31, 2013, the Eighth Supplemental Indenture dated June 17, 2014, the Ninth Supplemental Indenture dated June 7, 2016, the Tenth Supplemental Indenture dated June 17, 2016, and the Eleventh Supplemental Indenture dated November 18, 2016, by and among Weatherford Bermuda, as issuer, Weatherford Ireland, as guarantor, Weatherford Delaware, as guarantor, and Deutsche Bank Trust Company Americas, as trustee, which are filed as exhibits to, and incorporated by reference into, the registration statement, of which this prospectus is a part (the “2003 Indenture”).</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have summarized selected provisions of the 2003 Indenture below. The following summary is a description of the material provisions of the 2003 Indenture. It does not restate the agreement in its entirety. We urge you to read the 2003 Indenture because it, and not this description, defines the rights of holders of debt securities.</w:t>
      </w:r>
    </w:p>
    <w:p>
      <w:pPr>
        <w:spacing w:after="0" w:line="18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this summary description of the debt securities of Weatherford Bermuda, unless we state otherwise or the context clearly indicates otherwise, all references to “we,” “us” or “our” mean Weatherford Bermuda, all references to “Weatherford Bermuda” mean Weatherford Bermuda only, all references to “Weatherford Ireland” mean Weatherford Ireland only and all references to “Weatherford Delaware” mean Weatherford Delaware only.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debt securities will be Weatherford Bermuda’s direct, unsecured obligations. The senior debt securities will rank equally with all of our other senior unsecured and unsubordinated debt.</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conduct a substantial part of our operations through our subsidiaries. To the extent of such operations, holders of debt securities will have a position junior to the prior claims of creditors of our subsidiaries, including trade creditors, debtholders, secured creditors, taxing authorities and guarantee holders, and any preference shareholders, except to the extent that we may ourself be a creditor with recognized claims against any subsidiary. Our ability to pay the principal, premium, if any, and interest on any debt securities is, to a large extent, dependent upon the payment to us of dividends, debt principal and interest or other charges by our subsidiaries.</w:t>
      </w:r>
    </w:p>
    <w:p>
      <w:pPr>
        <w:spacing w:after="0" w:line="18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prospectus supplement and an officer’s certificate or supplemental indenture relating to any series of debt securities being offered will include specific terms relating to the offering. These terms will include some or all of the following:</w:t>
      </w:r>
    </w:p>
    <w:p>
      <w:pPr>
        <w:spacing w:after="0" w:line="7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debt securities will be issued and any payments due if the maturity of the debt securities is accelerated;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which the debt securities will bear and the interest payment dates for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conversion or exchange features;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optional redemption periods;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some or all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2003 Indenture does not limit the amount of debt securities that may be issued. The 2003 Indenture allows debt securities to be issued up to the principal amount that may be authorized by us and may be in any currency or currency unit designated by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of a series may be issued in registered, coupon or global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Weatherford Ireland</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applicable prospectus supplement relating to a series of our senior debt securities provides that those senior debt securities will have the benefit of a guarantee by Weatherford Ireland (or its “successor person” as determined in accordance with the applicable provisions of the 2003 Indenture), payment of the principal, premium, if any, and interest on those senior debt securities will be unconditionally guaranteed on an unsecured, unsubordinated basis by Weatherford Ireland (or its successor person). The guarantee of senior debt securities will rank equally in right of payment with all of the unsecured and unsubordinated indebtedness of Weatherford Ireland (or its successor person). Weatherford Ireland’s (or its successor person’s) guarantees will be effectively subordinated to all existing and future obligations of Weatherford Ireland’s (or its successor person’s) subsidiaries.</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obligations of Weatherford Ireland (or its successor person) under any such guarantee will be limited to the extent possible under applicable law to prevent the guarantee from constituting a fraudulent conveyance, fraudulent preference or fraudulent transfer.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Weatherford Delaware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applicable prospectus supplement relating to a series of our senior debt securities provides that those senior debt securities will have the benefit of a guarantee by Weatherford Delaware (or its “successor person” as determined in accordance with the applicable provisions of the 2003 Indenture), payment of the principal, premium, if any, and interest on those senior debt securities will be unconditionally guaranteed on an unsecured, unsubordinated basis by Weatherford Delaware (or its successor person). The guarantee of senior debt securities will rank equally in right of payment with all of the unsecured and unsubordinated indebtedness of Weatherford Delaware (or its successor person). The guarantee will be released and discharged at such time as Weatherford Delaware (or its successor person) has no outstanding debt.</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obligations of Weatherford Delaware (or its successor person) under any such guarantee will be limited to the extent possible under applicable law to prevent the guarantee from constituting a fraudulent conveyance, fraudulent preference or fraudulent transfer.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Other Subsidiaries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2003 Indenture provides that any other “restricted subsidiary” (as such term is defined in the 2003 Indenture) that becomes a party thereto for purposes of providing a guarantee with respect to the debt securities shall become a “subsidiary guarantor” (as such term is defined in the 2003 Indenture), as determined in accordance with the applicable provisions of the 2003 Indenture. If a series of our debt securities will have the benefit of a guarantee by any such additional subsidiary guarantor(s), the applicable prospectus supplement will specify the identity of the specific guarantor(s) and the other terms of the applicable guarantees.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relating to a series of our senior debt securities, the securities issued in registered form will be issued in denominations of $1,000 each or multiples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 of Assets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2003 Indenture provides that we may not consolidate or amalgamate with or merge into any other person or convey, transfer or lease our properties and assets substantially as an entirety to another person, unless:</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successor or resulting person assumes all of our obligations under the 2003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the successor or resulting person will not immediately be in default under the 2003 Indenture.</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Upon the assumption of our obligations by a successor or resulting person, subject to certain exceptions, we will be discharged from all obligations under the 2003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2003 Indenture provides that our rights and obligations and the rights of the holders may be modified with the consent of the holders of a majority in aggregate principal amount of the outstanding debt securities of each series affected by the modification. No modification of the principal or interest payment terms, and no modification reducing the percentage required for modifications, will be effective against any holder without its consent.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the 2003 Indenture, means any of the following:</w:t>
      </w:r>
    </w:p>
    <w:p>
      <w:pPr>
        <w:spacing w:after="0" w:line="13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interest on any debt security for 30 days;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perform any other covenant in the 2003 Indenture that continues for 90 days after being given written notice;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events in bankruptcy, insolvency or reorganization of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event of default included in the 2003 Indenture or officers’ certificate.</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2003 Indenture. The trustee may withhold notice to the holders of debt securities of any default (except in the payment of principal or interest) if it considers such withholding of notice to be in the best interests of the 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 specified percentage in aggregate principal amount of the debt securities of the series may declare the entire principal of all the debt securities of that series to be due and payable immediately. If this happens, subject to certain conditions, the holders of a specified percentage of the aggregate principal amount of the debt securities of that series can void the declaration.</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Other than its duties in case of a default, a trustee is not obligated to exercise any of its rights or powers under the 2003 Indenture at the request, order or direction of any holders, unless the holders offer the trustee reasonable indemnification. If they provide this reasonable indemnification, the holders of a majority in principal amount of any series of debt securities may direct the time, method and place of conducting any proceeding or any remedy available to the trustee, or exercising any power conferred upon the trustee, for any series of debt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2003 Indenture, we have agreed to:</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the principal of, interest and any premium on, the debt securities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 place of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a report to the trustee at the end of each fiscal year reviewing our obligations under the 2003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deposit sufficient funds with any paying agent on or before the due date for any principal, interest or premium.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agreed to the following covenants relating to limitations on liens and restrictions on sale-and-leaseback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The 2003 Indenture provides that we will not, nor will we permit any subsidiary to, create, assume, incur or suffer to exist any lien upon any principal property, whether owned or leased on the date of the 2003 Indenture or thereafter acquired, to secure any of our debt or any other person (other than the debt securities issued under the 2003 Indenture), without causing all of the debt securities outstanding under the 2003 Indenture to be secured equally and ratably with, or prior to, the new debt so long as new debt is secured. This restriction does not prohibit us from creating the following:</w:t>
      </w:r>
    </w:p>
    <w:p>
      <w:pPr>
        <w:spacing w:after="0" w:line="60" w:lineRule="exact"/>
        <w:rPr>
          <w:sz w:val="20"/>
          <w:szCs w:val="20"/>
          <w:color w:val="auto"/>
        </w:rPr>
      </w:pPr>
    </w:p>
    <w:p>
      <w:pPr>
        <w:ind w:left="900" w:right="4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liens existing, or provided for under the terms of existing agreements, on the date that any debt securities are issued under the 2003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liens that are created within one year after acquisition, completion and/or commencement of commercial operation on property acquired, constructed, altered or improved by us or any of our subsidiaries;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certain preexisting liens on any property acquired and liens on property of a subsidiary existing at the time it became our subsidiary;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in favor of us or our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liens in favor of governmental bodies to secure progress, advance or other payments;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on any property securing indebtedness incurred for the purpose of financing the purchase price or the cost of constructing, installing or improving the property;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any property securing indebtedness issued or guaranteed by governmental bodies;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extension, renewal or replacement of the foregoing.</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foregoing, under the 2003 Indenture we may, and may permit any subsidiary to, issue, assume or guarantee secured indebtedness which would otherwise be subject to the foregoing restrictions, in an aggregate amount which, with all other such secured indebtedness, does not exceed 15% of our consolidated net worth. For purposes of this paragraph, “consolidated net worth” means the amount of total shareholders’ equity shown in Weatherford Ireland’s most recent consolidated statement of financial position.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Sale-and-Leaseback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2003 Indenture provides that we will not, and we will not permit any of our subsidiaries to, enter into any sale-and-leaseback transaction unless:</w:t>
      </w:r>
    </w:p>
    <w:p>
      <w:pPr>
        <w:spacing w:after="0" w:line="154" w:lineRule="exact"/>
        <w:rPr>
          <w:sz w:val="20"/>
          <w:szCs w:val="20"/>
          <w:color w:val="auto"/>
        </w:rPr>
      </w:pPr>
    </w:p>
    <w:p>
      <w:pPr>
        <w:jc w:val="both"/>
        <w:ind w:left="900" w:right="4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the time of entering into such sale-and-leaseback transaction, we or our subsidiary would be entitled under the 2003 Indenture to mortgage the property under the 2003 Indenture for an amount equal to the proceeds of the sale-and-leaseback transaction without equally and ratably securing the notes in compliance with the exceptions to the liens covenant in the 2003 Indenture;</w:t>
      </w:r>
    </w:p>
    <w:p>
      <w:pPr>
        <w:spacing w:after="0" w:line="86"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within a period commencing six months prior to the consummation of the sale-and-leaseback transaction and ending six months after the consummation of such transaction, we or our subsidiary expend an amount equal to all or a portion of the net proceeds of such sale-and-leaseback transaction for property used or to be used in the ordinary course of our or our subsidiaries’ businesses, and we have elected to designate that amount as a credit against such sale-and-leaseback transaction, with any such amount not so designated to be applied as set forth in the next paragraph; or</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12-month period after the effective date of the sale-and-leaseback transaction, we apply to the retirement of the notes or any of our pari passu indebtedness:</w:t>
      </w:r>
    </w:p>
    <w:p>
      <w:pPr>
        <w:spacing w:after="0" w:line="75" w:lineRule="exact"/>
        <w:rPr>
          <w:rFonts w:ascii="Arial" w:cs="Arial" w:eastAsia="Arial" w:hAnsi="Arial"/>
          <w:sz w:val="18"/>
          <w:szCs w:val="18"/>
          <w:color w:val="auto"/>
        </w:rPr>
      </w:pPr>
    </w:p>
    <w:p>
      <w:pPr>
        <w:ind w:left="1480" w:right="180" w:hanging="567"/>
        <w:spacing w:after="0" w:line="277"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amount equal to the proceeds of the property sold in the sale-and-leaseback transaction, which shall not be less than the fair value of such property at the time of entering into such sale-and-leaseback transaction, less</w:t>
      </w:r>
    </w:p>
    <w:p>
      <w:pPr>
        <w:spacing w:after="0" w:line="75" w:lineRule="exact"/>
        <w:rPr>
          <w:rFonts w:ascii="Arial" w:cs="Arial" w:eastAsia="Arial" w:hAnsi="Arial"/>
          <w:sz w:val="18"/>
          <w:szCs w:val="18"/>
          <w:color w:val="auto"/>
        </w:rPr>
      </w:pPr>
    </w:p>
    <w:p>
      <w:pPr>
        <w:ind w:left="1480" w:right="480" w:hanging="567"/>
        <w:spacing w:after="0" w:line="34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 amount equal to the principal amount of the notes and pari passu indebtedness retired by us within that 12-month period and not designated as a credit against any other sale-and-leaseback transaction by us or any of our subsidiaries during that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Principal, interest and any premium on fully registered securities will be paid at designated places. Payment will be made by check and mailed to the persons in whose names the debt securities are registered on days specified in the 2003 Indenture or any prospectus supplement. Debt securities payments in other forms will be paid at a place designated by us and specified in a prospectus supplement.</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Fully registered securities may be transferred or exchanged at the corporation trust office of the trustee or at any other office or agency maintained by us for such purposes, without the payment of any service charge except for any tax or governmental charge.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certificates that we will deposit with a depositary identified in the applicable prospectus supplement. Unless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until it is exchanged in whole or in part for the individual debt securities that it represents, a global security may not be transferred except as a whole:</w:t>
      </w:r>
    </w:p>
    <w:p>
      <w:pPr>
        <w:spacing w:after="0" w:line="14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the applicable depositary to a nominee of the depositary;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any nominee to the depositary itself or another nominee;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the depositary or any nominee to a successor depositary or any nominee of the successor.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describe the specific terms of the depositary arrangement with respect to a series of debt securities in the applicable prospectus supplement. We anticipate that the following provisions will generally apply to depositary arrangements.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When we issue a global security in registered form, the depositary for the global security or its nominee will credit, on its book-entry registration and transfer system, the respective principal amounts of the individual debt securities represented by that global security to the accounts of persons that have accounts with the depositary (“participants”). Those accounts will be designated by the dealers, underwriters or agents with respect to the underlying debt securities or by us if those debt securities are offered and sold directly by us. Ownership of beneficial interests in a global security will be limited to participants or persons that may hold interests through participants. For interests of participants, ownership of beneficial interests in the global security will be shown on records maintained by the applicable depositary or its nominee. For interests of persons other than participants, that ownership information will be shown on the records of participants. Transfer of that ownership will be effected only through those records. The laws of some states require that certain purchasers of securities take physical delivery of securities in definitive form. These limits and laws may impair our ability to transfer beneficial interests in a global security.</w:t>
      </w:r>
    </w:p>
    <w:p>
      <w:pPr>
        <w:spacing w:after="0" w:line="19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long as the depositary for a global security, or its nominee, is the registered owner of that global security, the depositary or nominee will be considered the sole owner or holder of the debt securities represented by the global security for all purposes under the 2003 Indenture. Except as provided below, owners of beneficial interests in a global security:</w:t>
      </w:r>
    </w:p>
    <w:p>
      <w:pPr>
        <w:spacing w:after="0" w:line="87"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entitled to have any of the underlying debt securities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any of the underlying debt securities in definitive form;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considered the owners or holders under the 2003 Indenture relating to those debt securities.</w:t>
      </w:r>
    </w:p>
    <w:p>
      <w:pPr>
        <w:spacing w:after="0" w:line="225"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Payments of principal of, any premium on and any interest on individual debt securities represented by a global security registered in the name of a depositary or its nominee will be made to the depositary or its nominee as the registered owner of the global security representing such debt securities. Neither we, the trustee for the debt securities, any paying agent nor the registrar for the debt securities will be responsible for any aspect of the records relating to or payments made by the depositary or any participants on account of beneficial interests in the global security.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the depositary or its nominee, upon receipt of any payment of principal, any premium or interest relating to a global security representing any series of debt securities, will immediately credit participants’ accounts with the payments. Those payments will be credited in amounts proportional to the respective beneficial interests of the participants in the principal amount of the global security as shown on the records of the depositary or its nominee. We also expect that payments by participants to owners of beneficial interests in the global security held through those participants will be governed by standing instructions and customary practices. This is now the case with securities held for the accounts of customers registered in “street name.” Those payments will be the sole responsibility of those participants.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the depositary for a series of debt securities is at any time unwilling, unable or ineligible to continue as depositary and we do not appoint a successor depositary within 90 days, we will issue individual debt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of that series in exchange for the global security or securities representing that series. In addition, we may at any time in our sole discretion determine not to have any debt securities of a series represented by one or more global securities. In that event, we will issue individual debt securities of that series in exchange for the global security or securities. Furthermore, if we specify, an owner of a beneficial interest in a global security may, on terms acceptable to us, the trustee and the applicable depositary, receive individual debt securities of that series in exchange for those beneficial interests. The foregoing is subject to any limitations described in the applicable prospectus supplement. In any such instance, the owner of the beneficial interest will be entitled to physical delivery of individual debt securities equal in principal amount to the beneficial interest and to have the debt securities registered in its name. Those individual debt securities will be issued in any authorized denominations.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may choose to either discharge our obligations on the debt securities of any series in a legal defeasance, or to be released from covenant restrictions on the debt securities of any series in a covenant defeasance. We may do so at any time on the 91st day after we deposit with the applicable trustee sufficient cash or government securities to pay the principal, interest, any premium and any other sums due on the stated maturity date or a redemption date of the debt securities of the series. If we choose the legal defeasance option, the holders of the debt securities of the series will not be entitled to the benefits of the 2003 Indenture, except for certain obligations, including obligations to register the transfer or exchange of debt securities, to replace lost, stolen or mutilated debt securities, to pay principal and interest on the original stated due dates and certain other obligations set forth in the 2003 Indenture.</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discharge our obligations under the 2003 Indenture or be released from covenant restrictions only if we meet certain requirements. Among other things, we must deliver to the trustee an opinion of our legal counsel to the effect that holders of the series of debt securities will not recognize income, gain or loss for United States federal income tax purposes as a result of such defeasance and will be subject to federal income tax on the same amount and in the same manner and at the same times as would have been the case if such deposit and defeasance had not occurred. In the case of legal defeasance only, this opinion must be based on either a ruling received from or published by the Internal Revenue Service or a change in United States federal income tax law since the date of the 2003 Indenture. We may not have a default on the debt securities discharged on the date of deposit.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2003 Indenture is,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appear in the security register for such debt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Officers, Directors, Employees or Shareholders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director, officer, employee or shareholder, as such, of ours or any of our affiliates shall have any personal liability in respect of our obligations under the 2003 Indenture or the debt securities by reason of his, her or its status as such.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banking or financial institution will be the trustee under the 2003 Indenture. A successor trustee may be appointed in accordance with the terms of the 2003 Indenture.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2003 Indenture and the provisions of the Trust Indenture Act incorporated by reference therein, will contain certain limitations on the rights of the trustee, should it become a creditor of us, to obtain payment of claims in certain cases, or to realize on certain property received in respect of any such claim as security or otherwise. The trustee will be permitted to engage in other transactions; however, if it acquires any conflicting interest (within the meaning of the Trust Indenture Act), it must eliminate such conflicting interest or resign.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OF WEATHERFORD DELAWARE</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Any debt securities Weatherford Delaware offers under a prospectus supplement will be the direct senior unsecured general obligations of Weatherford Delaware. The debt securities will be issued under the Indenture dated June 18, 2007 among Weatherford Delaware, Weatherford Bermuda and Deutsche Bank Trust Company Americas, as trustee, as supplemented by the First Supplemental Indenture dated June 18, 2007, the Second Supplemental Indenture dated February 26, 2009, the Third Supplemental Indenture dated August 14, 2012, the Fourth Supplemental Indenture dated March 31, 2013, and the Fifth Supplemental Indenture dated June 17, 2014, by and among Weatherford Delaware, as issuer, Weatherford Bermuda, as guarantor, Weatherford Ireland, as guarantor, and Deutsche Bank Trust Company Americas, as trustee, which are filed as exhibits to, and incorporated by reference into, the registration statement, of which this prospectus is a part (the “2007 Indenture”).</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summarized selected provisions of the 2007 Indenture below. The following summary is a description of the material provisions of the 2007 Indenture. It does not restate the agreement in its entirety. We urge you to read the 2007 Indenture because it, and not this description, defines the rights of holders of debt securities.</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In this summary description of the debt securities of Weatherford Delaware, unless we state otherwise or the context clearly indicates otherwise, all references to “we,” “us” or “our” mean Weatherford Delaware, all references to “Weatherford Bermuda” mean Weatherford Bermuda only, all references to “Weatherford Ireland” mean Weatherford Ireland only and all references to “Weatherford Delaware” mean Weatherford Delaware only.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debt securities will be Weatherford Delaware’s direct, unsecured obligations. The senior debt securities will rank equally with all of our other senior unsecured and unsubordinated debt.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 a substantial part of our operations through our subsidiaries. To the extent of such operations, holders of debt securities will have a position junior to the prior claims of creditors of our subsidiaries, including trade creditors, debtholders, secured creditors, taxing authorities and guarantee holders, and any preference shareholders, except to the extent that we may ourself be a creditor with recognized claims against any subsidiary. Our ability to pay the principal, premium, if any, and interest on any debt securities is, to a large extent, dependent upon the payment to us of dividends, debt principal and interest or other charges by our subsidiaries.</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 prospectus supplement and an officer’s certificate or supplemental indenture relating to any series of debt securities being offered will include specific terms relating to the offering. These terms will include some or all of the following:</w:t>
      </w:r>
    </w:p>
    <w:p>
      <w:pPr>
        <w:spacing w:after="0" w:line="7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debt securities will be issued and any payments due if the maturity of the debt securities is accelerated;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interest rate which the debt securities will bear and the interest payment dates for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conversion or exchange features;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optional redemption periods;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some or all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2007 Indenture does not limit the amount of debt securities that may be issued. The 2007 Indenture allows debt securities to be issued up to the principal amount that may be authorized by us and may be in any currency or currency unit designated by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of a series may be issued in registered, coupon or global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Weatherford Ireland</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applicable prospectus supplement relating to a series of our senior debt securities provides that those senior debt securities will have the benefit of a guarantee by Weatherford Ireland (or its “successor person” as determined in accordance with the applicable provisions of the 2007 Indenture), payment of the principal, premium, if any, and interest on those senior debt securities will be unconditionally guaranteed on an unsecured, unsubordinated basis by Weatherford Ireland (or its successor person). The guarantee of senior debt securities will rank equally in right of payment with all of the unsecured and unsubordinated indebtedness of Weatherford Ireland (or its successor person). Weatherford Ireland’s (or its successor person’s) guarantees will be effectively subordinated to all existing and future obligations of Weatherford Ireland’s (or its successor person’s) subsidiaries.</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obligations of Weatherford Ireland (or its successor person) under any such guarantee will be limited to the extent possible under applicable law to prevent the guarantee from constituting a fraudulent conveyance, fraudulent preference or fraudulent transfer.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Weatherford Bermuda</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applicable prospectus supplement relating to a series of our senior debt securities provides that those senior debt securities will have the benefit of a guarantee by Weatherford Bermuda (or its “successor person” as determined in accordance with the applicable provisions of the 2007 Indenture), payment of the principal, premium, if any, and interest on those senior debt securities will be unconditionally guaranteed on an unsecured, unsubordinated basis by Weatherford Bermuda (or its successor person). The guarantee of senior debt securities will rank equally in right of payment with all of the unsecured and unsubordinated indebtedness of Weatherford Bermuda (or its successor person). Weatherford Bermuda’s (or its successor person’s) guarantees will be effectively subordinated to all existing and future obligations of Weatherford Bermuda’s (or its successor person’s) subsidiaries.</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obligations of Weatherford Bermuda (or its successor person) under any such guarantee will be limited to the extent possible under applicable law to prevent the guarantee from constituting a fraudulent conveyance, fraudulent preference or fraudulent transfer.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Other Subsidiaries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a series of our debt securities will have the benefit of a guarantee by any additional subsidiary guarantor(s), the applicable prospectus supplement will specify the identity of the specific guarantor(s) and the other terms of the applicable guarantees.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relating to a series of our senior debt securities, the securities issued in registered form will be issued in denominations of $1,000 each or multiples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 of Assets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2007 Indenture provides that we may not consolidate or amalgamate with or merge into any other person or convey, transfer or lease our properties and assets substantially as an entirety to another person, unless:</w:t>
      </w:r>
    </w:p>
    <w:p>
      <w:pPr>
        <w:spacing w:after="0" w:line="7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successor or resulting person assumes all of our obligations under the 2007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the successor or resulting person will not immediately be in default under the 2007 Indenture.</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Upon the assumption of our obligations by a successor or resulting person, subject to certain exceptions, we will be discharged from all obligations under the 2007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2007 Indenture provides that our rights and obligations and the rights of the holders may be modified with the consent of the holders of a majority in aggregate principal amount of the outstanding debt securities of each series affected by the modification. No modification of the principal or interest payment terms, and no modification reducing the percentage required for modifications, will be effective against any holder without its consent.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the 2007 Indenture, means any of the following:</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pay interest on any debt security for 30 days;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perform any other covenant in the 2007 Indenture that continues for 90 days after being given written notice;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events in bankruptcy, insolvency or reorganization of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of default included in the 2007 Indenture or officers’ certificate.</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2007 Indenture. The trustee may withhold notice to the holders of debt securities of any default (except in the payment of principal or interest) if it considers such withholding of notice to be in the best interests of the holders.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 specified percentage in aggregate principal amount of the debt securities of the series may declare the entire principal of all the debt securities of that series to be due and payable immediately. If this happens, subject to certain conditions, the holders of a specified percentage of the aggregate principal amount of the debt securities of that series can void the declaration.</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or powers under the 2007 Indenture at the request, order or direction of any holders, unless the holders offer the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reasonable indemnification. If they provide this reasonable indemnification, the holders of a majority in principal amount of any series of debt securities may direct the time, method and place of conducting any proceeding or any remedy available to the trustee, or exercising any power conferred upon the trustee, for any series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2007 Indenture, we have agreed to:</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the principal of, interest and any premium on, the debt securities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a place of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 a report to the trustee at the end of each fiscal year reviewing our obligations under the 2007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deposit sufficient funds with any paying agent on or before the due date for any principal, interest or premium.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agreed to the following covenants relating to limitations on liens and restrictions on sale-and-leaseback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2007 Indenture provides that each “guarantor” (as such term is defined in the 2007 Indenture) will not, nor will it permit any subsidiary of such guarantor to, create, assume, incur or suffer to exist any lien upon any principal property, whether owned or leased on the date of the 2007 Indenture or thereafter acquired, to secure any of our debt or any other person (other than the debt securities issued under the 2007 Indenture), without causing all of the debt securities outstanding under the 2007 Indenture to be secured equally and ratably with, or prior to, the new debt so long as new debt is secured. This restriction does not prohibit such guarantor from creating the following:</w:t>
      </w:r>
    </w:p>
    <w:p>
      <w:pPr>
        <w:spacing w:after="0" w:line="94" w:lineRule="exact"/>
        <w:rPr>
          <w:sz w:val="20"/>
          <w:szCs w:val="20"/>
          <w:color w:val="auto"/>
        </w:rPr>
      </w:pPr>
    </w:p>
    <w:p>
      <w:pPr>
        <w:ind w:left="900" w:right="5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liens existing, or provided for under the terms of existing agreements, on the date that any debt securities are issued under the 2007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liens that are created within one year after acquisition, completion and/or commencement of commercial operation on property acquired, constructed, altered or improved by us or any of our subsidiaries;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preexisting liens on any property acquired and liens on property of a subsidiary existing at the time it became our subsidiary;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in favor of such guarantor or any of its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liens in favor of governmental bodies to secure progress, advance or other payments;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any property securing indebtedness incurred for the purpose of financing the purchase price or the cost of constructing, installing or improving the property;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any property securing indebtedness issued or guaranteed by governmental bodies;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 renewal or replacement of the foregoing.</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Notwithstanding the foregoing, under the 2007 Indenture each guarantor may, and may permit any subsidiary of such guarantor to, issue, assume or guarantee secured indebtedness which would otherwise be subject to the foregoing restrictions, in an aggregate amount which, with all other such secured indebtedness,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does not exceed 15% of our consolidated net worth. For purposes of this paragraph, “consolidated net worth” means the amount of total shareholders’ equity shown in Weatherford Ireland’s most recent consolidated statement of financial position.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Sale-and-Leaseback Transactions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2007 Indenture provides that a guarantor will not, and such guarantor will not permit any of its subsidiaries to, enter into any sale-and-leaseback transaction unless:</w:t>
      </w:r>
    </w:p>
    <w:p>
      <w:pPr>
        <w:spacing w:after="0" w:line="76" w:lineRule="exact"/>
        <w:rPr>
          <w:sz w:val="20"/>
          <w:szCs w:val="20"/>
          <w:color w:val="auto"/>
        </w:rPr>
      </w:pPr>
    </w:p>
    <w:p>
      <w:pPr>
        <w:ind w:left="900" w:right="200" w:hanging="325"/>
        <w:spacing w:after="0" w:line="28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 the time of entering into such sale-and-leaseback transaction, such guarantor or any of its subsidiaries would be entitled under the 2007 Indenture to mortgage the property under the 2007 Indenture for an amount equal to the proceeds of the sale-and-leaseback transaction without equally and ratably securing the notes in compliance with the exceptions to the liens covenant in the 2007 Indenture;</w:t>
      </w:r>
    </w:p>
    <w:p>
      <w:pPr>
        <w:spacing w:after="0" w:line="70" w:lineRule="exact"/>
        <w:rPr>
          <w:rFonts w:ascii="Arial" w:cs="Arial" w:eastAsia="Arial" w:hAnsi="Arial"/>
          <w:sz w:val="17"/>
          <w:szCs w:val="17"/>
          <w:color w:val="auto"/>
        </w:rPr>
      </w:pPr>
    </w:p>
    <w:p>
      <w:pPr>
        <w:ind w:left="900" w:right="260" w:hanging="325"/>
        <w:spacing w:after="0" w:line="25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within a period commencing six months prior to the consummation of the sale-and-leaseback transaction and ending six months after the consummation of such transaction, such guarantor’s or any of its subsidiaries expend an amount equal to all or a portion of the net proceeds of such sale-and-leaseback transaction for property used or to be used in the ordinary course of such guarantor’s or any of its subsidiaries’ businesses, and we have elected to designate that amount as a credit against such sale-and-leaseback transaction, with any such amount not so designated to be applied as set forth in the next paragraph; or</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12-month period after the effective date of the sale-and-leaseback transaction, we apply to the retirement of the notes or any of our pari passu indebtedness:</w:t>
      </w:r>
    </w:p>
    <w:p>
      <w:pPr>
        <w:spacing w:after="0" w:line="75" w:lineRule="exact"/>
        <w:rPr>
          <w:rFonts w:ascii="Arial" w:cs="Arial" w:eastAsia="Arial" w:hAnsi="Arial"/>
          <w:sz w:val="18"/>
          <w:szCs w:val="18"/>
          <w:color w:val="auto"/>
        </w:rPr>
      </w:pPr>
    </w:p>
    <w:p>
      <w:pPr>
        <w:ind w:left="1480" w:right="180" w:hanging="567"/>
        <w:spacing w:after="0" w:line="277"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 amount equal to the proceeds of the property sold in the sale-and-leaseback transaction, which shall not be less than the fair value of such property at the time of entering into such sale-and-leaseback transaction, less</w:t>
      </w:r>
    </w:p>
    <w:p>
      <w:pPr>
        <w:spacing w:after="0" w:line="75" w:lineRule="exact"/>
        <w:rPr>
          <w:rFonts w:ascii="Arial" w:cs="Arial" w:eastAsia="Arial" w:hAnsi="Arial"/>
          <w:sz w:val="18"/>
          <w:szCs w:val="18"/>
          <w:color w:val="auto"/>
        </w:rPr>
      </w:pPr>
    </w:p>
    <w:p>
      <w:pPr>
        <w:ind w:left="1480" w:right="340" w:hanging="567"/>
        <w:spacing w:after="0" w:line="342" w:lineRule="auto"/>
        <w:tabs>
          <w:tab w:leader="none" w:pos="14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 amount equal to the principal amount of the notes and pari passu indebtedness retired by us within that 12-month period and not designated as a credit against any other sale-and-leaseback transaction by such guarantor or any of its subsidiaries during that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Principal, interest and any premium on fully registered securities will be paid at designated places. Payment will be made by check and mailed to the persons in whose names the debt securities are registered on days specified in the 2007 Indenture or any prospectus supplement. Debt securities payments in other forms will be paid at a place designated by us and specified in a prospectus supplement.</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Fully registered securities may be transferred or exchanged at the corporation trust office of the trustee or at any other office or agency maintained by us for such purposes, without the payment of any service charge except for any tax or governmental charge.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certificates that we will deposit with a depositary identified in the applicable prospectus supplement. Unless and until it is exchanged in whole or in part for the individual debt securities that it represents, a global security may not be transferred except as a whole:</w:t>
      </w:r>
    </w:p>
    <w:p>
      <w:pPr>
        <w:spacing w:after="0" w:line="87"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the applicable depositary to a nominee of the depositary;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any nominee to the depositary itself or another nominee; or</w:t>
      </w:r>
    </w:p>
    <w:p>
      <w:pPr>
        <w:spacing w:after="0" w:line="130" w:lineRule="exact"/>
        <w:rPr>
          <w:rFonts w:ascii="Arial" w:cs="Arial" w:eastAsia="Arial" w:hAnsi="Arial"/>
          <w:sz w:val="18"/>
          <w:szCs w:val="18"/>
          <w:color w:val="auto"/>
        </w:rPr>
      </w:pPr>
    </w:p>
    <w:p>
      <w:pPr>
        <w:ind w:left="5620" w:right="3860" w:hanging="5045"/>
        <w:spacing w:after="0" w:line="449" w:lineRule="auto"/>
        <w:tabs>
          <w:tab w:leader="none" w:pos="8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the depositary or any nominee to a successor depositary or any nominee of the successor. 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describe the specific terms of the depositary arrangement with respect to a series of debt securities in the applicable prospectus supplement. We anticipate that the following provisions will generally apply to depositary arrangements.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When we issue a global security in registered form, the depositary for the global security or its nominee will credit, on its book-entry registration and transfer system, the respective principal amounts of the individual debt securities represented by that global security to the accounts of persons that have accounts with the depositary (“participants”). Those accounts will be designated by the dealers, underwriters or agents with respect to the underlying debt securities or by us if those debt securities are offered and sold directly by us. Ownership of beneficial interests in a global security will be limited to participants or persons that may hold interests through participants. For interests of participants, ownership of beneficial interests in the global security will be shown on records maintained by the applicable depositary or its nominee. For interests of persons other than participants, that ownership information will be shown on the records of participants. Transfer of that ownership will be effected only through those records. The laws of some states require that certain purchasers of securities take physical delivery of securities in definitive form. These limits and laws may impair our ability to transfer beneficial interests in a global security.</w:t>
      </w:r>
    </w:p>
    <w:p>
      <w:pPr>
        <w:spacing w:after="0" w:line="19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long as the depositary for a global security, or its nominee, is the registered owner of that global security, the depositary or nominee will be considered the sole owner or holder of the debt securities represented by the global security for all purposes under the 2007 Indenture. Except as provided below, owners of beneficial interests in a global security:</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not be entitled to have any of the underlying debt securities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any of the underlying debt securities in definitive form;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not be considered the owners or holders under the 2007 Indenture relating to those debt securities.</w:t>
      </w:r>
    </w:p>
    <w:p>
      <w:pPr>
        <w:spacing w:after="0" w:line="225"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Payments of principal of, any premium on and any interest on individual debt securities represented by a global security registered in the name of a depositary or its nominee will be made to the depositary or its nominee as the registered owner of the global security representing such debt securities. Neither we, the trustee for the debt securities, any paying agent nor the registrar for the debt securities will be responsible for any aspect of the records relating to or payments made by the depositary or any participants on account of beneficial interests in the global security.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the depositary or its nominee, upon receipt of any payment of principal, any premium or interest relating to a global security representing any series of debt securities, will immediately credit participants’ accounts with the payments. Those payments will be credited in amounts proportional to the respective beneficial interests of the participants in the principal amount of the global security as shown on the records of the depositary or its nominee. We also expect that payments by participants to owners of beneficial interests in the global security held through those participants will be governed by standing instructions and customary practices. This is now the case with securities held for the accounts of customers registered in “street name.” Those payments will be the sole responsibility of those participants.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If the depositary for a series of debt securities is at any time unwilling, unable or ineligible to continue as depositary and we do not appoint a successor depositary within 90 days, we will issue individual debt securities of that series in exchange for the global security or securities representing that series. In addition, we may at any time in our sole discretion determine not to have any debt securities of a series represented by one or more global securities. In that event, we will issue individual debt securities of that series in exchange for the global security or securities. Furthermore, if we specify, an owner of a beneficial interest in a global security may, on terms acceptable to us, the trustee and the applicable depositary, receive individual debt securities of that series in exchange for those beneficial interests. The foregoing is subject to any limitations described in the applicable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prospectus supplement. In any such instance, the owner of the beneficial interest will be entitled to physical delivery of individual debt securities equal in principal amount to the beneficial interest and to have the debt securities registered in its name. Those individual debt securities will be issued in any authorized denominations.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may choose to either discharge our obligations on the debt securities of any series in a legal defeasance, or to be released from covenant restrictions on the debt securities of any series in a covenant defeasance. We may do so at any time on the 91st day after we deposit with the applicable trustee sufficient cash or government securities to pay the principal, interest, any premium and any other sums due on the stated maturity date or a redemption date of the debt securities of the series. If we choose the legal defeasance option, the holders of the debt securities of the series will not be entitled to the benefits of the 2007 Indenture, except for certain obligations, including obligations to register the transfer or exchange of debt securities, to replace lost, stolen or mutilated debt securities, to pay principal and interest on the original stated due dates and certain other obligations set forth in the 2007 Indenture.</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discharge our obligations under the 2007 Indenture or be released from covenant restrictions only if we meet certain requirements. Among other things, we must deliver to the trustee an opinion of our legal counsel to the effect that holders of the series of debt securities will not recognize income, gain or loss for United States federal income tax purposes as a result of such defeasance and will be subject to federal income tax on the same amount and in the same manner and at the same times as would have been the case if such deposit and defeasance had not occurred. In the case of legal defeasance only, this opinion must be based on either a ruling received from or published by the Internal Revenue Service or a change in United States federal income tax law since the date of the 2007 Indenture. We may not have a default on the debt securities discharged on the date of deposit.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2007 Indenture is,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appear in the security register for such debt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Officers, Directors, Employees or Shareholders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director, officer, employee or shareholder, as such, of ours or any of our affiliates shall have any personal liability in respect of our obligations under the 2007 Indenture or the debt securities by reason of his, her or its status as such.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banking or financial institution will be the trustee under the 2007 Indenture. A successor trustee may be appointed in accordance with the terms of the 2007 Indenture.</w:t>
      </w:r>
    </w:p>
    <w:p>
      <w:pPr>
        <w:spacing w:after="0" w:line="17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2007 Indenture and the provisions of the Trust Indenture Act incorporated by reference therein, will contain certain limitations on the rights of the trustee, should it become a creditor of us, to obtain payment of claims in certain cases, or to realize on certain property received in respect of any such claim as security or otherwise. The trustee will be permitted to engage in other transactions; however, if it acquires any conflicting interest (within the meaning of the Trust Indenture Act), it must eliminate such conflicting interest or resign.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our debt securities will be set forth in a prospectus supplement relating to the offering of such debt securities.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IRISH TAX CONSIDERATIONS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following is a summary of certain Irish tax consequences of the purchase, ownership and disposition of Weatherford International plc shares, options to purchase ordinary shares of Weatherford Ireland and warrants to purchase ordinary shares of Weatherford Ireland. The summary does not purport to be a comprehensive description of all of the tax considerations that may be relevant to a decision to purchase, own or dispose of Weatherford Ireland shares, options or warrants. The summary relates only to the position of persons who are the absolute beneficial owners of the shares, options or warrants and may not apply to certain other classes of persons such as dealers in securities or shares. The following also contains a summary of Irish withholding tax issues relating to debt securities issued by Weatherford Bermuda (and related guarantees of Weatherford Ireland and Weatherford Delaware) and Weatherford Delaware (and related guarantees of Weatherford Ireland and Weatherford Bermuda).</w:t>
      </w:r>
    </w:p>
    <w:p>
      <w:pPr>
        <w:spacing w:after="0" w:line="17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should consult their own advisors as to the Irish or other tax consequences of the purchase, beneficial ownership and disposition of the shares, options, warrants or debt securities including, in particular, the effect of any state or local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 of Shares, Options or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or Other Taxable Disposition</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Tax on Chargeable Gains</w:t>
      </w:r>
      <w:r>
        <w:rPr>
          <w:rFonts w:ascii="Arial" w:cs="Arial" w:eastAsia="Arial" w:hAnsi="Arial"/>
          <w:sz w:val="18"/>
          <w:szCs w:val="18"/>
          <w:color w:val="auto"/>
        </w:rPr>
        <w:t>. Weatherford International plc shareholders or holders of options or warrants relating to Weatherford Ireland shares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resident or ordinarily resident in Ireland for Irish tax purposes and do not hold the shares, options or warrants in connection with a trade carried on by such shareholders or holders of options or warrants through an Irish branch or agency will not be liable for Irish tax on chargeable gains realized on a subsequent disposal of the shares, options or warrants. A shareholder of Weatherford International plc or holder of options or warrants who is an individual and who is temporarily not a resident in Ireland may, under Irish anti-avoidance legislation, still be liable to Irish tax on any chargeable gain realized upon subsequent disposal of the share, options or warrants.</w:t>
      </w:r>
    </w:p>
    <w:p>
      <w:pPr>
        <w:spacing w:after="0" w:line="193"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i w:val="1"/>
          <w:iCs w:val="1"/>
          <w:color w:val="auto"/>
        </w:rPr>
        <w:t>Stamp Duty</w:t>
      </w:r>
      <w:r>
        <w:rPr>
          <w:rFonts w:ascii="Arial" w:cs="Arial" w:eastAsia="Arial" w:hAnsi="Arial"/>
          <w:sz w:val="16"/>
          <w:szCs w:val="16"/>
          <w:color w:val="auto"/>
        </w:rPr>
        <w:t>. There is no Irish stamp duty on the issuance of new shares of an Irish incorporated company. The rate of stamp duty (where applicable) on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14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Weatherford International plc shares effected by means of the transfer of book-entry interests in DTC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subject to Irish stamp duty. On the basis that most shares in Weatherford International plc are expected to be held through DTC, it is anticipated that most transfers of shares will be exempt from Irish stamp duty.</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Weatherford International plc shares where any party to the transfer holds</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shares outside of DTC may be subject to Irish stamp duty.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wishing to transfer their shares into (or out of) DTC may do so without giving rise to Irish stamp duty provided:</w:t>
      </w:r>
    </w:p>
    <w:p>
      <w:pPr>
        <w:spacing w:after="0" w:line="13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transfer into (or out of) DTC is not effected in contemplation of a subsequent sale of such shares by a beneficial owner to a third party.</w:t>
      </w:r>
    </w:p>
    <w:p>
      <w:pPr>
        <w:spacing w:after="0" w:line="23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8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rate of stamp duty on the grant or transfer of options or warrants to purchase ordinary shares of Weatherford Ireland is 1% of the price paid or the market value of the options or warrants, whichever is greater, and is payable by the transferee.</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i w:val="1"/>
          <w:iCs w:val="1"/>
          <w:color w:val="auto"/>
        </w:rPr>
        <w:t>Capital Acquisitions Tax</w:t>
      </w:r>
      <w:r>
        <w:rPr>
          <w:rFonts w:ascii="Arial" w:cs="Arial" w:eastAsia="Arial" w:hAnsi="Arial"/>
          <w:sz w:val="17"/>
          <w:szCs w:val="17"/>
          <w:color w:val="auto"/>
        </w:rPr>
        <w:t>. Irish capital acquisitions tax (“CAT”) comprises principally gift tax and inheritance tax. CAT could apply to a gift or</w:t>
      </w:r>
      <w:r>
        <w:rPr>
          <w:rFonts w:ascii="Arial" w:cs="Arial" w:eastAsia="Arial" w:hAnsi="Arial"/>
          <w:sz w:val="17"/>
          <w:szCs w:val="17"/>
          <w:i w:val="1"/>
          <w:iCs w:val="1"/>
          <w:color w:val="auto"/>
        </w:rPr>
        <w:t xml:space="preserve"> </w:t>
      </w:r>
      <w:r>
        <w:rPr>
          <w:rFonts w:ascii="Arial" w:cs="Arial" w:eastAsia="Arial" w:hAnsi="Arial"/>
          <w:sz w:val="17"/>
          <w:szCs w:val="17"/>
          <w:color w:val="auto"/>
        </w:rPr>
        <w:t>inheritance of Weatherford International plc shares,options or warrants irrespective of the place of residence, ordinary residence or domicile of the parties. This is because Weatherford International plc shares, options and warrants are regarded as property situated in Ireland as the share register of Weatherford International plc must be held in Ireland. The person who receives the gift or inheritance has primary liability for CAT.</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Weatherford International plc shareholders or holders of options or warrants relating to Weatherford Ireland shares should consult their own tax advisors as to whether CAT is creditable or deductible in computing any domestic tax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 of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Withholding Tax</w:t>
      </w:r>
    </w:p>
    <w:p>
      <w:pPr>
        <w:spacing w:after="0" w:line="117" w:lineRule="exact"/>
        <w:rPr>
          <w:sz w:val="20"/>
          <w:szCs w:val="20"/>
          <w:color w:val="auto"/>
        </w:rPr>
      </w:pPr>
    </w:p>
    <w:p>
      <w:pPr>
        <w:ind w:right="820" w:firstLine="456"/>
        <w:spacing w:after="0" w:line="308" w:lineRule="auto"/>
        <w:rPr>
          <w:sz w:val="20"/>
          <w:szCs w:val="20"/>
          <w:color w:val="auto"/>
        </w:rPr>
      </w:pPr>
      <w:r>
        <w:rPr>
          <w:rFonts w:ascii="Arial" w:cs="Arial" w:eastAsia="Arial" w:hAnsi="Arial"/>
          <w:sz w:val="17"/>
          <w:szCs w:val="17"/>
          <w:color w:val="auto"/>
        </w:rPr>
        <w:t>Payments under the debt securities can be paid by Weatherford Bermuda or Weatherford Delaware and any paying agent acting on behalf of Weatherford Bermuda or Weatherford Delaware without any withholding or deduction for or on account of Irish income tax.</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Encashment Tax</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Irish encashment tax may be required to be withheld at the standard rate (currently 20%) from any interest paid in respect of the debt securities where such interest is paid or collected by a person in Ireland on behalf of any holder of the debt securities. Holders of the debt securities should therefore note that the appointment of an Irish collection agent or an Irish paying agent could result in the deduction of 20% encashment tax by such agent from interest payments on the notes. A holder of the debt securities that is not resident in Ireland for tax purposes may claim an exemption from this withholding tax by submitting an appropriate declaration of non-Irish tax residency to the Irish agent.</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EACH HOLDER SHOULD CONSULT HIS OR HER TAX ADVISOR AS TO THE PARTICULAR CONSEQUENCES THAT MAY APPLY TO SUCH 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BERMUDA TAX CONSIDERATIONS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SWISS TAX CONSIDERATIONS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is a summary of certain Swiss tax consequences for non-Swiss holders of the (i) purchase, ownership and disposition of ordinary shares of Weatherford Ireland and (ii) the issuance, ownership, exercise or other disposition of warrants and options as well as (iii) tax issues relating to debt securities issued by Weatherford Bermuda (and related guarantees of Weatherford Ireland and Weatherford Delaware) and Weatherford Delaware (and related guarantees of Weatherford Ireland and Weatherford Bermuda). The summary does not purport to be a comprehensive description of all of the Swiss tax considerations that may be relevant to a decision to purchase, own and dispose ordinary shares respectively to acquire, own and exercise or dispose warrants, options or debt securities.</w:t>
      </w:r>
    </w:p>
    <w:p>
      <w:pPr>
        <w:spacing w:after="0" w:line="19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should consult their own advisors as to the Swiss or other tax consequences of the purchase, beneficial ownership and disposition of the ordinary shares, options, warrants or debt securities including, in particular, the effect of any state or local tax laws. In particular, the specific terms and conditions of any securities to be offered and the specific manner in which they may be offered as described in a supplement to this prospectus are decisive and need to be thoroughly analyzed with regard to potential Swiss tax consequences.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Swiss tax consequences to potential Swiss holders (Swiss tax residents or non-Swiss holders with any other taxable presence in Switzerland) of ordinary shares, warrants, options or debt securities of Weatherford Ireland are not covered in this summary. It is recommended that any Swiss holders consult their own advisors as to the Swiss or other tax consequences of the purchase, beneficial ownership and disposition of the ordinary shares respectively the acquisition, beneficial ownership, exercise or disposition of warrants, options or debt securities.</w:t>
      </w:r>
    </w:p>
    <w:p>
      <w:pPr>
        <w:spacing w:after="0" w:line="276" w:lineRule="exact"/>
        <w:rPr>
          <w:sz w:val="20"/>
          <w:szCs w:val="20"/>
          <w:color w:val="auto"/>
        </w:rPr>
      </w:pPr>
    </w:p>
    <w:p>
      <w:pPr>
        <w:ind w:right="5140"/>
        <w:spacing w:after="0" w:line="378" w:lineRule="auto"/>
        <w:rPr>
          <w:sz w:val="20"/>
          <w:szCs w:val="20"/>
          <w:color w:val="auto"/>
        </w:rPr>
      </w:pPr>
      <w:r>
        <w:rPr>
          <w:rFonts w:ascii="Arial" w:cs="Arial" w:eastAsia="Arial" w:hAnsi="Arial"/>
          <w:sz w:val="18"/>
          <w:szCs w:val="18"/>
          <w:b w:val="1"/>
          <w:bCs w:val="1"/>
          <w:color w:val="auto"/>
        </w:rPr>
        <w:t xml:space="preserve">Purchase, Ownership and Disposition of Ordinary Shares of Weatherford Ireland </w:t>
      </w:r>
      <w:r>
        <w:rPr>
          <w:rFonts w:ascii="Arial" w:cs="Arial" w:eastAsia="Arial" w:hAnsi="Arial"/>
          <w:sz w:val="18"/>
          <w:szCs w:val="18"/>
          <w:i w:val="1"/>
          <w:iCs w:val="1"/>
          <w:color w:val="auto"/>
        </w:rPr>
        <w:t>Swiss Income Tax on Dividends and Similar Distributions</w:t>
      </w:r>
    </w:p>
    <w:p>
      <w:pPr>
        <w:ind w:right="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ordinary shares of Weatherford Ireland, unless the ordinary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 non-Swiss holder will not be subject to Swiss wealth taxes (net wealth tax or annual capital tax) unless the holder’s ordinary shares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Ordinary Shares of Weatherford Ireland</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ordinary shares unless the holder’s ordinary shares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 on Distributions to Shareholders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Swiss withholding tax of 35% is due on dividends and similar distributions to the shareholders of Weatherford Ireland regardless of the place of residency of such shareholders (subject to the exceptions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discussed under “—Exemption from Swiss Withholding Tax on Distributions to Shareholders” below). Weatherford Ireland, as a Swiss tax resident company, will be required to withhold at such rate and remit on a net basis any payments made to a holder of ordinary shares of Weatherford Ireland and pay such withheld amounts to the Swiss federal tax authorities. Please see “—Refund of Swiss Withholding Tax on Dividends and Other Distributions.”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from Swiss Withholding Tax on Distributions to Shareholders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present Swiss tax laws,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Ordinary Shares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Based on the present Swiss tax laws, repurchases of ordinary shares for the purposes of capital reduction are treated as a partial liquidation subject to the 35% Swiss withholding tax. Weatherford Ireland is required to remit on a net basis the purchase price with the Swiss withholding tax deducted to a holder of ordinary shares of Weatherford Ireland and pay the withholding tax to the Swiss federal tax authorities. However, for ordinary shares repurchased for capital reduction, the portion of the repurchase price attributable to (i) the par value of the ordinary shares repurchased, and (ii) qualifying capital contribution reserves according to the applicable Swiss tax laws will not be subject to the Swiss withholding tax.</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With respect to the refund of Swiss withholding tax from the repurchase of ordinary shares, see “—Refund of Swiss Withholding Tax on Dividends and Other Distributions” below.</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repurchase of ordinary shares for purposes other than capital reduction, such as to retain such ordinary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Refund of Swiss Withholding Tax on Dividends and Other Distributions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Non-Swiss holders</w:t>
      </w:r>
      <w:r>
        <w:rPr>
          <w:rFonts w:ascii="Arial" w:cs="Arial" w:eastAsia="Arial" w:hAnsi="Arial"/>
          <w:sz w:val="17"/>
          <w:szCs w:val="17"/>
          <w:color w:val="auto"/>
        </w:rPr>
        <w:t>. If the shareholder that receives a distribution from Weatherford Ireland is not a Swiss tax resident, does not hold the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Weatherford Ireland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U.S. holders</w:t>
      </w:r>
      <w:r>
        <w:rPr>
          <w:rFonts w:ascii="Arial" w:cs="Arial" w:eastAsia="Arial" w:hAnsi="Arial"/>
          <w:sz w:val="18"/>
          <w:szCs w:val="18"/>
          <w:color w:val="auto"/>
        </w:rPr>
        <w:t>. The Swiss-U.S. tax treaty provides that U.S. residents eligible for benefits under the treaty can seek a refund of the Swiss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on dividends for the portion exceeding 15% (leading to a refund of 20%) or a 100% refund in the case of qualified pension funds. For sake of completeness, it shall be mentioned that a 5% treaty rate would apply for a U.S. corporate shareholder being treated for U.S. tax purposes as separate legal entity and holding a qualifying investment of at least 10% in Weatherford Ireland.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As a general rule, and provided no abuse provisions would be applicable, the refund will be granted under the treaty if the U.S. resident can show evidence of:</w:t>
      </w:r>
    </w:p>
    <w:p>
      <w:pPr>
        <w:spacing w:after="0" w:line="7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meeting the Swiss-U.S. tax treaty’s limitation on benefits requirements.</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claim for refund must be filed with the Swiss federal tax authorities (Eigerstrasse 65, 3003 Berne, Switzerland), not later than December 31 of the third year following the year in which the dividend or similar payments respectively distributions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Stamp Duties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Swiss transfer stamp duty in relation to the transfer of ordinary shares of Weatherford Ireland. </w:t>
      </w:r>
      <w:r>
        <w:rPr>
          <w:rFonts w:ascii="Arial" w:cs="Arial" w:eastAsia="Arial" w:hAnsi="Arial"/>
          <w:sz w:val="18"/>
          <w:szCs w:val="18"/>
          <w:color w:val="auto"/>
        </w:rPr>
        <w:t>The purchase or sale of ordinary shares of Weatherford</w:t>
      </w:r>
      <w:r>
        <w:rPr>
          <w:rFonts w:ascii="Arial" w:cs="Arial" w:eastAsia="Arial" w:hAnsi="Arial"/>
          <w:sz w:val="18"/>
          <w:szCs w:val="18"/>
          <w:i w:val="1"/>
          <w:iCs w:val="1"/>
          <w:color w:val="auto"/>
        </w:rPr>
        <w:t xml:space="preserve"> </w:t>
      </w:r>
      <w:r>
        <w:rPr>
          <w:rFonts w:ascii="Arial" w:cs="Arial" w:eastAsia="Arial" w:hAnsi="Arial"/>
          <w:sz w:val="18"/>
          <w:szCs w:val="18"/>
          <w:color w:val="auto"/>
        </w:rPr>
        <w:t>Ireland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Swiss issuance stamp duty on the issuance of ordinary shares of Weatherford Ireland. </w:t>
      </w:r>
      <w:r>
        <w:rPr>
          <w:rFonts w:ascii="Arial" w:cs="Arial" w:eastAsia="Arial" w:hAnsi="Arial"/>
          <w:sz w:val="18"/>
          <w:szCs w:val="18"/>
          <w:color w:val="auto"/>
        </w:rPr>
        <w:t>For sake of completeness, it shall be mentioned that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Weatherford Ireland for the issuance of new ordinary shares, to the extent no exemption applies, is subject to issuance stamp duty levied at 1%. Weatherford Ireland will be liable to Swiss issuance stamp duty.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Exercise or Disposition of Warrants or Options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summary of Swiss tax considerations reflects the main Swiss tax consequences that should be considered if Weatherford Ireland will issue and deliver new ordinary shares to the entitled warrant or option holder, as the case may be. For sake of completeness, the summary below also outlines how Swiss tax consequences would differ in the event an option holder exercises an option and Weatherford Ireland does not issue and deliver new ordinary shares, but rather delivers its treasury shares. While Weatherford Ireland does not currently have any treasury shares, it may acquire treasury shares in the future through open-market purchases of its ordinary shares. Therefore, Weatherford Ireland currently intends to satisfy any exercise of an option or warrant through the issuance and delivery of new ordinary shares. Unless otherwise indicated, the Swiss tax considerations below are applicable to both warrants and options.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non-Swiss holder will not be subject to Swiss income tax neither during the holding period nor on capital gains realized upon disposal, exchange or other disposition of warrants or options unless the holder’s warrant or option is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non-Swiss holder will not be subject to Swiss wealth taxes unless the holder’s warrant or option is attributable to a permanent establishment, a fixed place of business maintained in Switzerland or another taxable presence in Switzerland of such non-Swiss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i w:val="1"/>
          <w:iCs w:val="1"/>
          <w:color w:val="auto"/>
        </w:rPr>
        <w:t xml:space="preserve">Exercise of Warrants and Options that result in a delivery of newly issued ordinary shares of Weatherford Ireland. </w:t>
      </w:r>
      <w:r>
        <w:rPr>
          <w:rFonts w:ascii="Arial" w:cs="Arial" w:eastAsia="Arial" w:hAnsi="Arial"/>
          <w:sz w:val="18"/>
          <w:szCs w:val="18"/>
          <w:color w:val="auto"/>
        </w:rPr>
        <w:t>A conversion of warrants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options into ordinary shares by way of a cash exercise does not trigger Swiss withholding tax consequences provided the strike price equals at least to the nominal value of the newly issued respective ordinary shares.</w:t>
      </w:r>
    </w:p>
    <w:p>
      <w:pPr>
        <w:spacing w:after="0" w:line="18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Any payments from Weatherford Ireland to the holders of warrants or options to compensate them for distributions made to shareholders in Weatherford Ireland or any other cash or similar payments might be subject to Swiss withholding tax.</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Non-Swiss tax resident holders of warrants or options that do not hold the warrant or option in connection with a permanent establishment or a fixed place of business maintained in Switzerland, might be entitled for full or partial refund of Swiss withholding tax described above, if they reside in a country that has concluded a treaty for the avoidance of double taxation with Switzerland for which the conditions for the application and protection of and by the treaty can be met. The procedures for claiming treaty refunds (and the time frame required for obtaining a refund) may differ from country to country.</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Exercise of Options that result in a delivery of preexisting ordinary shares. </w:t>
      </w:r>
      <w:r>
        <w:rPr>
          <w:rFonts w:ascii="Arial" w:cs="Arial" w:eastAsia="Arial" w:hAnsi="Arial"/>
          <w:sz w:val="18"/>
          <w:szCs w:val="18"/>
          <w:color w:val="auto"/>
        </w:rPr>
        <w:t>The exercise of options that result in a delivery of preexisting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will generally not be subject to Swiss withholding tax.</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repurchase of our own ordinary shares for purposes of the exercise of options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Federal Stamp Duties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i w:val="1"/>
          <w:iCs w:val="1"/>
          <w:color w:val="auto"/>
        </w:rPr>
        <w:t xml:space="preserve">Swiss issuance stamp duty in relation to the issuance of warrants and options. </w:t>
      </w:r>
      <w:r>
        <w:rPr>
          <w:rFonts w:ascii="Arial" w:cs="Arial" w:eastAsia="Arial" w:hAnsi="Arial"/>
          <w:sz w:val="17"/>
          <w:szCs w:val="17"/>
          <w:color w:val="auto"/>
        </w:rPr>
        <w:t>Straight derivatives such as warrants and options should not qualify as</w:t>
      </w:r>
      <w:r>
        <w:rPr>
          <w:rFonts w:ascii="Arial" w:cs="Arial" w:eastAsia="Arial" w:hAnsi="Arial"/>
          <w:sz w:val="17"/>
          <w:szCs w:val="17"/>
          <w:i w:val="1"/>
          <w:iCs w:val="1"/>
          <w:color w:val="auto"/>
        </w:rPr>
        <w:t xml:space="preserve"> </w:t>
      </w:r>
      <w:r>
        <w:rPr>
          <w:rFonts w:ascii="Arial" w:cs="Arial" w:eastAsia="Arial" w:hAnsi="Arial"/>
          <w:sz w:val="17"/>
          <w:szCs w:val="17"/>
          <w:color w:val="auto"/>
        </w:rPr>
        <w:t>taxable security in the meaning of the Swiss Federal Stamp Duty Act and should therefore not be subject to Swiss issuance stamp duty.</w:t>
      </w:r>
    </w:p>
    <w:p>
      <w:pPr>
        <w:spacing w:after="0" w:line="14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 xml:space="preserve">Swiss transfer stamp duty in relation to the exercise or disposition of the warrants and options. </w:t>
      </w:r>
      <w:r>
        <w:rPr>
          <w:rFonts w:ascii="Arial" w:cs="Arial" w:eastAsia="Arial" w:hAnsi="Arial"/>
          <w:sz w:val="16"/>
          <w:szCs w:val="16"/>
          <w:color w:val="auto"/>
        </w:rPr>
        <w:t>Straight derivatives such as regular warrants and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should not qualify as taxable security in the meaning of the Swiss Federal Stamp Duty Act and should therefore not be subject to Swiss transfer stamp duty.</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transfer of preexisting ordinary shares of Weatherford Ireland in case of an exercise of options that results in delivery of preexisting ordinary shares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the transaction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exercise price. If the transaction does not involve cash consideration, the transfer stamp duty is computed on the basis of the market value of the consideration.</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Swiss issuance stamp duty on the issuance of new ordinary shares of Weatherford Ireland in connection with the exercise of warrants and options.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sake of completeness, it shall be mentioned that the proceeds paid to Weatherford Ireland for the issuance of new ordinary shares as a result of the exercise of a warrant or an option, as the case may be, to the extent no exemption applies, is subject to issuance stamp duty levied at 1%. Weatherford Ireland will be liable for Swiss issuance stamp duty.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 on Interest Payments</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 non-Swiss holder will not be subject to Swiss income taxes on interest income in respect of debt securities, unless the debt securities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 non-Swiss holder will not be subject to Swiss wealth taxes (net wealth tax or annual capital tax) unless the holder’s debt securities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 on Capital Gains upon Disposal, Redemption or Other Disposition of Debt Securities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redemption or other disposition of debt securities unless the holder’s notes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 on Interest Payments on Debt Securities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guaranteed by Weatherford Ireland could constitute a Swiss bond or bond like instrument subject to Swiss withholding tax in case of a harmful flow back of funds to Switzerland. Interest payments or any similar payments (e.g. in case of zero bonds) on such Swiss bonds or bond like instrument would in such a case be subject to Swiss federal withholding tax. The same applies if the Weatherford entity issuing the debt securities would be effectively managed and controlled in Switzerland.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Federal Stamp Duties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issuance of debt securities will not be subject to Swiss federal issuance stamp duty or Swiss federal stamp duty on the dealing in securities. Dealings in debt securities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Exchange of Information in Tax Matters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November 19, 2014, Switzerland signed the Multilateral Competent Authority Agreement (the MCAA). The MCAA is based on article 6 of the OECD/Council of Europe administrative assistance convention and is intended to ensure the uniform implementation of Automatic Exchange of Information (the AEOI). The Federal Act on the International Automatic Exchange of Information in Tax Matters (the AEOI Act) entered into force on January 1, 2017. The AEOI Act is the legal basis for the implementation of the AEOI standard in Switzerland.</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speciality (i.e. the information exchanged may only be used to assess and levy taxes (and for criminal tax proceedings)) and adequate data protection.</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Switzerland has concluded a multilateral AEOI agreement with the EU (replacing the EU savings tax agreement) and has concluded bilateral AEOI agreements with several non-EU countries.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will begin to collect data in respect of financial assets held in, and income derived thereon and credited to, accounts or deposits with a paying agent in Switzerland for the benefit of individuals or certain type of entities resident in a EU member state or in a treaty state from, depending on the effectiveness date of the agreement, 2017 or 2018, as the case may be, and begin to exchange it from 2018 or 2019.</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SHAREHOLDER OR PURCHASER OF WARRANTS, OPTIONS AND/OR DEBT SECURITIES SHOULD CONSULT HIS OR HER TAX ADVISOR AS TO THE PARTICULAR CONSEQUENCES THAT MAY APPLY TO SUCH SHAREHOLDER OR HOLDER OF WARRANTS, OPTIONS AND/OR DEBT SECURITIES.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at:</w:t>
      </w:r>
    </w:p>
    <w:p>
      <w:pPr>
        <w:spacing w:after="0" w:line="87"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ordinary shares will be listed on the New York Stock Exchange,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ordinary shares, and may use securities received from us in settlement of those derivatives to close out any related open borrowings of ordinary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Certain U.S. legal matters in connection with the securities will be passed upon for us by Latham &amp; Watkins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240" w:top="459"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40" w:firstLine="456"/>
        <w:spacing w:after="0" w:line="297"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2016 and December 31, 2015 and for each of the years in the three-year period ended December 31, 2016, and management’s assessment of the effectiveness of internal control over financial reporting as of December 31, 2016 have been incorporated by reference herein in reliance upon the reports of KPMG LLP, independent registered public accounting firm, incorporated by reference herein, and upon the authority of said firm as experts in accounting and auditing. KPMG LLP’s report on the consolidated financial statements refers to changes in accounting for deferred income taxes and accounting for debt issuance costs.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 and Codan Services Limited is Weatherford Bermuda’s Assistant Secretary.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FF4338"/>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4338"/>
        </w:rPr>
        <w:t>Subject to Completion, Dated April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172085</wp:posOffset>
            </wp:positionV>
            <wp:extent cx="1569085" cy="702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 Irish public limited company)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84,500,000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relates to the offer and sale by us of 84,500,000 ordinary shares, $0.001 par value, that are issuable upon the exercise of such warrant to purchase 84,500,000 ordinary shares at an exercise price of $6.43 per ordinary share (the “Warrant”). The Warrant was originally issued by us on November 21, 2016 pursuant to a prospectus dated November 16, 2016. We will receive the proceeds from any exercises of the Warrant. The Warrant is exercisable at any time until its expiration date, which is May 21, 2019.</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300" w:firstLine="456"/>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5 and “</w:t>
      </w:r>
      <w:hyperlink w:anchor="page6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7 herein and any related free writing prospectus and under similar headings in the other documents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39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940" w:type="dxa"/>
            <w:vAlign w:val="bottom"/>
            <w:gridSpan w:val="3"/>
          </w:tcPr>
          <w:p>
            <w:pPr>
              <w:jc w:val="right"/>
              <w:ind w:right="49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240" w:type="dxa"/>
            <w:vAlign w:val="bottom"/>
            <w:gridSpan w:val="8"/>
            <w:vMerge w:val="restart"/>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ABOUT THIS PROSPECTUS</w:t>
              </w:r>
            </w:hyperlink>
          </w:p>
        </w:tc>
        <w:tc>
          <w:tcPr>
            <w:tcW w:w="2200" w:type="dxa"/>
            <w:vAlign w:val="bottom"/>
            <w:gridSpan w:val="8"/>
            <w:vMerge w:val="restart"/>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2200" w:type="dxa"/>
            <w:vAlign w:val="bottom"/>
            <w:gridSpan w:val="8"/>
            <w:vMerge w:val="continue"/>
          </w:tcPr>
          <w:p>
            <w:pPr>
              <w:spacing w:after="0"/>
              <w:rPr>
                <w:sz w:val="14"/>
                <w:szCs w:val="14"/>
                <w:color w:val="auto"/>
              </w:rPr>
            </w:pPr>
          </w:p>
        </w:tc>
        <w:tc>
          <w:tcPr>
            <w:tcW w:w="662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PROSPECTUS SUMMARY</w:t>
              </w:r>
            </w:hyperlink>
          </w:p>
        </w:tc>
        <w:tc>
          <w:tcPr>
            <w:tcW w:w="2340" w:type="dxa"/>
            <w:vAlign w:val="bottom"/>
            <w:gridSpan w:val="9"/>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WHERE YOU CAN FIND MORE INFORMATION</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FORWARD-LOOKING STATEMENTS</w:t>
              </w:r>
            </w:hyperlink>
          </w:p>
        </w:tc>
        <w:tc>
          <w:tcPr>
            <w:tcW w:w="880" w:type="dxa"/>
            <w:vAlign w:val="bottom"/>
            <w:tcBorders>
              <w:top w:val="single" w:sz="8" w:color="0000EE"/>
            </w:tcBorders>
            <w:gridSpan w:val="5"/>
          </w:tcPr>
          <w:p>
            <w:pPr>
              <w:spacing w:after="0"/>
              <w:rPr>
                <w:sz w:val="17"/>
                <w:szCs w:val="17"/>
                <w:color w:val="auto"/>
              </w:rPr>
            </w:pPr>
          </w:p>
        </w:tc>
        <w:tc>
          <w:tcPr>
            <w:tcW w:w="620" w:type="dxa"/>
            <w:vAlign w:val="bottom"/>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RISK FACTORS</w:t>
              </w:r>
            </w:hyperlink>
          </w:p>
        </w:tc>
        <w:tc>
          <w:tcPr>
            <w:tcW w:w="3180" w:type="dxa"/>
            <w:vAlign w:val="bottom"/>
            <w:gridSpan w:val="13"/>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RATIO OF EARNINGS TO FIXED CHARGES</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DILUTION</w:t>
              </w:r>
            </w:hyperlink>
          </w:p>
        </w:tc>
        <w:tc>
          <w:tcPr>
            <w:tcW w:w="940" w:type="dxa"/>
            <w:vAlign w:val="bottom"/>
            <w:gridSpan w:val="3"/>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DESCRIPTION OF OUR ORDINARY SHARES</w:t>
              </w:r>
            </w:hyperlink>
          </w:p>
        </w:tc>
        <w:tc>
          <w:tcPr>
            <w:tcW w:w="840" w:type="dxa"/>
            <w:vAlign w:val="bottom"/>
            <w:gridSpan w:val="2"/>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THE WARRANT</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CERTAIN IRISH TAX CONSIDERATIONS</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CERTAIN SWISS TAX CONSIDERATIONS</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PLAN OF DISTRIBUTION</w:t>
              </w:r>
            </w:hyperlink>
          </w:p>
        </w:tc>
        <w:tc>
          <w:tcPr>
            <w:tcW w:w="1260" w:type="dxa"/>
            <w:vAlign w:val="bottom"/>
            <w:tcBorders>
              <w:top w:val="single" w:sz="8" w:color="0000EE"/>
            </w:tcBorders>
            <w:gridSpan w:val="6"/>
          </w:tcPr>
          <w:p>
            <w:pPr>
              <w:spacing w:after="0"/>
              <w:rPr>
                <w:sz w:val="17"/>
                <w:szCs w:val="17"/>
                <w:color w:val="auto"/>
              </w:rPr>
            </w:pPr>
          </w:p>
        </w:tc>
        <w:tc>
          <w:tcPr>
            <w:tcW w:w="1120" w:type="dxa"/>
            <w:vAlign w:val="bottom"/>
            <w:gridSpan w:val="4"/>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LEGAL MATTERS</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2980" w:type="dxa"/>
            <w:vAlign w:val="bottom"/>
            <w:gridSpan w:val="12"/>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prospectus relates to the offering of our ordinary shares issuable upon the exercise of an outstanding Warrant. Before buying any of the ordinary shares that we are offering, we urge you to carefully read this prospectus, together with the information incorporated by reference as described under the heading “Where You Can Find More Information” in this prospectus. These documents contain important information that you should consider when making your investment decision.</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describes the specific terms of the ordinary shares issuable upon exercise of the above-referenced Warrant and also adds to, and updates information contained in the documents incorporated by reference into this prospectus. If there is any inconsistency between the information in this prospectus, on the one hand, and the information in any document incorporated by reference into this prospectus that was filed with the Securities and Exchange Commission, or SEC, before the date of this prospectus, on the other hand, you must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You should rely only on the information incorporated by reference in or provided in this prospectus and in any free writing prospectus that we may authorize for use in connection with this offering. We have not authorized anyone else to provide you with different information. We have not authorized anyone else to provide you with different information. We are not making an offer to sell in any jurisdiction in which the offer is not permitted. You should not assume that the information in this prospectus, any document incorporated by reference in this prospectus, and in any free writing prospectus that we may authorize for use in connection with this offering, is accurate as of any date other than the dates of those documents.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80" w:firstLine="443"/>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It does not contain all of the information that you should consider before making an investment decision. We urge you to read the entire prospectus and the documents incorporated by reference in this prospectus carefully, including the historical financial statements and notes to those financial statements incorporated by reference in this prospectus. Please read “Risk Factors” and “Forward-Looking Statements” in this prospectus and “Risk Factors” in our Annual Report on Form 10-K for the year ended December 31, 2016 and similar sections in any subsequent Exchange Act reports that we incorporate by reference in this prospectus for more information about important risks that you should consider before investing in the ordinary shares.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300" w:firstLine="443"/>
        <w:spacing w:after="0" w:line="276" w:lineRule="auto"/>
        <w:rPr>
          <w:sz w:val="20"/>
          <w:szCs w:val="20"/>
          <w:color w:val="auto"/>
        </w:rPr>
      </w:pPr>
      <w:r>
        <w:rPr>
          <w:rFonts w:ascii="Arial" w:cs="Arial" w:eastAsia="Arial" w:hAnsi="Arial"/>
          <w:sz w:val="17"/>
          <w:szCs w:val="17"/>
          <w:color w:val="auto"/>
        </w:rPr>
        <w:t>Weatherford International plc, an Irish public limited company, together with its subsidiaries as the context requires (“Weatherford,” the “Company,” “we,” “us” and “our”), is a multinational oilfield service company and is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approximately 90 countries and have service and sales locations in nearly all of the oil and natural gas producing regions in the world.</w:t>
      </w:r>
    </w:p>
    <w:p>
      <w:pPr>
        <w:spacing w:after="0" w:line="173"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Our headquarters are located at Weststrasse 1, 6340 Baar, Switzerland and our telephone number at that location is +41.22.816.1500. We are incorporated in Ireland; however, we are a Swiss tax resident. Our internet address is www.weatherford.com. General information about us, including our corporate governance policies, code of business conduct and charters for the committees of our Board of Directors, can be found on our web site under the “Investor Relations” section. Except for information specifically incorporated by reference into this prospectus that may be accessed from our website, the information on, or otherwise accessible through, our website or any other website does not constitute a part of this prospectus.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This offering involves the offer and sale by us of 84,500,000 ordinary shares issuable upon the exercise of a warrant that is exercisable at an exercise price of $6.43 per ordinary share and that was originally issued by us on November 21, 2016. The warrant is exercisable at any time on or prior to May 21, 2019. Upon exercise of the warrant, the holder of the warrant would pay us the exercise price per ordinary share, or an aggregate of approximately $543,335,000.</w:t>
      </w:r>
    </w:p>
    <w:p>
      <w:pPr>
        <w:spacing w:after="0" w:line="187" w:lineRule="exact"/>
        <w:rPr>
          <w:sz w:val="20"/>
          <w:szCs w:val="20"/>
          <w:color w:val="auto"/>
        </w:rPr>
      </w:pPr>
    </w:p>
    <w:p>
      <w:pPr>
        <w:ind w:left="200" w:right="260" w:firstLine="443"/>
        <w:spacing w:after="0" w:line="273" w:lineRule="auto"/>
        <w:rPr>
          <w:sz w:val="20"/>
          <w:szCs w:val="20"/>
          <w:color w:val="auto"/>
        </w:rPr>
      </w:pPr>
      <w:r>
        <w:rPr>
          <w:rFonts w:ascii="Arial" w:cs="Arial" w:eastAsia="Arial" w:hAnsi="Arial"/>
          <w:sz w:val="17"/>
          <w:szCs w:val="17"/>
          <w:color w:val="auto"/>
        </w:rPr>
        <w:t>Assuming the exercise of the Warrant, the number of ordinary shares to be outstanding after this offering is 1,070,247,811, which is based on 985,747,811 ordinary shares outstanding as of April 15, 2017, and excludes: (i) 598,400 ordinary shares issuable upon the exercise of outstanding and vested stock options as of April 15, 2017, at a weighted average exercise price of $12.59 per ordinary share; (ii) 12,414,731 ordinary shares subject to restricted share units vesting requirements as of April 15, 2017, at a weighted average grant date fair value of $8.15; (iii) 2,871,000 ordinary shares subject to performance units vesting requirements as of April 15, 2017, at a weighted average grant date fair value of $6.26; and 20,130,062 ordinary shares reserved as of April 15, 2017, for future issuance under equity incentive plans.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05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2105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We intend to use the net proceeds from this offering, if any, for general corporate purposes, including the repayment of debt. See “Use of Proceeds” on page 12 of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200" w:firstLine="443"/>
        <w:spacing w:after="0" w:line="277" w:lineRule="auto"/>
        <w:rPr>
          <w:sz w:val="20"/>
          <w:szCs w:val="20"/>
          <w:color w:val="auto"/>
        </w:rPr>
      </w:pPr>
      <w:r>
        <w:rPr>
          <w:rFonts w:ascii="Arial" w:cs="Arial" w:eastAsia="Arial" w:hAnsi="Arial"/>
          <w:sz w:val="18"/>
          <w:szCs w:val="18"/>
          <w:color w:val="auto"/>
        </w:rPr>
        <w:t>You should carefully read and consider the information beginning on page 7 of this prospectus set forth under the heading “Risk Factors” and all other information set forth in this prospectus before deciding to invest in our ordinary shares.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Trading Symbol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2016, as filed with the SEC on February 15, 2017;</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April 25, 2017;</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Weatherford Ireland’s Current Reports on Form 8-K or Form 8-K/A, as filed with the SEC on March 10, 2017, March 24, 2017 and April 17, 2017;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This prospectus includes may include,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42"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Investing in our ordinary shares involves a high degree of risk. Before deciding whether to purchase our ordinary shares, you should carefully consider the risks and uncertainties described below as well as those described under “Risk Factors” in our Form 10-K, together with all of the other information included in, or incorporated by reference into, this prospectus. See “Where You Can Find More Information.”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Ordinary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ordinary shares may be volatile.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trading price of our ordinary shares has historically fluctuated significantly. For example, since the beginning of 2014, the high closing price per ordinary share on the NYSE was $24.06; in 2016, the low closing price per share was $3.73; and on April 24, 2017, the last reported sale price of our ordinary shares on the NYSE was $5.48 per share. The price of our ordinary shares could be subject to wide fluctuations in the future in response to many events or factors, including those discussed in this risk factors section, as well as:</w:t>
      </w:r>
    </w:p>
    <w:p>
      <w:pPr>
        <w:spacing w:after="0" w:line="9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investors’ general perception of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issuances of equity or equity-linked securities by us may cause the market price of ordinary shares to fall.</w:t>
      </w:r>
    </w:p>
    <w:p>
      <w:pPr>
        <w:spacing w:after="0" w:line="117"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As of April 15, 2017, we had 985,747,811 ordinary shares issued and outstanding. As of April 15, 2017, 598,400 ordinary shares were reserved for issuance upon exercise of stock options (of which none were exercisable), 12,414,731 ordinary shares were reserved for issuance upon the vesting of restricted stock units and 2,871,000 ordinary shares were authorized for issuance upon the vesting of performance share units. As of April 15, 2017, 163,394,484 were reserved for issuance upon the exchange of Weatherford International Ltd.’s, a Bermuda exempted company and our wholly owned, indirect subsidiary, 5.875% Exchangeable Senior Notes due 2021 for ordinary shares. The issuance of the ordinary shares offered hereby and the sale of additional shares that may become eligible for sale in the public market from time to time, could have the effect of depressing the market price for our ordinary shares.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holding company structure may impact our ability to service debt.</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are a holding company with no material assets other than the capital stock of our subsidiaries. As a result, our ability to repay our indebtedness is dependent on the generation of cash flow by our subsidiaries and their ability to make such cash available to us, by dividend, loan, debt repayment or otherwise. Our subsidiaries do not have any obligation to make funds available to us to repay our indebtedness. Dividends from subsidiaries that are not wholly owned are shared with other equity owners. In addition, cash at our international operations is also subject to foreign withholding taxes upon repatriation.</w:t>
      </w:r>
    </w:p>
    <w:p>
      <w:pPr>
        <w:spacing w:after="0" w:line="18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addition, our subsidiaries may not be able to, or be permitted to, make distributions to enable us to repay our indebtedness.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law differs from the laws in effect in the United States and may afford less protection to holders of ordinary shares.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an Irish company, Weatherford International plc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Weatherford International plc has never declared or paid cash dividends on its share capital and it does not expect to pay any cash dividends in the near future.</w:t>
      </w:r>
    </w:p>
    <w:p>
      <w:pPr>
        <w:spacing w:after="0" w:line="62"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Weatherford International plc has never declared or paid cash dividends on its share capital and does not expect to pay any cash dividends in the near future. If Weatherford International plc proposes to pay dividends in the future, it must do so in accordance with Irish law, which provides that distributions including dividend payments, share repurchases and redemptions be funded from “distributable reserves.” See “Description of Our Ordinary Shares— Dividends.” Any future determination as to the payment of dividends will, subject to Irish legal requirements, be at the sole discretion of Weatherford International plc’s board of directors and will depend on Weatherford International plc’s consolidated financial condition, results of operations, capital requirements, compliance with existing and future borrowing arrangements, and other factors Weatherford International plc’s board of directors deems relevant. Accordingly, holders of ordinary shares must rely on increases in the trading price of their shares for returns on their investment in the foreseeable future.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transfer of ordinary shares may be subject to Irish stamp duty.</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International plc’s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transfer of ordinary shares may be subject to Swiss transfer stamp duty.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certain circumstances, the transfer of shares in an Irish incorporated, but Swiss tax resident company, will be subject to Swiss transfer stamp duty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as defined in the Swiss Federal Stamp Duty Act, then no Swiss transfer stamp duty will be due.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paid by Weatherford International plc may be subject to Swiss dividend withholding tax.</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In certain circumstances, as a Swiss tax resident company, Weatherford International plc will be required to deduct Swiss dividend withholding tax (currently at the rate of 35%) from dividends (including deemed dividends) and similar distributions paid to Weatherford International plc’s shareholders. Such Swiss withholding tax is due regardless of the place of residency of the shareholder.</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Shareholders that are resident in the United States, EU countries and other countries with which Switzerland has signed a tax treaty may be entitled to a partial or full refund of the Swiss withholding tax. Swiss withholding tax could adversely affect the price of ordinary shares.</w:t>
      </w:r>
    </w:p>
    <w:p>
      <w:pPr>
        <w:spacing w:after="0" w:line="2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Ownership, or deemed ownership, of 10% or more of Weatherford Ireland’s shares, or certain of its subsidiaries’ shares, by one or more U.S. persons could cause us to be subject to a substantial amount of additional U.S. federal income tax under the controlled foreign corporation (“CFC”) rules and may cause U.S. persons that own, or are deemed to own, 10% or more of our shares, or certain of our subsidiaries’ shares, to be subject to additional U.S. federal income taxation.</w:t>
      </w:r>
    </w:p>
    <w:p>
      <w:pPr>
        <w:spacing w:after="0" w:line="7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Currently, certain of our non-U.S. subsidiary corporations are not considered CFCs because they are less than 50% owned by our U.S. group of subsidiaries and other 10% or greater U.S. shareholders. However, there 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risk that if a U.S. shareholder holds 10% or more of the shares of Weatherford Ireland or one of these non-U.S. subsidiary corporations, directly, indirectly, constructively or by attribution, (such shareholder a “10% U.S. Shareholder”) we or some of our subsidiaries could be classified as CFCs for U.S. federal income tax purposes. For purposes of determining CFC status, holders of options (including warrants and exchangeable debt) should, generally, be treated as owning the number of shares into which such options can be exchanged and such shares would be aggregated with other shares held by such holder directly, indirectly, constructively or by attribution for purposes of determining whether such holder was a 10% U.S. Shareholder. If one or more of our subsidiaries is classified as a CFC, we (and any 10% U.S. Shareholders) may be subject to U.S. income taxation at ordinary income tax rates on all or a portion of the CFC’s undistributed earnings and profits attributable to “subpart F income.” The amount of this additional tax could be substantial. The CFC rules, including the rules for determining direct, indirect or constructive ownership of our shares and our subsidiaries’ shares, are complex and U.S. persons, including individuals and entities, that hold, or are deemed to hold, our shares, warrants or exchangeable debt are urged to consult their tax advisors regarding the possible application of the CFC rules and income inclusion rules to them in their particular circumstances.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prohibited from fully using our U.S. net operating loss carryforwards, which could affect our financial performance.</w:t>
      </w:r>
    </w:p>
    <w:p>
      <w:pPr>
        <w:spacing w:after="0" w:line="11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As a result of the recent losses we have incurred in the United States, we have not recorded a federal income tax provision and have recorded a valuation allowance against all future tax benefits of our U.S. net operating loss carryforwards. As of December 31, 2016, we had gross net operating loss (“NOL”) and research tax credit carryforwards of approximately $1.6 billion and $30 million, respectively for federal income tax purposes, expiring in varying amounts through the year 2036.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December 31, 2016, we have not experienced an ownership change. Therefore our utilization of NOL carryforwards were not subject to an annual limitation. However, we may experience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is no public trading market for the Warrant to purchase ordinary shares in this offering.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There is no established public trading market for the Warrant being sold in this offering, and we do not expect such a market to develop. This may negatively affect the market value of the Warrant and your ability to transfer or sell your shares. In addition, we do not intend to apply to list the Warrant on any securities exchange or other nationally recognized trading system. Without an active market, the liquidity of the Warrant will be limited.</w:t>
      </w:r>
    </w:p>
    <w:p>
      <w:pPr>
        <w:spacing w:after="0" w:line="2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The market price of our ordinary shares, which has been volatile and may continue to be volatile, may adversely affect the value of the Warrant sold in this offering and you may not be able to recover the value of your investment.</w:t>
      </w:r>
    </w:p>
    <w:p>
      <w:pPr>
        <w:spacing w:after="0" w:line="62"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market price of our ordinary shares, which has been volatile and may continue to be volatile, will affect the value of the Warrant sold in this offering. The market price of our ordinary shares will likely fluctuate in response to a number of factors including our financial condition and operating results, as well as economic,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financial and other factors, many of which are beyond our control. For more information regarding such factors, see “—Risk Factors Relating to Our Ordinary Shares—The price of our ordinary shares may be volatile.” In order for you to recover the value of your investment in the Warrant, the market price of our ordinary shares must increase from the price in effect on the date of this prospectus. However, there can be no assurance that the market price of our ordinary shares will exceed the price required for you to achieve a positive return on your investment upon a Warrant exercise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fully redeem the holder of the Warrant if we experience a Fundamental Transaction.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holder of our Warrant may require us to redeem the Warrant if we experience a “Fundamental Transaction” (as defined in the Warrant), which includes but is not limited to a change of control, business combination, merger or sale of substantially all of the assets. There can be no assurance that in the event of a change of control we will be able to sufficiently compensate the holder of the Warrant for the impact the change of control has on the price of our ordinary shares. In addition, the Fundamental Transaction terms may delay a potential change of control even if such change may be beneficial to some or all our shareholders. These restrictions may also adversely affect the market price of our ordinary shares.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holder of the Warrant will have no rights as ordinary shareholders until they acquire our ordinary shares.</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Until you become a holder of record of our ordinary shares issued upon settlement of your Warrant, you will have no rights with respect to such ordinary shares, including rights to vote or rights to respond to tender offers. Upon exercise of your Warrant, you will be entitled to exercise the rights of a shareholder only as to matters for which the record date occurs on or after the date you become the holder of record of such ordinary shares.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Warrant included in this offering may not have any value.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Warrant has an exercise price of $6.43 per share. In the event the price of our ordinary shares does not exceed the exercise price of the Warrant on its exercise date, the Warrant may not have any value. If the Warrant is not exercised upon the expiration date, it will expire unexercised and you will not receive any of our ordinary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purchasers in this offering may experience future dilution.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order to raise additional capital, we may in the future offer additional ordinary shares or other securities convertible into, or exchangeable for, our ordinary shares at prices that may not be the same as the price per ordinary share in this offering. We have an effective shelf registration statement from which additional ordinary shares and other securities can be offered. We cannot assure you that we will be able to sell ordinary shares or other securities in any other offering at a price per share that is equal to or greater than the price per ordinary share paid by investors in this offering. If the price per ordinary share at which we sell additional ordinary shares or related securities in future transactions is less than the price per ordinary share in this offering, investors who purchase our ordinary shares in this offering will suffer a dilution of their investment. You will incur dilution upon vesting of any outstanding restricted share awards, restricted share units or performance units or upon exercise of any outstanding stock options.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intend to use the net proceeds from this offering, if any, for general corporate purposes, including the repayment of debt.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4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6350</wp:posOffset>
            </wp:positionV>
            <wp:extent cx="2092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ind w:left="7920"/>
        <w:spacing w:after="0"/>
        <w:tabs>
          <w:tab w:leader="none" w:pos="8640" w:val="left"/>
          <w:tab w:leader="none" w:pos="9380" w:val="left"/>
          <w:tab w:leader="none" w:pos="10120" w:val="left"/>
          <w:tab w:leader="none" w:pos="10860" w:val="left"/>
        </w:tabs>
        <w:rPr>
          <w:sz w:val="20"/>
          <w:szCs w:val="20"/>
          <w:color w:val="auto"/>
        </w:rPr>
      </w:pPr>
      <w:r>
        <w:rPr>
          <w:rFonts w:ascii="Arial" w:cs="Arial" w:eastAsia="Arial" w:hAnsi="Arial"/>
          <w:sz w:val="14"/>
          <w:szCs w:val="14"/>
          <w:b w:val="1"/>
          <w:bCs w:val="1"/>
          <w:u w:val="single" w:color="auto"/>
          <w:color w:val="auto"/>
        </w:rPr>
        <w:t>2016</w:t>
      </w:r>
      <w:r>
        <w:rPr>
          <w:sz w:val="20"/>
          <w:szCs w:val="20"/>
          <w:color w:val="auto"/>
        </w:rPr>
        <w:tab/>
      </w:r>
      <w:r>
        <w:rPr>
          <w:rFonts w:ascii="Arial" w:cs="Arial" w:eastAsia="Arial" w:hAnsi="Arial"/>
          <w:sz w:val="14"/>
          <w:szCs w:val="14"/>
          <w:b w:val="1"/>
          <w:bCs w:val="1"/>
          <w:u w:val="single" w:color="auto"/>
          <w:color w:val="auto"/>
        </w:rPr>
        <w:t>2015</w:t>
      </w:r>
      <w:r>
        <w:rPr>
          <w:sz w:val="20"/>
          <w:szCs w:val="20"/>
          <w:color w:val="auto"/>
        </w:rPr>
        <w:tab/>
      </w:r>
      <w:r>
        <w:rPr>
          <w:rFonts w:ascii="Arial" w:cs="Arial" w:eastAsia="Arial" w:hAnsi="Arial"/>
          <w:sz w:val="14"/>
          <w:szCs w:val="14"/>
          <w:b w:val="1"/>
          <w:bCs w:val="1"/>
          <w:u w:val="single" w:color="auto"/>
          <w:color w:val="auto"/>
        </w:rPr>
        <w:t>2014</w:t>
      </w:r>
      <w:r>
        <w:rPr>
          <w:sz w:val="20"/>
          <w:szCs w:val="20"/>
          <w:color w:val="auto"/>
        </w:rPr>
        <w:tab/>
      </w:r>
      <w:r>
        <w:rPr>
          <w:rFonts w:ascii="Arial" w:cs="Arial" w:eastAsia="Arial" w:hAnsi="Arial"/>
          <w:sz w:val="14"/>
          <w:szCs w:val="14"/>
          <w:b w:val="1"/>
          <w:bCs w:val="1"/>
          <w:u w:val="single" w:color="auto"/>
          <w:color w:val="auto"/>
        </w:rPr>
        <w:t>2013</w:t>
      </w:r>
      <w:r>
        <w:rPr>
          <w:sz w:val="20"/>
          <w:szCs w:val="20"/>
          <w:color w:val="auto"/>
        </w:rPr>
        <w:tab/>
      </w:r>
      <w:r>
        <w:rPr>
          <w:rFonts w:ascii="Arial" w:cs="Arial" w:eastAsia="Arial" w:hAnsi="Arial"/>
          <w:sz w:val="13"/>
          <w:szCs w:val="13"/>
          <w:b w:val="1"/>
          <w:bCs w:val="1"/>
          <w:u w:val="single" w:color="auto"/>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tabs>
          <w:tab w:leader="none" w:pos="7920" w:val="left"/>
          <w:tab w:leader="none" w:pos="8680" w:val="left"/>
          <w:tab w:leader="none" w:pos="9420" w:val="left"/>
          <w:tab w:leader="none" w:pos="10160" w:val="left"/>
          <w:tab w:leader="none" w:pos="10900" w:val="left"/>
        </w:tabs>
        <w:rPr>
          <w:sz w:val="20"/>
          <w:szCs w:val="20"/>
          <w:color w:val="auto"/>
        </w:rPr>
      </w:pPr>
      <w:r>
        <w:rPr>
          <w:rFonts w:ascii="Arial" w:cs="Arial" w:eastAsia="Arial" w:hAnsi="Arial"/>
          <w:sz w:val="18"/>
          <w:szCs w:val="18"/>
          <w:b w:val="1"/>
          <w:bCs w:val="1"/>
          <w:color w:val="auto"/>
        </w:rPr>
        <w:t>Ratio of earnings to fixed charges</w:t>
      </w:r>
      <w:r>
        <w:rPr>
          <w:sz w:val="20"/>
          <w:szCs w:val="20"/>
          <w:color w:val="auto"/>
        </w:rPr>
        <w:tab/>
      </w:r>
      <w:r>
        <w:rPr>
          <w:rFonts w:ascii="Arial" w:cs="Arial" w:eastAsia="Arial" w:hAnsi="Arial"/>
          <w:sz w:val="18"/>
          <w:szCs w:val="18"/>
          <w:color w:val="auto"/>
        </w:rPr>
        <w:t xml:space="preserve">— </w:t>
      </w: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 xml:space="preserve">— </w:t>
      </w: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 xml:space="preserve">— </w:t>
      </w: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 xml:space="preserve">— </w:t>
      </w: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 xml:space="preserve">— </w:t>
      </w:r>
      <w:r>
        <w:rPr>
          <w:rFonts w:ascii="Arial" w:cs="Arial" w:eastAsia="Arial" w:hAnsi="Arial"/>
          <w:sz w:val="15"/>
          <w:szCs w:val="15"/>
          <w:color w:val="auto"/>
        </w:rPr>
        <w:t>(1)</w:t>
      </w:r>
    </w:p>
    <w:p>
      <w:pPr>
        <w:spacing w:after="0" w:line="128" w:lineRule="exact"/>
        <w:rPr>
          <w:sz w:val="20"/>
          <w:szCs w:val="20"/>
          <w:color w:val="auto"/>
        </w:rPr>
      </w:pPr>
    </w:p>
    <w:p>
      <w:pPr>
        <w:ind w:left="460" w:right="74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the years ended December 31, 2016, 2015, 2014, 2013 and 2012, earnings before fixed charges were inadequate to cover fixed charges by $2.9 billion, $2.1 billion, $266 million, $211 million and $349 million, respectively.</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Investors that acquire additional ordinary shares through the exercise of the Warrant offered hereby may experience additional dilution depending on our net tangible book value at the time of exercise. Net tangible book value per ordinary share represents our total tangible assets (which excludes goodwill and other intangible assets), less our total liabilities, divided by the aggregate number of ordinary shares outstanding. If you invest in this offering, your ownership interest will be diluted to the extent of the difference between the public offering price per share and the as adjusted net tangible book value per share after giving effect to this offering. Dilution represents the difference between the portion of the amount per share paid by purchasers of ordinary shares in this offering and the as adjusted net tangible book value per ordinary share immediately after giving effect to this offering. Our net tangible book value as of March 31, 2017 was approximately $(911) million, or approximately $(0.92) per ordinary share.</w:t>
      </w:r>
    </w:p>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After giving effect to the sale of 84,500,000 ordinary shares to investors exercising the Warrant for cash at $6.43 per ordinary share, our net tangible book value as of March 31, 2017 would have been $(368) million, or $(0.34) per ordinary share. This represents an immediate increase in the net tangible book value of $0.58 per ordinary share to our existing shareholders and an immediate dilution in net tangible book value of $(0.34) per ordinary share to investors exercising the Warrant for cash at $6.43 per ordinary share.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assumes for illustrative purposes that the Warrant in this offering is exercised for cash at an exercise price of $6.43 per ordinary share. The following table illustrates this per ordinary share dilution:</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of ordinary share warrant</w:t>
            </w:r>
          </w:p>
        </w:tc>
        <w:tc>
          <w:tcPr>
            <w:tcW w:w="1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tangible book value per share as of March 31, 2017</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$(0.92)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the exercise of the ordinary share warrant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$0.58</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8820" w:type="dxa"/>
            <w:vAlign w:val="bottom"/>
            <w:gridSpan w:val="2"/>
          </w:tcPr>
          <w:p>
            <w:pPr>
              <w:spacing w:after="0"/>
              <w:rPr>
                <w:sz w:val="20"/>
                <w:szCs w:val="20"/>
                <w:color w:val="auto"/>
              </w:rPr>
            </w:pPr>
            <w:r>
              <w:rPr>
                <w:rFonts w:ascii="Arial" w:cs="Arial" w:eastAsia="Arial" w:hAnsi="Arial"/>
                <w:sz w:val="18"/>
                <w:szCs w:val="18"/>
                <w:color w:val="auto"/>
                <w:w w:val="97"/>
              </w:rPr>
              <w:t>Adjusted net tangible book value per share as of March 31, 2017, after giving effect to the exercise of the ordinary</w:t>
            </w:r>
          </w:p>
        </w:tc>
        <w:tc>
          <w:tcPr>
            <w:tcW w:w="5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share warrant</w:t>
            </w:r>
          </w:p>
        </w:tc>
        <w:tc>
          <w:tcPr>
            <w:tcW w:w="1040" w:type="dxa"/>
            <w:vAlign w:val="bottom"/>
            <w:gridSpan w:val="2"/>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$(0.34)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holders exercising the ordinary share warrant</w:t>
            </w:r>
          </w:p>
        </w:tc>
        <w:tc>
          <w:tcPr>
            <w:tcW w:w="1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$6.77</w:t>
            </w: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above assumes for illustrative purposes that all 84,500,000 ordinary shares are sold in this offering upon the exercise of the Warrant for cash.</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above discussion and table are based on 985,747,811 ordinary shares issued and outstanding as of April 15, 2017 and exclude the following:</w:t>
      </w:r>
    </w:p>
    <w:p>
      <w:pPr>
        <w:spacing w:after="0" w:line="142" w:lineRule="exact"/>
        <w:rPr>
          <w:sz w:val="20"/>
          <w:szCs w:val="20"/>
          <w:color w:val="auto"/>
        </w:rPr>
      </w:pPr>
    </w:p>
    <w:p>
      <w:pPr>
        <w:ind w:left="900" w:right="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598,400 ordinary shares issuable upon the exercise of outstanding and vested stock options as of April 15, 2017, at a weighted average exercise price of $12.59 per ordinary share;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12,414,731 ordinary shares subject to restricted share units vesting requirements as of April 15, 2017, at a weighted average grant date fair value of $8.15;</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2,871,000 ordinary shares subject to performance units vesting requirements as of April 15, 2017, at a weighted average grant date fair value of $6.26;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20,130,062 ordinary shares reserved as of April 15, 2017 for future issuance under equity incentive plans.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To the extent that any of these options, restricted share awards, restricted share units or performance units are exercised or become vested, as applicable, these issuances will cause dilution to the investors purchasing ordinary shares in this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ORDINARY SHARES</w:t>
      </w:r>
    </w:p>
    <w:p>
      <w:pPr>
        <w:spacing w:after="0" w:line="229"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following description is a summary of our share capital. This summary does not purport to be complete and the statements in this summary are qualified in their entirety by reference to, and are subject to, the detailed provisions of the Irish Companies Act and our memorandum and articles of association, which is incorporated herein by reference. We encourage you to read those laws and documents carefully.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April 15, 2017, our authorized share capital is €40,000 and $1,356,000 divided into 40,000 deferred ordinary shares with a nominal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 per share and 1,356,000,000 ordinary shares with a nominal value of $0.001 per share. The authorized share capital includes 40,000 deferred ordinary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with a nominal value of €1.00 per share in order to satisfy statutory requirements for the incorporation of all Irish public limited companies.</w:t>
      </w:r>
    </w:p>
    <w:p>
      <w:pPr>
        <w:spacing w:after="0" w:line="22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April 15, 2017, our issued share capital is $985,748, comprised of 985,747,811 ordinary shares with a nominal value of $0.001 per share.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7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determination as to whether or not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unconsolidated financial position and accord with accepted accounting practice. The relevant entity financial statements are filed in the Companies Registration Office (the official public registry for companies in Ireland).</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Dividends may be declared and paid in the form of cash, property, stock or other non-cash assets and may be paid in dollars or any other currency.</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us in relation to the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also issue redeemable shares and redeem them out of distributable profits or the proceeds of a new issue of shares for that purpose. We may not repurchase any shares if as a result of such repurchase the nominal value of the issued share capital that is not redeemable would be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Irish law, our subsidiaries may purchase our ordinary shares on-market on a recognized stock exchange such as NYSE or off-market.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one of our subsidiaries to make on-market purchases of ordinary shares, our shareholders must provide general authorization for such purchase by way of ordinary resolution. However, as long as this general authority 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our shares that have not been fully paid-up.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provided under Irish law, notice of an annual or extraordinary general meeting must be given to all our shareholders and to our auditors.</w:t>
      </w:r>
    </w:p>
    <w:p>
      <w:pPr>
        <w:spacing w:after="0" w:line="23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13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7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2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shareholder or shareholders holding shares in the capital of the Company conferring the right to vote at the meeting being shares on which an aggregate sum has been paid-up equal to not less than one tenth of the total sum paid-up on all the shares conferring that right.</w:t>
      </w:r>
    </w:p>
    <w:p>
      <w:pPr>
        <w:spacing w:after="0" w:line="14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5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re-registration of the Company from a public limited company to a private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have the right to:</w:t>
      </w:r>
    </w:p>
    <w:p>
      <w:pPr>
        <w:spacing w:after="0" w:line="13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62"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12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7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scheme of arrangement which has been approved by the requisite shareholder majority and sanctioned by</w:t>
      </w:r>
    </w:p>
    <w:p>
      <w:pPr>
        <w:spacing w:after="0" w:line="23" w:lineRule="exact"/>
        <w:rPr>
          <w:sz w:val="20"/>
          <w:szCs w:val="20"/>
          <w:color w:val="auto"/>
        </w:rPr>
      </w:pPr>
    </w:p>
    <w:p>
      <w:pPr>
        <w:ind w:right="400" w:firstLine="456"/>
        <w:spacing w:after="0" w:line="261" w:lineRule="auto"/>
        <w:rPr>
          <w:sz w:val="20"/>
          <w:szCs w:val="20"/>
          <w:color w:val="auto"/>
        </w:rPr>
      </w:pPr>
      <w:r>
        <w:rPr>
          <w:rFonts w:ascii="Arial" w:cs="Arial" w:eastAsia="Arial" w:hAnsi="Arial"/>
          <w:sz w:val="18"/>
          <w:szCs w:val="18"/>
          <w:color w:val="auto"/>
        </w:rPr>
        <w:t>the High Court of Ireland will be binding on all shareholders. Dissenting shareholders have the right to appear at the High Court hearing and make representations in objection to the scheme.</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5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52" w:lineRule="exact"/>
        <w:rPr>
          <w:sz w:val="20"/>
          <w:szCs w:val="20"/>
          <w:color w:val="auto"/>
        </w:rPr>
      </w:pPr>
    </w:p>
    <w:p>
      <w:pPr>
        <w:ind w:left="900" w:right="2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payment shall be made of any sums due from the Company on those shares, whether in respect of capital or otherwise.</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131" w:lineRule="exact"/>
        <w:rPr>
          <w:sz w:val="20"/>
          <w:szCs w:val="20"/>
          <w:color w:val="auto"/>
        </w:rPr>
      </w:pPr>
    </w:p>
    <w:p>
      <w:pPr>
        <w:ind w:left="900" w:right="2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75" w:lineRule="exact"/>
        <w:rPr>
          <w:rFonts w:ascii="Arial" w:cs="Arial" w:eastAsia="Arial" w:hAnsi="Arial"/>
          <w:sz w:val="18"/>
          <w:szCs w:val="18"/>
          <w:color w:val="auto"/>
        </w:rPr>
      </w:pPr>
    </w:p>
    <w:p>
      <w:pPr>
        <w:jc w:val="both"/>
        <w:ind w:left="900" w:hanging="325"/>
        <w:spacing w:after="0" w:line="286"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70"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board of the target company must act in the interests of the Company as a whole and must not deny the holders of securities the opportunity to decide on the merits of the offer;</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51"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7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articles of association allocate authority over the day-to-day management of our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131"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30"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 respect to election at an annual general meeting, by any shareholder who holds ordinary shares or other shares in the capital of the Company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70" w:lineRule="exact"/>
        <w:rPr>
          <w:rFonts w:ascii="Arial" w:cs="Arial" w:eastAsia="Arial" w:hAnsi="Arial"/>
          <w:sz w:val="17"/>
          <w:szCs w:val="17"/>
          <w:color w:val="auto"/>
        </w:rPr>
      </w:pPr>
    </w:p>
    <w:p>
      <w:pPr>
        <w:ind w:left="900" w:right="20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the capital of Weatherford Ireland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92"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shall be appointed as follows:</w:t>
      </w:r>
    </w:p>
    <w:p>
      <w:pPr>
        <w:spacing w:after="0" w:line="131" w:lineRule="exact"/>
        <w:rPr>
          <w:sz w:val="20"/>
          <w:szCs w:val="20"/>
          <w:color w:val="auto"/>
        </w:rPr>
      </w:pPr>
    </w:p>
    <w:p>
      <w:pPr>
        <w:ind w:left="900" w:right="48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our shareholders by ordinary resolution at the annual general meeting in each year or at any extraordinary general meeting called for the purpose;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4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8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7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WARRANT</w:t>
      </w:r>
    </w:p>
    <w:p>
      <w:pPr>
        <w:spacing w:after="0" w:line="22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following summary of certain terms and provisions of the Warrant is not complete and is subject to, and qualified in its entirety by reference to, the terms and provisions set forth in the form of Warrant filed as an exhibit to the registration statement of which this prospectus forms a part.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Warrant was issued and delivered in physical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Exercisability and Duration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Warrant is exercisable immediately and at any time prior to May 21, 2019 (30 months after its original issuance date). The Warrant will be exercisable, at the option of the holder, in whole or in part, by delivery of a written notice of the holder’s election to exercise the Warrant. Within one trading day following an exercise of the Warrant, the holder shall deliver payment of an amount equal to the exercise price in effect on the date of such exercise multiplied by the number of warrant shares as to which the Warrant was so exercised in cash or via wire transfer of immediately available funds. As an alternative to payment in immediately available funds, the holder may, only if at the time of exercise a registration statement is not effective (or the prospectus contained therein is not available for use), in its sole discretion, elect to exercise the Warrant through a net share exercise, in which case the holder would receive upon such exercise the net number of ordinary shares determined according to the formula set forth in the Warrant.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fractional ordinary shares are to be issued upon exercise of the Warrant, but rather the number of ordinary shares to be issued shall be rounded to the nearest whole number.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exercise price per ordinary share purchasable upon the exercise of the Warrant is $6.43 per share. The exercise price of the Warrant is subject to appropriate adjustment in the event of certain share dividends, subdivisions or combinations affecting the ordinary shares. Under certain circumstances, including if the Company issues or sells, or in accordance with the Warrant is deemed to have issued or sold, any ordinary shares (or securities convertible into ordinary shares) for a consideration per share less than the Exercise Price in effect immediately prior to such issuance or sale or deemed issuance or sale, then immediately after such issuance, the Exercise Price then in effect shall be reduced to an amount equal to the price per share in such new issuance.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Limitations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holder will not have the right to exercise any portion of the Warrant if the holder (together with its affiliates) would beneficially own in excess of 9.99% of the total number of issued and outstanding ordinary shares immediately after giving effect to such exercise.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plan to apply to list the Warrant on the NYSE or any other national securities exchange or automated quotation system.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the event of a Change of Control, as described in the Warrant, which generally includes a consolidation or merger, sale, assignment, transfer, conveyance or other disposal of all or substantially all of the properties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of the Company, the acquisition of more than 50% of the outstanding ordinary shares of the Company or other similar transactions, the holder of the Warrant shall have the right to require the Company to purchase the Warrant from the holder for the “Holder Black Scholes Value” (as defined in the Warrant) at the time of the redemption. Similarly, in the event of a Change of Control, the Company shall have the right to redeem the Warrant for the “Company Black Scholes Value” (as defined in the Warrant).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Taxes, and Expenses</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Issuance and delivery of ordinary shares upon exercise of the Warrant shall be made without charge to the holder for any documentary, stamp, transfer or similar taxes. We will be responsible for any fees and expenses in respect of the issuance of ordinary shares upon exercise through the facilities of DTC.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Shareholder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Except by virtue of such holder’s ownership of ordinary shares, the holder of a Warrant does not have the rights or privileges of a holder of the ordinary shares, including any voting rights, until the holder exercises the Warrant.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IRISH TAX CONSIDERATIONS</w:t>
      </w:r>
    </w:p>
    <w:p>
      <w:pPr>
        <w:spacing w:after="0" w:line="229"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color w:val="auto"/>
        </w:rPr>
        <w:t>The following is a summary of certain Irish tax consequences of the purchase, ownership and disposition of Weatherford International plc shares and the Warrant. The summary does not purport to be a comprehensive description of all of the tax considerations that may be relevant to a decision to purchase, own or dispose of the shares and the Warrant. The summary relates only to the position of persons who are the absolute beneficial owners of the shares and the Warrant and may not apply to certain other classes of persons such as dealers in securities or shares.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shares and Warrant should consult their own advisors as to the Irish or other tax consequences of the purchase, beneficial ownership and disposition of the shares including, in particular, the effect of any state or local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on Chargeable Gains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Weatherford International plc shareholders or holders of the Warrant that are not resident or ordinarily resident in Ireland for Irish tax purposes and do not hold the shares or the Warrant in connection with a trade carried on by such shareholders or holders of the Warrant through an Irish branch or agency will not be liable for Irish tax on chargeable gains realized on a subsequent disposal of the shares or the Warrant. A shareholder of Weatherford International plc or holder of the Warrant who is an individual and who is temporarily not a resident in Ireland may, under Irish anti-avoidance legislation, still be liable to Irish tax on any chargeable gain realized upon subsequent disposal of the shares or the Warrant.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Stamp Duty</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There is no Irish stamp duty on the issuance of new shares of an Irish incorporated company. The rate of stamp duty (where 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Held through DTC</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transfer of Weatherford International plc shares effected by means of the transfer of book-entry interests in DTC will not be subject to Irish stamp duty. On the basis that most shares in Weatherford International plc are expected to be held through DTC, it is anticipated that most transfers of shares will be exempt from Irish stamp duty.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Held outside of DTC or Transferred into or out of DTC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transfer of Weatherford International plc shares where any party to the transfer holds such shares outside of DTC may be subject to Irish stamp duty.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wishing to transfer their shares into (or out of) DTC may do so without giving rise to Irish stamp duty provided:</w:t>
      </w:r>
    </w:p>
    <w:p>
      <w:pPr>
        <w:spacing w:after="0" w:line="116"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transfer into (or out of) DTC is not effected in contemplation of a subsequent sale of such shares by a beneficial owner to a third party.</w:t>
      </w:r>
    </w:p>
    <w:p>
      <w:pPr>
        <w:spacing w:after="0" w:line="23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8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rate of stamp duty on the grant or transfer of the Warrant is 1% of the price paid or the market value of the Warrant, whichever is greater, and is payable by the transferee.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Acquisitions Tax</w:t>
      </w:r>
    </w:p>
    <w:p>
      <w:pPr>
        <w:spacing w:after="0" w:line="11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Irish capital acquisitions tax (“CAT”) comprises principally gift tax and inheritance tax. CAT could apply to a gift or inheritance of Weatherford International plc shares or the Warrant irrespective of the place of residence, ordinary residence or domicile of the parties. This is because Weatherford International plc shares and the Warrant are regarded as property situated in Ireland as the share register of Weatherford International plc must be held in Ireland. The person who receives the gift or inheritance has primary liability for CAT.</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Weatherford International plc shareholders should consult their own tax advisors as to whether CAT is creditable or deductible in computing any domestic tax liabilities.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SWISS TAX CONSIDERATIONS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is a summary of certain Swiss tax consequences of the (i) purchase, ownership and disposition of Weatherford International plc shares and (ii) the issuance, ownership, exercise or other disposition of the Warrant for non-Swiss holders. The summary does not purport to be a comprehensive description of all of the Swiss tax considerations that may be relevant to a decision to purchase, own and dispose of the shares respectively to acquire, own and exercise or dispose of the Warrant.</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in the shares and the Warrant should consult their own advisors as to the Swiss or other tax consequences of the purchase, beneficial ownership and disposition of the shares and the Warrant including, in particular, the effect of any federal or cantonal/communal tax laws.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Swiss tax consequences to potential Swiss holders (Swiss tax residents or non-Swiss holders with any other taxable presence in Switzerland) of Weatherford International plc shares and the Warrant are not covered in this summary. It is recommended that any Swiss holders consult their own advisors as to the Swiss or other tax consequences of the purchase, beneficial ownership and disposition of the shares respectively the acquisition, beneficial ownership, exercise or disposition of the Warrant.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Swiss tax consequences discussed below are not a complete analysis or listing of all the possible Swiss tax consequences that may be relevant to non-Swiss holder. You should consult your own tax advisor in respect of the Swiss tax consequences related to the receipt, ownership, purchase, sale, exercise or other disposition of Weatherford International plc shares and the Warrant as well as the procedures for claiming a refund of Swiss withholding tax on distributions.</w:t>
      </w:r>
    </w:p>
    <w:p>
      <w:pPr>
        <w:spacing w:after="0" w:line="291" w:lineRule="exact"/>
        <w:rPr>
          <w:sz w:val="20"/>
          <w:szCs w:val="20"/>
          <w:color w:val="auto"/>
        </w:rPr>
      </w:pPr>
    </w:p>
    <w:p>
      <w:pPr>
        <w:ind w:right="5140"/>
        <w:spacing w:after="0" w:line="378" w:lineRule="auto"/>
        <w:rPr>
          <w:sz w:val="20"/>
          <w:szCs w:val="20"/>
          <w:color w:val="auto"/>
        </w:rPr>
      </w:pPr>
      <w:r>
        <w:rPr>
          <w:rFonts w:ascii="Arial" w:cs="Arial" w:eastAsia="Arial" w:hAnsi="Arial"/>
          <w:sz w:val="18"/>
          <w:szCs w:val="18"/>
          <w:b w:val="1"/>
          <w:bCs w:val="1"/>
          <w:color w:val="auto"/>
        </w:rPr>
        <w:t xml:space="preserve">Purchase, Ownership and Disposition of Ordinary Shares of Weatherford Ireland </w:t>
      </w:r>
      <w:r>
        <w:rPr>
          <w:rFonts w:ascii="Arial" w:cs="Arial" w:eastAsia="Arial" w:hAnsi="Arial"/>
          <w:sz w:val="18"/>
          <w:szCs w:val="18"/>
          <w:i w:val="1"/>
          <w:iCs w:val="1"/>
          <w:color w:val="auto"/>
        </w:rPr>
        <w:t>Swiss Income Tax on Dividends and Similar Distributions</w:t>
      </w:r>
    </w:p>
    <w:p>
      <w:pPr>
        <w:ind w:right="1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Weatherford International plc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 non-Swiss holder will not be subject to Swiss wealth taxes (net wealth tax or annual capital tax) unless the holder’s Weatherford International plc shares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Ordinary Shares of Weatherford Ireland</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shares unless the holder’s shares are attributable to a permanent establishment, a fixed place of business maintained in Switzerland or another taxable presence in Switzerland of such non-Swiss holder.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 on Distributions to Shareholders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Swiss withholding tax of 35% is due on dividends and similar distributions to the shareholders of Weatherford International plc regardless of the place of residency of such shareholders (subject to the exceptions discussed under “—Exemption from Swiss Withholding Tax on Distributions to Shareholders” below). Weatherford International plc, as a Swiss tax resident company, will be required to withhold at such rate and remit on a net basis any payments made to a holder of Weatherford International plc shares and pay such withheld amounts to the Swiss federal tax authorities. Please see “—Refund of Swiss Withholding Tax on Dividends and Other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from Swiss Withholding Tax on Distributions to Shareholders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Ordinary Shares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Weatherford International plc is required to remit on a net basis the purchase price with the Swiss withholding tax deducted to a holder of Weatherford International plc shares and pay the withholding tax to the Swiss federal tax authorities.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repurchase of shares for purposes other than capital reduction, such as to retain such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Refund of Swiss Withholding Tax on Dividends and Other Distributions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Non-Swiss holders</w:t>
      </w:r>
      <w:r>
        <w:rPr>
          <w:rFonts w:ascii="Arial" w:cs="Arial" w:eastAsia="Arial" w:hAnsi="Arial"/>
          <w:sz w:val="17"/>
          <w:szCs w:val="17"/>
          <w:color w:val="auto"/>
        </w:rPr>
        <w:t>. If the shareholder that receives a distribution from Weatherford International plc is not a Swiss tax resident, does not hold the</w:t>
      </w:r>
      <w:r>
        <w:rPr>
          <w:rFonts w:ascii="Arial" w:cs="Arial" w:eastAsia="Arial" w:hAnsi="Arial"/>
          <w:sz w:val="17"/>
          <w:szCs w:val="17"/>
          <w:i w:val="1"/>
          <w:iCs w:val="1"/>
          <w:color w:val="auto"/>
        </w:rPr>
        <w:t xml:space="preserve"> </w:t>
      </w:r>
      <w:r>
        <w:rPr>
          <w:rFonts w:ascii="Arial" w:cs="Arial" w:eastAsia="Arial" w:hAnsi="Arial"/>
          <w:sz w:val="17"/>
          <w:szCs w:val="17"/>
          <w:color w:val="auto"/>
        </w:rPr>
        <w:t>Weatherford International plc shares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U.S. holders</w:t>
      </w:r>
      <w:r>
        <w:rPr>
          <w:rFonts w:ascii="Arial" w:cs="Arial" w:eastAsia="Arial" w:hAnsi="Arial"/>
          <w:sz w:val="18"/>
          <w:szCs w:val="18"/>
          <w:color w:val="auto"/>
        </w:rPr>
        <w:t>. The Swiss-U.S. tax treaty provides that U.S. residents eligible for benefits under the treaty can seek a refund of the Swiss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on dividends for the portion exceeding 15% (leading to a refund of 20%) or a 100% refund in the case of qualified pension funds. For sake of completeness, it shall be mentioned that a 5% treaty rate would apply for a U.S. corporate shareholder being treated for U.S. tax purposes as separate legal entity and holding a qualifying investment of at least 10% in Weatherford International plc.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13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Stamp Duties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Swiss transfer stamp duty in relation to the transfer of Weatherford International plc shares. The purchase or sale of Weatherford International plc shares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8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Swiss issuance stamp duty on the issuance of Weatherford International plc shares. For sake of completeness, it shall be mentioned that the proceeds paid to Weatherford International plc for the issuance of new shares, to the extent no exemption applies, is subject to issuance stamp duty levied at 1%. Weatherford International plc will be liable to Swiss issuance stamp duty.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Exercise or Disposition of the Warrant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 non-Swiss holder will not be subject to Swiss income tax neither during the holding period nor on capital gains realized upon disposal, exchange or other disposition of the Warrant unless the holder’s Warrant is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non-Swiss holder will not be subject to Swiss wealth taxes unless the holder’s Warrant is attributable to a permanent establishment, a fixed place of business maintained in Switzerland or another taxable presence in Switzerland of such non-Swiss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While a conversion of the Warrants into ordinary shares by way of a cash exercise does not trigger Swiss withholding tax consequences, a conversion by way of a cashless exercise might trigger Swiss withholding tax consequences.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Further, any payments from Weatherford International plc to the holders of Warrants to compensate them for distributions made to shareholders in Weatherford International plc or any other cash payments might also be subject to Swiss withholding tax.</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Non-Swiss tax resident holders of the Warrant that do not hold the Warrant in connection with a permanent establishment or a fixed place of business maintained in Switzerland, might be entitled for full or partial refund of Swiss withholding tax described above, if they reside in a country that has concluded a treaty for the avoidance of double taxation with Switzerland for which the conditions for the application and protection of and by the treaty are met. The procedures for claiming treaty refunds (and the time frame required for obtaining a refund) may differ from country to country.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Stamp Duties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 xml:space="preserve">Swiss issuance stamp duty in relation to the issuance of the Warrant. </w:t>
      </w:r>
      <w:r>
        <w:rPr>
          <w:rFonts w:ascii="Arial" w:cs="Arial" w:eastAsia="Arial" w:hAnsi="Arial"/>
          <w:sz w:val="16"/>
          <w:szCs w:val="16"/>
          <w:color w:val="auto"/>
        </w:rPr>
        <w:t>Straight derivatives for tax purposes such as the Warrant in the case at hand do not</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as taxable security in the meaning of the Swiss Federal Stamp Duty Act and are therefore not subject to Swiss issuance stamp duty.</w:t>
      </w:r>
    </w:p>
    <w:p>
      <w:pPr>
        <w:spacing w:after="0" w:line="124"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i w:val="1"/>
          <w:iCs w:val="1"/>
          <w:color w:val="auto"/>
        </w:rPr>
        <w:t xml:space="preserve">Swiss transfer stamp duty in relation to the exercise or disposition of the Warrant. </w:t>
      </w:r>
      <w:r>
        <w:rPr>
          <w:rFonts w:ascii="Arial" w:cs="Arial" w:eastAsia="Arial" w:hAnsi="Arial"/>
          <w:sz w:val="16"/>
          <w:szCs w:val="16"/>
          <w:color w:val="auto"/>
        </w:rPr>
        <w:t>Straight derivatives for tax purposes such as the Warrant in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at hand do not qualify as taxable security in the meaning of the Swiss Federal Stamp Duty Act and are therefore not subject to Swiss transfer stamp duty.</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 xml:space="preserve">Swiss issuance stamp duty on the issuance of Weatherford International plc shares. </w:t>
      </w:r>
      <w:r>
        <w:rPr>
          <w:rFonts w:ascii="Arial" w:cs="Arial" w:eastAsia="Arial" w:hAnsi="Arial"/>
          <w:sz w:val="17"/>
          <w:szCs w:val="17"/>
          <w:color w:val="auto"/>
        </w:rPr>
        <w:t>For sake of completeness, it shall be mentioned that the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paid to Weatherford International plc for the issuance of new shares as a result of the exercise of the Warrant, to the extent no exemption applies, is subject to issuance stamp duty levied at 1%. Weatherford International plc will be liable for Swiss issuance stamp duty.</w:t>
      </w:r>
    </w:p>
    <w:p>
      <w:pPr>
        <w:spacing w:after="0" w:line="166"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EACH SHAREHOLDER AND/OR WARRANT HOLDER SHOULD CONSULT HIS OR HER TAX ADVISOR AS TO THE PARTICULAR CONSEQUENCES THAT MAY APPLY TO SUCH SHAREHOLDER AND/OR WARRANT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ordinary shares referenced on the cover page of this prospectus will be offered solely by us and will be issued and sold upon the exercise of the Warrant described herein. For the holders of Warrant to exercise the Warrant, the ordinary shares issuable upon exercise must either be registered under the Securities Act or exempt from registration. If a registration statement registering the issuance of the shares of ordinary shares underlying the Warrant under the Securities Act is not effective or available for the issuance of such shares, the holder may, in its sole discretion, elect to exercise the Warrant through a cashless exercise, in which case the holder would receive upon such exercise the net number of ordinary determined according to the formula set forth in the Warrant. No fractional ordinary shares are to be issued upon the exercise of this Warrant, but rather the number of ordinary shares to be issued shall be rounded to the nearest whole number.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459" w:right="3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validity of the ordinary shares and the Warrant being offered by this prospectus with respect to the laws of Ireland will be passed upon for us by Matheson, and certain other legal matters will be passed upon for us by Latham &amp; Watkins LLP.</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2016 and December 31, 2015, and for each of the years in the three-year period ended December 31, 2016, and management’s assessment of the effectiveness of internal control over financial reporting as of December 31, 2016 have been incorporated by reference herein in reliance upon the reports of KPMG LLP, independent registered public accounting firm, incorporated by reference herein, and upon the authority of said firm as experts in accounting and auditing. KPMG LLP’s report on the consolidated financial statements refers to changes in accounting for deferred income taxes and accounting for debt issuance costs.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following table sets forth the best estimate of the registrants as to the anticipated expenses and costs (other than underwriting discounts and commissions) expected to be incurred in connection with the issuance and distribution of securities registered hereby:</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294,773</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150,000</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Rating agency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  These fees are calculated based upon the number of issuances and amount of securities offered, and accordingly, cannot be estimated at this time.</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Ireland</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 2014, as amended (the “Irish Companies Act”). The Irish Companies Act prescribes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Irish companies may take out directors and officers liability insurance as well as other types of insurance, for their directors and officers.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Bermuda</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17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98A of the Companies Act permits Weatherford Bermuda to purchase and maintain insurance for the benefit of any of its office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Delaware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Weatherford International, LLC (“Weatherford Delaware”) is a Delaware limited liability company. Section 18-108 of the Delaware Limited Liability Company Act provides that, subject to such standards and 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each member, manager (if any), officer and director (if any) of Weatherford Delaware, as well as, upon approval of the member, other employees or an affiliate of Weatherford Delaware, to the fullest extent permitted by Delaware law.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the Company (unless a court of competent jurisdiction determines otherwise). The indemnification agreements also provide that Weatherford Delaware must pay all reasonable expenses incurred in advance of a final disposition.</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Item 16.</w:t>
            </w:r>
          </w:p>
        </w:tc>
        <w:tc>
          <w:tcPr>
            <w:tcW w:w="105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99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Merger Agreement dated April 2, 2014, between Weatherford International Ltd., a Swiss joint stock corporation and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International Limited, an Ireland limited liability company (incorporated by reference to Exhibit 2.1 to Weatherford International Ltd.’s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Current Report on Form 8-K (File No. 1-34258) filed on April 2, 2014)</w:t>
            </w:r>
          </w:p>
        </w:tc>
        <w:tc>
          <w:tcPr>
            <w:tcW w:w="0" w:type="dxa"/>
            <w:vAlign w:val="bottom"/>
          </w:tcPr>
          <w:p>
            <w:pPr>
              <w:spacing w:after="0"/>
              <w:rPr>
                <w:sz w:val="1"/>
                <w:szCs w:val="1"/>
                <w:color w:val="auto"/>
              </w:rPr>
            </w:pPr>
          </w:p>
        </w:tc>
      </w:tr>
      <w:tr>
        <w:trPr>
          <w:trHeight w:val="310"/>
        </w:trPr>
        <w:tc>
          <w:tcPr>
            <w:tcW w:w="520" w:type="dxa"/>
            <w:vAlign w:val="bottom"/>
            <w:gridSpan w:val="2"/>
          </w:tcPr>
          <w:p>
            <w:pPr>
              <w:jc w:val="cente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Memorandum and Articles of Association of Weatherford International plc, an Irish public limited company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to Exhibit 3.1 to 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520" w:type="dxa"/>
            <w:vAlign w:val="bottom"/>
            <w:gridSpan w:val="2"/>
          </w:tcPr>
          <w:p>
            <w:pPr>
              <w:jc w:val="cente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Memorandum of Association of Weatherford International Ltd., a Bermuda exempted company (incorporated by reference to Annex II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the proxy statement/prospectus included in Amendment No. 1 to the Registration Statement on Form S-4 of Weatherford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Ltd., a Bermuda exempted company (File No. 333-85644) filed May 22, 2002)</w:t>
            </w:r>
          </w:p>
        </w:tc>
        <w:tc>
          <w:tcPr>
            <w:tcW w:w="0" w:type="dxa"/>
            <w:vAlign w:val="bottom"/>
          </w:tcPr>
          <w:p>
            <w:pPr>
              <w:spacing w:after="0"/>
              <w:rPr>
                <w:sz w:val="1"/>
                <w:szCs w:val="1"/>
                <w:color w:val="auto"/>
              </w:rPr>
            </w:pPr>
          </w:p>
        </w:tc>
      </w:tr>
      <w:tr>
        <w:trPr>
          <w:trHeight w:val="310"/>
        </w:trPr>
        <w:tc>
          <w:tcPr>
            <w:tcW w:w="520" w:type="dxa"/>
            <w:vAlign w:val="bottom"/>
            <w:gridSpan w:val="2"/>
          </w:tcPr>
          <w:p>
            <w:pPr>
              <w:jc w:val="cente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Certificate of Deposit of Memorandum of Increase of Share Capital of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(incorporated by reference to Annex II to the proxy statement/prospectus included in Amendment No. 1 to the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S-4 of Weatherford International Ltd., a Bermuda exempted company (File No. 333-85644), filed May 22, 2002)</w:t>
            </w:r>
          </w:p>
        </w:tc>
        <w:tc>
          <w:tcPr>
            <w:tcW w:w="0" w:type="dxa"/>
            <w:vAlign w:val="bottom"/>
          </w:tcPr>
          <w:p>
            <w:pPr>
              <w:spacing w:after="0"/>
              <w:rPr>
                <w:sz w:val="1"/>
                <w:szCs w:val="1"/>
                <w:color w:val="auto"/>
              </w:rPr>
            </w:pPr>
          </w:p>
        </w:tc>
      </w:tr>
      <w:tr>
        <w:trPr>
          <w:trHeight w:val="324"/>
        </w:trPr>
        <w:tc>
          <w:tcPr>
            <w:tcW w:w="520" w:type="dxa"/>
            <w:vAlign w:val="bottom"/>
            <w:gridSpan w:val="2"/>
          </w:tcPr>
          <w:p>
            <w:pPr>
              <w:jc w:val="center"/>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Bye-Laws of Weatherford International Ltd., a Bermuda exempted company, as amended on May 10, 2016</w:t>
            </w:r>
          </w:p>
        </w:tc>
        <w:tc>
          <w:tcPr>
            <w:tcW w:w="0" w:type="dxa"/>
            <w:vAlign w:val="bottom"/>
          </w:tcPr>
          <w:p>
            <w:pPr>
              <w:spacing w:after="0"/>
              <w:rPr>
                <w:sz w:val="1"/>
                <w:szCs w:val="1"/>
                <w:color w:val="auto"/>
              </w:rPr>
            </w:pPr>
          </w:p>
        </w:tc>
      </w:tr>
      <w:tr>
        <w:trPr>
          <w:trHeight w:val="310"/>
        </w:trPr>
        <w:tc>
          <w:tcPr>
            <w:tcW w:w="520" w:type="dxa"/>
            <w:vAlign w:val="bottom"/>
            <w:gridSpan w:val="2"/>
          </w:tcPr>
          <w:p>
            <w:pPr>
              <w:jc w:val="center"/>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8"/>
              </w:rPr>
              <w:t>increasing authorized share capital (incorporated by reference to Exhibit 4.1 to the Current Report on Form 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10"/>
        </w:trPr>
        <w:tc>
          <w:tcPr>
            <w:tcW w:w="520" w:type="dxa"/>
            <w:vAlign w:val="bottom"/>
            <w:gridSpan w:val="2"/>
          </w:tcPr>
          <w:p>
            <w:pPr>
              <w:jc w:val="center"/>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Certificate of Formation of Weatherford International, LLC, a Delaware limited liability company (incorporated by reference to Exhibit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4.7 to the Registration Statement on Form S-3 of Weatherford International Ltd., a Swiss joint-stock corporation (File No. 333-194431),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filed March 7, 2014)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14"/>
                <w:szCs w:val="14"/>
                <w:color w:val="auto"/>
              </w:rPr>
            </w:pPr>
          </w:p>
        </w:tc>
        <w:tc>
          <w:tcPr>
            <w:tcW w:w="99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9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w:t>
            </w:r>
          </w:p>
        </w:tc>
        <w:tc>
          <w:tcPr>
            <w:tcW w:w="98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Limited Liability Company Agreement of Weatherford International, LLC, a Delaware limited liability company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reference to Exhibit 4.8 to the Registration Statement on Form S-3 of Weatherford International Ltd., a Swiss joint-stock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(File No. 333-194431), filed March 7, 2014)</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8"/>
              </w:rPr>
              <w:t>increasing authorized share capital (incorporated by reference to Exhibit 4.1 to the Current Report on Form-8-K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Indenture dated October 1, 2003, among Weatherford International Ltd., a Bermuda exempted company, Weatherford International,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a Delaware limited liability company, and Deutsche Bank Trust Company Americas, as trustee (incorporated by reference to Exhibit 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to Current Report on Form 8-K of Weatherford International Ltd., a Bermuda exempted company (File No. 1-31339), filed 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98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First Supplemental Indenture dated March 25, 2008, among Weatherford International Ltd., a Bermuda exempted company,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International, LLC, a Delaware limited liability company, and Deutsche Bank Trust Company Americas, as trustee, to the Indenture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dated October 1, 2003 (including the form of notes issued pursuant thereto) (incorporated by reference to Exhibit 4.1 to the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Report on Form 8-K of Weatherford International Ltd., a Bermuda exempted company (File No. 1-31339), filed March 25, 2008)</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Second Supplemental Indenture dated January 8,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Weatherford International, LLC, a Delaware limited liability company, and Deutsche Bank Trust Company Americas, as trustee,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Indenture dated October 1, 2003 (including the form of notes issued pursuant thereto) (incorporated by reference to Exhibit 4.1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Current Report on Form 8-K of Weatherford International Ltd., a Bermuda exempted company (File No. 1-31339), filed January 8, 2009)</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Third Supplemental Indenture dated February 26,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Exhibit 4.2 to the Current Report on Form 8-K12B of Weatherford International Ltd., a Swiss joint-stock corporation (File No. 1-34258),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filed February 26, 2009)</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Fourth Supplemental Indenture dated as of September 23, 2010,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and 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pursuant thereto and form of guarantee notation) (incorporated by reference to Exhibit 4.1 to the Quarterly Report on Form 10-Q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Weatherford International Ltd., a Swiss joint-stock corporation (File No. 1-34258) for the quarter ended September 30, 2010,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November 2, 2010)</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Form of Fifth Supplemental Indenture dated April 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and 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pursuant thereto and form of guarantee notation) (incorporated by reference to Exhibit 4.1 to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Weatherford International Ltd., a Swiss joint-stock corporation (File No. 1-34258), filed April 4, 2012)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4.8**</w:t>
            </w:r>
          </w:p>
        </w:tc>
        <w:tc>
          <w:tcPr>
            <w:tcW w:w="960" w:type="dxa"/>
            <w:vAlign w:val="bottom"/>
          </w:tcPr>
          <w:p>
            <w:pPr>
              <w:spacing w:after="0"/>
              <w:rPr>
                <w:sz w:val="16"/>
                <w:szCs w:val="16"/>
                <w:color w:val="auto"/>
              </w:rPr>
            </w:pPr>
          </w:p>
        </w:tc>
        <w:tc>
          <w:tcPr>
            <w:tcW w:w="9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Sixth Supplemental Indenture dated as of August 14,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and Deutsche Bank Trust Company Americas, to the indenture dated as of October 1, 2003 (incorporated by reference to Exhibit 4.1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the Current Report on Form 8-K of Weatherford International Ltd., a Swiss joint-stock corporation (File No. 1-34258), filed August 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Seventh Supplemental Indenture dated as of March 31, 2013,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and Deutsche Bank Trust Company Americas, to the indenture dated as of October 1, 2003 (incorporated by reference to Exhibit 4.1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8"/>
              </w:rPr>
              <w:t>the Quarterly Report on Form 10-Q for the quarter ended March 31, 2013 of Weatherford International Ltd., a Swiss joint-stock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corporation (File No. 1-34258), filed May 3, 2013)</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4.10**</w:t>
            </w:r>
          </w:p>
        </w:tc>
        <w:tc>
          <w:tcPr>
            <w:tcW w:w="9940" w:type="dxa"/>
            <w:vAlign w:val="bottom"/>
          </w:tcPr>
          <w:p>
            <w:pPr>
              <w:spacing w:after="0"/>
              <w:rPr>
                <w:sz w:val="20"/>
                <w:szCs w:val="20"/>
                <w:color w:val="auto"/>
              </w:rPr>
            </w:pPr>
            <w:r>
              <w:rPr>
                <w:rFonts w:ascii="Arial" w:cs="Arial" w:eastAsia="Arial" w:hAnsi="Arial"/>
                <w:sz w:val="18"/>
                <w:szCs w:val="18"/>
                <w:color w:val="auto"/>
                <w:w w:val="95"/>
              </w:rPr>
              <w:t>Eighth Supplemental Indenture dated as of June 17, 2014,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Exhibit 4.1 to 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4.11**</w:t>
            </w:r>
          </w:p>
        </w:tc>
        <w:tc>
          <w:tcPr>
            <w:tcW w:w="9940" w:type="dxa"/>
            <w:vAlign w:val="bottom"/>
          </w:tcPr>
          <w:p>
            <w:pPr>
              <w:spacing w:after="0"/>
              <w:rPr>
                <w:sz w:val="20"/>
                <w:szCs w:val="20"/>
                <w:color w:val="auto"/>
              </w:rPr>
            </w:pPr>
            <w:r>
              <w:rPr>
                <w:rFonts w:ascii="Arial" w:cs="Arial" w:eastAsia="Arial" w:hAnsi="Arial"/>
                <w:sz w:val="18"/>
                <w:szCs w:val="18"/>
                <w:color w:val="auto"/>
                <w:w w:val="97"/>
              </w:rPr>
              <w:t>Ninth Supplemental Indenture dated as of June 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Exhibit 4.1 to Weatherford International plc’s Current Report on Form 8-K (File No. 1-36504) filed June 7, 2016)</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4.12**</w:t>
            </w:r>
          </w:p>
        </w:tc>
        <w:tc>
          <w:tcPr>
            <w:tcW w:w="9940" w:type="dxa"/>
            <w:vAlign w:val="bottom"/>
          </w:tcPr>
          <w:p>
            <w:pPr>
              <w:spacing w:after="0"/>
              <w:rPr>
                <w:sz w:val="20"/>
                <w:szCs w:val="20"/>
                <w:color w:val="auto"/>
              </w:rPr>
            </w:pPr>
            <w:r>
              <w:rPr>
                <w:rFonts w:ascii="Arial" w:cs="Arial" w:eastAsia="Arial" w:hAnsi="Arial"/>
                <w:sz w:val="18"/>
                <w:szCs w:val="18"/>
                <w:color w:val="auto"/>
                <w:w w:val="96"/>
              </w:rPr>
              <w:t>Tenth Supplemental Indenture dated as of June 17,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Exhibit 4.1 to Weatherford International plc’s Current Report on Form 8-K (File No. 1-36504) filed June 17, 2016)</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4.13**</w:t>
            </w:r>
          </w:p>
        </w:tc>
        <w:tc>
          <w:tcPr>
            <w:tcW w:w="9940" w:type="dxa"/>
            <w:vAlign w:val="bottom"/>
          </w:tcPr>
          <w:p>
            <w:pPr>
              <w:spacing w:after="0"/>
              <w:rPr>
                <w:sz w:val="20"/>
                <w:szCs w:val="20"/>
                <w:color w:val="auto"/>
              </w:rPr>
            </w:pPr>
            <w:r>
              <w:rPr>
                <w:rFonts w:ascii="Arial" w:cs="Arial" w:eastAsia="Arial" w:hAnsi="Arial"/>
                <w:sz w:val="18"/>
                <w:szCs w:val="18"/>
                <w:color w:val="auto"/>
                <w:w w:val="90"/>
              </w:rPr>
              <w:t>Eleventh Supplemental Indenture dated as of November 18,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Exhibit 4.1 to Weatherford International plc’s Current Report on Form 8-K (File No. 1-36504) filed November 21, 2016)</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4.14**</w:t>
            </w:r>
          </w:p>
        </w:tc>
        <w:tc>
          <w:tcPr>
            <w:tcW w:w="9940" w:type="dxa"/>
            <w:vAlign w:val="bottom"/>
          </w:tcPr>
          <w:p>
            <w:pPr>
              <w:spacing w:after="0"/>
              <w:rPr>
                <w:sz w:val="20"/>
                <w:szCs w:val="20"/>
                <w:color w:val="auto"/>
              </w:rPr>
            </w:pPr>
            <w:r>
              <w:rPr>
                <w:rFonts w:ascii="Arial" w:cs="Arial" w:eastAsia="Arial" w:hAnsi="Arial"/>
                <w:sz w:val="18"/>
                <w:szCs w:val="18"/>
                <w:color w:val="auto"/>
                <w:w w:val="92"/>
              </w:rPr>
              <w:t>Indenture dated June 18, 2007, among Weatherford International, LLC, a Delaware limited liability company, Weatherford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Ltd., a Bermuda exempted company, and Deutsche Bank Trust Company Americas (incorporated by reference to Exhibit 4.1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Current Report on Form 8-K of Weatherford International Ltd., a Bermuda exempted company (File No. 1-31339), filed June 18, 2007)</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4.15**</w:t>
            </w:r>
          </w:p>
        </w:tc>
        <w:tc>
          <w:tcPr>
            <w:tcW w:w="9940" w:type="dxa"/>
            <w:vAlign w:val="bottom"/>
          </w:tcPr>
          <w:p>
            <w:pPr>
              <w:spacing w:after="0"/>
              <w:rPr>
                <w:sz w:val="20"/>
                <w:szCs w:val="20"/>
                <w:color w:val="auto"/>
              </w:rPr>
            </w:pPr>
            <w:r>
              <w:rPr>
                <w:rFonts w:ascii="Arial" w:cs="Arial" w:eastAsia="Arial" w:hAnsi="Arial"/>
                <w:sz w:val="18"/>
                <w:szCs w:val="18"/>
                <w:color w:val="auto"/>
                <w:w w:val="97"/>
              </w:rPr>
              <w:t>First Supplemental Indenture dated June 18, 2007, among Weatherford International, LLC, a Delaware limited liability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Weatherford International Ltd., a Bermuda exempted company, and Deutsche Bank Trust Company Americas (including the form of</w:t>
            </w:r>
          </w:p>
        </w:tc>
        <w:tc>
          <w:tcPr>
            <w:tcW w:w="0" w:type="dxa"/>
            <w:vAlign w:val="bottom"/>
          </w:tcPr>
          <w:p>
            <w:pPr>
              <w:spacing w:after="0"/>
              <w:rPr>
                <w:sz w:val="1"/>
                <w:szCs w:val="1"/>
                <w:color w:val="auto"/>
              </w:rPr>
            </w:pPr>
          </w:p>
        </w:tc>
      </w:tr>
    </w:tbl>
    <w:p>
      <w:pPr>
        <w:ind w:left="1480" w:right="140"/>
        <w:spacing w:after="0" w:line="261" w:lineRule="auto"/>
        <w:rPr>
          <w:sz w:val="20"/>
          <w:szCs w:val="20"/>
          <w:color w:val="auto"/>
        </w:rPr>
      </w:pPr>
      <w:r>
        <w:rPr>
          <w:rFonts w:ascii="Arial" w:cs="Arial" w:eastAsia="Arial" w:hAnsi="Arial"/>
          <w:sz w:val="18"/>
          <w:szCs w:val="18"/>
          <w:color w:val="auto"/>
        </w:rPr>
        <w:t>notes issued pursuant thereto) (incorporated by reference to Exhibit 4.2 to the Current Report on Form 8-K of Weatherford International Ltd., a Bermuda exempted company (File No. 1-31339), filed June 18, 2007)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81"/>
              </w:rPr>
              <w:t>4.16**</w:t>
            </w:r>
          </w:p>
        </w:tc>
        <w:tc>
          <w:tcPr>
            <w:tcW w:w="960" w:type="dxa"/>
            <w:vAlign w:val="bottom"/>
          </w:tcPr>
          <w:p>
            <w:pPr>
              <w:spacing w:after="0"/>
              <w:rPr>
                <w:sz w:val="16"/>
                <w:szCs w:val="16"/>
                <w:color w:val="auto"/>
              </w:rPr>
            </w:pPr>
          </w:p>
        </w:tc>
        <w:tc>
          <w:tcPr>
            <w:tcW w:w="9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Second Supplemental Indenture dated as of February 26, 2009,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and Deutsche Bank Trust Company America (incorporated by reference to Exhibit 4.3 to the Current Report on Form 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International Ltd., a Swiss joint-stock corporation (File No. 1-34258), filed February 26, 2009)</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4.17**</w:t>
            </w:r>
          </w:p>
        </w:tc>
        <w:tc>
          <w:tcPr>
            <w:tcW w:w="9940" w:type="dxa"/>
            <w:vAlign w:val="bottom"/>
          </w:tcPr>
          <w:p>
            <w:pPr>
              <w:spacing w:after="0"/>
              <w:rPr>
                <w:sz w:val="20"/>
                <w:szCs w:val="20"/>
                <w:color w:val="auto"/>
              </w:rPr>
            </w:pPr>
            <w:r>
              <w:rPr>
                <w:rFonts w:ascii="Arial" w:cs="Arial" w:eastAsia="Arial" w:hAnsi="Arial"/>
                <w:sz w:val="18"/>
                <w:szCs w:val="18"/>
                <w:color w:val="auto"/>
                <w:w w:val="99"/>
              </w:rPr>
              <w:t>Third Supplemental Indenture dated as of August 14, 2012,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and 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6"/>
              </w:rPr>
              <w:t>Current Report on Form 8-K of Weatherford International Ltd., a Swiss joint-stock corporation (File No. 1-34258), filed August 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4.18**</w:t>
            </w:r>
          </w:p>
        </w:tc>
        <w:tc>
          <w:tcPr>
            <w:tcW w:w="9940" w:type="dxa"/>
            <w:vAlign w:val="bottom"/>
          </w:tcPr>
          <w:p>
            <w:pPr>
              <w:spacing w:after="0"/>
              <w:rPr>
                <w:sz w:val="20"/>
                <w:szCs w:val="20"/>
                <w:color w:val="auto"/>
              </w:rPr>
            </w:pPr>
            <w:r>
              <w:rPr>
                <w:rFonts w:ascii="Arial" w:cs="Arial" w:eastAsia="Arial" w:hAnsi="Arial"/>
                <w:sz w:val="18"/>
                <w:szCs w:val="18"/>
                <w:color w:val="auto"/>
                <w:w w:val="98"/>
              </w:rPr>
              <w:t>Fourth Supplemental Indenture dated as of March 31, 2013,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and 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(File No. 1-34258), filed May 3, 2013)</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4.19**</w:t>
            </w:r>
          </w:p>
        </w:tc>
        <w:tc>
          <w:tcPr>
            <w:tcW w:w="9940" w:type="dxa"/>
            <w:vAlign w:val="bottom"/>
          </w:tcPr>
          <w:p>
            <w:pPr>
              <w:spacing w:after="0"/>
              <w:rPr>
                <w:sz w:val="20"/>
                <w:szCs w:val="20"/>
                <w:color w:val="auto"/>
              </w:rPr>
            </w:pPr>
            <w:r>
              <w:rPr>
                <w:rFonts w:ascii="Arial" w:cs="Arial" w:eastAsia="Arial" w:hAnsi="Arial"/>
                <w:sz w:val="18"/>
                <w:szCs w:val="18"/>
                <w:color w:val="auto"/>
                <w:w w:val="93"/>
              </w:rPr>
              <w:t>Fifth Supplemental Indenture dated as of June 17, 2014,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Deutsche Bank Trust Company Americas, as trustee, to the indenture dated as of June 18, 2007 (incorporated by reference to Exhibit 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 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4.20**</w:t>
            </w:r>
          </w:p>
        </w:tc>
        <w:tc>
          <w:tcPr>
            <w:tcW w:w="9940" w:type="dxa"/>
            <w:vAlign w:val="bottom"/>
          </w:tcPr>
          <w:p>
            <w:pPr>
              <w:spacing w:after="0"/>
              <w:rPr>
                <w:sz w:val="20"/>
                <w:szCs w:val="20"/>
                <w:color w:val="auto"/>
              </w:rPr>
            </w:pPr>
            <w:r>
              <w:rPr>
                <w:rFonts w:ascii="Arial" w:cs="Arial" w:eastAsia="Arial" w:hAnsi="Arial"/>
                <w:sz w:val="18"/>
                <w:szCs w:val="18"/>
                <w:color w:val="auto"/>
                <w:w w:val="93"/>
              </w:rPr>
              <w:t>Form of Warrant Agreement dated November 21, 2016, among Weatherford International plc, an Irish public limited company,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6"/>
              </w:rPr>
              <w:t>holder thereof (incorporated by reference to Exhibit 4.3 to Weatherford International plc’s Current Report on Form 8-K (File No.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36504) filed November 21, 2016)</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4.21**</w:t>
            </w:r>
          </w:p>
        </w:tc>
        <w:tc>
          <w:tcPr>
            <w:tcW w:w="9940" w:type="dxa"/>
            <w:vAlign w:val="bottom"/>
          </w:tcPr>
          <w:p>
            <w:pPr>
              <w:spacing w:after="0"/>
              <w:rPr>
                <w:sz w:val="20"/>
                <w:szCs w:val="20"/>
                <w:color w:val="auto"/>
              </w:rPr>
            </w:pPr>
            <w:r>
              <w:rPr>
                <w:rFonts w:ascii="Arial" w:cs="Arial" w:eastAsia="Arial" w:hAnsi="Arial"/>
                <w:sz w:val="18"/>
                <w:szCs w:val="18"/>
                <w:color w:val="auto"/>
                <w:w w:val="92"/>
              </w:rPr>
              <w:t>Registration Rights Agreement dated November 18, 2016,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Morgan Stanley &amp; Co. LLC (incorporated by reference to Exhibit 4.2 to the Current Report on Form 8-K of Weatherford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plc, an Irish public limited company (File No. 1-36504), filed November 21, 2016)</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Conyers Dill &amp; Pearman Limited</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Matheson</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12.1**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Computation of Ratio of Earnings to Fixed Charges (incorporated by reference to Exhibit 12.1 to the Annual Report on Form 10-K for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the year ended December 31, 2016 of Weatherford International plc (File No. 1-36504) filed February 15, 2017)</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23.1**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Latham &amp; Watkins LLP (included in its opinion filed as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23.2**</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Conyers Dill &amp; Pearman Limited (included in its opinion filed as Exhibit 5.2)</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23.3*</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23.4**</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Matheson (included in its opinion filed as exhibit 5.3 hereto)</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24.1**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Power of Attorney for officers and directors of Weatherford International plc, an Irish public limited company</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40" w:type="dxa"/>
            <w:vAlign w:val="bottom"/>
          </w:tcPr>
          <w:p>
            <w:pPr>
              <w:ind w:left="410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24.2**</w:t>
            </w:r>
          </w:p>
        </w:tc>
        <w:tc>
          <w:tcPr>
            <w:tcW w:w="1000" w:type="dxa"/>
            <w:vAlign w:val="bottom"/>
          </w:tcPr>
          <w:p>
            <w:pPr>
              <w:spacing w:after="0"/>
              <w:rPr>
                <w:sz w:val="19"/>
                <w:szCs w:val="19"/>
                <w:color w:val="auto"/>
              </w:rPr>
            </w:pPr>
          </w:p>
        </w:tc>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Power of Attorney for officers and directors of Weatherford International Ltd., a Bermuda exempted company</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24.3**</w:t>
            </w:r>
          </w:p>
        </w:tc>
        <w:tc>
          <w:tcPr>
            <w:tcW w:w="10900" w:type="dxa"/>
            <w:vAlign w:val="bottom"/>
            <w:gridSpan w:val="2"/>
          </w:tcPr>
          <w:p>
            <w:pPr>
              <w:ind w:left="1000"/>
              <w:spacing w:after="0"/>
              <w:rPr>
                <w:sz w:val="20"/>
                <w:szCs w:val="20"/>
                <w:color w:val="auto"/>
              </w:rPr>
            </w:pPr>
            <w:r>
              <w:rPr>
                <w:rFonts w:ascii="Arial" w:cs="Arial" w:eastAsia="Arial" w:hAnsi="Arial"/>
                <w:sz w:val="18"/>
                <w:szCs w:val="18"/>
                <w:color w:val="auto"/>
              </w:rPr>
              <w:t>Power of Attorney for officers and directors of Weatherford International, LLC, a Delaware limited liability company</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10900" w:type="dxa"/>
            <w:vAlign w:val="bottom"/>
            <w:gridSpan w:val="2"/>
          </w:tcPr>
          <w:p>
            <w:pPr>
              <w:ind w:left="1000"/>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9760" w:firstLine="8"/>
        <w:spacing w:after="0" w:line="258"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herewith. ** Filed previously.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To be filed by amendment or as an exhibit to a document to be incorporated by reference herein in connection with the issuance of the securities.</w:t>
      </w:r>
    </w:p>
    <w:p>
      <w:pPr>
        <w:spacing w:after="0" w:line="3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1480" w:hanging="567"/>
        <w:spacing w:after="0"/>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480" w:right="60" w:hanging="567"/>
        <w:spacing w:after="0" w:line="272" w:lineRule="auto"/>
        <w:tabs>
          <w:tab w:leader="none" w:pos="14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volume and price represent no more than a 20%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480" w:right="200" w:hanging="567"/>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ind w:left="1500" w:right="340"/>
        <w:spacing w:after="0" w:line="302" w:lineRule="auto"/>
        <w:rPr>
          <w:rFonts w:ascii="Arial" w:cs="Arial" w:eastAsia="Arial" w:hAnsi="Arial"/>
          <w:sz w:val="18"/>
          <w:szCs w:val="18"/>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(a)(1)(ii) and (a)(1)(iii) do not apply if the information required to be included in a post-effective amendment by those paragraphs is contained in reports filed with or furnished to the SEC by any registrant pursuant to Section 13 or Section 15(d) of the Securities Exchange Act of 1934 that incorporated by reference in the registration statement, or is contained in a form of prospectus filed pursuant to Rule 424(b) that is part of the registration statement.</w:t>
      </w:r>
    </w:p>
    <w:p>
      <w:pPr>
        <w:spacing w:after="0" w:line="59"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69" w:lineRule="auto"/>
        <w:tabs>
          <w:tab w:leader="none" w:pos="1480" w:val="left"/>
        </w:tabs>
        <w:numPr>
          <w:ilvl w:val="2"/>
          <w:numId w:val="6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5" w:lineRule="exact"/>
        <w:rPr>
          <w:rFonts w:ascii="Arial" w:cs="Arial" w:eastAsia="Arial" w:hAnsi="Arial"/>
          <w:sz w:val="17"/>
          <w:szCs w:val="17"/>
          <w:color w:val="auto"/>
        </w:rPr>
      </w:pPr>
    </w:p>
    <w:p>
      <w:pPr>
        <w:ind w:left="900" w:right="80" w:hanging="446"/>
        <w:spacing w:after="0" w:line="257"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2"/>
          <w:numId w:val="68"/>
        </w:numPr>
        <w:rPr>
          <w:rFonts w:ascii="Arial" w:cs="Arial" w:eastAsia="Arial" w:hAnsi="Arial"/>
          <w:sz w:val="16"/>
          <w:szCs w:val="16"/>
          <w:color w:val="auto"/>
        </w:rPr>
      </w:pPr>
      <w:r>
        <w:rPr>
          <w:rFonts w:ascii="Arial" w:cs="Arial" w:eastAsia="Arial" w:hAnsi="Arial"/>
          <w:sz w:val="16"/>
          <w:szCs w:val="16"/>
          <w:color w:val="auto"/>
        </w:rPr>
        <w:t>Any preliminary prospectus or prospectus of an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480" w:right="26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an undersigned registrant;</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130" w:lineRule="exact"/>
        <w:rPr>
          <w:rFonts w:ascii="Arial" w:cs="Arial" w:eastAsia="Arial" w:hAnsi="Arial"/>
          <w:sz w:val="18"/>
          <w:szCs w:val="18"/>
          <w:color w:val="auto"/>
        </w:rPr>
      </w:pPr>
    </w:p>
    <w:p>
      <w:pPr>
        <w:ind w:left="460" w:right="160" w:hanging="452"/>
        <w:spacing w:after="0" w:line="25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undersigned registrants hereby undertake that, for purposes of determining any liability under the Securities Act of 1933, each filing of a registrant’s annual report pursuant to Section 13(a) or Section 15(d) of the Securities Exchange Act of 1934 (and, w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60" w:right="80" w:hanging="452"/>
        <w:spacing w:after="0" w:line="30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59" w:lineRule="exact"/>
        <w:rPr>
          <w:rFonts w:ascii="Arial" w:cs="Arial" w:eastAsia="Arial" w:hAnsi="Arial"/>
          <w:sz w:val="16"/>
          <w:szCs w:val="16"/>
          <w:color w:val="auto"/>
        </w:rPr>
      </w:pPr>
    </w:p>
    <w:p>
      <w:pPr>
        <w:ind w:left="460" w:right="160" w:hanging="452"/>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 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72" w:lineRule="exact"/>
        <w:rPr>
          <w:sz w:val="20"/>
          <w:szCs w:val="20"/>
          <w:color w:val="auto"/>
        </w:rPr>
      </w:pPr>
    </w:p>
    <w:p>
      <w:pPr>
        <w:ind w:left="460" w:right="100" w:hanging="452"/>
        <w:spacing w:after="0" w:line="271"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4" w:lineRule="exact"/>
        <w:rPr>
          <w:rFonts w:ascii="Arial" w:cs="Arial" w:eastAsia="Arial" w:hAnsi="Arial"/>
          <w:sz w:val="17"/>
          <w:szCs w:val="17"/>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undersigned registrants hereby undertake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460" w:right="580"/>
        <w:spacing w:after="0" w:line="261" w:lineRule="auto"/>
        <w:rPr>
          <w:rFonts w:ascii="Arial" w:cs="Arial" w:eastAsia="Arial" w:hAnsi="Arial"/>
          <w:sz w:val="16"/>
          <w:szCs w:val="16"/>
          <w:color w:val="auto"/>
        </w:rPr>
      </w:pPr>
      <w:r>
        <w:rPr>
          <w:rFonts w:ascii="Arial" w:cs="Arial" w:eastAsia="Arial" w:hAnsi="Arial"/>
          <w:sz w:val="18"/>
          <w:szCs w:val="18"/>
          <w:color w:val="auto"/>
        </w:rPr>
        <w:t>(a) of Section 310 of the Trust Indenture Act in accordance with the rules and regulations prescribed by the under Section 305(b)(2) of the Trust Indenture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Irish public limited company)</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Baar, Switzerland on April 27,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A. McCollum</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Christina M. Ibrahim and Charity R.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on Form S-3 (SEC Registration No. 333-216034) has been signed by the following persons in the capacities indicated below on April 27,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06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  Mark A. McCollum</w:t>
            </w:r>
          </w:p>
        </w:tc>
        <w:tc>
          <w:tcPr>
            <w:tcW w:w="406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7"/>
              </w:rPr>
              <w:t>Mark A. McCollum</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Christoph Bausch</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Vice President and Chief Accounting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6"/>
              </w:rPr>
              <w:t>Douglas M. Mills</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Chairman of the Board and 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William E. Macaulay</w:t>
            </w:r>
          </w:p>
        </w:tc>
        <w:tc>
          <w:tcPr>
            <w:tcW w:w="406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406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406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0"/>
                <w:szCs w:val="20"/>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87"/>
              </w:rPr>
              <w:t>John D. Gass</w:t>
            </w:r>
          </w:p>
        </w:tc>
        <w:tc>
          <w:tcPr>
            <w:tcW w:w="25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Sir Emyr Jones Parry</w:t>
            </w:r>
          </w:p>
        </w:tc>
        <w:tc>
          <w:tcPr>
            <w:tcW w:w="25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Francis S. Kalman</w:t>
            </w:r>
          </w:p>
        </w:tc>
        <w:tc>
          <w:tcPr>
            <w:tcW w:w="25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0"/>
              </w:rPr>
              <w:t>Robert K. Moses, Jr.</w:t>
            </w:r>
          </w:p>
        </w:tc>
        <w:tc>
          <w:tcPr>
            <w:tcW w:w="25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Dr. Guillermo Ortiz</w:t>
            </w:r>
          </w:p>
        </w:tc>
        <w:tc>
          <w:tcPr>
            <w:tcW w:w="25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Robert A. Rayne</w:t>
            </w:r>
          </w:p>
        </w:tc>
        <w:tc>
          <w:tcPr>
            <w:tcW w:w="250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w w:val="89"/>
              </w:rPr>
              <w:t>Authorized U.S. Representative</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Charity R. Kohl</w:t>
            </w:r>
          </w:p>
        </w:tc>
        <w:tc>
          <w:tcPr>
            <w:tcW w:w="2500" w:type="dxa"/>
            <w:vAlign w:val="bottom"/>
          </w:tcPr>
          <w:p>
            <w:pPr>
              <w:spacing w:after="0"/>
              <w:rPr>
                <w:sz w:val="19"/>
                <w:szCs w:val="19"/>
                <w:color w:val="auto"/>
              </w:rPr>
            </w:pPr>
          </w:p>
        </w:tc>
      </w:tr>
      <w:tr>
        <w:trPr>
          <w:trHeight w:val="674"/>
        </w:trPr>
        <w:tc>
          <w:tcPr>
            <w:tcW w:w="5180" w:type="dxa"/>
            <w:vAlign w:val="bottom"/>
            <w:gridSpan w:val="4"/>
          </w:tcPr>
          <w:p>
            <w:pPr>
              <w:spacing w:after="0"/>
              <w:rPr>
                <w:sz w:val="20"/>
                <w:szCs w:val="20"/>
                <w:color w:val="auto"/>
              </w:rPr>
            </w:pPr>
            <w:r>
              <w:rPr>
                <w:rFonts w:ascii="Arial" w:cs="Arial" w:eastAsia="Arial" w:hAnsi="Arial"/>
                <w:sz w:val="18"/>
                <w:szCs w:val="18"/>
                <w:color w:val="auto"/>
              </w:rPr>
              <w:t>*By:  /s/ Christina M. Ibrahim</w:t>
            </w:r>
          </w:p>
        </w:tc>
        <w:tc>
          <w:tcPr>
            <w:tcW w:w="250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Christina M. Ibrahim</w:t>
            </w:r>
          </w:p>
        </w:tc>
        <w:tc>
          <w:tcPr>
            <w:tcW w:w="6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gridSpan w:val="2"/>
          </w:tcPr>
          <w:p>
            <w:pPr>
              <w:ind w:left="80"/>
              <w:spacing w:after="0"/>
              <w:rPr>
                <w:sz w:val="20"/>
                <w:szCs w:val="20"/>
                <w:color w:val="auto"/>
              </w:rPr>
            </w:pPr>
            <w:r>
              <w:rPr>
                <w:rFonts w:ascii="Arial" w:cs="Arial" w:eastAsia="Arial" w:hAnsi="Arial"/>
                <w:sz w:val="18"/>
                <w:szCs w:val="18"/>
                <w:color w:val="auto"/>
              </w:rPr>
              <w:t>Attorney in Fact</w:t>
            </w:r>
          </w:p>
        </w:tc>
        <w:tc>
          <w:tcPr>
            <w:tcW w:w="2500" w:type="dxa"/>
            <w:vAlign w:val="bottom"/>
          </w:tcPr>
          <w:p>
            <w:pPr>
              <w:spacing w:after="0"/>
              <w:rPr>
                <w:sz w:val="20"/>
                <w:szCs w:val="20"/>
                <w:color w:val="auto"/>
              </w:rPr>
            </w:pPr>
          </w:p>
        </w:tc>
      </w:tr>
    </w:tbl>
    <w:p>
      <w:pPr>
        <w:sectPr>
          <w:pgSz w:w="11900" w:h="16838" w:orient="portrait"/>
          <w:cols w:equalWidth="0" w:num="1">
            <w:col w:w="10219"/>
          </w:cols>
          <w:pgMar w:left="240" w:top="459" w:right="144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April 27,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M. Mills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M.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Financial Officer</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on Form S-3 (SEC Registration No. 333-216034) has been signed by the following persons in the capacities indicated below on April 27,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614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Douglas M. Mills</w:t>
            </w:r>
          </w:p>
        </w:tc>
        <w:tc>
          <w:tcPr>
            <w:tcW w:w="6140" w:type="dxa"/>
            <w:vAlign w:val="bottom"/>
          </w:tcPr>
          <w:p>
            <w:pPr>
              <w:ind w:left="220"/>
              <w:spacing w:after="0"/>
              <w:rPr>
                <w:sz w:val="20"/>
                <w:szCs w:val="20"/>
                <w:color w:val="auto"/>
              </w:rPr>
            </w:pPr>
            <w:r>
              <w:rPr>
                <w:rFonts w:ascii="Arial" w:cs="Arial" w:eastAsia="Arial" w:hAnsi="Arial"/>
                <w:sz w:val="18"/>
                <w:szCs w:val="18"/>
                <w:color w:val="auto"/>
              </w:rPr>
              <w:t>President and Chief Financial Officer</w:t>
            </w:r>
          </w:p>
        </w:tc>
      </w:tr>
      <w:tr>
        <w:trPr>
          <w:trHeight w:val="182"/>
        </w:trPr>
        <w:tc>
          <w:tcPr>
            <w:tcW w:w="5180" w:type="dxa"/>
            <w:vAlign w:val="bottom"/>
          </w:tcPr>
          <w:p>
            <w:pPr>
              <w:jc w:val="center"/>
              <w:spacing w:after="0" w:line="182" w:lineRule="exact"/>
              <w:rPr>
                <w:sz w:val="20"/>
                <w:szCs w:val="20"/>
                <w:color w:val="auto"/>
              </w:rPr>
            </w:pPr>
            <w:r>
              <w:rPr>
                <w:rFonts w:ascii="Arial" w:cs="Arial" w:eastAsia="Arial" w:hAnsi="Arial"/>
                <w:sz w:val="18"/>
                <w:szCs w:val="18"/>
                <w:color w:val="auto"/>
                <w:w w:val="96"/>
              </w:rPr>
              <w:t>Douglas M. Mills</w:t>
            </w:r>
          </w:p>
        </w:tc>
        <w:tc>
          <w:tcPr>
            <w:tcW w:w="6140" w:type="dxa"/>
            <w:vAlign w:val="bottom"/>
          </w:tcPr>
          <w:p>
            <w:pPr>
              <w:ind w:left="220"/>
              <w:spacing w:after="0" w:line="182" w:lineRule="exact"/>
              <w:rPr>
                <w:sz w:val="20"/>
                <w:szCs w:val="20"/>
                <w:color w:val="auto"/>
              </w:rPr>
            </w:pPr>
            <w:r>
              <w:rPr>
                <w:rFonts w:ascii="Arial" w:cs="Arial" w:eastAsia="Arial" w:hAnsi="Arial"/>
                <w:sz w:val="18"/>
                <w:szCs w:val="18"/>
                <w:color w:val="auto"/>
                <w:w w:val="93"/>
              </w:rPr>
              <w:t>(Principal Executive Officer, Principal Financial Officer and Principal Accounting</w:t>
            </w:r>
          </w:p>
        </w:tc>
      </w:tr>
      <w:tr>
        <w:trPr>
          <w:trHeight w:val="230"/>
        </w:trPr>
        <w:tc>
          <w:tcPr>
            <w:tcW w:w="518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Officer)</w:t>
            </w:r>
          </w:p>
        </w:tc>
      </w:tr>
      <w:tr>
        <w:trPr>
          <w:trHeight w:val="44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Charity R. Kohl</w:t>
            </w:r>
          </w:p>
        </w:tc>
        <w:tc>
          <w:tcPr>
            <w:tcW w:w="6140" w:type="dxa"/>
            <w:vAlign w:val="bottom"/>
          </w:tcPr>
          <w:p>
            <w:pPr>
              <w:ind w:left="220"/>
              <w:spacing w:after="0"/>
              <w:rPr>
                <w:sz w:val="20"/>
                <w:szCs w:val="20"/>
                <w:color w:val="auto"/>
              </w:rPr>
            </w:pPr>
            <w:r>
              <w:rPr>
                <w:rFonts w:ascii="Arial" w:cs="Arial" w:eastAsia="Arial" w:hAnsi="Arial"/>
                <w:sz w:val="18"/>
                <w:szCs w:val="18"/>
                <w:color w:val="auto"/>
              </w:rPr>
              <w:t>Vice President, Assistant Secretary and Authorized U.S. Representative</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Charity R. Kohl</w:t>
            </w:r>
          </w:p>
        </w:tc>
        <w:tc>
          <w:tcPr>
            <w:tcW w:w="614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April 27,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 Kyle Chapman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 Kyle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on Form S-3 (SEC Registration No. 333-216034) has been signed by the following persons in the capacities indicated below on April 27,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1"/>
              </w:rPr>
              <w:t>/s/ E. Kyle Chapman</w:t>
            </w:r>
          </w:p>
        </w:tc>
        <w:tc>
          <w:tcPr>
            <w:tcW w:w="470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1"/>
              </w:rPr>
              <w:t>E. Kyle Chapman</w:t>
            </w:r>
          </w:p>
        </w:tc>
        <w:tc>
          <w:tcPr>
            <w:tcW w:w="47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24"/>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Kyle R. Pounds</w:t>
            </w:r>
          </w:p>
        </w:tc>
        <w:tc>
          <w:tcPr>
            <w:tcW w:w="4700" w:type="dxa"/>
            <w:vAlign w:val="bottom"/>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674"/>
        </w:trPr>
        <w:tc>
          <w:tcPr>
            <w:tcW w:w="5180" w:type="dxa"/>
            <w:vAlign w:val="bottom"/>
            <w:gridSpan w:val="4"/>
          </w:tcPr>
          <w:p>
            <w:pPr>
              <w:spacing w:after="0"/>
              <w:rPr>
                <w:sz w:val="20"/>
                <w:szCs w:val="20"/>
                <w:color w:val="auto"/>
              </w:rPr>
            </w:pPr>
            <w:r>
              <w:rPr>
                <w:rFonts w:ascii="Arial" w:cs="Arial" w:eastAsia="Arial" w:hAnsi="Arial"/>
                <w:sz w:val="18"/>
                <w:szCs w:val="18"/>
                <w:color w:val="auto"/>
              </w:rPr>
              <w:t>*By:  /s/ Charity R. Kohl</w:t>
            </w:r>
          </w:p>
        </w:tc>
        <w:tc>
          <w:tcPr>
            <w:tcW w:w="470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Charity R. Kohl</w:t>
            </w:r>
          </w:p>
        </w:tc>
        <w:tc>
          <w:tcPr>
            <w:tcW w:w="6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gridSpan w:val="2"/>
          </w:tcPr>
          <w:p>
            <w:pPr>
              <w:ind w:left="80"/>
              <w:spacing w:after="0"/>
              <w:rPr>
                <w:sz w:val="20"/>
                <w:szCs w:val="20"/>
                <w:color w:val="auto"/>
              </w:rPr>
            </w:pPr>
            <w:r>
              <w:rPr>
                <w:rFonts w:ascii="Arial" w:cs="Arial" w:eastAsia="Arial" w:hAnsi="Arial"/>
                <w:sz w:val="18"/>
                <w:szCs w:val="18"/>
                <w:color w:val="auto"/>
              </w:rPr>
              <w:t>Attorney in Fact</w:t>
            </w:r>
          </w:p>
        </w:tc>
        <w:tc>
          <w:tcPr>
            <w:tcW w:w="4700" w:type="dxa"/>
            <w:vAlign w:val="bottom"/>
          </w:tcPr>
          <w:p>
            <w:pPr>
              <w:spacing w:after="0"/>
              <w:rPr>
                <w:sz w:val="20"/>
                <w:szCs w:val="20"/>
                <w:color w:val="auto"/>
              </w:rPr>
            </w:pPr>
          </w:p>
        </w:tc>
      </w:tr>
    </w:tbl>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20" w:type="dxa"/>
            <w:vAlign w:val="bottom"/>
          </w:tcPr>
          <w:p>
            <w:pPr>
              <w:ind w:left="34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9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880" w:type="dxa"/>
            <w:vAlign w:val="bottom"/>
          </w:tcPr>
          <w:p>
            <w:pPr>
              <w:spacing w:after="0"/>
              <w:rPr>
                <w:sz w:val="16"/>
                <w:szCs w:val="16"/>
                <w:color w:val="auto"/>
              </w:rPr>
            </w:pPr>
          </w:p>
        </w:tc>
        <w:tc>
          <w:tcPr>
            <w:tcW w:w="10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Merger Agreement dated April 2, 2014, between Weatherford International Ltd., a Swiss joint stock corporation and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5"/>
              </w:rPr>
              <w:t>International Limited, an Ireland limited liability company (incorporated by reference to Exhibit 2.1 to Weatherford International Ltd.’s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Current Report on Form 8-K (File No. 1-34258) filed on April 2, 2014)</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Memorandum and Articles of Association of Weatherford International plc, an Irish public limited company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Exhibit 3.1 to 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Memorandum of Association of Weatherford International Ltd., a Bermuda exempted company (incorporated by reference to Annex II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the proxy statement/prospectus included in Amendment No. 1 to the Registration Statement on Form S-4 of Weatherford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Ltd., a Bermuda exempted company (File No. 333-85644) filed May 22, 2002)</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Certificate of Deposit of Memorandum of Increase of Share Capital of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(incorporated by reference to Annex II to the proxy statement/prospectus included in Amendment No. 1 to the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Form S-4 of Weatherford International Ltd., a Bermuda exempted company (File No. 333-85644), filed May 22, 2002)</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Bye-Laws of Weatherford International Ltd., a Bermuda exempted company, as amended on May 10, 2016</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9"/>
              </w:rPr>
              <w:t>increasing authorized share capital (incorporated by reference to Exhibit 4.1 to the Current Report on Form 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5"/>
              </w:rPr>
              <w:t>Certificate of Formation of Weatherford International, LLC, a Delaware limited liability company (incorporated by reference to Exhibit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3"/>
              </w:rPr>
              <w:t>4.7 to the Registration Statement on Form S-3 of Weatherford International Ltd., a Swiss joint-stock corporation (File No. 333-194431),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filed March 7, 2014)</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Limited Liability Company Agreement of Weatherford International, LLC, a Delaware limited liability company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reference to Exhibit 4.8 to the Registration Statement on Form S-3 of Weatherford International Ltd., a Swiss joint-stock corporation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No. 333-194431), filed March 7, 2014)</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9"/>
              </w:rPr>
              <w:t>increasing authorized share capital (incorporated by reference to Exhibit 4.1 to the Current Report on Form-8-K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0"/>
              </w:rPr>
              <w:t>Indenture dated October 1, 2003, among Weatherford International Ltd., a Bermuda exempted company, Weatherford International, LLC,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Delaware limited liability company, and Deutsche Bank Trust Company Americas, as trustee (incorporated by reference to Exhibit 4.1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Current Report on Form 8-K of Weatherford International Ltd., a Bermuda exempted company (File No. 1-31339), filed October 2, 2003)</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1"/>
              </w:rPr>
              <w:t>First Supplemental Indenture dated March 25, 2008, among Weatherford International Ltd., a Bermuda exempted company,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1"/>
              </w:rPr>
              <w:t>International, LLC, a Delaware limited liability company, and Deutsche Bank Trust Company Americas, as trustee, to the Indenture 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3"/>
              </w:rPr>
              <w:t>October 1, 2003 (including the form of notes issued pursuant thereto) (incorporated by reference to Exhibit 4.1 to the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Form 8-K of Weatherford International Ltd., a Bermuda exempted company (File No. 1-31339), filed March 25,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4.4**</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Second Supplemental Indenture dated January 8, 2009, among Weatherford International Ltd., a Bermuda exempted company,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International, LLC, a Delaware limited liability company, and Deutsche Bank Trust Company Americas, as trustee, to the Indenture 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October 1, 2003 (including the form of notes issued pursuant thereto) (incorporated by reference to Exhibit 4.1 to the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Form 8-K of Weatherford International Ltd., a Bermuda exempted company (File No. 1-31339), filed January 8, 2009)</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8"/>
              </w:rPr>
              <w:t>Third Supplemental Indenture dated February 26,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8"/>
              </w:rPr>
              <w:t>to the Current Report on Form 8-K12B of Weatherford International Ltd., a Swiss joint-stock corporation (File No. 1-34258),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February 26, 2009)</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Fourth Supplemental Indenture dated as of September 23, 2010,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pursuant thereto and form of guarantee notation) (incorporated by reference to Exhibit 4.1 to the Quarterly Report on Form 10-Q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7"/>
              </w:rPr>
              <w:t>Weatherford International Ltd., a Swiss joint-stock corporation (File No. 1-34258) for the quarter ended September 30, 2010,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November 2, 2010)</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7"/>
              </w:rPr>
              <w:t>Form of Fifth Supplemental Indenture dated April 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8"/>
              </w:rPr>
              <w:t>pursuant thereto and form of guarantee notation) (incorporated by reference to Exhibit 4.1 to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Weatherford International Ltd., a Swiss joint-stock corporation (File No. 1-34258), filed April 4, 2012)</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Sixth Supplemental Indenture dated as of August 14,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Deutsche Bank Trust Company Americas, to the indenture dated as of October 1, 2003 (incorporated by reference to Exhibit 4.1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Current Report on Form 8-K of Weatherford International Ltd., a Swiss joint-stock corporation (File No. 1-34258), filed August 14, 2012)</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4"/>
              </w:rPr>
              <w:t>Seventh Supplemental Indenture dated as of March 31, 2013,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Deutsche Bank Trust Company Americas, to the indenture dated as of October 1, 2003 (incorporated by reference to Exhibit 4.1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(File No. 1-34258), filed May 3, 2013)</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4.10**</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Eighth Supplemental Indenture dated as of June 17, 2014,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to Weatherford International plc’s Current Report on Form 8-K12B (File No. 1-36504) filed June 17, 2014)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81"/>
              </w:rPr>
              <w:t>4.11**</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Ninth Supplemental Indenture dated as of June 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to Weatherford International plc’s Current Report on Form 8-K (File No. 1-36504) filed June 7, 2016)</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4.12**</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7"/>
              </w:rPr>
              <w:t>Tenth Supplemental Indenture dated as of June 17,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to Weatherford International plc’s Current Report on Form 8-K (File No. 1-36504) filed June 17, 2016)</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4.13**</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1"/>
              </w:rPr>
              <w:t>Eleventh Supplemental Indenture dated as of November 18,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to Weatherford International plc’s Current Report on Form 8-K (File No. 1-36504) filed November 21, 2016)</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4.14**</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Indenture dated June 18, 2007, among Weatherford International, LLC, a Delaware limited liability company, Weatherford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Ltd., a Bermuda exempted company, and Deutsche Bank Trust Company Americas (incorporated by reference to Exhibit 4.1 to the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Report on Form 8-K of Weatherford International Ltd., a Bermuda exempted company (File No. 1-31339), filed June 18, 2007)</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4.15**</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8"/>
              </w:rPr>
              <w:t>First Supplemental Indenture dated June 18, 2007,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1"/>
              </w:rPr>
              <w:t>Weatherford International Ltd., a Bermuda exempted company, and Deutsche Bank Trust Company Americas (including the form of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issued pursuant thereto) (incorporated by reference to Exhibit 4.2 to the Current Report on Form 8-K of Weatherford International Ltd.,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Bermuda exempted company (File No. 1-31339), filed June 18, 2007)</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4.16**</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Second Supplemental Indenture dated as of February 26, 2009,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and Deutsche Bank Trust Company America (incorporated by reference to Exhibit 4.3 to the Current Report on Form 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International Ltd., a Swiss joint-stock corporation (File No. 1-34258), filed February 26, 2009)</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4.17**</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Third Supplemental Indenture dated as of August 14, 2012,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Weatherford International Ltd., a Bermuda exempted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5"/>
              </w:rPr>
              <w:t>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Current Report on Form 8-K of Weatherford International Ltd., a Swiss joint-stock corporation (File No. 1-34258), filed August 14, 2012)</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4.18**</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Fourth Supplemental Indenture dated as of March 31, 2013,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Weatherford International Ltd., a Bermuda exempted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5"/>
              </w:rPr>
              <w:t>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(File No. 1-34258), filed May 3,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81"/>
              </w:rPr>
              <w:t>4.19**</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Fifth Supplemental Indenture dated as of June 17, 2014,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June 18, 2007 (incorporated by reference to Exhibit 4.2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4.20**</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4"/>
              </w:rPr>
              <w:t>Form of Warrant Agreement dated November 21, 2016, among Weatherford International plc, an Irish public limited company,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holder thereof (incorporated by reference to Exhibit 4.3 to Weatherford International plc’s Current Report on Form 8-K (File No. 1-36504)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filed November 21, 2016)</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4.21**</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Registration Rights Agreement dated November 18, 2016,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Morgan Stanley &amp; Co. LLC (incorporated by reference to Exhibit 4.2 to the Current Report on Form 8-K of Weatherford International plc,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an Irish public limited company (File No. 1-36504), filed November 21, 2016)</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Opinion of Conyers Dill &amp; Pearman Limited</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Opinion of Matheson</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12.1**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Computation of Ratio of Earnings to Fixed Charges (incorporated by reference to Exhibit 12.1 to the Annual Report on Form 10-K 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year ended December 31, 2016 of Weatherford International plc (File No. 1-36504) filed February 15, 2017)</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23.1**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Consent of Latham &amp; Watkins LLP (included in its opinion filed as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23.2**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Consent of Conyers Dill &amp; Pearman Limited (included in its opinion filed as Exhibit 5.2)</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23.3*</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23.4**</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Consent of Matheson (included in its opinion filed as exhibit 5.3 hereto)</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24.1**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Power of Attorney for officers and directors of Weatherford International plc, an Irish public limited company</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24.2**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Power of Attorney for officers and directors of Weatherford International Ltd., a Bermuda exempted company</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24.3**</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Power of Attorney for officers and directors of Weatherford International, LLC, a Delaware limited liability company</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25.1**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9760" w:firstLine="8"/>
        <w:spacing w:after="0" w:line="258"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Filed herewith. ** Filed previously.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To be filed by amendment or as an exhibit to a document to be incorporated by reference herein in connection with the issuance of the securities.</w:t>
      </w:r>
    </w:p>
    <w:p>
      <w:pPr>
        <w:sectPr>
          <w:pgSz w:w="11900" w:h="16838" w:orient="portrait"/>
          <w:cols w:equalWidth="0" w:num="1">
            <w:col w:w="11420"/>
          </w:cols>
          <w:pgMar w:left="240" w:top="459"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consent to the use of our reports dated February 14, 2017, with respect to the consolidated balance sheets of Weatherford International plc, as of December 31, 2016 and 2015, and the related consolidated statements of operations, comprehensive income (loss), shareholders’ equity, and cash flows for each of the years in the three-year period ended December 31, 2016, the related financial statement schedule for each of the years in the three-year period ended December 31, 2016, and the effectiveness of internal control over financial reporting as of December 31, 2016, incorporated herein by reference and to the reference to our firm under the heading “Experts” in the prospectus, which reports appear in the December 31, 2016 annual report on Form 10-K of Weatherford International plc. Our report dated February 14, 2017 with respect to the consolidated financial statements refers to changes in accounting for deferred income taxes and accounting for debt issuance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713"/>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lvl w:ilvl="1">
      <w:lvlJc w:val="left"/>
      <w:lvlText w:val="(%2)"/>
      <w:numFmt w:val="lowerLetter"/>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lvl w:ilvl="1">
      <w:lvlJc w:val="left"/>
      <w:lvlText w:val="(%2)"/>
      <w:numFmt w:val="lowerLetter"/>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713"/>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lowerLetter"/>
      <w:start w:val="1"/>
    </w:lvl>
    <w:lvl w:ilvl="1">
      <w:lvlJc w:val="left"/>
      <w:lvlText w:val="(%2)"/>
      <w:numFmt w:val="decimal"/>
      <w:start w:val="1"/>
    </w:lvl>
  </w:abstractNum>
  <w:abstractNum w:abstractNumId="64">
    <w:nsid w:val="5DB70AE5"/>
    <w:multiLevelType w:val="hybridMultilevel"/>
    <w:lvl w:ilvl="0">
      <w:lvlJc w:val="left"/>
      <w:lvlText w:val="%1"/>
      <w:numFmt w:val="decimal"/>
      <w:start w:val="1"/>
    </w:lvl>
    <w:lvl w:ilvl="1">
      <w:lvlJc w:val="left"/>
      <w:lvlText w:val="(%2)"/>
      <w:numFmt w:val="lowerRoman"/>
      <w:start w:val="1"/>
    </w:lvl>
  </w:abstractNum>
  <w:abstractNum w:abstractNumId="65">
    <w:nsid w:val="100F8FCA"/>
    <w:multiLevelType w:val="hybridMultilevel"/>
    <w:lvl w:ilvl="0">
      <w:lvlJc w:val="left"/>
      <w:lvlText w:val="(%1)"/>
      <w:numFmt w:val="decimal"/>
      <w:start w:val="2"/>
    </w:lvl>
    <w:lvl w:ilvl="1">
      <w:lvlJc w:val="left"/>
      <w:lvlText w:val="(%2)"/>
      <w:numFmt w:val="lowerRoman"/>
      <w:start w:val="1"/>
    </w:lvl>
  </w:abstractNum>
  <w:abstractNum w:abstractNumId="66">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67">
    <w:nsid w:val="15014AC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68">
    <w:nsid w:val="5F5E7FD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9">
    <w:nsid w:val="98A3148"/>
    <w:multiLevelType w:val="hybridMultilevel"/>
    <w:lvl w:ilvl="0">
      <w:lvlJc w:val="left"/>
      <w:lvlText w:val="(%1)"/>
      <w:numFmt w:val="lowerLetter"/>
      <w:start w:val="5"/>
    </w:lvl>
    <w:lvl w:ilvl="1">
      <w:lvlJc w:val="left"/>
      <w:lvlText w:val="(%2)"/>
      <w:numFmt w:val="decimal"/>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2019-12-20T22:38:39Z</dcterms:created>
  <dcterms:modified xsi:type="dcterms:W3CDTF">2019-12-20T22:38:39Z</dcterms:modified>
</cp:coreProperties>
</file>