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APPLICATIONS FOR QUALIFICATION OF INDENTURES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Issued Under the Indenture to be Qualified</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4"/>
              </w:rPr>
              <w:t>Title of Class</w:t>
            </w:r>
          </w:p>
        </w:tc>
        <w:tc>
          <w:tcPr>
            <w:tcW w:w="36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Amount</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 Senior Unsecured Notes Due 2024</w:t>
            </w:r>
          </w:p>
        </w:tc>
        <w:tc>
          <w:tcPr>
            <w:tcW w:w="20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tcPr>
          <w:p>
            <w:pPr>
              <w:jc w:val="right"/>
              <w:ind w:right="2059"/>
              <w:spacing w:after="0"/>
              <w:rPr>
                <w:sz w:val="20"/>
                <w:szCs w:val="20"/>
                <w:color w:val="auto"/>
              </w:rPr>
            </w:pPr>
            <w:r>
              <w:rPr>
                <w:rFonts w:ascii="Arial" w:cs="Arial" w:eastAsia="Arial" w:hAnsi="Arial"/>
                <w:sz w:val="18"/>
                <w:szCs w:val="18"/>
                <w:b w:val="1"/>
                <w:bCs w:val="1"/>
                <w:color w:val="auto"/>
              </w:rPr>
              <w:t>$1,250,000,000**</w:t>
            </w:r>
          </w:p>
        </w:tc>
      </w:tr>
      <w:tr>
        <w:trPr>
          <w:trHeight w:val="414"/>
        </w:trPr>
        <w:tc>
          <w:tcPr>
            <w:tcW w:w="7740" w:type="dxa"/>
            <w:vAlign w:val="bottom"/>
            <w:gridSpan w:val="3"/>
          </w:tcPr>
          <w:p>
            <w:pPr>
              <w:ind w:left="3920"/>
              <w:spacing w:after="0"/>
              <w:rPr>
                <w:sz w:val="20"/>
                <w:szCs w:val="20"/>
                <w:color w:val="auto"/>
              </w:rPr>
            </w:pPr>
            <w:r>
              <w:rPr>
                <w:rFonts w:ascii="Arial" w:cs="Arial" w:eastAsia="Arial" w:hAnsi="Arial"/>
                <w:sz w:val="18"/>
                <w:szCs w:val="18"/>
                <w:b w:val="1"/>
                <w:bCs w:val="1"/>
                <w:color w:val="auto"/>
                <w:w w:val="95"/>
              </w:rPr>
              <w:t>Approximate date of proposed public offering:</w:t>
            </w:r>
          </w:p>
        </w:tc>
        <w:tc>
          <w:tcPr>
            <w:tcW w:w="3680" w:type="dxa"/>
            <w:vAlign w:val="bottom"/>
          </w:tcPr>
          <w:p>
            <w:pPr>
              <w:spacing w:after="0"/>
              <w:rPr>
                <w:sz w:val="24"/>
                <w:szCs w:val="24"/>
                <w:color w:val="auto"/>
              </w:rPr>
            </w:pPr>
          </w:p>
        </w:tc>
      </w:tr>
    </w:tbl>
    <w:p>
      <w:pPr>
        <w:spacing w:after="0" w:line="198" w:lineRule="exact"/>
        <w:rPr>
          <w:sz w:val="24"/>
          <w:szCs w:val="24"/>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auto"/>
        </w:rPr>
        <w:t>As soon as practicable after court approval of a rights offering for such securities pursuant to the Joint Prepackaged Plan of Reorganization of Weatherford International plc and its Affiliate Debtors under Chapter 11 of the Bankruptcy Code (as amended or supplemented, the “</w:t>
      </w:r>
      <w:r>
        <w:rPr>
          <w:rFonts w:ascii="Arial" w:cs="Arial" w:eastAsia="Arial" w:hAnsi="Arial"/>
          <w:sz w:val="18"/>
          <w:szCs w:val="18"/>
          <w:b w:val="1"/>
          <w:bCs w:val="1"/>
          <w:i w:val="1"/>
          <w:iCs w:val="1"/>
          <w:color w:val="auto"/>
        </w:rPr>
        <w:t>Plan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Reorganization</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191770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5"/>
              </w:rPr>
              <w:t>Christina M. Ibrahim</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Copies to:</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Weatherford International plc</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Ryan J. Maierson</w:t>
            </w:r>
          </w:p>
        </w:tc>
      </w:tr>
      <w:tr>
        <w:trPr>
          <w:trHeight w:val="216"/>
        </w:trPr>
        <w:tc>
          <w:tcPr>
            <w:tcW w:w="5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John M. Greer</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Chief Compliance Officer and Corporate Secretary</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2000 St. James Place</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Houston, Texas 77056</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Houston, Texas 77002</w:t>
            </w:r>
          </w:p>
        </w:tc>
      </w:tr>
      <w:tr>
        <w:trPr>
          <w:trHeight w:val="220"/>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2"/>
              </w:rPr>
              <w:t>(713) 836-4000</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(713) 546-5400</w:t>
            </w:r>
          </w:p>
        </w:tc>
      </w:tr>
      <w:tr>
        <w:trPr>
          <w:trHeight w:val="230"/>
        </w:trPr>
        <w:tc>
          <w:tcPr>
            <w:tcW w:w="5340" w:type="dxa"/>
            <w:vAlign w:val="bottom"/>
          </w:tcPr>
          <w:p>
            <w:pPr>
              <w:jc w:val="center"/>
              <w:ind w:right="1310"/>
              <w:spacing w:after="0"/>
              <w:rPr>
                <w:sz w:val="20"/>
                <w:szCs w:val="20"/>
                <w:color w:val="auto"/>
              </w:rPr>
            </w:pPr>
            <w:r>
              <w:rPr>
                <w:rFonts w:ascii="Arial" w:cs="Arial" w:eastAsia="Arial" w:hAnsi="Arial"/>
                <w:sz w:val="18"/>
                <w:szCs w:val="18"/>
                <w:color w:val="auto"/>
                <w:w w:val="91"/>
              </w:rPr>
              <w:t>(Name and Address of Agent for Service)</w:t>
            </w:r>
          </w:p>
        </w:tc>
        <w:tc>
          <w:tcPr>
            <w:tcW w:w="3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Co-Applicants listed on the following page are also included in this application as Applicants.</w:t>
      </w:r>
    </w:p>
    <w:p>
      <w:pPr>
        <w:spacing w:after="0" w:line="23"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of the Notes to be issued by each Co-Applicant will be disclosed in an amendment to this application.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Amendment No. 1 to Form T-3 (this “</w:t>
      </w:r>
      <w:r>
        <w:rPr>
          <w:rFonts w:ascii="Arial" w:cs="Arial" w:eastAsia="Arial" w:hAnsi="Arial"/>
          <w:sz w:val="18"/>
          <w:szCs w:val="18"/>
          <w:b w:val="1"/>
          <w:bCs w:val="1"/>
          <w:color w:val="auto"/>
        </w:rPr>
        <w:t>Amendment</w:t>
      </w:r>
      <w:r>
        <w:rPr>
          <w:rFonts w:ascii="Arial" w:cs="Arial" w:eastAsia="Arial" w:hAnsi="Arial"/>
          <w:sz w:val="18"/>
          <w:szCs w:val="18"/>
          <w:color w:val="auto"/>
        </w:rPr>
        <w:t>”) is being filed on behalf of Weatherford International, LLC, Weatherford International Ltd. and their affiliates expected to be guarantors of the [ ]% Senior Unsecured Notes due 2024 (collectively, the “</w:t>
      </w:r>
      <w:r>
        <w:rPr>
          <w:rFonts w:ascii="Arial" w:cs="Arial" w:eastAsia="Arial" w:hAnsi="Arial"/>
          <w:sz w:val="18"/>
          <w:szCs w:val="18"/>
          <w:b w:val="1"/>
          <w:bCs w:val="1"/>
          <w:color w:val="auto"/>
        </w:rPr>
        <w:t>Applicants</w:t>
      </w:r>
      <w:r>
        <w:rPr>
          <w:rFonts w:ascii="Arial" w:cs="Arial" w:eastAsia="Arial" w:hAnsi="Arial"/>
          <w:sz w:val="18"/>
          <w:szCs w:val="18"/>
          <w:color w:val="auto"/>
        </w:rPr>
        <w:t>”). This Amendment is being filed solely to file Exhibits T3B-23, T3B-24, T3B-25, T3B-26, T3E-1, T3E-2 and T3E-3 filed herewith and to update the Index to Exhibits. This Amendment is not intended to amend or delete any other part of the Applicants’ Application for Qualification (the “</w:t>
      </w:r>
      <w:r>
        <w:rPr>
          <w:rFonts w:ascii="Arial" w:cs="Arial" w:eastAsia="Arial" w:hAnsi="Arial"/>
          <w:sz w:val="18"/>
          <w:szCs w:val="18"/>
          <w:b w:val="1"/>
          <w:bCs w:val="1"/>
          <w:color w:val="auto"/>
        </w:rPr>
        <w:t>Application</w:t>
      </w:r>
      <w:r>
        <w:rPr>
          <w:rFonts w:ascii="Arial" w:cs="Arial" w:eastAsia="Arial" w:hAnsi="Arial"/>
          <w:sz w:val="18"/>
          <w:szCs w:val="18"/>
          <w:color w:val="auto"/>
        </w:rPr>
        <w:t>”). All other information in the Application is unchanged and has been omitted from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3"/>
          </w:tcPr>
          <w:p>
            <w:pPr>
              <w:ind w:left="286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w:t>
            </w: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w:t>
            </w:r>
          </w:p>
        </w:tc>
        <w:tc>
          <w:tcPr>
            <w:tcW w:w="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Exhibit 4.7 to the Registration Statement on Form S-3 of Weatherford International Ltd., a Swiss joint-stock corporation (File</w:t>
            </w:r>
          </w:p>
        </w:tc>
        <w:tc>
          <w:tcPr>
            <w:tcW w:w="4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No. 333-194431), filed March 7, 2014)</w:t>
            </w:r>
          </w:p>
        </w:tc>
        <w:tc>
          <w:tcPr>
            <w:tcW w:w="40" w:type="dxa"/>
            <w:vAlign w:val="bottom"/>
          </w:tcPr>
          <w:p>
            <w:pPr>
              <w:spacing w:after="0"/>
              <w:rPr>
                <w:sz w:val="20"/>
                <w:szCs w:val="20"/>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T3A-2*</w:t>
            </w:r>
          </w:p>
        </w:tc>
        <w:tc>
          <w:tcPr>
            <w:tcW w:w="9460" w:type="dxa"/>
            <w:vAlign w:val="bottom"/>
            <w:gridSpan w:val="3"/>
          </w:tcPr>
          <w:p>
            <w:pPr>
              <w:spacing w:after="0"/>
              <w:rPr>
                <w:sz w:val="20"/>
                <w:szCs w:val="20"/>
                <w:color w:val="auto"/>
              </w:rPr>
            </w:pPr>
            <w:r>
              <w:rPr>
                <w:rFonts w:ascii="Arial" w:cs="Arial" w:eastAsia="Arial" w:hAnsi="Arial"/>
                <w:sz w:val="18"/>
                <w:szCs w:val="18"/>
                <w:color w:val="auto"/>
                <w:w w:val="96"/>
              </w:rPr>
              <w:t>Memorandum and Articles of Association of Weatherford International plc, an Irish public limited company (incorporated by</w:t>
            </w:r>
          </w:p>
        </w:tc>
        <w:tc>
          <w:tcPr>
            <w:tcW w:w="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6"/>
              </w:rPr>
              <w:t>reference to Exhibit 3.1 to Weatherford International plc’s Current Report on Form 8-K12B (File No. 1-36504) filed June 17,</w:t>
            </w:r>
          </w:p>
        </w:tc>
        <w:tc>
          <w:tcPr>
            <w:tcW w:w="4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2014)</w:t>
            </w:r>
          </w:p>
        </w:tc>
        <w:tc>
          <w:tcPr>
            <w:tcW w:w="18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T3A-3*</w:t>
            </w: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Memorandum of Association of Weatherford International Ltd., a Bermuda exempted company (incorporated by reference to</w:t>
            </w:r>
          </w:p>
        </w:tc>
        <w:tc>
          <w:tcPr>
            <w:tcW w:w="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9"/>
              </w:rPr>
              <w:t>Annex II to the proxy statement/prospectus included in Amendment No. 1 to the Registration Statement on Form S-4 of</w:t>
            </w:r>
          </w:p>
        </w:tc>
        <w:tc>
          <w:tcPr>
            <w:tcW w:w="4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Weatherford International Ltd., a Bermuda exempted company (File No. 333-85644) filed May 22, 2002)</w:t>
            </w:r>
          </w:p>
        </w:tc>
        <w:tc>
          <w:tcPr>
            <w:tcW w:w="40" w:type="dxa"/>
            <w:vAlign w:val="bottom"/>
          </w:tcPr>
          <w:p>
            <w:pPr>
              <w:spacing w:after="0"/>
              <w:rPr>
                <w:sz w:val="20"/>
                <w:szCs w:val="20"/>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T3A-4*</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Advantage R &amp; D, Inc.,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T3A-5*</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Benmore In-Depth Corp.,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T3A-6*</w:t>
            </w:r>
          </w:p>
        </w:tc>
        <w:tc>
          <w:tcPr>
            <w:tcW w:w="9460" w:type="dxa"/>
            <w:vAlign w:val="bottom"/>
            <w:gridSpan w:val="3"/>
          </w:tcPr>
          <w:p>
            <w:pPr>
              <w:spacing w:after="0"/>
              <w:rPr>
                <w:sz w:val="20"/>
                <w:szCs w:val="20"/>
                <w:color w:val="auto"/>
              </w:rPr>
            </w:pPr>
            <w:r>
              <w:rPr>
                <w:rFonts w:ascii="Arial" w:cs="Arial" w:eastAsia="Arial" w:hAnsi="Arial"/>
                <w:sz w:val="18"/>
                <w:szCs w:val="18"/>
                <w:color w:val="auto"/>
              </w:rPr>
              <w:t>Amended and Restated Articles of Incorporation of Case Services,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T3A-7*</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Colombia Petroleum Services Corp.,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T3A-8*</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Columbia Oilfield Supply, Inc.,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T3A-9*</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Datalog Acquisition, LLC, a Delaware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T3A-10*</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Discovery Logging,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T3A-11*</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Edinburgh Petroleum Services Americas Incorporated,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T3A-12*</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eProduction Solutions, LLC, a Texas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T3A-13*</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High Pressure Integrity, Inc., a Louisiana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T3A-14*</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In-Depth Systems,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T3A-15*</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Organization of International Logging LLC, a California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T3A-16*</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Organization of International Logging S.A., LLC, a Nevada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T3A-17*</w:t>
            </w:r>
          </w:p>
        </w:tc>
        <w:tc>
          <w:tcPr>
            <w:tcW w:w="9460" w:type="dxa"/>
            <w:vAlign w:val="bottom"/>
            <w:gridSpan w:val="3"/>
          </w:tcPr>
          <w:p>
            <w:pPr>
              <w:spacing w:after="0"/>
              <w:rPr>
                <w:sz w:val="20"/>
                <w:szCs w:val="20"/>
                <w:color w:val="auto"/>
              </w:rPr>
            </w:pPr>
            <w:r>
              <w:rPr>
                <w:rFonts w:ascii="Arial" w:cs="Arial" w:eastAsia="Arial" w:hAnsi="Arial"/>
                <w:sz w:val="18"/>
                <w:szCs w:val="18"/>
                <w:color w:val="auto"/>
              </w:rPr>
              <w:t>Memorandum of Association of Key International Drilling Company Limited, a Bermuda exempted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T3A-18*</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Limited Partnership of PD Holdings (USA), L.P., a Delaware limited partnership, as amended</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T3A-19*</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Precision Drilling GP, LLC, a Delaware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T3A-20*</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Precision Energy International Ltd., an Alberta corporation</w:t>
            </w:r>
          </w:p>
        </w:tc>
        <w:tc>
          <w:tcPr>
            <w:tcW w:w="40" w:type="dxa"/>
            <w:vAlign w:val="bottom"/>
          </w:tcPr>
          <w:p>
            <w:pPr>
              <w:spacing w:after="0"/>
              <w:rPr>
                <w:sz w:val="24"/>
                <w:szCs w:val="24"/>
                <w:color w:val="auto"/>
              </w:rPr>
            </w:pPr>
          </w:p>
        </w:tc>
      </w:tr>
      <w:tr>
        <w:trPr>
          <w:trHeight w:val="348"/>
        </w:trPr>
        <w:tc>
          <w:tcPr>
            <w:tcW w:w="1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T3A-21*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Precision Energy Services Colombia Ltd., an Alberta corporation,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T3A-22*</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Certificate of Amendment and Registration of Restated Articles of Precision Energy Services ULC, an Alberta unlimited liability</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Precision Energy Services, Inc., a Delaware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T3A-24*</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Certificate of Limited Partnership of Precision Oilfield Services, LLP, a Texas registered limited liability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T3A-25*</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Sabre Drilling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T3A-26*</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Stealth Oil &amp; Gas,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T3A-27*</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Tooke Rockies, Inc., a Wyoming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Visean Information Services Inc., a Texas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Articles of Incorporation of Visual Systems, Inc., a California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T3A-30*</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Warrior Well Services, Inc., an Illinois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T3A-31*</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(Nova Scotia) ULC, a Nova Scotia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T3A-32*</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(PTWI)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Artificial Lift Systems,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T3A-34*</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 Australia Pty Limited, an Australian proprietary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T3A-35*</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Bermuda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T3A-36*</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Amendment and Registration of Restated Articles of Weatherford Canada Ltd., an Alberta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T3A-37*</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Memorandum of Association of Weatherford Colombia Limited,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DISC Inc., a Nevada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T3A-39*</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Memorandum of Association of Weatherford Drilling International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T3A-40*</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of Association of Weatherford Drilling International Holdings (BVI) Ltd., a British Virgin</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Islands 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Eurasia Limited, an England corporation, as amended</w:t>
            </w:r>
          </w:p>
        </w:tc>
      </w:tr>
      <w:tr>
        <w:trPr>
          <w:trHeight w:val="348"/>
        </w:trPr>
        <w:tc>
          <w:tcPr>
            <w:tcW w:w="160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T3A-42*</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European Holdings (Luxembourg) S.á r.l, a Luxembourg private</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Organization of Weatherford Global Services LLC, a Louisiana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T3A-44*</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Holdings (Bermuda) Ltd., a Bermuda exempted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T3A-45*</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of Association of Weatherford Holdings (BVI) Ltd.,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T3A-46*</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Holdings (Switzerland)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T3A-47*</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Holdings U.S. LLC, a Delaware limited liability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T3A-48*</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Amended and Restated Articles of Association of Weatherford International (Luxembourg) Holdings S.á r.l, a Luxembourg private</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T3A-49*</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International Holding (Bermuda)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T3A-50*</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Investment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T3A-51*</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 Investment Inc., a Delaware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T3A-52*</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Latin America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Management Company Switzerland Sárl,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T3A-54*</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Management,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T3A-55*</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Netherlands B.V., a Netherlands private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T3A-56*</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Norge AS, a Norway limited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T3A-57*</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Amended and Restated Memorandum of Association of Weatherford Oil Tool Middle East Limited,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T3A-58*</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Pangaea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T3A-59*</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Products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T3A-60*</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Services S. de R.L., a Panama corporation, as amended</w:t>
            </w:r>
          </w:p>
        </w:tc>
      </w:tr>
      <w:tr>
        <w:trPr>
          <w:trHeight w:val="348"/>
        </w:trPr>
        <w:tc>
          <w:tcPr>
            <w:tcW w:w="160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T3A-61*</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Services,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T3A-62*</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Articles of Association of Weatherford Switzerland Trading and Development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Technology Holdings, LLC, a Delaware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T3A-64*</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U.K. Limited, an England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T3A-65*</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U.S. Holdings, L.L.C., a Delaware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T3A-66*</w:t>
            </w:r>
          </w:p>
        </w:tc>
        <w:tc>
          <w:tcPr>
            <w:tcW w:w="9860" w:type="dxa"/>
            <w:vAlign w:val="bottom"/>
          </w:tcPr>
          <w:p>
            <w:pPr>
              <w:ind w:left="360"/>
              <w:spacing w:after="0"/>
              <w:rPr>
                <w:sz w:val="20"/>
                <w:szCs w:val="20"/>
                <w:color w:val="auto"/>
              </w:rPr>
            </w:pPr>
            <w:r>
              <w:rPr>
                <w:rFonts w:ascii="Arial" w:cs="Arial" w:eastAsia="Arial" w:hAnsi="Arial"/>
                <w:sz w:val="18"/>
                <w:szCs w:val="18"/>
                <w:color w:val="auto"/>
              </w:rPr>
              <w:t>Louisiana Partnership Registration Form of Weatherford U.S., L.P., a Louisiana limited partnership</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T3A-67*</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URS Holdings,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Worldwide Holdings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T3A-69*</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Weatherford/Lamb,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T3A-70*</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WEUS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T3A-71*</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WIHBV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T3A-72*</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WOFS Assurance Limited,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WOFS International Finance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T3A-74*</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WOFS Swiss Finance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T3A-75*</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WUS Holding, L.L.C., a Delaware limited liability company,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T3B-1*</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Limited Liability Company Agreement of Weatherford International, LLC, a Delaware limited liability company (incorporated by</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9"/>
              </w:rPr>
              <w:t>reference to Exhibit 4.8 to the Registration Statement on Form S-3 of Weatherford International Ltd., a Swiss joint-stock</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 (File No. 333-194431), filed March 7, 2014)</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T3B-2*</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Bye-Laws of Weatherford International Ltd., a Bermuda exempted company, as amended on May 10, 2016 (incorporated by</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reference to Exhibit 3.4 to the Registration Statement on Form S-3 of Weatherford International plc (File No. 333-216034) filed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February 13, 2017)</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Advantage R &amp; D,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Benmore In-Depth Corp.,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Case Services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Colombia Petroleum Services Corp., a Delaware corporation</w:t>
            </w:r>
          </w:p>
        </w:tc>
      </w:tr>
      <w:tr>
        <w:trPr>
          <w:trHeight w:val="348"/>
        </w:trPr>
        <w:tc>
          <w:tcPr>
            <w:tcW w:w="160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T3B-7*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Columbia Oilfield Supply,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T3B-8*</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Limited Liability Company Agreement of Datalog Acquisition,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T3B-9*</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Discovery Logging,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Edinburgh Petroleum Services Americas Incorporated,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T3B-11*</w:t>
            </w:r>
          </w:p>
        </w:tc>
        <w:tc>
          <w:tcPr>
            <w:tcW w:w="9860" w:type="dxa"/>
            <w:vAlign w:val="bottom"/>
          </w:tcPr>
          <w:p>
            <w:pPr>
              <w:ind w:left="360"/>
              <w:spacing w:after="0"/>
              <w:rPr>
                <w:sz w:val="20"/>
                <w:szCs w:val="20"/>
                <w:color w:val="auto"/>
              </w:rPr>
            </w:pPr>
            <w:r>
              <w:rPr>
                <w:rFonts w:ascii="Arial" w:cs="Arial" w:eastAsia="Arial" w:hAnsi="Arial"/>
                <w:sz w:val="18"/>
                <w:szCs w:val="18"/>
                <w:color w:val="auto"/>
              </w:rPr>
              <w:t>Company Agreement of eProduction Solutions, LLC, a Texas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T3B-12*</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High Pressure Integrity, Inc., a Louisiana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T3B-13*</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In-Depth Systems,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T3B-14*</w:t>
            </w:r>
          </w:p>
        </w:tc>
        <w:tc>
          <w:tcPr>
            <w:tcW w:w="9860" w:type="dxa"/>
            <w:vAlign w:val="bottom"/>
          </w:tcPr>
          <w:p>
            <w:pPr>
              <w:ind w:left="360"/>
              <w:spacing w:after="0"/>
              <w:rPr>
                <w:sz w:val="20"/>
                <w:szCs w:val="20"/>
                <w:color w:val="auto"/>
              </w:rPr>
            </w:pPr>
            <w:r>
              <w:rPr>
                <w:rFonts w:ascii="Arial" w:cs="Arial" w:eastAsia="Arial" w:hAnsi="Arial"/>
                <w:sz w:val="18"/>
                <w:szCs w:val="18"/>
                <w:color w:val="auto"/>
              </w:rPr>
              <w:t>Operating Agreement of International Logging LLC, a California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T3B-15*</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Limited-Liability Company Agreement of International Logging S.A., LLC, a Nevada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T3B-16*</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Key International Drilling Company Limited,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T3B-17*</w:t>
            </w:r>
          </w:p>
        </w:tc>
        <w:tc>
          <w:tcPr>
            <w:tcW w:w="9860" w:type="dxa"/>
            <w:vAlign w:val="bottom"/>
          </w:tcPr>
          <w:p>
            <w:pPr>
              <w:ind w:left="360"/>
              <w:spacing w:after="0"/>
              <w:rPr>
                <w:sz w:val="20"/>
                <w:szCs w:val="20"/>
                <w:color w:val="auto"/>
              </w:rPr>
            </w:pPr>
            <w:r>
              <w:rPr>
                <w:rFonts w:ascii="Arial" w:cs="Arial" w:eastAsia="Arial" w:hAnsi="Arial"/>
                <w:sz w:val="18"/>
                <w:szCs w:val="18"/>
                <w:color w:val="auto"/>
              </w:rPr>
              <w:t>Agreement of Limited Partnership of PD Holdings (USA), L.P., a Delaware limited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T3B-18*</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Precision Drilling GP,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T3B-19*</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Precision Energy International Ltd., an Alberta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Number 1 of Precision Energy Services Colombia Ltd., an Alberta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T3B-21*</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Precision Energy Services ULC, an Alberta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T3B-22*</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2 of Precision Energy Services ULC, an Alberta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T3B-23</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Precision Energy Services,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T3B-24</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Agreement of Limited Partnership of Precision Oilfield Services, LLP, a Texas registered limited liability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Sabre Drilling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Stealth Oil &amp; Gas,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Took Rockies, Inc., a Wyoming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T3B-28*</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Visean Information Services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Visual Systems, Inc., a California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Warrior Well Services, Inc., an Illinois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(Nova Scotia) ULC, a Nova Scotia unlimited liability corporation</w:t>
            </w:r>
          </w:p>
        </w:tc>
      </w:tr>
      <w:tr>
        <w:trPr>
          <w:trHeight w:val="348"/>
        </w:trPr>
        <w:tc>
          <w:tcPr>
            <w:tcW w:w="160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T3B-32*</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Weatherford (PTWI), L.L.C., a Delaware limited liability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T3B-33*</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Limited Liability Company Agreement of Weatherford Artificial Lift Systems, LLC, a Delaware limited liability company, as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T3B-34*</w:t>
            </w:r>
          </w:p>
        </w:tc>
        <w:tc>
          <w:tcPr>
            <w:tcW w:w="9860" w:type="dxa"/>
            <w:vAlign w:val="bottom"/>
          </w:tcPr>
          <w:p>
            <w:pPr>
              <w:ind w:left="360"/>
              <w:spacing w:after="0"/>
              <w:rPr>
                <w:sz w:val="20"/>
                <w:szCs w:val="20"/>
                <w:color w:val="auto"/>
              </w:rPr>
            </w:pPr>
            <w:r>
              <w:rPr>
                <w:rFonts w:ascii="Arial" w:cs="Arial" w:eastAsia="Arial" w:hAnsi="Arial"/>
                <w:sz w:val="18"/>
                <w:szCs w:val="18"/>
                <w:color w:val="auto"/>
              </w:rPr>
              <w:t>Constitution of Weatherford Australia Pty Limited, an Australian proprietary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Weatherford Bermuda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Weatherford Canada Ltd., an Alberta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T3B-37*</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Colombia Limited, a British Virgin Islands international business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T3B-38*</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Weatherford DISC Inc., a Nevada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Articles of Association of Weatherford Drilling International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T3B-40*</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Drilling International Holdings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T3B-41*</w:t>
            </w:r>
          </w:p>
        </w:tc>
        <w:tc>
          <w:tcPr>
            <w:tcW w:w="9860" w:type="dxa"/>
            <w:vAlign w:val="bottom"/>
          </w:tcPr>
          <w:p>
            <w:pPr>
              <w:ind w:left="360"/>
              <w:spacing w:after="0"/>
              <w:rPr>
                <w:sz w:val="20"/>
                <w:szCs w:val="20"/>
                <w:color w:val="auto"/>
              </w:rPr>
            </w:pPr>
            <w:r>
              <w:rPr>
                <w:rFonts w:ascii="Arial" w:cs="Arial" w:eastAsia="Arial" w:hAnsi="Arial"/>
                <w:sz w:val="18"/>
                <w:szCs w:val="18"/>
                <w:color w:val="auto"/>
              </w:rPr>
              <w:t>Regulations of Weatherford Global Services LLC, a Louisiana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T3B-42*</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Holdings (Bermuda) Ltd., a Bermuda exempted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T3B-43*</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Articles of Association of Weatherford Holdings (BVI) Ltd., a British Virgin Islands international business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T3B-44*</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Second Amended and Restated Limited Liability Company Agreement of Weatherford Holdings U.S. LLC, a Delaware limited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T3B-45*</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International Holdings (Bermuda)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T3B-46*</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Weatherford Investment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Weatherford Investment Inc., a Delaware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T3B-48*</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Limited Liability Company Agreement of Weatherford Latin America LLC, a Delaware limited liability</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T3B-49*</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Limited Liability Company Agreement of Weatherford Management, LLC, a Delaware limited liability company,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T3B-50*</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Articles of Association of Weatherford Oil Tool Middle East Limited,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T3B-51*</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Pangaea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T3B-52*</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Weatherford Services, Ltd., a Bermuda exempted</w:t>
            </w:r>
          </w:p>
        </w:tc>
      </w:tr>
      <w:tr>
        <w:trPr>
          <w:trHeight w:val="348"/>
        </w:trPr>
        <w:tc>
          <w:tcPr>
            <w:tcW w:w="160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spacing w:after="0" w:line="200" w:lineRule="exact"/>
        <w:rPr>
          <w:sz w:val="20"/>
          <w:szCs w:val="20"/>
          <w:color w:val="auto"/>
        </w:rPr>
      </w:pPr>
    </w:p>
    <w:p>
      <w:pPr>
        <w:spacing w:after="0" w:line="232" w:lineRule="exact"/>
        <w:rPr>
          <w:sz w:val="20"/>
          <w:szCs w:val="20"/>
          <w:color w:val="auto"/>
        </w:rPr>
      </w:pPr>
    </w:p>
    <w:p>
      <w:pPr>
        <w:spacing w:after="0" w:line="552" w:lineRule="auto"/>
        <w:rPr>
          <w:sz w:val="20"/>
          <w:szCs w:val="20"/>
          <w:color w:val="auto"/>
        </w:rPr>
      </w:pPr>
      <w:r>
        <w:rPr>
          <w:rFonts w:ascii="Arial" w:cs="Arial" w:eastAsia="Arial" w:hAnsi="Arial"/>
          <w:sz w:val="18"/>
          <w:szCs w:val="18"/>
          <w:color w:val="auto"/>
        </w:rPr>
        <w:t>Exhibit T3B-53* Exhibit T3B-54* Exhibit T3B-55* Exhibit T3B-56* Exhibit T3B-57* Exhibit T3B-58* Exhibit T3B-59* Exhibit T3B-60* Exhibit T3B-61* Exhibit T3C-1* Exhibit T3C-2* Exhibit T3D Exhibit T3E-1*** Exhibit T3E-2 Exhibit T3E-3 Exhibit T3F-1* Exhibit T3F-2* Exhibit 25.1* Exhibit 99.1** Exhibit 99.2*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Agreement of Weatherford Technology Holdings, LLC, a Delaware limited liability company,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Third Amended and Restated Limited Liability Company Agreement of Weatherford U.S. Holdings, L.L.C., a Delaware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Articles of Partnership in Commendam of Weatherford U.S., L.P., a Louisiana limited partnership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Weatherford URS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Bylaws of Weatherford/Lamb,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WEUS Holding, LLC, a Delaware limited liability company,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WIHBV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Bye-Laws of WOFS Assurance limited, a Bermuda exempted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WUS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Governing the 2024 Notes to be issued by Weatherford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Governing the 2024 Notes to be issued by Weatherford 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for the Joint Prepackaged Plan of Reorganization of Weatherford International plc and its Affiliate Debtors,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Joint Prepackaged Plan of Reorganization of Weatherford International plc and its Affiliate Debtors, dated June 28, 2019</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Backstop Commitment Agreement among Weatherford International plc, the other Debtors and the Commitment Parties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 dated July 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Cross-reference sheet (included in Exhibit T3C-1)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Cross-reference sheet (included in Exhibit T3C-1)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T-1 qualifying the Trustee under each Indenture to be qualified pursuant to this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Chart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Executive Officers and Capitalization of each Applicant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Owners of Voting Securities of each Applicant</w:t>
      </w:r>
    </w:p>
    <w:p>
      <w:pPr>
        <w:spacing w:after="0" w:line="454" w:lineRule="exact"/>
        <w:rPr>
          <w:sz w:val="20"/>
          <w:szCs w:val="20"/>
          <w:color w:val="auto"/>
        </w:rPr>
      </w:pPr>
    </w:p>
    <w:p>
      <w:pPr>
        <w:sectPr>
          <w:pgSz w:w="11900" w:h="16838" w:orient="portrait"/>
          <w:cols w:equalWidth="0" w:num="2">
            <w:col w:w="1300" w:space="660"/>
            <w:col w:w="9300"/>
          </w:cols>
          <w:pgMar w:left="240" w:top="341" w:right="399" w:bottom="1440" w:gutter="0" w:footer="0" w:header="0"/>
        </w:sect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previously.</w:t>
      </w:r>
    </w:p>
    <w:p>
      <w:pPr>
        <w:spacing w:after="0" w:line="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Post Effective Date Organizational Chart to be filed by amendment. Current Organizational Chart filed previously.</w:t>
      </w:r>
    </w:p>
    <w:p>
      <w:pPr>
        <w:spacing w:after="0" w:line="32" w:lineRule="exact"/>
        <w:rPr>
          <w:rFonts w:ascii="Arial" w:cs="Arial" w:eastAsia="Arial" w:hAnsi="Arial"/>
          <w:sz w:val="16"/>
          <w:szCs w:val="16"/>
          <w:color w:val="auto"/>
        </w:rPr>
      </w:pPr>
    </w:p>
    <w:p>
      <w:pPr>
        <w:ind w:left="460" w:right="2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exhibits related to the attached Disclosure Statement within this Amendment No. 1 to Form T-3 are available at http://www.primeclerk.com/Weatherford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1st day of July,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INTERNATIONAL, LLC</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Christine M. Morrison</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Christine M. Morrison</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 for Sole Member,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Weatherford U.S. Holdings, L.L.C.</w:t>
            </w: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1st day of July, 2019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INTERNATIONAL, LTD.</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Christine M. Morrison</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Mohammed Dadhiwala</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1st day of July, 2019.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(SEAL)</w:t>
            </w: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ADVANTAGE R&amp;D,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BENMORE IN-DEPTH CORP.</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CASE SERVICES,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COLOMBIA PETROLEUM SERVICES CORP.</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COLUMBIA OILFIELD SUPPLY,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DATALOG ACQUISITION, LLC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DISCOVERY LOGGING,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EDINBURGH PETROLEUM SERVICES AMERICAS</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INCORPORATED</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EPRODUCTION SOLUTIONS, LLC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HIGH PRESSURE INTEGRITY,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IN-DEPTH SYSTEMS,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INTERNATIONAL LOGGING LLC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INTERNATIONAL LOGGING S.A., LLC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PD HOLDINGS (USA), L.P.</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PRECISION DRILLING GP, LLC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PRECISION ENERGY SERVICES,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PRECISION OILFIELD SERVICES, LLP</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STEALTH OIL &amp; GAS,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VISEAN INFORMATION SERVICES INC.</w:t>
            </w:r>
          </w:p>
        </w:tc>
      </w:tr>
      <w:tr>
        <w:trPr>
          <w:trHeight w:val="216"/>
        </w:trPr>
        <w:tc>
          <w:tcPr>
            <w:tcW w:w="3200" w:type="dxa"/>
            <w:vAlign w:val="bottom"/>
          </w:tcPr>
          <w:p>
            <w:pPr>
              <w:spacing w:after="0"/>
              <w:rPr>
                <w:sz w:val="18"/>
                <w:szCs w:val="18"/>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WEATHERFORD (PTWI), L.L.C.</w:t>
            </w:r>
          </w:p>
        </w:tc>
      </w:tr>
      <w:tr>
        <w:trPr>
          <w:trHeight w:val="234"/>
        </w:trPr>
        <w:tc>
          <w:tcPr>
            <w:tcW w:w="3200" w:type="dxa"/>
            <w:vAlign w:val="bottom"/>
          </w:tcPr>
          <w:p>
            <w:pPr>
              <w:spacing w:after="0"/>
              <w:rPr>
                <w:sz w:val="20"/>
                <w:szCs w:val="20"/>
                <w:color w:val="auto"/>
              </w:rPr>
            </w:pPr>
          </w:p>
        </w:tc>
        <w:tc>
          <w:tcPr>
            <w:tcW w:w="8260" w:type="dxa"/>
            <w:vAlign w:val="bottom"/>
          </w:tcPr>
          <w:p>
            <w:pPr>
              <w:ind w:left="2620"/>
              <w:spacing w:after="0"/>
              <w:rPr>
                <w:sz w:val="20"/>
                <w:szCs w:val="20"/>
                <w:color w:val="auto"/>
              </w:rPr>
            </w:pPr>
            <w:r>
              <w:rPr>
                <w:rFonts w:ascii="Arial" w:cs="Arial" w:eastAsia="Arial" w:hAnsi="Arial"/>
                <w:sz w:val="18"/>
                <w:szCs w:val="18"/>
                <w:b w:val="1"/>
                <w:bCs w:val="1"/>
                <w:color w:val="auto"/>
              </w:rPr>
              <w:t>WEATHERFORD ARTIFICIAL LIFT SYSTEMS, LLC</w:t>
            </w:r>
          </w:p>
        </w:tc>
      </w:tr>
      <w:tr>
        <w:trPr>
          <w:trHeight w:val="348"/>
        </w:trPr>
        <w:tc>
          <w:tcPr>
            <w:tcW w:w="320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DISC INC.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GLOBAL SERVICES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HOLDINGS U.S.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INVESTMENT HOLDING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INVESTMENT INC.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LATIN AMERICA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MANAGEMENT,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TECHNOLOGY HOLDINGS,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U.S. HOLDINGS,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U.S., L.P.</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 URS HOLDINGS,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WEATHERFORD/LAMB, INC.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WEUS HOLDING, LLC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WIHBV LLC</w:t>
            </w:r>
          </w:p>
        </w:tc>
        <w:tc>
          <w:tcPr>
            <w:tcW w:w="44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b w:val="1"/>
                <w:bCs w:val="1"/>
                <w:color w:val="auto"/>
              </w:rPr>
              <w:t>WUS HOLDING, L.L.C.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Joshua S. Silverman</w:t>
            </w:r>
          </w:p>
        </w:tc>
        <w:tc>
          <w:tcPr>
            <w:tcW w:w="7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630"/>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TOOKE ROCKIES, INC.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VISUAL SYSTEMS, INC.</w:t>
            </w: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WARRIOR WELL SERVICES, INC.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Joshua S. Silverman</w:t>
            </w:r>
          </w:p>
        </w:tc>
        <w:tc>
          <w:tcPr>
            <w:tcW w:w="7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SERVICES, LTD.</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c>
          <w:tcPr>
            <w:tcW w:w="7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SERVICES S. DE R.L.</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 for Member,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Weatherford Worldwide Holdings GmbH</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1st day of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KEY INTERNATIONAL DRILLING COMPANY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DRILLING INTERNATIONAL (BVI) LTD.</w:t>
      </w:r>
    </w:p>
    <w:p>
      <w:pPr>
        <w:spacing w:after="0" w:line="200" w:lineRule="exact"/>
        <w:rPr>
          <w:sz w:val="20"/>
          <w:szCs w:val="20"/>
          <w:color w:val="auto"/>
        </w:rPr>
      </w:pPr>
    </w:p>
    <w:p>
      <w:pPr>
        <w:sectPr>
          <w:pgSz w:w="11900" w:h="16838" w:orient="portrait"/>
          <w:cols w:equalWidth="0" w:num="2">
            <w:col w:w="5120" w:space="720"/>
            <w:col w:w="5580"/>
          </w:cols>
          <w:pgMar w:left="240" w:top="337"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Christine M. Morrison</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Andrew David Gold</w:t>
      </w:r>
    </w:p>
    <w:p>
      <w:pPr>
        <w:spacing w:after="0" w:line="46" w:lineRule="exact"/>
        <w:rPr>
          <w:sz w:val="20"/>
          <w:szCs w:val="20"/>
          <w:color w:val="auto"/>
        </w:rPr>
      </w:pPr>
    </w:p>
    <w:p>
      <w:pPr>
        <w:sectPr>
          <w:pgSz w:w="11900" w:h="16838" w:orient="portrait"/>
          <w:cols w:equalWidth="0" w:num="3">
            <w:col w:w="480" w:space="320"/>
            <w:col w:w="4320" w:space="720"/>
            <w:col w:w="55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David Gold</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630"/>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SABRE DRILLING LTD.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BERMUDA HOLDINGS LTD.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COLOMBIA LIMITED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DRILLING INTERNATIONAL HOLDINGS (BVI)</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b w:val="1"/>
                <w:bCs w:val="1"/>
                <w:color w:val="auto"/>
              </w:rPr>
              <w:t>LTD.</w:t>
            </w:r>
          </w:p>
        </w:tc>
        <w:tc>
          <w:tcPr>
            <w:tcW w:w="6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HOLDINGS (BERMUDA) LTD.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INTERNATIONAL HOLDING (BERMUDA) LTD.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PANGAEA HOLDINGS LTD.</w:t>
            </w: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WOFS ASSURANCE LIMITED</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Vice President</w:t>
            </w:r>
          </w:p>
        </w:tc>
      </w:tr>
      <w:tr>
        <w:trPr>
          <w:trHeight w:val="630"/>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HOLDINGS (BVI) LTD.</w:t>
            </w: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OIL TOOL MIDDLE EAST LIMITED</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1st day of July, 2019.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PRECISION ENERGY INTERNATIONAL LTD.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PRECISION ENERGY SERVICES COLOMBIA LTD.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PRECISION ENERGY SERVICES ULC</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(NOVA SCOTIA) ULC</w:t>
            </w: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CANADA LTD.</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Pamela M. Webb</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J. David Reed</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Pamela M. Webb</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1st day of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2" w:name="page13"/>
    <w:bookmarkEnd w:id="12"/>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WEATHERFORD HOLDINGS (SWITZERLAND) GMBH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MANAGEMENT COMPANY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ectPr>
          <w:pgSz w:w="11900" w:h="16838" w:orient="portrait"/>
          <w:cols w:equalWidth="0" w:num="2">
            <w:col w:w="5120" w:space="720"/>
            <w:col w:w="5580"/>
          </w:cols>
          <w:pgMar w:left="240" w:top="337"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Cristina Waber</w:t>
      </w:r>
    </w:p>
    <w:p>
      <w:pPr>
        <w:spacing w:after="0" w:line="20" w:lineRule="exact"/>
        <w:rPr>
          <w:sz w:val="20"/>
          <w:szCs w:val="20"/>
          <w:color w:val="auto"/>
        </w:rPr>
      </w:pPr>
      <w:r>
        <w:rPr>
          <w:sz w:val="20"/>
          <w:szCs w:val="20"/>
          <w:color w:val="auto"/>
        </w:rPr>
        <w:br w:type="column"/>
      </w:r>
    </w:p>
    <w:p>
      <w:pPr>
        <w:jc w:val="center"/>
        <w:ind w:right="3640"/>
        <w:spacing w:after="0"/>
        <w:tabs>
          <w:tab w:leader="none" w:pos="24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sectPr>
          <w:pgSz w:w="11900" w:h="16838" w:orient="portrait"/>
          <w:cols w:equalWidth="0" w:num="3">
            <w:col w:w="480" w:space="320"/>
            <w:col w:w="4320" w:space="720"/>
            <w:col w:w="55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Managing Officer</w:t>
            </w:r>
          </w:p>
        </w:tc>
      </w:tr>
      <w:tr>
        <w:trPr>
          <w:trHeight w:val="630"/>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PRODUCTS GMBH</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SWITZERLAND TRADING AND</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DEVELOPMENT GMBH</w:t>
            </w: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WOFS INTERNATIONAL FINANCE GMBH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Managing Officer</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WOFS SWISS FINANCE GMBH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Arjana Cabariu-Truong</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Arjana Cabariu-Truong</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Managing Officer</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(SEAL)</w:t>
            </w:r>
          </w:p>
        </w:tc>
        <w:tc>
          <w:tcPr>
            <w:tcW w:w="4820" w:type="dxa"/>
            <w:vAlign w:val="bottom"/>
          </w:tcPr>
          <w:p>
            <w:pPr>
              <w:spacing w:after="0"/>
              <w:rPr>
                <w:sz w:val="24"/>
                <w:szCs w:val="24"/>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INTERNATIONAL PLC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Attest: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740" w:type="dxa"/>
            <w:vAlign w:val="bottom"/>
          </w:tcPr>
          <w:p>
            <w:pPr>
              <w:ind w:left="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1st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EUROPEAN HOLDINGS (LUXEMBOURG) S.À</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R.L.</w:t>
            </w:r>
          </w:p>
        </w:tc>
        <w:tc>
          <w:tcPr>
            <w:tcW w:w="44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INTERNATIONAL (LUXEMBOURG) HOLDINGS</w:t>
            </w:r>
          </w:p>
        </w:tc>
      </w:tr>
      <w:tr>
        <w:trPr>
          <w:trHeight w:val="234"/>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S.À R.L.</w:t>
            </w:r>
          </w:p>
        </w:tc>
        <w:tc>
          <w:tcPr>
            <w:tcW w:w="446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Cristina Waber</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Mathias Neuenschwander</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Manager A</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1st day of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EURASIA LIMITED</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Richard Strachan</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Neil MacLeod</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Strachan</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Neil MacLeod</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U.K. LIMITED</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Richard Strachan</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Alexander Olsson</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Strachan</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Alexander Olsson</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1st day of July, 2019.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NETHERLANDS B.V.</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Marcus Johannes van Dijk</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August Willem Versteeg</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Marcus Johannes van Dijk</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Willem Versteeg</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1st day of July, 2019.</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NORGE AS</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Arve Eide Haraldsen</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Geir Egil Moller Olsen</w:t>
            </w: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Arve Eide Haraldsen</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Geir Egil Moller Olsen</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Chairman of the Board</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1st day of July, 2019.</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(SEAL)</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WEATHERFORD AUSTRALIA PTY LIMITED</w:t>
            </w:r>
          </w:p>
        </w:tc>
        <w:tc>
          <w:tcPr>
            <w:tcW w:w="4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Attest:    /s/ Antonino Gullotti</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By:   /s/ Robert Antonio DeGasperis</w:t>
            </w:r>
          </w:p>
        </w:tc>
        <w:tc>
          <w:tcPr>
            <w:tcW w:w="4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Antonino Gullotti</w:t>
            </w:r>
          </w:p>
        </w:tc>
        <w:tc>
          <w:tcPr>
            <w:tcW w:w="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Robert Antonio DeGasperis</w:t>
            </w:r>
          </w:p>
        </w:tc>
        <w:tc>
          <w:tcPr>
            <w:tcW w:w="4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Title: Director</w:t>
            </w: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348"/>
        </w:trPr>
        <w:tc>
          <w:tcPr>
            <w:tcW w:w="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 w:name="page15"/>
    <w:bookmarkEnd w:id="14"/>
    <w:p>
      <w:pPr>
        <w:ind w:left="9040"/>
        <w:spacing w:after="0"/>
        <w:rPr>
          <w:sz w:val="20"/>
          <w:szCs w:val="20"/>
          <w:color w:val="auto"/>
        </w:rPr>
      </w:pPr>
      <w:r>
        <w:rPr>
          <w:rFonts w:ascii="Arial" w:cs="Arial" w:eastAsia="Arial" w:hAnsi="Arial"/>
          <w:sz w:val="16"/>
          <w:szCs w:val="16"/>
          <w:b w:val="1"/>
          <w:bCs w:val="1"/>
          <w:color w:val="auto"/>
        </w:rPr>
        <w:t>Exhibit T3B-23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8858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90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49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76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76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84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49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32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32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24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24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ind w:left="9040"/>
        <w:spacing w:after="0"/>
        <w:rPr>
          <w:sz w:val="20"/>
          <w:szCs w:val="20"/>
          <w:color w:val="auto"/>
        </w:rPr>
      </w:pPr>
      <w:r>
        <w:rPr>
          <w:rFonts w:ascii="Arial" w:cs="Arial" w:eastAsia="Arial" w:hAnsi="Arial"/>
          <w:sz w:val="16"/>
          <w:szCs w:val="16"/>
          <w:b w:val="1"/>
          <w:bCs w:val="1"/>
          <w:color w:val="auto"/>
        </w:rPr>
        <w:t>Exhibit T3B-24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891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ind w:left="9040"/>
        <w:spacing w:after="0"/>
        <w:rPr>
          <w:sz w:val="20"/>
          <w:szCs w:val="20"/>
          <w:color w:val="auto"/>
        </w:rPr>
      </w:pPr>
      <w:r>
        <w:rPr>
          <w:rFonts w:ascii="Arial" w:cs="Arial" w:eastAsia="Arial" w:hAnsi="Arial"/>
          <w:sz w:val="16"/>
          <w:szCs w:val="16"/>
          <w:b w:val="1"/>
          <w:bCs w:val="1"/>
          <w:color w:val="auto"/>
        </w:rPr>
        <w:t>Exhibit T3B-25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177800</wp:posOffset>
            </wp:positionV>
            <wp:extent cx="5831840" cy="8249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31840" cy="82499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271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36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36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09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188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099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845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8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188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ind w:left="9040"/>
        <w:spacing w:after="0"/>
        <w:rPr>
          <w:sz w:val="20"/>
          <w:szCs w:val="20"/>
          <w:color w:val="auto"/>
        </w:rPr>
      </w:pPr>
      <w:r>
        <w:rPr>
          <w:rFonts w:ascii="Arial" w:cs="Arial" w:eastAsia="Arial" w:hAnsi="Arial"/>
          <w:sz w:val="16"/>
          <w:szCs w:val="16"/>
          <w:b w:val="1"/>
          <w:bCs w:val="1"/>
          <w:color w:val="auto"/>
        </w:rPr>
        <w:t>Exhibit T3B-26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177800</wp:posOffset>
            </wp:positionV>
            <wp:extent cx="5831840" cy="8515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T3E-1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SOUTHERN DISTRICT OF TEXAS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DIVISION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 re:</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Chapter 11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 xml:space="preserve">WEATHERFORD INTERNATIONAL PLC,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Case No. 19-[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Debtors. </w:t>
            </w:r>
            <w:r>
              <w:rPr>
                <w:rFonts w:ascii="Arial" w:cs="Arial" w:eastAsia="Arial" w:hAnsi="Arial"/>
                <w:sz w:val="23"/>
                <w:szCs w:val="23"/>
                <w:color w:val="auto"/>
                <w:vertAlign w:val="superscript"/>
              </w:rPr>
              <w:t>(1)</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w w:val="91"/>
              </w:rPr>
              <w:t>(Joint Administration Requested)</w:t>
            </w:r>
          </w:p>
        </w:tc>
        <w:tc>
          <w:tcPr>
            <w:tcW w:w="0" w:type="dxa"/>
            <w:vAlign w:val="bottom"/>
          </w:tcPr>
          <w:p>
            <w:pPr>
              <w:spacing w:after="0"/>
              <w:rPr>
                <w:sz w:val="1"/>
                <w:szCs w:val="1"/>
                <w:color w:val="auto"/>
              </w:rPr>
            </w:pPr>
          </w:p>
        </w:tc>
      </w:tr>
      <w:tr>
        <w:trPr>
          <w:trHeight w:val="216"/>
        </w:trPr>
        <w:tc>
          <w:tcPr>
            <w:tcW w:w="4880" w:type="dxa"/>
            <w:vAlign w:val="bottom"/>
            <w:vMerge w:val="restart"/>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80" w:type="dxa"/>
            <w:vAlign w:val="bottom"/>
            <w:vMerge w:val="continue"/>
          </w:tcPr>
          <w:p>
            <w:pPr>
              <w:spacing w:after="0"/>
              <w:rPr>
                <w:sz w:val="23"/>
                <w:szCs w:val="23"/>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DISCLOSURE STATEMENT FOR JOINT PREPACKAGED PLAN OF REORGANIZATION FOR WEATHERFORD INTERNATIONAL PLC AND ITS AFFILIATE DEBTORS UNDER CHAPTER 11 OF THE BANKRUPTCY CODE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line="238" w:lineRule="auto"/>
        <w:tabs>
          <w:tab w:leader="none" w:pos="177"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ind w:right="40"/>
        <w:spacing w:after="0" w:line="254" w:lineRule="auto"/>
        <w:rPr>
          <w:sz w:val="20"/>
          <w:szCs w:val="20"/>
          <w:color w:val="auto"/>
        </w:rPr>
      </w:pPr>
      <w:r>
        <w:rPr>
          <w:rFonts w:ascii="Arial" w:cs="Arial" w:eastAsia="Arial" w:hAnsi="Arial"/>
          <w:sz w:val="18"/>
          <w:szCs w:val="18"/>
          <w:b w:val="1"/>
          <w:bCs w:val="1"/>
          <w:color w:val="auto"/>
        </w:rPr>
        <w:t>THIS SOLICITATION OF VOTES (THE “SOLICITATION”) IS BEING CONDUCTED TO OBTAIN SUFFICIENT VOTES TO ACCEPT THE PLAN BEFORE THE FILING OF VOLUNTARY REORGANIZATION CASES UNDER CHAPTER 11 OF TITLE 11 OF THE UNITED STATES CODE (THE “BANKRUPTCY CODE”). BECAUSE THE CHAPTER 11 CASES HAVE NOT YET BEEN COMMENCED, THIS DISCLOSURE STATEMENT HAS NOT BEEN APPROVED BY THE BANKRUPTCY COURT AS CONTAINING ADEQUATE INFORMATION WITHIN THE MEANING OF SECTION 1125(a) OF THE BANKRUPTCY CODE. FOLLOWING THE COMMENCEMENT OF THE CHAPTER 11 CASE,</w:t>
      </w:r>
    </w:p>
    <w:p>
      <w:pPr>
        <w:spacing w:after="0" w:line="3" w:lineRule="exact"/>
        <w:rPr>
          <w:sz w:val="20"/>
          <w:szCs w:val="20"/>
          <w:color w:val="auto"/>
        </w:rPr>
      </w:pPr>
    </w:p>
    <w:p>
      <w:pPr>
        <w:ind w:right="880"/>
        <w:spacing w:after="0" w:line="277" w:lineRule="auto"/>
        <w:rPr>
          <w:sz w:val="20"/>
          <w:szCs w:val="20"/>
          <w:color w:val="auto"/>
        </w:rPr>
      </w:pPr>
      <w:r>
        <w:rPr>
          <w:rFonts w:ascii="Arial" w:cs="Arial" w:eastAsia="Arial" w:hAnsi="Arial"/>
          <w:sz w:val="17"/>
          <w:szCs w:val="17"/>
          <w:b w:val="1"/>
          <w:bCs w:val="1"/>
          <w:color w:val="auto"/>
        </w:rPr>
        <w:t>THE DEBTORS EXPECT TO PROMPTLY SEEK ORDERS OF THE BANKRUPTCY COURT (I) APPROVING THIS DISCLOSURE STATEMENT AS CONTAINING ADEQUATE INFORMATION, (II) APPROVING THE SOLICITATION OF VOTES AS BEING IN COMPLIANCE WITH SECTIONS 1125 AND 1126(b) OF THE BANKRUPTCY CODE, AND (III) CONFIRMING THE PLAN.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STATEMENT, DATED JUNE 28,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Votes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the Plan of Reorganization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WEATHERFORD INTERNATIONAL PLC, </w:t>
      </w:r>
      <w:r>
        <w:rPr>
          <w:rFonts w:ascii="Arial" w:cs="Arial" w:eastAsia="Arial" w:hAnsi="Arial"/>
          <w:sz w:val="18"/>
          <w:szCs w:val="18"/>
          <w:b w:val="1"/>
          <w:bCs w:val="1"/>
          <w:i w:val="1"/>
          <w:iCs w:val="1"/>
          <w:color w:val="auto"/>
        </w:rPr>
        <w:t>ET AL</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from the holders of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PREPETITION NOTES CLAIMS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EXISTING COMMON STOCK</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THE VOTING DEADLINE FOR HOLDERS OF PREPETITION NOTES CLAIMS IS 5:00 P.M. PREVAILING CENTRAL TIME ON AUGUST 1, 2019 (UNLESS THE DEBTORS EXTEND THE VOTING DEADLINE).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PREPETITION NOTES MAY VOTE ON THE PLAN IS JUNE 24, 2019 (THE “</w:t>
      </w:r>
      <w:r>
        <w:rPr>
          <w:rFonts w:ascii="Arial" w:cs="Arial" w:eastAsia="Arial" w:hAnsi="Arial"/>
          <w:sz w:val="18"/>
          <w:szCs w:val="18"/>
          <w:b w:val="1"/>
          <w:bCs w:val="1"/>
          <w:u w:val="single" w:color="auto"/>
          <w:color w:val="auto"/>
        </w:rPr>
        <w:t>PREPETITION NOTES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A SEPARATE VOTING DEADLINE SHALL BE ESTABLISHED FOR HOLDERS OF EXISTING COMMON STOCK TO VOTE TO ACCEPT OR REJECT THE PLAN AFTER ENTRY OF AN ORDER BY THE BANKRUPTCY COURT CONDITIONALLY APPROVING THE DISCLOSURE STATEMENT AND THE SOLICITATION MATERIALS IN RESPECT OF THE PLAN.</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EXISTING COMMON STOCK MAY VOTE ON THE PLAN IS EXPECTED TO BE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VOTING DEADLINE FOR HOLDERS OF EXISTING COMMON STOCK IS EXPECTED TO BE 5:00 P.M. PREVAILING CENTRAL TIME ON AUGUST 13, 2019 (UNLESS THE DEBTORS EXTEND THE VOTING DEADLINE).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3" w:name="page124"/>
    <w:bookmarkEnd w:id="123"/>
    <w:p>
      <w:pPr>
        <w:ind w:right="200"/>
        <w:spacing w:after="0" w:line="282" w:lineRule="auto"/>
        <w:rPr>
          <w:sz w:val="20"/>
          <w:szCs w:val="20"/>
          <w:color w:val="auto"/>
        </w:rPr>
      </w:pPr>
      <w:r>
        <w:rPr>
          <w:rFonts w:ascii="Arial" w:cs="Arial" w:eastAsia="Arial" w:hAnsi="Arial"/>
          <w:sz w:val="18"/>
          <w:szCs w:val="18"/>
          <w:b w:val="1"/>
          <w:bCs w:val="1"/>
          <w:color w:val="auto"/>
        </w:rPr>
        <w:t>TO BE COUNTED AS A VOTE TO ACCEPT OR REJECT THE PLAN, THE VOTING AND CLAIMS AGENT MUST ACTUALLY RECEIVE YOUR BALLOT ON OR BEFORE THE APPLICABLE VOTING DEADLINE.</w:t>
      </w:r>
    </w:p>
    <w:p>
      <w:pPr>
        <w:spacing w:after="0" w:line="162"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THE DEBTORS ANTICIPATE COMMENCING THE CHAPTER 11 CASES ON JULY 1, 2019 WITH AN EXPECTED FIRST DAY HEARING ON OR AROUND JULY 2, 2019. A SEPARATE NOTICE OF THE FIRST DAY HEARING WILL BE MAILED TO ALL HOLDERS OF PREPETITION NOTES. IF YOU DO NOT RECEIVE A NOTICE, PLEASE CONTACT UNDERSIGNED COUNSEL IMMEDIATELY OR CONSULT THE CASE WEBSITE MAINTAINED BY PRIME CLERK LLC AT WWW.PRIMECLERK.COM/WEATHERFORD.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RECOMMENDATION BY THE DEBTORS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Weatherford International plc and the other governing bodies of each of its affiliated Debtors have unanimously approved the transactions contemplated by the Solicitation and the Plan and recommend that all creditors and holders of equity interests whose votes are being solicited submit ballots to accept the Plan. Holders of over 66.67% in outstanding principal amount of the Prepetition Notes Claims (as defined herein) entitled to vote on the Plan (the “</w:t>
      </w:r>
      <w:r>
        <w:rPr>
          <w:rFonts w:ascii="Arial" w:cs="Arial" w:eastAsia="Arial" w:hAnsi="Arial"/>
          <w:sz w:val="18"/>
          <w:szCs w:val="18"/>
          <w:b w:val="1"/>
          <w:bCs w:val="1"/>
          <w:u w:val="single" w:color="auto"/>
          <w:color w:val="auto"/>
        </w:rPr>
        <w:t>Consenting Noteholders</w:t>
      </w:r>
      <w:r>
        <w:rPr>
          <w:rFonts w:ascii="Arial" w:cs="Arial" w:eastAsia="Arial" w:hAnsi="Arial"/>
          <w:sz w:val="18"/>
          <w:szCs w:val="18"/>
          <w:color w:val="auto"/>
        </w:rPr>
        <w:t>”) have already agreed, subject to the terms and conditions of the Restructuring Support Agreement, to vote in favor of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DISCLOSURE STATEMENT HAS BEEN PREPARED PURSUANT TO SECTIONS 1125 AND 1126(B) OF THE BANKRUPTCY CODE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BANKRUPTCY RULE 3016. THE SECURITIES DESCRIBED HEREIN WILL BE ISSUED TO CREDITORS AND 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INTERESTS WITHOUT REGISTRATION UNDER THE UNITED STATES SECURITIES ACT OF 1933,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OR ANY SIMILAR FEDERAL, STATE OR LOCAL LAW, AND WILL INSTEAD RELY UPON THE EXEMPTIONS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FORTH IN SECTION 1145 OF THE BANKRUPTCY CODE AND SECTION 4(A)(2) OF THE SECURITIES ACT OR OTHER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THE DEBTORS RECOMMEND THAT POTENTIAL RECIPIENTS OF ANY SECURITIES PURSUANT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 THEIR OWN LEGAL COUNSEL CONCERNING THE SECURITIES LAWS GOVERNING THE TRANSFERABILITY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SUCH SECURITIES.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SOLICITATION OF VOTES ON THE PLAN WITH RESPECT TO PREPETITION NOTES CLAIMS IS BEING MADE PURSUANT TO SECTION 4(A)(2) AND REGULATION D OF THE SECURITIES ACT AND ONLY WITH RESPECT TO HOLDERS OF SUCH CLAIMS THAT ARE ELIGIBLE HOLDERS OF PREPETITION NOTES CLAIMS AS DESCRIBED HEREIN; PROVIDED, HOWEVER, THAT ALL HOLDERS OF ALLOWED PREPETITION NOTES CLAIMS WILL BE ENTITLED TO RECEIVE DISTRIBUTIONS UNDER THE PLAN.</w:t>
      </w:r>
    </w:p>
    <w:p>
      <w:pPr>
        <w:spacing w:after="0" w:line="1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THE RIGHTS OFFERING WILL BE CONDUCTED PURSUANT TO SEPARATE RIGHTS OFFERING AND RIGHTS OFFERING PROCEDURES. ANY DISCLOSURE CONTAINED HEREIN CONCERNING THE RIGHTS OFFERING IS SOLELY FOR INFORMATION PURPOSES.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4" w:name="page125"/>
    <w:bookmarkEnd w:id="124"/>
    <w:p>
      <w:pPr>
        <w:spacing w:after="0" w:line="252" w:lineRule="auto"/>
        <w:rPr>
          <w:sz w:val="20"/>
          <w:szCs w:val="20"/>
          <w:color w:val="auto"/>
        </w:rPr>
      </w:pPr>
      <w:r>
        <w:rPr>
          <w:rFonts w:ascii="Arial" w:cs="Arial" w:eastAsia="Arial" w:hAnsi="Arial"/>
          <w:sz w:val="18"/>
          <w:szCs w:val="18"/>
          <w:b w:val="1"/>
          <w:bCs w:val="1"/>
          <w:color w:val="auto"/>
        </w:rPr>
        <w:t>THE NEW COMMON STOCK, THE NEW WARRANTS (AND THE NEW COMMON STOCK ISSUABLE UPON EXERCISE THEREOF), THE SUBSCRIPTION RIGHTS, THE NEW TRANCHE A SENIOR UNSECURED NOTES ISSUED PURSUANT TO THE RIGHTS OFFERING, THE NEW TRANCHE B SENIOR UNSECURED NOTES (AND THE NEW COMMON STOCK ISSUABLE PURSUANT TO THE TRANCHE B EQUITY CONVERSION), AND ANY OTHER NEW SECURITIES HAVE NOT BEEN APPROVED OR DISAPPROVED BY THE SECURITIES AND EXCHANGE COMMISSION (“</w:t>
      </w: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OR BY ANY STATE SECURITIES COMMISSION OR SIMILAR PUBLIC, GOVERNMENTAL, OR REGULATORY AUTHORITY, AND NEITHER THE SEC NOR ANY AUTHORITY HAS PASSED UPON THE ACCURACY OR ADEQUACY OF THE INFORMATION CONTAINED IN THIS DISCLOSURE STATEMENT OR UPON THE MERITS OF PLAN. THIS DOCUMENT IS NOT A PROSPECTUS WITHIN THE MEANING OF THE EU PROSPECTUS DIRECTIVE (DIRECTIVE 2003/71/EC), AS AMENDED, THE EU PROSPECTUS REGULATION (REGULATION (EU) 2017/1129) OR ANY IMPLEMENTING LEGISLATION OR RULES RELATING THERETO OF ANY MEMBER STATE OF THE EUROPEAN ECONOMIC AREA. THIS DOCUMENT HAS NOT BEEN APPROVED OR REVIEWED BY ANY COMPETENT AUTHORITY OR REGULATORY AUTHORITY OF ANY MEMBER STATE OF THE EUROPEAN ECONOMIC AREA. NO OFFER OF SECURITIES TO THE PUBLIC IS MADE, OR WILL BE MADE IN ANY MEMBER STATE OF THE EUROPEAN ECONOMIC AREA THAT REQUIRES THE PUBLICATION OF A PROSPECTUS WITHIN THE MEANING OF THE EU PROSPECTUS DIRECTIVE, AS AMENDED, OR THE EU PROSPECTUS REGULATION.</w:t>
      </w:r>
    </w:p>
    <w:p>
      <w:pPr>
        <w:spacing w:after="0" w:line="1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CERTAIN STATEMENTS CONTAINED IN THIS DISCLOSURE STATEMENT, INCLUDING STATEMENTS INCORPORATED BY REFERENCE AND PROJECTED FINANCIAL INFORMATION, ARE FORWARD-LOOKING STATEMENTS AND ARE BASED ON ESTIMATES AND ASSUMPTIONS. THERE CAN BE NO ASSURANCE THAT SUCH STATEMENTS WILL BE REFLECTIVE OF ACTUAL OUTCOMES. FORWARD-LOOKING STATEMENTS ARE PROVIDED IN THIS DISCLOSURE STATEMENT PURSUANT TO THE SAFE HARBOR ESTABLISHED UNDER THE PRIVATE SECURITIES LITIGATION REFORM ACT OF 1995 AND SHOULD BE EVALUATED IN THE CONTEXT OF THE ESTIMATES, ASSUMPTIONS, UNCERTAINTIES, AND RISKS DESCRIBED HEREIN.</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FURTHER, WHILE THE DEBTORS BELIEVE THE ASSUMPTIONS ON WHICH THE FORWARD-LOOKING STATEMENTS HEREIN ARE BASED ARE REASONABLE, READERS ARE CAUTIONED AGAINST RELYING ON ANY FORWARD-LOOKING STATEMENTS AS IT IS VERY DIFFICULT TO PREDICT THE IMPACT OF KNOWN FACTORS, AND IT IS IMPOSSIBLE TO ANTICIPATE ALL FACTORS THAT COULD AFFECT ACTUAL RESULTS. IMPORTANT FACTORS THAT COULD CAUSE ACTUAL RESULTS TO DIFFER MATERIALLY FROM THOSE IN THE FORWARD-LOOKING STATEMENTS HEREIN INCLUDE, BUT ARE NOT LIMITED TO, THE ABILITY TO CONFIRM AND CONSUMMATE A PLAN OF REORGANIZATION IN ACCORDANCE WITH THE TERMS OF THE RESTRUCTURING SUPPORT AGREEMENT; RISKS ATTENDANT TO THE BANKRUPTCY PROCESS, INCLUDING THE DEBTORS’ ABILITY TO OBTAIN THE APPROVAL OF THE BANKRUPTCY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spacing w:after="0" w:line="252" w:lineRule="auto"/>
        <w:rPr>
          <w:sz w:val="20"/>
          <w:szCs w:val="20"/>
          <w:color w:val="auto"/>
        </w:rPr>
      </w:pPr>
      <w:r>
        <w:rPr>
          <w:rFonts w:ascii="Arial" w:cs="Arial" w:eastAsia="Arial" w:hAnsi="Arial"/>
          <w:sz w:val="18"/>
          <w:szCs w:val="18"/>
          <w:b w:val="1"/>
          <w:bCs w:val="1"/>
          <w:color w:val="auto"/>
        </w:rPr>
        <w:t>COURT WITH RESPECT TO MOTIONS FILED IN THE CASES, THE OUTCOMES OF BANKRUPTCY CASES AND THE LENGTH OF TIME THAT THE DEBTORS MAY BE REQUIRED TO OPERATE IN BANKRUPTCY; THE EFFECTIVENESS OF THE OVERALL RESTRUCTURING ACTIVITIES AND ANY ADDITIONAL STRATEGIES THAT THE DEBTORS EMPLOY TO ADDRESS LIQUIDITY AND CAPITAL RESOURCES; THE ACTIONS AND DECISIONS OF CREDITORS, REGULATORS AND OTHER THIRD PARTIES THAT HAVE AN INTEREST IN THE CASES, WHICH MAY INTERFERE WITH THE ABILITY TO CONFIRM AND CONSUMMATE A PLAN OF REORGANIZATION; RESTRICTIONS ON THE DEBTORS DUE TO THE TERMS OF ANY DEBTOR-IN-POSSESSION CREDIT FACILITY ENTERED INTO IN CONNECTION WITH THE BANKRUPTCY CASES AND RESTRICTIONS IMPOSED BY THE BANKRUPTCY COURT; THE DEBTORS’ ABILITY TO REALIZE THE COST SAVINGS AND BUSINESS ENHANCEMENTS FROM THEIR TRANSFORMATION EFFORTS; THE DEBTORS’ ABILITY TO INVEST IN THEIR BUSINESSES IN ACCORDANCE WITH THEIR FORECASTED CAPITAL EXPENDITURE BUDGET; A WEAKENING OF GLOBAL ECONOMIC AND FINANCIAL CONDITIONS, CHANGES IN GOVERNMENTAL REGULATIONS AND RELATED COMPLIANCE AND LITIGATION COSTS AND THE OTHER FACTORS LISTED IN THE DEBTORS’ SEC FILINGS. THE DEBTORS ARE UNDER NO OBLIGATION TO (AND EXPRESSLY DISCLAIM ANY OBLIGATION TO) UPDATE OR ALTER ANY FORWARD-LOOKING STATEMENTS WHETHER AS A RESULT OF NEW INFORMATION, FUTURE EVENTS, OR OTHERWISE, UNLESS INSTRUCTED TO DO SO BY THE BANKRUPTCY COURT.</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HOLDERS OF ALLOWED GENERAL UNSECURED CLAIMS WILL NOT BE IMPAIRED BY THE PLAN AND, AS A RESULT, THE RIGHT TO RECEIVE PAYMENT IN FULL ON ACCOUNT OF EXISTING OBLIGATIONS IN RESPECT OF SUCH CLAIMS IS NOT ALTERED BY THE PLAN. DURING THE CHAPTER 11 CASES, THE DEBTORS INTEND TO OPERATE THEIR BUSINESSES IN THE ORDINARY COURSE.</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THE PLAN PROVIDES THAT HOLDERS OF IMPAIRED CLAIMS AND EXISTING COMMON STOCK ENTITLED TO VOTE WHO DO NOT SUBMIT A BALLOT VOTING TO ACCEPT OR REJECT THE PLAN, WHO VOTE TO ACCEPT THE PLAN, OR WHO VOTE TO REJECT THE PLAN BUT DO NOT OPT OUT OF THE RELEASE PROVISIONS OF THE PLAN ARE DEEMED TO HAVE GRANTED THE RELEASES THEREIN.</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NO LEGAL OR TAX ADVICE IS PROVIDED TO YOU BY THIS DISCLOSURE STATEMENT. THE DEBTORS URGE EACH HOLDER OF A CLAIM OR AN EQUITY INTEREST TO CONSULT WITH ITS OWN ADVISORS WITH RESPECT TO ANY LEGAL, FINANCIAL, SECURITIES, TAX OR BUSINESS ADVICE IN REVIEWING THIS DISCLOSURE STATEMENT, THE PLAN AND EACH OF THE PROPOSED TRANSACTIONS CONTEMPLATED THEREBY. FURTHERMORE, THE BANKRUPTCY COURT’S APPROVAL OF THE ADEQUACY OF DISCLOSURE CONTAINED IN THIS DISCLOSURE STATEMENT DOES NOT CONSTITUTE THE BANKRUPTCY COURT’S APPROVAL OF THE MERITS OF THE PLAN.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6" w:name="page127"/>
    <w:bookmarkEnd w:id="126"/>
    <w:p>
      <w:pPr>
        <w:ind w:right="260"/>
        <w:spacing w:after="0" w:line="261" w:lineRule="auto"/>
        <w:rPr>
          <w:sz w:val="20"/>
          <w:szCs w:val="20"/>
          <w:color w:val="auto"/>
        </w:rPr>
      </w:pPr>
      <w:r>
        <w:rPr>
          <w:rFonts w:ascii="Arial" w:cs="Arial" w:eastAsia="Arial" w:hAnsi="Arial"/>
          <w:sz w:val="18"/>
          <w:szCs w:val="18"/>
          <w:b w:val="1"/>
          <w:bCs w:val="1"/>
          <w:color w:val="auto"/>
        </w:rPr>
        <w:t>IT IS THE DEBTORS’ POSITION THAT THIS DISCLOSURE STATEMENT DOES NOT CONSTITUTE, AND MAY NOT BE CONSTRUED AS, AN ADMISSION OF FACT, LIABILITY, STIPULATION OR WAIVER. RATHER, THIS DISCLOSURE STATEMENT SHALL CONSTITUTE A STATEMENT MADE IN SETTLEMENT NEGOTIATIONS RELATED TO CONTESTED MATTERS, ADVERSARY PROCEEDINGS AND OTHER PENDING OR THREATENED LITIGATION OR ACTIONS.</w:t>
      </w:r>
    </w:p>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NO RELIANCE SHOULD BE PLACED ON THE FACT THAT A PARTICULAR LITIGATION CLAIM OR PROJECTED OBJECTION TO A PARTICULAR CLAIM IS, OR IS NOT, IDENTIFIED IN THE DISCLOSURE STATEMENT. THE DEBTORS OR THE REORGANIZED DEBTORS MAY SEEK TO INVESTIGATE, FILE AND PROSECUTE CLAIMS AND MAY OBJECT TO CLAIMS AFTER THE CONFIRMATION OR EFFECTIVE DATE OF THE PLAN IRRESPECTIVE OF WHETHER THE DISCLOSURE STATEMENT IDENTIFIES ANY SUCH CLAIMS OR OBJECTIONS TO CLAIMS.</w:t>
      </w:r>
    </w:p>
    <w:p>
      <w:pPr>
        <w:spacing w:after="0" w:line="184"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IN REVIEWING THIS DISCLOSURE STATEMENT AND THE PLAN, AND IN DETERMINING WHETHER TO VOTE IN FAVOR OF OR AGAINST, OR TO OBJECT TO CONFIRMATION OF, THE PLAN, CREDITORS, EQUITY INTEREST HOLDERS AND STAKEHOLDERS SHOULD BE AWARE THAT THE PLAN PRESERVES ALL CAUSES OF ACTION (INCLUDING AVOIDANCE ACTIONS) AND THAT THE PLAN AUTHORIZES THE REORGANIZED DEBTORS TO PROSECUTE THE SAME.</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THIS DISCLOSURE STATEMENT CONTAINS, AMONG OTHER THINGS, SUMMARIES OF THE PLAN, CERTAIN STATUTORY PROVISIONS, CERTAIN EXPECTED EVENTS IN THE DEBTORS’ TO-BE-FILED CHAPTER 11 CASES AND CERTAIN DOCUMENTS RELATED TO THE PLAN THAT ARE ATTACHED HERETO AND INCORPORATED HEREIN BY REFERENCE. ALTHOUGH THE DEBTORS BELIEVE THAT THESE SUMMARIES ARE FAIR AND ACCURATE, THESE SUMMARIES ARE QUALIFIED IN THEIR ENTIRETY TO THE EXTENT THAT THE SUMMARIES DO NOT SET FORTH THE ENTIRE TEXT OF SUCH DOCUMENTS OR STATUTORY PROVISIONS OR EVERY DETAIL OF SUCH EVENTS. IN THE EVENT OF ANY CONFLICT, INCONSISTENCY OR DISCREPANCY BETWEEN A DESCRIPTION IN THIS DISCLOSURE STATEMENT AND THE TERMS AND PROVISIONS OF THE PLAN OR ANY OTHER DOCUMENTS INCORPORATED HEREIN BY REFERENCE, THE PLAN OR SUCH OTHER DOCUMENTS WILL GOVERN AND CONTROL FOR ALL PURPOSES. EXCEPT WHERE OTHERWISE SPECIFICALLY NOTED, FACTUAL INFORMATION CONTAINED IN THIS DISCLOSURE STATEMENT HAS BEEN PROVIDED BY THE DEBTORS’ MANAGEMENT. THE DEBTORS DO NOT REPRESENT OR WARRANT THAT THE INFORMATION CONTAINED HEREIN OR ATTACHED HERETO IS WITHOUT ANY MATERIAL INACCURACY OR OMISSION.</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DEBTORS’ MANAGEMENT HAS REVIEWED THE FINANCIAL INFORMATION PROVIDED IN THIS DISCLOSURE STATEMENT. ALTHOUGH THE DEBTORS HAVE USED THEIR REASONABLE BUSINESS JUDGMENT TO ENSURE THE ACCURACY OF THIS FINANCIAL INFORMATION, THE FINANCIAL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7" w:name="page128"/>
    <w:bookmarkEnd w:id="127"/>
    <w:p>
      <w:pPr>
        <w:ind w:right="540"/>
        <w:spacing w:after="0" w:line="282" w:lineRule="auto"/>
        <w:rPr>
          <w:sz w:val="20"/>
          <w:szCs w:val="20"/>
          <w:color w:val="auto"/>
        </w:rPr>
      </w:pPr>
      <w:r>
        <w:rPr>
          <w:rFonts w:ascii="Arial" w:cs="Arial" w:eastAsia="Arial" w:hAnsi="Arial"/>
          <w:sz w:val="18"/>
          <w:szCs w:val="18"/>
          <w:b w:val="1"/>
          <w:bCs w:val="1"/>
          <w:color w:val="auto"/>
        </w:rPr>
        <w:t>INFORMATION CONTAINED IN, OR INCORPORATED BY REFERENCE INTO, THIS DISCLOSURE STATEMENT HAS NOT BEEN AUDITED (UNLESS EXPRESSLY PROVIDED HEREIN).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DEBTORS ARE MAKING THE STATEMENTS AND PROVIDING THE FINANCIAL INFORMATION CONTAINED IN THIS DISCLOSURE STATEMENT AS OF THE DATE HEREOF WHERE FEASIBLE, UNLESS OTHERWISE SPECIFICALLY NOTED. ALTHOUGH THE DEBTORS MAY SUBSEQUENTLY UPDATE THE INFORMATION IN THIS DISCLOSURE STATEMENT, THE DEBTORS HAVE NO AFFIRMATIVE DUTY TO DO SO. HOLDERS OF CLAIMS AND EQUITY INTERESTS REVIEWING THIS DISCLOSURE STATEMENT SHOULD NOT INFER THAT, AT THE TIME OF THEIR REVIEW, THE FACTS SET FORTH HEREIN HAVE NOT CHANGED SINCE THE DISCLOSURE STATEMENT WAS FILED. THE DEBTORS HAVE NOT AUTHORIZED ANY ENTITY TO GIVE ANY INFORMATION ABOUT OR CONCERNING THE PLAN OTHER THAN THAT WHICH IS CONTAINED IN THIS DISCLOSURE STATEMENT. THE DEBTORS HAVE NOT AUTHORIZED ANY REPRESENTATIONS CONCERNING THE DEBTORS OR THE VALUE OF THEIR PROPERTY OTHER THAN AS SET FORTH IN THIS DISCLOSURE STATEMENT.</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HOLDERS OF CLAIMS AND EQUITY INTERESTS ENTITLED TO VOTE TO ACCEPT OR REJECT THE PLAN MUST RELY ON THEIR OWN EVALUATION OF THE DEBTORS AND THEIR OWN ANALYSES OF THE TERMS OF THE PLAN IN DECIDING WHETHER TO VOTE TO ACCEPT OR REJECT THE PLAN. IMPORTANTLY, PRIOR TO DECIDING WHETHER AND HOW TO VOTE ON THE PLAN, EACH HOLDER OF A CLAIM OR EQUITY INTEREST IN A VOTING CLASS SHOULD REVIEW THE PLAN IN ITS ENTIRETY AND CONSIDER CAREFULLY ALL OF THE INFORMATION IN THIS DISCLOSURE STATEMENT AND ANY EXHIBITS</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HERETO, INCLUDING THE RISK FACTORS DESCRIBED IN GREATER DETAIL IN SECTION V HEREIN, “PLAN-RELATED RISK FACTORS.”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58"/>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 EXECUTIVE SUMMARY</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Purpose and Effect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Claims and Equity Interests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 BACKGROUND TO THE CHAPTER 11 CASES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The Debtors’ Corporate History and Structure</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Overview of the Debtors’ Businesses</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Prepetition Indebtedness</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Events Leading to the Chapter 11 Filing</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III. ANTICIPATED EVENTS DURING THE CHAPTER 11 CASE, THE IRISH EXAMINERSHIP PROCEEDING, AND THE</w:t>
            </w:r>
          </w:p>
        </w:tc>
        <w:tc>
          <w:tcPr>
            <w:tcW w:w="900" w:type="dxa"/>
            <w:vAlign w:val="bottom"/>
          </w:tcPr>
          <w:p>
            <w:pPr>
              <w:spacing w:after="0"/>
              <w:rPr>
                <w:sz w:val="24"/>
                <w:szCs w:val="24"/>
                <w:color w:val="auto"/>
              </w:rPr>
            </w:pPr>
          </w:p>
        </w:tc>
      </w:tr>
      <w:tr>
        <w:trPr>
          <w:trHeight w:val="234"/>
        </w:trPr>
        <w:tc>
          <w:tcPr>
            <w:tcW w:w="10520" w:type="dxa"/>
            <w:vAlign w:val="bottom"/>
            <w:gridSpan w:val="2"/>
          </w:tcPr>
          <w:p>
            <w:pPr>
              <w:ind w:left="460"/>
              <w:spacing w:after="0"/>
              <w:rPr>
                <w:sz w:val="20"/>
                <w:szCs w:val="20"/>
                <w:color w:val="auto"/>
              </w:rPr>
            </w:pPr>
            <w:r>
              <w:rPr>
                <w:rFonts w:ascii="Arial" w:cs="Arial" w:eastAsia="Arial" w:hAnsi="Arial"/>
                <w:sz w:val="18"/>
                <w:szCs w:val="18"/>
                <w:b w:val="1"/>
                <w:bCs w:val="1"/>
                <w:color w:val="auto"/>
              </w:rPr>
              <w:t>BERMUDA PROCEEDING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Chapter 11 First Day Motions and Certain Related Relief</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Exclusive Period for Filing a Chapter 11 Plan and Soliciting Votes</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The Irish Examinership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The Bermuda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IV. SUMMARY OF THE PLAN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General</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Administrative, DIP Facility, and Priority Tax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Classified Claims and Equity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Acceptance or Rejection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9620" w:type="dxa"/>
            <w:vAlign w:val="bottom"/>
          </w:tcPr>
          <w:p>
            <w:pPr>
              <w:ind w:left="340"/>
              <w:spacing w:after="0"/>
              <w:rPr>
                <w:sz w:val="20"/>
                <w:szCs w:val="20"/>
                <w:color w:val="auto"/>
              </w:rPr>
            </w:pPr>
            <w:r>
              <w:rPr>
                <w:rFonts w:ascii="Arial" w:cs="Arial" w:eastAsia="Arial" w:hAnsi="Arial"/>
                <w:sz w:val="18"/>
                <w:szCs w:val="18"/>
                <w:color w:val="auto"/>
              </w:rPr>
              <w:t>Means for Implementation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9620" w:type="dxa"/>
            <w:vAlign w:val="bottom"/>
          </w:tcPr>
          <w:p>
            <w:pPr>
              <w:ind w:left="340"/>
              <w:spacing w:after="0"/>
              <w:rPr>
                <w:sz w:val="20"/>
                <w:szCs w:val="20"/>
                <w:color w:val="auto"/>
              </w:rPr>
            </w:pPr>
            <w:r>
              <w:rPr>
                <w:rFonts w:ascii="Arial" w:cs="Arial" w:eastAsia="Arial" w:hAnsi="Arial"/>
                <w:sz w:val="18"/>
                <w:szCs w:val="18"/>
                <w:color w:val="auto"/>
              </w:rPr>
              <w:t>Treatment of Executory Contracts and Unexpired Leases</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9620" w:type="dxa"/>
            <w:vAlign w:val="bottom"/>
          </w:tcPr>
          <w:p>
            <w:pPr>
              <w:ind w:left="340"/>
              <w:spacing w:after="0"/>
              <w:rPr>
                <w:sz w:val="20"/>
                <w:szCs w:val="20"/>
                <w:color w:val="auto"/>
              </w:rPr>
            </w:pPr>
            <w:r>
              <w:rPr>
                <w:rFonts w:ascii="Arial" w:cs="Arial" w:eastAsia="Arial" w:hAnsi="Arial"/>
                <w:sz w:val="18"/>
                <w:szCs w:val="18"/>
                <w:color w:val="auto"/>
              </w:rPr>
              <w:t>Provisions Governing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H.</w:t>
            </w:r>
          </w:p>
        </w:tc>
        <w:tc>
          <w:tcPr>
            <w:tcW w:w="9620" w:type="dxa"/>
            <w:vAlign w:val="bottom"/>
          </w:tcPr>
          <w:p>
            <w:pPr>
              <w:ind w:left="340"/>
              <w:spacing w:after="0"/>
              <w:rPr>
                <w:sz w:val="20"/>
                <w:szCs w:val="20"/>
                <w:color w:val="auto"/>
              </w:rPr>
            </w:pPr>
            <w:r>
              <w:rPr>
                <w:rFonts w:ascii="Arial" w:cs="Arial" w:eastAsia="Arial" w:hAnsi="Arial"/>
                <w:sz w:val="18"/>
                <w:szCs w:val="18"/>
                <w:color w:val="auto"/>
              </w:rPr>
              <w:t>Procedures for Resolving Contingent, Unliquidated and Disputed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I.</w:t>
            </w:r>
          </w:p>
        </w:tc>
        <w:tc>
          <w:tcPr>
            <w:tcW w:w="9620" w:type="dxa"/>
            <w:vAlign w:val="bottom"/>
          </w:tcPr>
          <w:p>
            <w:pPr>
              <w:ind w:left="340"/>
              <w:spacing w:after="0"/>
              <w:rPr>
                <w:sz w:val="20"/>
                <w:szCs w:val="20"/>
                <w:color w:val="auto"/>
              </w:rPr>
            </w:pPr>
            <w:r>
              <w:rPr>
                <w:rFonts w:ascii="Arial" w:cs="Arial" w:eastAsia="Arial" w:hAnsi="Arial"/>
                <w:sz w:val="18"/>
                <w:szCs w:val="18"/>
                <w:color w:val="auto"/>
              </w:rPr>
              <w:t>Conditions Precedent to Confirmation and Consummation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J.</w:t>
            </w:r>
          </w:p>
        </w:tc>
        <w:tc>
          <w:tcPr>
            <w:tcW w:w="9620" w:type="dxa"/>
            <w:vAlign w:val="bottom"/>
          </w:tcPr>
          <w:p>
            <w:pPr>
              <w:ind w:left="340"/>
              <w:spacing w:after="0"/>
              <w:rPr>
                <w:sz w:val="20"/>
                <w:szCs w:val="20"/>
                <w:color w:val="auto"/>
              </w:rPr>
            </w:pPr>
            <w:r>
              <w:rPr>
                <w:rFonts w:ascii="Arial" w:cs="Arial" w:eastAsia="Arial" w:hAnsi="Arial"/>
                <w:sz w:val="18"/>
                <w:szCs w:val="18"/>
                <w:color w:val="auto"/>
              </w:rPr>
              <w:t>Release, Discharge, Injunction And Related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K.</w:t>
            </w:r>
          </w:p>
        </w:tc>
        <w:tc>
          <w:tcPr>
            <w:tcW w:w="9620" w:type="dxa"/>
            <w:vAlign w:val="bottom"/>
          </w:tcPr>
          <w:p>
            <w:pPr>
              <w:ind w:left="340"/>
              <w:spacing w:after="0"/>
              <w:rPr>
                <w:sz w:val="20"/>
                <w:szCs w:val="20"/>
                <w:color w:val="auto"/>
              </w:rPr>
            </w:pPr>
            <w:r>
              <w:rPr>
                <w:rFonts w:ascii="Arial" w:cs="Arial" w:eastAsia="Arial" w:hAnsi="Arial"/>
                <w:sz w:val="18"/>
                <w:szCs w:val="18"/>
                <w:color w:val="auto"/>
              </w:rPr>
              <w:t>Retention of jurisdiction</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L.</w:t>
            </w:r>
          </w:p>
        </w:tc>
        <w:tc>
          <w:tcPr>
            <w:tcW w:w="9620" w:type="dxa"/>
            <w:vAlign w:val="bottom"/>
          </w:tcPr>
          <w:p>
            <w:pPr>
              <w:ind w:left="340"/>
              <w:spacing w:after="0"/>
              <w:rPr>
                <w:sz w:val="20"/>
                <w:szCs w:val="20"/>
                <w:color w:val="auto"/>
              </w:rPr>
            </w:pPr>
            <w:r>
              <w:rPr>
                <w:rFonts w:ascii="Arial" w:cs="Arial" w:eastAsia="Arial" w:hAnsi="Arial"/>
                <w:sz w:val="18"/>
                <w:szCs w:val="18"/>
                <w:color w:val="auto"/>
              </w:rPr>
              <w:t>Miscellaneous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V. PLAN-RELATED RISK FACTORS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Certain Bankruptcy Law Considerations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Additional Factors Affecting the Value of the Reorganized Debtors</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Risk Factors That May Affect the Value of Securities to be Issued Under the Plan and/or Recoveries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w w:val="98"/>
              </w:rPr>
              <w:t>Risk Factors that Could Negatively Impact the Debtors’ And Reorganized Debtors’ Businesses and Financial Condition</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Irish Examinership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Bermuda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 SOLICITATION AND VOTING PROCEDURES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Solicitation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Voting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 CONFIRMATION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The Confirmation Hearing</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Objections to Confirmation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Effect of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Confirmation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Statutory Requirements for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VIII. VALUATION ANALYSIS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IX. EXEMPTIONS FROM SECURITIES ACT REGISTRATION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 CERTAIN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U.S. Federal Income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Irish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Swiss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Bermudian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XI. ALTERNATIVES TO CONFIRMATION AND CONSUMMATION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Liquidation Under Chapter 7 of the Bankruptcy Code</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Filing of an Alternative Plan of Reorganization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Plan of Reorganization</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Restructuring Support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Liquidation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Financial Projections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Valuation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Organizational Structure Chart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Prepetition Indebtedness Borrowers, Guarantors, and Obligors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Backstop Commitment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Reorganization Steps Overview</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Description of Reorganization Steps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5"/>
          <w:szCs w:val="15"/>
          <w:color w:val="auto"/>
        </w:rPr>
        <w:t>Warrant Term Sheet</w:t>
      </w:r>
    </w:p>
    <w:p>
      <w:pPr>
        <w:spacing w:after="0" w:line="225"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THE DEBTORS HEREBY ADOPT AND INCORPORATE EACH EXHIBIT ATTACHED TO THIS DISCLOSURE STATEMENT BY REFERENCE AS THOUGH FULLY SET FORTH HEREIN.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t>
      </w:r>
      <w:r>
        <w:rPr>
          <w:rFonts w:ascii="Arial" w:cs="Arial" w:eastAsia="Arial" w:hAnsi="Arial"/>
          <w:sz w:val="17"/>
          <w:szCs w:val="17"/>
          <w:b w:val="1"/>
          <w:bCs w:val="1"/>
          <w:u w:val="single" w:color="auto"/>
          <w:color w:val="auto"/>
        </w:rPr>
        <w:t>Weatherford Parent</w:t>
      </w:r>
      <w:r>
        <w:rPr>
          <w:rFonts w:ascii="Arial" w:cs="Arial" w:eastAsia="Arial" w:hAnsi="Arial"/>
          <w:sz w:val="17"/>
          <w:szCs w:val="17"/>
          <w:color w:val="auto"/>
        </w:rPr>
        <w:t>”), an Irish public limited company, and the other debtors and debtors in possession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u w:val="single" w:color="auto"/>
          <w:color w:val="auto"/>
        </w:rPr>
        <w:t>Debtors</w:t>
      </w:r>
      <w:r>
        <w:rPr>
          <w:rFonts w:ascii="Arial" w:cs="Arial" w:eastAsia="Arial" w:hAnsi="Arial"/>
          <w:sz w:val="17"/>
          <w:szCs w:val="17"/>
          <w:color w:val="auto"/>
        </w:rPr>
        <w:t>” and, together with their non-debtor subsidiaries,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Weatherford</w:t>
      </w:r>
      <w:r>
        <w:rPr>
          <w:rFonts w:ascii="Arial" w:cs="Arial" w:eastAsia="Arial" w:hAnsi="Arial"/>
          <w:sz w:val="17"/>
          <w:szCs w:val="17"/>
          <w:color w:val="auto"/>
        </w:rPr>
        <w:t>”), submit this disclosure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Disclosure Statement</w:t>
      </w:r>
      <w:r>
        <w:rPr>
          <w:rFonts w:ascii="Arial" w:cs="Arial" w:eastAsia="Arial" w:hAnsi="Arial"/>
          <w:sz w:val="16"/>
          <w:szCs w:val="16"/>
          <w:color w:val="auto"/>
        </w:rPr>
        <w:t>”) pursuant to sections 1125 and 1126(b) of title 11 of the United States Code, 11 U.S.C. §§ 101-1532 (as amended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and other applicable law, in connection with the solicitation of votes (the “</w:t>
      </w:r>
      <w:r>
        <w:rPr>
          <w:rFonts w:ascii="Arial" w:cs="Arial" w:eastAsia="Arial" w:hAnsi="Arial"/>
          <w:sz w:val="17"/>
          <w:szCs w:val="17"/>
          <w:b w:val="1"/>
          <w:bCs w:val="1"/>
          <w:u w:val="single" w:color="auto"/>
          <w:color w:val="auto"/>
        </w:rPr>
        <w:t>Solicitation</w:t>
      </w:r>
      <w:r>
        <w:rPr>
          <w:rFonts w:ascii="Arial" w:cs="Arial" w:eastAsia="Arial" w:hAnsi="Arial"/>
          <w:sz w:val="17"/>
          <w:szCs w:val="17"/>
          <w:color w:val="auto"/>
        </w:rPr>
        <w:t xml:space="preserve">”) on the </w:t>
      </w:r>
      <w:r>
        <w:rPr>
          <w:rFonts w:ascii="Arial" w:cs="Arial" w:eastAsia="Arial" w:hAnsi="Arial"/>
          <w:sz w:val="17"/>
          <w:szCs w:val="17"/>
          <w:i w:val="1"/>
          <w:iCs w:val="1"/>
          <w:color w:val="auto"/>
        </w:rPr>
        <w:t>Joint Prepackaged Plan of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for Weatherford International plc and its Affiliate Debtors Under Chapter 11 of the Bankruptcy Code</w:t>
      </w:r>
      <w:r>
        <w:rPr>
          <w:rFonts w:ascii="Arial" w:cs="Arial" w:eastAsia="Arial" w:hAnsi="Arial"/>
          <w:sz w:val="16"/>
          <w:szCs w:val="16"/>
          <w:color w:val="auto"/>
        </w:rPr>
        <w:t>, dated June 28, 2019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w:t>
      </w:r>
      <w:r>
        <w:rPr>
          <w:rFonts w:ascii="Arial" w:cs="Arial" w:eastAsia="Arial" w:hAnsi="Arial"/>
          <w:sz w:val="20"/>
          <w:szCs w:val="20"/>
          <w:color w:val="auto"/>
          <w:vertAlign w:val="superscript"/>
        </w:rPr>
        <w:t>(2)</w:t>
      </w:r>
    </w:p>
    <w:p>
      <w:pPr>
        <w:spacing w:after="0"/>
        <w:rPr>
          <w:sz w:val="20"/>
          <w:szCs w:val="20"/>
          <w:color w:val="auto"/>
        </w:rPr>
      </w:pPr>
      <w:r>
        <w:rPr>
          <w:rFonts w:ascii="Arial" w:cs="Arial" w:eastAsia="Arial" w:hAnsi="Arial"/>
          <w:sz w:val="17"/>
          <w:szCs w:val="17"/>
          <w:color w:val="auto"/>
        </w:rPr>
        <w:t>Subject to the approval of the board of directors of Weatherford Parent, the Debtors anticipate filing voluntary petitions for relief under chapter 11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Bankruptcy Court for the Southern District of Texas, Houston Division (the “</w:t>
      </w:r>
      <w:r>
        <w:rPr>
          <w:rFonts w:ascii="Arial" w:cs="Arial" w:eastAsia="Arial" w:hAnsi="Arial"/>
          <w:sz w:val="16"/>
          <w:szCs w:val="16"/>
          <w:b w:val="1"/>
          <w:bCs w:val="1"/>
          <w:u w:val="single" w:color="auto"/>
          <w:color w:val="auto"/>
        </w:rPr>
        <w:t>Bankruptcy Court</w:t>
      </w:r>
      <w:r>
        <w:rPr>
          <w:rFonts w:ascii="Arial" w:cs="Arial" w:eastAsia="Arial" w:hAnsi="Arial"/>
          <w:sz w:val="16"/>
          <w:szCs w:val="16"/>
          <w:color w:val="auto"/>
        </w:rPr>
        <w:t>”) on or around July 1, 2019 (the “</w:t>
      </w:r>
      <w:r>
        <w:rPr>
          <w:rFonts w:ascii="Arial" w:cs="Arial" w:eastAsia="Arial" w:hAnsi="Arial"/>
          <w:sz w:val="16"/>
          <w:szCs w:val="16"/>
          <w:b w:val="1"/>
          <w:bCs w:val="1"/>
          <w:u w:val="single" w:color="auto"/>
          <w:color w:val="auto"/>
        </w:rPr>
        <w:t>Chapter 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Cases</w:t>
      </w:r>
      <w:r>
        <w:rPr>
          <w:rFonts w:ascii="Arial" w:cs="Arial" w:eastAsia="Arial" w:hAnsi="Arial"/>
          <w:sz w:val="18"/>
          <w:szCs w:val="18"/>
          <w:color w:val="auto"/>
        </w:rPr>
        <w:t>”). A copy of the Plan is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Debtors anticipate commencing the Chapter 11 Cases on July 1, 2019 with an expected first day hearing on or around July 2, 2019.</w:t>
      </w:r>
    </w:p>
    <w:p>
      <w:pPr>
        <w:spacing w:after="0" w:line="23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Debtors are commencing this Solicitation to implement a comprehensive financial restructuring to deleverage the Company’s balance sheet to ensure the long-term viability of the Debtors’ enterprise. As a result of extensive negotiations, the Debtors and the Holders of approximately 74% of the Prepetition Notes (the “</w:t>
      </w:r>
      <w:r>
        <w:rPr>
          <w:rFonts w:ascii="Arial" w:cs="Arial" w:eastAsia="Arial" w:hAnsi="Arial"/>
          <w:sz w:val="17"/>
          <w:szCs w:val="17"/>
          <w:b w:val="1"/>
          <w:bCs w:val="1"/>
          <w:u w:val="single" w:color="auto"/>
          <w:color w:val="auto"/>
        </w:rPr>
        <w:t>Consenting Noteholders</w:t>
      </w:r>
      <w:r>
        <w:rPr>
          <w:rFonts w:ascii="Arial" w:cs="Arial" w:eastAsia="Arial" w:hAnsi="Arial"/>
          <w:sz w:val="17"/>
          <w:szCs w:val="17"/>
          <w:color w:val="auto"/>
        </w:rPr>
        <w:t>”) entered into a restructuring support agreement (the “</w:t>
      </w:r>
      <w:r>
        <w:rPr>
          <w:rFonts w:ascii="Arial" w:cs="Arial" w:eastAsia="Arial" w:hAnsi="Arial"/>
          <w:sz w:val="17"/>
          <w:szCs w:val="17"/>
          <w:b w:val="1"/>
          <w:bCs w:val="1"/>
          <w:u w:val="single" w:color="auto"/>
          <w:color w:val="auto"/>
        </w:rPr>
        <w:t>Restructuring Support Agreement</w:t>
      </w:r>
      <w:r>
        <w:rPr>
          <w:rFonts w:ascii="Arial" w:cs="Arial" w:eastAsia="Arial" w:hAnsi="Arial"/>
          <w:sz w:val="17"/>
          <w:szCs w:val="17"/>
          <w:color w:val="auto"/>
        </w:rPr>
        <w:t xml:space="preserve">”) dated as of May 10, 2019, a copy of which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Under the terms of the Restructuring Support Agreement, the Consenting Noteholders have agreed, subject to the terms and conditions of the Restructuring Support Agreement, to support a restructuring of the Debtors’ existing capital structure in chapter 11 (the “</w:t>
      </w:r>
      <w:r>
        <w:rPr>
          <w:rFonts w:ascii="Arial" w:cs="Arial" w:eastAsia="Arial" w:hAnsi="Arial"/>
          <w:sz w:val="17"/>
          <w:szCs w:val="17"/>
          <w:b w:val="1"/>
          <w:bCs w:val="1"/>
          <w:u w:val="single" w:color="auto"/>
          <w:color w:val="auto"/>
        </w:rPr>
        <w:t>Restructuring</w:t>
      </w:r>
      <w:r>
        <w:rPr>
          <w:rFonts w:ascii="Arial" w:cs="Arial" w:eastAsia="Arial" w:hAnsi="Arial"/>
          <w:sz w:val="17"/>
          <w:szCs w:val="17"/>
          <w:color w:val="auto"/>
        </w:rPr>
        <w:t>”) and vote to accept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groups whose votes for acceptance of the Plan are being solicited:</w:t>
      </w:r>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Holders of Prepetition Notes;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Holders of Existing Common Stock.</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Restructuring as contemplated in the Plan results in a significant deleveraging of the Debtors’ capital structure. The Debtors’ funded debt will be reduced from approximately $8.35 billion to $2.50 billion, which will allow the Debtors to focus on long-term growth prospects and their competitive position in the market, which will in turn allow the Debtors to emerge from these Chapter 11 Cases as a stronger company.</w:t>
      </w:r>
    </w:p>
    <w:p>
      <w:pPr>
        <w:spacing w:after="0" w:line="166"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Pursuant to section 1126(b) of the Bankruptcy Code, prior to commencement of a prepackaged chapter 11 case, the Solicitation of votes for acceptance or rejection of a plan must (i) comply with any applicable non-bankruptcy law, rule or regulation governing the adequacy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right="140" w:firstLine="8"/>
        <w:spacing w:after="0" w:line="215" w:lineRule="auto"/>
        <w:tabs>
          <w:tab w:leader="none" w:pos="17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capitalized terms used but not otherwise defined herein shall have the meanings set forth in the Plan. To the extent that a definition of a term in the text of this Disclosure Statement and the definition of such term in the Plan are inconsistent, the definition included in the Plan shall control and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2" w:name="page133"/>
    <w:bookmarkEnd w:id="132"/>
    <w:p>
      <w:pPr>
        <w:ind w:right="80"/>
        <w:spacing w:after="0" w:line="302" w:lineRule="auto"/>
        <w:rPr>
          <w:sz w:val="20"/>
          <w:szCs w:val="20"/>
          <w:color w:val="auto"/>
        </w:rPr>
      </w:pPr>
      <w:r>
        <w:rPr>
          <w:rFonts w:ascii="Arial" w:cs="Arial" w:eastAsia="Arial" w:hAnsi="Arial"/>
          <w:sz w:val="16"/>
          <w:szCs w:val="16"/>
          <w:color w:val="auto"/>
        </w:rPr>
        <w:t>disclosure in connection with such Solicitation or (ii) if there is no such law, rule or other regulation, must contain adequate information as defined in section 1125(a) of the Bankruptcy Code. Pursuant to section 1125(a) of the Bankruptcy Code, “adequate information” is information of a kind, and in sufficient detail, to enable a hypothetical reasonable investor to make an informed judgment regarding the plan. To satisfy applicable disclosure requirements, the Debtors are submitting this Disclosure Statement to holders of Claims and Equity Interests who are Impaired and not deemed to have rejected the Plan.</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Section 1125(g) of the Bankruptcy Code allows for the Solicitation of votes from holders prior to commencement of a chapter 11 case if such solicitation complies with applicable nonbankruptcy law and if such holder was solicited before the commencement of the case in a manner complying with applicable nonbankruptcy law.</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Solicitation of Holders of Prepetition Notes is being conducted at this time,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the commencement of the Chapter 11 Cases, to obtain sufficient acceptances to enable the Plan to be confirmed by the Bankruptcy Court pursuant to the provisions of the Bankruptcy Code. The Solicitation of Holders of Existing Common Stock will commence </w:t>
      </w:r>
      <w:r>
        <w:rPr>
          <w:rFonts w:ascii="Arial" w:cs="Arial" w:eastAsia="Arial" w:hAnsi="Arial"/>
          <w:sz w:val="17"/>
          <w:szCs w:val="17"/>
          <w:b w:val="1"/>
          <w:bCs w:val="1"/>
          <w:i w:val="1"/>
          <w:iCs w:val="1"/>
          <w:color w:val="auto"/>
        </w:rPr>
        <w:t>after</w:t>
      </w:r>
      <w:r>
        <w:rPr>
          <w:rFonts w:ascii="Arial" w:cs="Arial" w:eastAsia="Arial" w:hAnsi="Arial"/>
          <w:sz w:val="17"/>
          <w:szCs w:val="17"/>
          <w:color w:val="auto"/>
        </w:rPr>
        <w:t xml:space="preserve"> the commencement of the Chapter 11 Cases. The Company believes that this Solicitation will minimize the disruption of its business that could result from a traditional bankruptcy case, which could be contested and protracted. The Company also believes that the Solicitation of Holders of Prepetition Notes prior to the commencement of the Chapter 11 Cases will minimize postpetition disputes, and will significantly simplify, shorten, and reduce the administrative costs of the Chapter 11 Cases.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Executive Summary is being provided as an overview of the material items addressed in the Disclosure Statement and the Plan, which is qualified by reference to the entire Disclosure Statement and by the actual terms of the Plan (and including all exhibits attached hereto and to the Plan), and should not be relied upon for a comprehensive discussion of the Disclosure Statement and/or the Plan. This Disclosure Statement includes, without limitation, information about:</w:t>
      </w:r>
    </w:p>
    <w:p>
      <w:pPr>
        <w:spacing w:after="0" w:line="187"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Debtors’ operating and financial history;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background information, including the events leading up to the Restructuring, including the expected commencement of the Chapter 11 Cases;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events that are expected to occur during the Chapter 11 Cases;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Confirmation process and the solicitation and voting procedures that Holders of Claims and Equity Interests who are entitled to vote on the Plan must follow for their votes to be counted;</w:t>
      </w:r>
    </w:p>
    <w:p>
      <w:pPr>
        <w:spacing w:after="0" w:line="170" w:lineRule="exact"/>
        <w:rPr>
          <w:rFonts w:ascii="Arial" w:cs="Arial" w:eastAsia="Arial" w:hAnsi="Arial"/>
          <w:sz w:val="18"/>
          <w:szCs w:val="18"/>
          <w:color w:val="auto"/>
        </w:rPr>
      </w:pPr>
    </w:p>
    <w:p>
      <w:pPr>
        <w:ind w:left="980" w:right="80" w:hanging="324"/>
        <w:spacing w:after="0" w:line="342"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terms and provisions of the Plan, including certain effects of confirmation of the Plan, certain risk factors relating to the Debtors or the Reorganized Debtors, the Plan and the securities to be issued under the Plan and the manner in which distributions will be made under the Plan;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Reorganization Steps Overview, as described more fully in </w:t>
      </w:r>
      <w:r>
        <w:rPr>
          <w:rFonts w:ascii="Arial" w:cs="Arial" w:eastAsia="Arial" w:hAnsi="Arial"/>
          <w:sz w:val="18"/>
          <w:szCs w:val="18"/>
          <w:u w:val="single" w:color="auto"/>
          <w:color w:val="auto"/>
        </w:rPr>
        <w:t>Exhibit I</w:t>
      </w:r>
      <w:r>
        <w:rPr>
          <w:rFonts w:ascii="Arial" w:cs="Arial" w:eastAsia="Arial" w:hAnsi="Arial"/>
          <w:sz w:val="18"/>
          <w:szCs w:val="18"/>
          <w:color w:val="auto"/>
        </w:rPr>
        <w: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3" w:name="page134"/>
    <w:bookmarkEnd w:id="133"/>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proposed organization, operations and financing of the Reorganized Debtors if the Plan is confirmed and becomes effective.</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PURPOSE AND EFFECT OF THE PLAN</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of Reorganization Under Chapter 11 of the Bankruptcy Code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are reorganizing pursuant to chapter 11 of the Bankruptcy Code, which is the principal business reorganization chapter of the Bankruptcy Code. As a result, the confirmation of the Plan means that the Reorganized Debtors will continue to operate their businesses going forward and does not mean that the Debtors will be liquidated or forced to go out of business. Additionally, as discussed in greater detail in Section IV.J herein, titled “Binding Nature of the Plan,” a bankruptcy court’s confirmation of a plan binds debtors, any entity acquiring property under the plan, any holder of a claim or equity interest in a debtor and all other entities as may be ordered by the bankruptcy court in accordance with the applicable provisions of the Bankruptcy Code to the terms and conditions of the confirmed plan, whether or not such entity voted on the particular plan or affirmatively voted to reject the plan.</w:t>
      </w:r>
    </w:p>
    <w:p>
      <w:pPr>
        <w:spacing w:after="0" w:line="16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Restructurings Under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contemplates certain transactions, including, without limitation, the following transactions (described in greater detail in Section IV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980" w:right="6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Holder of an Allowed Prepetition Revolving Credit Claim will receive payment in Cash equal to such Allowed Claim from the DIP Facility;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Holder of an Allowed Prepetition Term Loan Claim will receive payment in Cash equal to such Allowed Claim from the DIP Facility;</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Holder of an Allowed Prepetition A&amp;R Claim will receive payment in Cash equal to such Allowed Claim from the Exit Facility;</w:t>
      </w:r>
    </w:p>
    <w:p>
      <w:pPr>
        <w:spacing w:after="0" w:line="225" w:lineRule="exact"/>
        <w:rPr>
          <w:rFonts w:ascii="Arial" w:cs="Arial" w:eastAsia="Arial" w:hAnsi="Arial"/>
          <w:sz w:val="18"/>
          <w:szCs w:val="18"/>
          <w:color w:val="auto"/>
        </w:rPr>
      </w:pPr>
    </w:p>
    <w:p>
      <w:pPr>
        <w:ind w:left="980" w:right="60" w:hanging="324"/>
        <w:spacing w:after="0" w:line="270" w:lineRule="auto"/>
        <w:tabs>
          <w:tab w:leader="none" w:pos="9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and (ii) the New Tranche B Senior Unsecured Notes; provided, however, that each Holder of Allowed Prepetition Notes Claims will have the option, in its sole discretion, of converting its New Tranche B Senior Unsecured Notes pursuant to the Tranche B Equity Conversion at the mid-point of the equity value range set forth in this Disclosure Statement; provided,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Holder of Allowed Prepetition Notes Claims that elected to convert its full Pro Rata share of New Tranche B Senior Unsecured Notes into New Common Stock in the Tranche B Equity Conversion shall also be eligible to exercise their Overallotment Rights. Procedures for the effectuation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4" w:name="page135"/>
    <w:bookmarkEnd w:id="134"/>
    <w:p>
      <w:pPr>
        <w:ind w:left="324"/>
        <w:spacing w:after="0" w:line="259" w:lineRule="auto"/>
        <w:rPr>
          <w:sz w:val="20"/>
          <w:szCs w:val="20"/>
          <w:color w:val="auto"/>
        </w:rPr>
      </w:pPr>
      <w:r>
        <w:rPr>
          <w:rFonts w:ascii="Arial" w:cs="Arial" w:eastAsia="Arial" w:hAnsi="Arial"/>
          <w:sz w:val="18"/>
          <w:szCs w:val="18"/>
          <w:color w:val="auto"/>
        </w:rPr>
        <w:t>Tranche B Equity Conversion and the Overallotment Rights are set forth in Article V.V of the Plan. Each Holder of Prepetition Notes issued by Weatherford International, LLC will receive New Tranche B Senior Unsecured Notes issued by Reorganized Weatherford Delaware and each Holder of Prepetition Notes issued by Weatherford International Ltd. will receive New Tranche B Senior Unsecured Notes issued by Reorganized Weatherford Bermuda;</w:t>
      </w:r>
    </w:p>
    <w:p>
      <w:pPr>
        <w:spacing w:after="0" w:line="187" w:lineRule="exact"/>
        <w:rPr>
          <w:sz w:val="20"/>
          <w:szCs w:val="20"/>
          <w:color w:val="auto"/>
        </w:rPr>
      </w:pPr>
    </w:p>
    <w:p>
      <w:pPr>
        <w:ind w:left="324" w:right="220" w:hanging="324"/>
        <w:spacing w:after="0" w:line="342" w:lineRule="auto"/>
        <w:tabs>
          <w:tab w:leader="none" w:pos="2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Holder of an Allowed Prepetition Notes Claim will receive Subscription Rights to purchase its Pro Rata share of New Tranche A Senior Unsecured Notes pursuant to the Rights Offering (as defined below) and in accordance with the applicable Rights Offerings Procedures;</w:t>
      </w:r>
    </w:p>
    <w:p>
      <w:pPr>
        <w:spacing w:after="0" w:line="123" w:lineRule="exact"/>
        <w:rPr>
          <w:rFonts w:ascii="Arial" w:cs="Arial" w:eastAsia="Arial" w:hAnsi="Arial"/>
          <w:sz w:val="16"/>
          <w:szCs w:val="16"/>
          <w:color w:val="auto"/>
        </w:rPr>
      </w:pPr>
    </w:p>
    <w:p>
      <w:pPr>
        <w:ind w:left="324" w:right="260" w:hanging="324"/>
        <w:spacing w:after="0" w:line="286" w:lineRule="auto"/>
        <w:tabs>
          <w:tab w:leader="none" w:pos="2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Existing Common Stock will be cancelled and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65" w:lineRule="exact"/>
        <w:rPr>
          <w:rFonts w:ascii="Arial" w:cs="Arial" w:eastAsia="Arial" w:hAnsi="Arial"/>
          <w:sz w:val="17"/>
          <w:szCs w:val="17"/>
          <w:color w:val="auto"/>
        </w:rPr>
      </w:pPr>
    </w:p>
    <w:p>
      <w:pPr>
        <w:ind w:left="284" w:hanging="284"/>
        <w:spacing w:after="0"/>
        <w:tabs>
          <w:tab w:leader="none" w:pos="2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Allowed DIP Facility Claims will be paid in full in Cash upon emergence;</w:t>
      </w:r>
    </w:p>
    <w:p>
      <w:pPr>
        <w:spacing w:after="0" w:line="225" w:lineRule="exact"/>
        <w:rPr>
          <w:rFonts w:ascii="Arial" w:cs="Arial" w:eastAsia="Arial" w:hAnsi="Arial"/>
          <w:sz w:val="18"/>
          <w:szCs w:val="18"/>
          <w:color w:val="auto"/>
        </w:rPr>
      </w:pPr>
    </w:p>
    <w:p>
      <w:pPr>
        <w:ind w:left="324" w:right="140" w:hanging="324"/>
        <w:spacing w:after="0" w:line="264"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Intercompany Claims will be adjusted, reinstated, compromised, or cancelled to the extent determined appropriate by the Debtors, with the consent of the Required Consenting Noteholders (and to the extent permitted by the laws of the Debtor’s jurisdiction of incorporation if non-bankruptcy law applies);</w:t>
      </w:r>
    </w:p>
    <w:p>
      <w:pPr>
        <w:spacing w:after="0" w:line="181" w:lineRule="exact"/>
        <w:rPr>
          <w:rFonts w:ascii="Arial" w:cs="Arial" w:eastAsia="Arial" w:hAnsi="Arial"/>
          <w:sz w:val="18"/>
          <w:szCs w:val="18"/>
          <w:color w:val="auto"/>
        </w:rPr>
      </w:pPr>
    </w:p>
    <w:p>
      <w:pPr>
        <w:ind w:left="324" w:right="640" w:hanging="324"/>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Intercompany Equity Interests will be reinstated for administrative convenience or cancelled as determined by the Debtors, with the reasonable consent of the Required Consenting Noteholders;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Unexercised Equity Interests will be cancelled, and the Holders of such Unexercised Equity Interests will not receive any distribution or retain any property on account of such Unexercised Equity Interests; and</w:t>
      </w:r>
    </w:p>
    <w:p>
      <w:pPr>
        <w:spacing w:after="0" w:line="170" w:lineRule="exact"/>
        <w:rPr>
          <w:rFonts w:ascii="Arial" w:cs="Arial" w:eastAsia="Arial" w:hAnsi="Arial"/>
          <w:sz w:val="18"/>
          <w:szCs w:val="18"/>
          <w:color w:val="auto"/>
        </w:rPr>
      </w:pPr>
    </w:p>
    <w:p>
      <w:pPr>
        <w:ind w:left="324" w:right="180" w:hanging="324"/>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legal, equitable, and contractual rights of the Holders of Allowed Other Priority Claims, Allowed Other Secured Claims, Allowed General Unsecured Claims, and Allowed Secured Tax Claims will be unaltered by the Plan.</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135" w:name="page136"/>
    <w:bookmarkEnd w:id="135"/>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Plan on Debtors’ 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effect of the Restructuring on the Debtors’ capital structure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Pre-Petition Capital Structure</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00" w:type="dxa"/>
            <w:vAlign w:val="bottom"/>
          </w:tcPr>
          <w:p>
            <w:pPr>
              <w:ind w:left="2000"/>
              <w:spacing w:after="0"/>
              <w:rPr>
                <w:sz w:val="20"/>
                <w:szCs w:val="20"/>
                <w:color w:val="auto"/>
              </w:rPr>
            </w:pPr>
            <w:r>
              <w:rPr>
                <w:rFonts w:ascii="Arial" w:cs="Arial" w:eastAsia="Arial" w:hAnsi="Arial"/>
                <w:sz w:val="14"/>
                <w:szCs w:val="14"/>
                <w:b w:val="1"/>
                <w:bCs w:val="1"/>
                <w:color w:val="auto"/>
              </w:rPr>
              <w:t>Reorganized Capital Structure</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Prepetition A&amp;R</w:t>
            </w:r>
          </w:p>
        </w:tc>
        <w:tc>
          <w:tcPr>
            <w:tcW w:w="11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305,000,000</w:t>
            </w:r>
          </w:p>
        </w:tc>
        <w:tc>
          <w:tcPr>
            <w:tcW w:w="3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Exit Facility (undrawn on Effective Date)</w:t>
            </w:r>
          </w:p>
        </w:tc>
        <w:tc>
          <w:tcPr>
            <w:tcW w:w="1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0"/>
              </w:rPr>
              <w:t>Up to $1,000,000,000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Term Loan</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297,500,000</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A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Revolver</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316,742,581</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B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Notes</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7,427,067,000</w:t>
            </w:r>
          </w:p>
        </w:tc>
        <w:tc>
          <w:tcPr>
            <w:tcW w:w="4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8,346,309,581</w:t>
            </w: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$2,500,000,000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 UNDER THE PLAN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summary of the classification and treatment of Claims and Equity Interests and the potential distributions to Holders of Allowed Claims and Equity Interests under the Plan.</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THE PROJECTED RECOVERIES SET FORTH IN THE TABLE BELOW ARE ESTIMATES ONLY AND THEREFORE ARE SUBJECT TO CHANGE. FOR A COMPLETE DESCRIPTION OF THE DEBTORS’ CLASSIFICATION AND TREATMENT OF CLAIMS AND EQUITY INTERESTS, REFERENCE SHOULD BE MADE TO THE ENTIRE PLAN AND THE RISK FACTORS DESCRIBED IN </w:t>
      </w:r>
      <w:r>
        <w:rPr>
          <w:rFonts w:ascii="Arial" w:cs="Arial" w:eastAsia="Arial" w:hAnsi="Arial"/>
          <w:sz w:val="18"/>
          <w:szCs w:val="18"/>
          <w:b w:val="1"/>
          <w:bCs w:val="1"/>
          <w:u w:val="single" w:color="auto"/>
          <w:color w:val="auto"/>
        </w:rPr>
        <w:t>ARTICLE V</w:t>
      </w:r>
      <w:r>
        <w:rPr>
          <w:rFonts w:ascii="Arial" w:cs="Arial" w:eastAsia="Arial" w:hAnsi="Arial"/>
          <w:sz w:val="18"/>
          <w:szCs w:val="18"/>
          <w:b w:val="1"/>
          <w:bCs w:val="1"/>
          <w:color w:val="auto"/>
        </w:rPr>
        <w:t xml:space="preserve"> BELOW. THE TABLE IS INTENDED FOR ILLUSTRATIVE PURPOSES ONLY AND IS NOT A SUBSTITUTE FOR A REVIEW OF THE PLAN AND DISCLOSURE STATEMENT IN THEIR ENTIRETY. FOR CERTAIN CLASSES OF CLAIMS, THE ACTUAL AMOUNT OF ALLOWED CLAIMS COULD BE MATERIALLY DIFFERENT THAN THE ESTIMATED AMOUNTS SHOWN IN THE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SUMMARY OF EXPECTED RECOVERIES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right"/>
              <w:ind w:right="250"/>
              <w:spacing w:after="0" w:line="195"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Other Priority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Each Holder of an Allowed Class 1 Claim will receive in full satisfaction, settlement,</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1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1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1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 or</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Secured Claims</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Each Holder of an Allowed Class 2 Claim will receive in full satisfaction, settlement,</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2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2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2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The Collateral securing such Allowed Class 2 Claim; 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4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Secured Tax Claims</w:t>
            </w:r>
          </w:p>
        </w:tc>
        <w:tc>
          <w:tcPr>
            <w:tcW w:w="6880" w:type="dxa"/>
            <w:vAlign w:val="bottom"/>
            <w:gridSpan w:val="4"/>
          </w:tcPr>
          <w:p>
            <w:pPr>
              <w:spacing w:after="0"/>
              <w:rPr>
                <w:sz w:val="20"/>
                <w:szCs w:val="20"/>
                <w:color w:val="auto"/>
              </w:rPr>
            </w:pPr>
            <w:r>
              <w:rPr>
                <w:rFonts w:ascii="Arial" w:cs="Arial" w:eastAsia="Arial" w:hAnsi="Arial"/>
                <w:sz w:val="18"/>
                <w:szCs w:val="18"/>
                <w:color w:val="auto"/>
              </w:rPr>
              <w:t>Each Holder of an Allowed Class 3 Claim will receive in full satisfaction, settlement,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5"/>
              </w:rPr>
              <w:t>discharge and release of, and in exchange for, such Allowed Class 3 Claim, at the election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6465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646555"/>
                    </a:xfrm>
                    <a:prstGeom prst="rect">
                      <a:avLst/>
                    </a:prstGeom>
                    <a:noFill/>
                  </pic:spPr>
                </pic:pic>
              </a:graphicData>
            </a:graphic>
          </wp:anchor>
        </w:drawing>
      </w:r>
    </w:p>
    <w:p>
      <w:pPr>
        <w:spacing w:after="0" w:line="182" w:lineRule="exact"/>
        <w:rPr>
          <w:sz w:val="20"/>
          <w:szCs w:val="20"/>
          <w:color w:val="auto"/>
        </w:rPr>
      </w:pPr>
    </w:p>
    <w:p>
      <w:pPr>
        <w:ind w:left="3680"/>
        <w:spacing w:after="0"/>
        <w:tabs>
          <w:tab w:leader="none" w:pos="3940" w:val="left"/>
        </w:tabs>
        <w:rPr>
          <w:sz w:val="20"/>
          <w:szCs w:val="20"/>
          <w:color w:val="auto"/>
        </w:rPr>
      </w:pPr>
      <w:r>
        <w:rPr>
          <w:rFonts w:ascii="Arial" w:cs="Arial" w:eastAsia="Arial" w:hAnsi="Arial"/>
          <w:sz w:val="18"/>
          <w:szCs w:val="18"/>
          <w:color w:val="auto"/>
        </w:rPr>
        <w:t>·</w:t>
        <w:tab/>
        <w:t>Cash equal to the amount of such Allowed Class 3 Claim;</w:t>
      </w:r>
    </w:p>
    <w:p>
      <w:pPr>
        <w:spacing w:after="0" w:line="225" w:lineRule="exact"/>
        <w:rPr>
          <w:sz w:val="20"/>
          <w:szCs w:val="20"/>
          <w:color w:val="auto"/>
        </w:rPr>
      </w:pPr>
    </w:p>
    <w:p>
      <w:pPr>
        <w:ind w:left="3960" w:right="1600" w:hanging="323"/>
        <w:spacing w:after="0" w:line="264" w:lineRule="auto"/>
        <w:tabs>
          <w:tab w:leader="none" w:pos="3940" w:val="left"/>
        </w:tabs>
        <w:rPr>
          <w:sz w:val="20"/>
          <w:szCs w:val="20"/>
          <w:color w:val="auto"/>
        </w:rPr>
      </w:pPr>
      <w:r>
        <w:rPr>
          <w:rFonts w:ascii="Arial" w:cs="Arial" w:eastAsia="Arial" w:hAnsi="Arial"/>
          <w:sz w:val="18"/>
          <w:szCs w:val="18"/>
          <w:color w:val="auto"/>
        </w:rPr>
        <w:t>·</w:t>
        <w:tab/>
        <w:t>Such other less favorable treatment as to which the Debtors or Reorganized Debtors, as applicable, and the Holder of such Allowed Class 3 Claim shall have agreed upon in writing;</w:t>
      </w:r>
    </w:p>
    <w:p>
      <w:pPr>
        <w:spacing w:after="0" w:line="181" w:lineRule="exact"/>
        <w:rPr>
          <w:sz w:val="20"/>
          <w:szCs w:val="20"/>
          <w:color w:val="auto"/>
        </w:rPr>
      </w:pPr>
    </w:p>
    <w:p>
      <w:pPr>
        <w:jc w:val="center"/>
        <w:ind w:left="3680"/>
        <w:spacing w:after="0"/>
        <w:tabs>
          <w:tab w:leader="none" w:pos="220" w:val="left"/>
        </w:tabs>
        <w:rPr>
          <w:sz w:val="20"/>
          <w:szCs w:val="20"/>
          <w:color w:val="auto"/>
        </w:rPr>
      </w:pPr>
      <w:r>
        <w:rPr>
          <w:rFonts w:ascii="Arial" w:cs="Arial" w:eastAsia="Arial" w:hAnsi="Arial"/>
          <w:sz w:val="18"/>
          <w:szCs w:val="18"/>
          <w:color w:val="auto"/>
        </w:rPr>
        <w:t>·</w:t>
        <w:tab/>
        <w:t>The Collateral securing such Allowed Class 3 Claim;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ind w:left="320"/>
              <w:spacing w:after="0" w:line="195" w:lineRule="exact"/>
              <w:rPr>
                <w:sz w:val="20"/>
                <w:szCs w:val="20"/>
                <w:color w:val="auto"/>
              </w:rPr>
            </w:pPr>
            <w:r>
              <w:rPr>
                <w:rFonts w:ascii="Arial" w:cs="Arial" w:eastAsia="Arial" w:hAnsi="Arial"/>
                <w:sz w:val="18"/>
                <w:szCs w:val="18"/>
                <w:color w:val="auto"/>
                <w:w w:val="94"/>
              </w:rPr>
              <w:t>·   Such other treatment such that it will not be impaired pursuant to section 1124 of</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640"/>
              <w:spacing w:after="0" w:line="190" w:lineRule="exact"/>
              <w:rPr>
                <w:sz w:val="20"/>
                <w:szCs w:val="20"/>
                <w:color w:val="auto"/>
              </w:rPr>
            </w:pPr>
            <w:r>
              <w:rPr>
                <w:rFonts w:ascii="Arial" w:cs="Arial" w:eastAsia="Arial" w:hAnsi="Arial"/>
                <w:sz w:val="18"/>
                <w:szCs w:val="18"/>
                <w:color w:val="auto"/>
              </w:rPr>
              <w:t>the Bankruptcy Code; or</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6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9"/>
              </w:rPr>
              <w:t>·   Pursuant to and in accordance with sections 1129(a)(9)(C) and 1129(a)(9)(D)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 Cash in an aggregate amount of such Allowed Class 3</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5"/>
              </w:rPr>
              <w:t>Claim payable in regular installment payments over a period ending not more than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8"/>
              </w:rPr>
              <w:t>five (5) years after the Petition Date, plus simple interest at the rate required by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applicable non-bankruptcy law on any outstanding balance from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7"/>
              </w:rPr>
              <w:t>Date, or such lesser rate as is agreed to in writing by a particular taxing authority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and the Debtors or Reorganized Debtors, as applicable, pursuant to section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1129(a)(9)(C) of 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Revolving</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Revolving Credit Claims are deemed Allowed Secured Claims in the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aggregate principal amount of $316,742,581, plus accrued and unpaid interest on such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amount as of the Petition Date. To the extent not paid in full in Cash prior to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Date, on the Effective Date, the Allowed Prepetition Revolving Credit Claims shall, in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$316,742,581</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satisfaction, settlement, discharge and release of, and in exchange for, such Claims, be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indefeasibly paid in full in Cash and the Prepetition Revolving Credit Agreement Liens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shall be deemed discharged, released, and terminated for all purposes without further 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or by any 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Term Loan</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The Prepetition Term Loan Claims are deemed Allowed Secured Claims in the aggregate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principal amount of $297,500,000, plus accrued and unpaid interest on such amount as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the Petition Date. To the extent not paid in full in Cash prior to the Effective Date, on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Effective Date, the Allowed Prepetition Term Loan Claims shall,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$297,500,000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settlement, discharge and release of, and in exchange for, such Claims, be indefeasibly paid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 full in Cash and the Prepetition Term Loan Agreement Liens shall be deemed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discharged, released, and terminated for all purposes without further action of or by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A&amp;R</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A&amp;R Claims are deemed Allowed in the aggregate principal amount of</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$305,000,000 plus accrued and unpaid interest thereon. On the Effective Date,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Allowed Prepetition A&amp;R Claims shall, in full satisfaction, settlement, discharge and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release of, and in exchange for, such Claims, be indefeasibly paid in full in Cash.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$305,000,000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letters of credit issued and outstanding as of the Effective Date under the Prepetition A&amp;R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outstanding</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Credit Agreement shall either be cash collateralized or receive such other treatment as may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 in an</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 acceptable to the Debtors, the Prepetition A&amp;R Credit Agreement Agent, and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Required Consenting Noteholders.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$166,000,000</w:t>
            </w:r>
          </w:p>
        </w:tc>
        <w:tc>
          <w:tcPr>
            <w:tcW w:w="6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7</w:t>
            </w: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Claim/Equity</w:t>
            </w: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w w:val="85"/>
              </w:rPr>
              <w:t>Class</w:t>
            </w: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40" w:type="dxa"/>
            <w:vAlign w:val="bottom"/>
            <w:gridSpan w:val="4"/>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jc w:val="right"/>
              <w:ind w:right="270"/>
              <w:spacing w:after="0" w:line="195" w:lineRule="exact"/>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Prepetition Notes</w:t>
            </w:r>
          </w:p>
        </w:tc>
        <w:tc>
          <w:tcPr>
            <w:tcW w:w="28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gridSpan w:val="5"/>
            <w:shd w:val="clear" w:color="auto" w:fill="CCEEFF"/>
          </w:tcPr>
          <w:p>
            <w:pPr>
              <w:spacing w:after="0" w:line="195" w:lineRule="exact"/>
              <w:rPr>
                <w:sz w:val="20"/>
                <w:szCs w:val="20"/>
                <w:color w:val="auto"/>
              </w:rPr>
            </w:pPr>
            <w:r>
              <w:rPr>
                <w:rFonts w:ascii="Arial" w:cs="Arial" w:eastAsia="Arial" w:hAnsi="Arial"/>
                <w:sz w:val="18"/>
                <w:szCs w:val="18"/>
                <w:color w:val="auto"/>
                <w:w w:val="98"/>
              </w:rPr>
              <w:t>The Prepetition Notes Claims are deemed Allowed in the aggregate principal amount of</w:t>
            </w:r>
          </w:p>
        </w:tc>
        <w:tc>
          <w:tcPr>
            <w:tcW w:w="3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282"/>
              <w:spacing w:after="0" w:line="195"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$7,427,067,000, plus accrued and unpaid interest thereon. On the Initial Distribution Date,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each Holder of an Allowed Prepetition Notes Claim shall receive,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settlement, discharge and release of, and in exchange for, such Claim, its Pro Rata share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$7,427,067,000</w:t>
            </w:r>
          </w:p>
        </w:tc>
        <w:tc>
          <w:tcPr>
            <w:tcW w:w="280" w:type="dxa"/>
            <w:vAlign w:val="bottom"/>
            <w:shd w:val="clear" w:color="auto" w:fill="CCEEFF"/>
          </w:tcPr>
          <w:p>
            <w:pPr>
              <w:spacing w:after="0"/>
              <w:rPr>
                <w:sz w:val="20"/>
                <w:szCs w:val="20"/>
                <w:color w:val="auto"/>
              </w:rPr>
            </w:pPr>
          </w:p>
        </w:tc>
        <w:tc>
          <w:tcPr>
            <w:tcW w:w="7140" w:type="dxa"/>
            <w:vAlign w:val="bottom"/>
            <w:gridSpan w:val="6"/>
            <w:vMerge w:val="restart"/>
            <w:shd w:val="clear" w:color="auto" w:fill="CCEEFF"/>
          </w:tcPr>
          <w:p>
            <w:pPr>
              <w:ind w:left="320"/>
              <w:spacing w:after="0"/>
              <w:rPr>
                <w:sz w:val="20"/>
                <w:szCs w:val="20"/>
                <w:color w:val="auto"/>
              </w:rPr>
            </w:pPr>
            <w:r>
              <w:rPr>
                <w:rFonts w:ascii="Arial" w:cs="Arial" w:eastAsia="Arial" w:hAnsi="Arial"/>
                <w:sz w:val="18"/>
                <w:szCs w:val="18"/>
                <w:color w:val="auto"/>
              </w:rPr>
              <w:t>·   (i) 99% of the New Common Stock, subject to dilution on account of equity issued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6"/>
            <w:vMerge w:val="continue"/>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pursuant to the New Management Incentive Plan, the Tranche B Equity Conversion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defined below), and the New Common Stock issuable pursuant to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w w:val="95"/>
              </w:rPr>
              <w:t>·   (ii) the New Tranche B Senior Unsecured Notes in an aggregate amount of up to $1.25</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billion; provided, however, that each Holder of Allowed Prepetition Notes Claims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shall have the option, in its sole discretion, to convert its Pro Rata share of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500" w:type="dxa"/>
            <w:vAlign w:val="bottom"/>
            <w:gridSpan w:val="5"/>
            <w:shd w:val="clear" w:color="auto" w:fill="CCEEFF"/>
          </w:tcPr>
          <w:p>
            <w:pPr>
              <w:spacing w:after="0" w:line="194" w:lineRule="exact"/>
              <w:rPr>
                <w:sz w:val="20"/>
                <w:szCs w:val="20"/>
                <w:color w:val="auto"/>
              </w:rPr>
            </w:pPr>
            <w:r>
              <w:rPr>
                <w:rFonts w:ascii="Arial" w:cs="Arial" w:eastAsia="Arial" w:hAnsi="Arial"/>
                <w:sz w:val="18"/>
                <w:szCs w:val="18"/>
                <w:color w:val="auto"/>
              </w:rPr>
              <w:t>Tranche B Senior Unsecured Notes into New Common Stock (the “</w:t>
            </w:r>
            <w:r>
              <w:rPr>
                <w:rFonts w:ascii="Arial" w:cs="Arial" w:eastAsia="Arial" w:hAnsi="Arial"/>
                <w:sz w:val="18"/>
                <w:szCs w:val="18"/>
                <w:b w:val="1"/>
                <w:bCs w:val="1"/>
                <w:color w:val="auto"/>
              </w:rPr>
              <w:t>Tranche B</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5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Conversion</w:t>
            </w:r>
            <w:r>
              <w:rPr>
                <w:rFonts w:ascii="Arial" w:cs="Arial" w:eastAsia="Arial" w:hAnsi="Arial"/>
                <w:sz w:val="18"/>
                <w:szCs w:val="18"/>
                <w:color w:val="auto"/>
              </w:rPr>
              <w:t>”) at a conversion price of $36.20 per unit or share of New</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40" w:type="dxa"/>
            <w:vAlign w:val="bottom"/>
            <w:gridSpan w:val="4"/>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Common Stock; provided, further that the aggregate principal amount of Tranche B</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Unsecured Notes converted into New Common Stock shall not exceed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$500,000,000; 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   (iii) Subscription Rights to purchase its Pro Rata share of New Tranche A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Unsecured Notes in an aggregate amount of up to $1.25 billion pursuant to the Rights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Offering and in accordance with the applicable Rights Offerings Procedures.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the extent that less than $500,000,000 in principal amount of the New Tranche B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Unsecured Notes is converted into New Common Stock pursuant to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Conversion, any Holder of Allowed Prepetition Notes Claims that elected to convert its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Pro Rata share of Tranche B Senior Unsecured Notes into New Common Stock in the Tranche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B Equity Conversion shall also be eligible to exercise their Overallotment Rights. Procedures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for the effectuation of the Tranche B Equity Conversion and the Overallotment Rights are set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forth in Article V.V of the Plan.</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8</w:t>
            </w:r>
          </w:p>
        </w:tc>
        <w:tc>
          <w:tcPr>
            <w:tcW w:w="228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General Unsecured</w:t>
            </w:r>
          </w:p>
        </w:tc>
        <w:tc>
          <w:tcPr>
            <w:tcW w:w="71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8"/>
              </w:rPr>
              <w:t>The legal, equitable, and contractual rights of the holders of General Unsecured Claims are</w:t>
            </w:r>
          </w:p>
        </w:tc>
        <w:tc>
          <w:tcPr>
            <w:tcW w:w="1020" w:type="dxa"/>
            <w:vAlign w:val="bottom"/>
            <w:shd w:val="clear" w:color="auto" w:fill="CCEEFF"/>
          </w:tcPr>
          <w:p>
            <w:pPr>
              <w:jc w:val="right"/>
              <w:ind w:right="222"/>
              <w:spacing w:after="0" w:line="201"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unaltered by the Plan. Except to the extent that a holder of a General Unsecured Claim agrees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a different treatment, on and after the Effective Date, the Debtors shall continue to pay (if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Allowed) or dispute each General Unsecured Claim in the ordinary course of business in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accordance with applicable law.</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3"/>
          </w:tcPr>
          <w:p>
            <w:pPr>
              <w:ind w:left="256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9</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Intercompany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Subject to the Restructuring Transactions, the Intercompany Claims shall be adjusted,</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reinstated, compromised, or cancelled to the extent determined appropriate by the Debtors,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the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Existing Common</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Existing Common Stock will be cancelled without further notice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Greater than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approval of or action by any Entity. Each Holder of Existing Common Stock shall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receive its Pro Rata share of</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 1.0% of the New Common Stock, subject to dilution on account of the equity</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issued pursuant to the New Management Incentive Plan,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Conversion, and the New Common Stock issuable pursuant to the New Warrants;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(ii) the New Warrants.</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Intercompany Interests</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Subject to the Restructuring Transactions, the Intercompany Equity Interests shall be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reinstated for administrative convenience or cancelled as determined by the Debtors, with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reasonable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Unexercised Equity</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Unexercised Equity Interests will be cancelled, and the Holders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such Unexercised Equity Interests shall not receive any distribution or retain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on account of such Unexercised Equity Interests.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t>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BACKGROUND TO THE CHAPTER 11 CASES</w:t>
      </w:r>
    </w:p>
    <w:p>
      <w:pPr>
        <w:spacing w:after="0" w:line="20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CORPORATE HISTORY AND STRUCTURE</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Debtor Weatherford International Ltd. was originally incorporated in Delaware in 1972. In 2002, the Company restructured its corporate structure and inserted Weatherford International Ltd., a Bermuda exempted company as the group holding company. In 2009, the Company completed a share exchange transaction in which Weatherford International Ltd., which was then the parent company, became a wholly-owned subsidiary of Weatherford Switzerland for purposes of changing the Company’s place of incorporation from Bermuda to Switzerland. In June of 2014, the Company completed the change in its place of incorporation from Switzerland to Ireland, whereby Weatherford Parent became the new public holding company and parent of the Weatherford group of companies. The ordinary shares of Weatherford Parent are listed on the New York Stock Exchange (the “</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The NYSE, however, has suspended trading in the ordinary shares and has commenced proceedings to delist the ordinary shares, subject to an appeal of the NYSE’s decision by Weatherford Parent.</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Weatherford Parent has approximately 255 direct and indirect subsidiaries as of the date hereof. Of those entities, however, only the three Debtor entities are liable on the Prepetition Notes (as described in further detail below). The Company’s entire organizational structure as of the date of this Disclosure Statement is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DEBTORS’ BUSINESSES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Weatherford is a global leading provider of equipment and services used in the drilling, evaluation, completion, production, and intervention of oil and natural gas wells. Weatherford operates in over 80 countries worldwide and has service and sales locations in nearly all of the oil and natural gas producing regions in the world.</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Weatherford offers managed-pressure drilling services, including closed-loop, air, managed pressure, and underbalanced drilling; drilling services, such as directional drilling, logging while drilling, measurement while drilling, and rotary steerable systems; and tubular running services, which consist of tubular connection and installation services for the drilling, completion, and work over of oil or natural gas wells.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Weatherford also provides drilling tools comprising of drilling jars, under reamers, rotating control devices, down hole tools, drill pipe and related tools, tubular handling equipment, and other pressure-control equipment; drilling and project management services; wire line services; testing and production services; re-entry, fishing, and thru-tubing services; equipment for cementing operations; liner systems, such as liner hangers; integrated laboratory services; and surface logging systems.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Weatherford offers artificial lift systems that include reciprocating rod lift systems, progressing cavity pumps, gas lift systems, hydraulic lift systems, plunger lift systems, hybrid lift systems, and wellhead systems to produce oil or natural gas from the wells; stimulation, including pressure pumping services, coiled tubing services equipment, and reservoir stimulation hydraulic fracturing services; and completion tools, such as cased hole and flow control systems,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and well, industrial, and sand screens, as well as completion services, including upper and lower completions, and reservoir monitoring.</w:t>
      </w:r>
    </w:p>
    <w:p>
      <w:pPr>
        <w:spacing w:after="0" w:line="221" w:lineRule="exact"/>
        <w:rPr>
          <w:sz w:val="20"/>
          <w:szCs w:val="20"/>
          <w:color w:val="auto"/>
        </w:rPr>
      </w:pPr>
    </w:p>
    <w:p>
      <w:pPr>
        <w:ind w:right="600" w:firstLine="648"/>
        <w:spacing w:after="0" w:line="314" w:lineRule="auto"/>
        <w:rPr>
          <w:sz w:val="20"/>
          <w:szCs w:val="20"/>
          <w:color w:val="auto"/>
        </w:rPr>
      </w:pPr>
      <w:r>
        <w:rPr>
          <w:rFonts w:ascii="Arial" w:cs="Arial" w:eastAsia="Arial" w:hAnsi="Arial"/>
          <w:sz w:val="16"/>
          <w:szCs w:val="16"/>
          <w:color w:val="auto"/>
        </w:rPr>
        <w:t>Weatherford has an extensive focus on research and development (“</w:t>
      </w:r>
      <w:r>
        <w:rPr>
          <w:rFonts w:ascii="Arial" w:cs="Arial" w:eastAsia="Arial" w:hAnsi="Arial"/>
          <w:sz w:val="16"/>
          <w:szCs w:val="16"/>
          <w:b w:val="1"/>
          <w:bCs w:val="1"/>
          <w:u w:val="single" w:color="auto"/>
          <w:color w:val="auto"/>
        </w:rPr>
        <w:t>R&amp;D</w:t>
      </w:r>
      <w:r>
        <w:rPr>
          <w:rFonts w:ascii="Arial" w:cs="Arial" w:eastAsia="Arial" w:hAnsi="Arial"/>
          <w:sz w:val="16"/>
          <w:szCs w:val="16"/>
          <w:color w:val="auto"/>
        </w:rPr>
        <w:t>”) activities which are aimed at providing efficient services to its customers. Weatherford’s R&amp;D focuses on improving existing products and services and developing new technologies to meet customer demands for improved drilling performance and enhanced reservoir productivity. In 2018, Weatherford invested $139 million on its R&amp;D activities.</w:t>
      </w:r>
    </w:p>
    <w:p>
      <w:pPr>
        <w:spacing w:after="0" w:line="14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Products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business focuses on the following four sectors:</w:t>
      </w:r>
    </w:p>
    <w:p>
      <w:pPr>
        <w:spacing w:after="0" w:line="225" w:lineRule="exact"/>
        <w:rPr>
          <w:sz w:val="20"/>
          <w:szCs w:val="20"/>
          <w:color w:val="auto"/>
        </w:rPr>
      </w:pPr>
    </w:p>
    <w:p>
      <w:pPr>
        <w:ind w:left="1940" w:hanging="635"/>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Production</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Weatherford’s production sector offers various production optimization services through its production ecosystem which includes the Company’s artificial-lift portfolio, testing and flow measurement solutions, and optimization software. The Company’s artificial lift systems provide a mechanical method to produce oil or gas from wells lacking sufficient reservoir pressure for natural oil and gas flow. Through its pressure pumping systems, the Company offers its customers advanced hydraulic fracturing services. Weatherford’s drilling fluids product line provides engineered fluid and chemical technology products and services used for drilling oil and gas wells.</w:t>
      </w:r>
    </w:p>
    <w:p>
      <w:pPr>
        <w:spacing w:after="0" w:line="188"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Completions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Weatherford’s completion sector offers a variety of completion products, reservoir stimulation designs, and engineering capabilities that isolate zones and unlock reserves in deepwater, unconventional, and aging reservoirs. The Company’s completion systems offer customers a range of completion tools including safety systems, production packers, flow control and sand-control technologies, which aid in maximum oil and gas production while ensuring minimal cost per barrel. In addition, through its cementation products and liner hanger product lines, the Company provides products used to install oil and gas well steel casing systems.</w:t>
      </w:r>
    </w:p>
    <w:p>
      <w:pPr>
        <w:spacing w:after="0" w:line="188"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Drilling and Evaluation</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Weatherford’s drilling and evaluation sector comprises of a suite of services ranging from early well planning to reservoir management. The managed pressure drilling services delivers engineered balanced and underbalanced drilling services to enable and enhance drilling efficiency. The drilling services offer innovative tools and expert engineering to deliver accurate well placement, increase efficiency and maximize reservoir exposure. The evaluation services merge wellsite capabilities including wireline, logging while drilling, and surface logging with laboratory-fluid and core analyses to reduce reservoir uncertainty.</w:t>
      </w:r>
    </w:p>
    <w:p>
      <w:pPr>
        <w:spacing w:after="0" w:line="188"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Well Construction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Weatherford also offers well construction services where Weatherford builds or rebuilds well integrity for the full life cycle of the well. The Company’s land drilling rig business is included in its well construction sector. The services offered include tubular running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conventional rig services and intervention services. The Company also offers its patented drilling tools and equipment for rent.</w:t>
      </w:r>
    </w:p>
    <w:p>
      <w:pPr>
        <w:spacing w:after="0" w:line="22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Weatherford’s Customers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vast majority of Weatherford’s customers are in the energy sector. Most of the Company’s international sales are to large international or national oil companies. As of December 31, 2018, the Eastern Hemisphere accounted for 55% of the Company’s net outstanding accounts receivables and the Western Hemisphere accounted for 45% of the Company’s net outstanding accounts receivables. As of December 31, 2018, the Company’s net outstanding accounts receivable in the U.S. accounted for 18% of the balance and Mexico accounted for approximately 10% of the balance. No other country accounted for more than 10% of the Company’s net outstanding accounts receivables balance. During 2018, 2017 and 2016, no individual customer accounted for more than 10% of the Company’s consolidated revenues.</w:t>
      </w:r>
    </w:p>
    <w:p>
      <w:pPr>
        <w:spacing w:after="0" w:line="17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Retention Bonus Programs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All of the employees of the Weatherford enterprise are employed by certain of the Debtors’ non-Debtor affiliates. In addition, Weatherford International, LLC, is a party to service contracts with a staffing agency that provides workers to the Company. The Debtors do not employ any personnel directly. The non-Debtor affiliates have historically maintained incentive-based bonus programs that have primarily consisted of an annual cash bonus program and a long-term equity incentive program (collectively, the “</w:t>
      </w:r>
      <w:r>
        <w:rPr>
          <w:rFonts w:ascii="Arial" w:cs="Arial" w:eastAsia="Arial" w:hAnsi="Arial"/>
          <w:sz w:val="17"/>
          <w:szCs w:val="17"/>
          <w:b w:val="1"/>
          <w:bCs w:val="1"/>
          <w:u w:val="single" w:color="auto"/>
          <w:color w:val="auto"/>
        </w:rPr>
        <w:t>Incentive and Retention Bonus Programs</w:t>
      </w:r>
      <w:r>
        <w:rPr>
          <w:rFonts w:ascii="Arial" w:cs="Arial" w:eastAsia="Arial" w:hAnsi="Arial"/>
          <w:sz w:val="17"/>
          <w:szCs w:val="17"/>
          <w:color w:val="auto"/>
        </w:rPr>
        <w:t>”). In early 2019, the non-Debtor affiliates, with the assistance of their compensation advisors, reviewed their Incentive and Retention Bonus Programs to determine whether they fulfilled the purposes of retaining and incentivizing key employees given the decline in price of Weatherford Parent stock. The Company determined that these programs did not adequately fulfill these purposes and made the decision to suspend the annual cash bonus program and the long-term equity incentive program and replace them with new programs that would more efficiently achieve the Company’s goals. The current Incentive and Retention Bonus Programs consist of the Executive Bonus Plan, the Management Bonus Plan for Non-Officers, the Technical Bonus Program, the Sales Incentive Program, the Executive Retention Program, and the Non-Officer Retention Program.</w:t>
      </w:r>
    </w:p>
    <w:p>
      <w:pPr>
        <w:spacing w:after="0" w:line="17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The Executive Bonus Plan (the “</w:t>
      </w:r>
      <w:r>
        <w:rPr>
          <w:rFonts w:ascii="Arial" w:cs="Arial" w:eastAsia="Arial" w:hAnsi="Arial"/>
          <w:sz w:val="18"/>
          <w:szCs w:val="18"/>
          <w:b w:val="1"/>
          <w:bCs w:val="1"/>
          <w:u w:val="single" w:color="auto"/>
          <w:color w:val="auto"/>
        </w:rPr>
        <w:t>EBP</w:t>
      </w:r>
      <w:r>
        <w:rPr>
          <w:rFonts w:ascii="Arial" w:cs="Arial" w:eastAsia="Arial" w:hAnsi="Arial"/>
          <w:sz w:val="18"/>
          <w:szCs w:val="18"/>
          <w:color w:val="auto"/>
        </w:rPr>
        <w:t>”) provides a means of rewarding key employees based on the overall performance of Weatherford and the achievement of certain quarterly and cumulative performance goals in 2019 to be established by the compensation committee of the board. The EBP covers seventeen senior-level employees. The participants under the EBP are employed by non-Debtor affiliates. In May of 2019, the non-Debtor affiliates made the first quarterly payment under the EBP to eligible participants under the program. The second quarterly payment, if any, under the EBP will be made within 30 days after second quarter results are finalized.</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The Management Bonus Plan for Non-Officers (the “</w:t>
      </w:r>
      <w:r>
        <w:rPr>
          <w:rFonts w:ascii="Arial" w:cs="Arial" w:eastAsia="Arial" w:hAnsi="Arial"/>
          <w:sz w:val="17"/>
          <w:szCs w:val="17"/>
          <w:b w:val="1"/>
          <w:bCs w:val="1"/>
          <w:u w:val="single" w:color="auto"/>
          <w:color w:val="auto"/>
        </w:rPr>
        <w:t>MBP</w:t>
      </w:r>
      <w:r>
        <w:rPr>
          <w:rFonts w:ascii="Arial" w:cs="Arial" w:eastAsia="Arial" w:hAnsi="Arial"/>
          <w:sz w:val="17"/>
          <w:szCs w:val="17"/>
          <w:color w:val="auto"/>
        </w:rPr>
        <w:t>”) and the Technical Bonus Program for technical employees (the “</w:t>
      </w:r>
      <w:r>
        <w:rPr>
          <w:rFonts w:ascii="Arial" w:cs="Arial" w:eastAsia="Arial" w:hAnsi="Arial"/>
          <w:sz w:val="17"/>
          <w:szCs w:val="17"/>
          <w:b w:val="1"/>
          <w:bCs w:val="1"/>
          <w:u w:val="single" w:color="auto"/>
          <w:color w:val="auto"/>
        </w:rPr>
        <w:t>TBP</w:t>
      </w:r>
      <w:r>
        <w:rPr>
          <w:rFonts w:ascii="Arial" w:cs="Arial" w:eastAsia="Arial" w:hAnsi="Arial"/>
          <w:sz w:val="17"/>
          <w:szCs w:val="17"/>
          <w:color w:val="auto"/>
        </w:rPr>
        <w:t>”) are designed to align the interests of the Company and eligible key non-officer employees of the non-Debtor affiliates. Both the MBP and the TBP reward eligible employees based on the overall performance of Weatherford and the achievement of certain quarterly goals including productivity, safety, financial metrics, and cost savings goals. Bonus payments pursuant to the MBP and the TBP are guaranteed for 2019 contingent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3" w:name="page144"/>
    <w:bookmarkEnd w:id="143"/>
    <w:p>
      <w:pPr>
        <w:spacing w:after="0" w:line="257" w:lineRule="auto"/>
        <w:rPr>
          <w:sz w:val="20"/>
          <w:szCs w:val="20"/>
          <w:color w:val="auto"/>
        </w:rPr>
      </w:pPr>
      <w:r>
        <w:rPr>
          <w:rFonts w:ascii="Arial" w:cs="Arial" w:eastAsia="Arial" w:hAnsi="Arial"/>
          <w:sz w:val="18"/>
          <w:szCs w:val="18"/>
          <w:color w:val="auto"/>
        </w:rPr>
        <w:t>continued employment through each applicable payment date and certain other requirements. Approximately 2,250 employees participate in the MBP and approximately 450 employees participate in the TBP. The TBP covers eligible engineering employees in research and development, while the MBP covers employees in management roles. Officers are not eligible to participate in either program. In April of 2019, the non-Debtor affiliates made the first quarterly payment under the MBP and the TBP to the eligible participants under the program. The second quarterly payments will be made within 30 days after second quarter results are finalized.</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Approximately 600 eligible employees are entitled to earn incentive payments for the successful closing of sales to customers that result in realized revenue and profitability for the Company (the “</w:t>
      </w:r>
      <w:r>
        <w:rPr>
          <w:rFonts w:ascii="Arial" w:cs="Arial" w:eastAsia="Arial" w:hAnsi="Arial"/>
          <w:sz w:val="17"/>
          <w:szCs w:val="17"/>
          <w:b w:val="1"/>
          <w:bCs w:val="1"/>
          <w:u w:val="single" w:color="auto"/>
          <w:color w:val="auto"/>
        </w:rPr>
        <w:t>Sales Incentive Plan</w:t>
      </w:r>
      <w:r>
        <w:rPr>
          <w:rFonts w:ascii="Arial" w:cs="Arial" w:eastAsia="Arial" w:hAnsi="Arial"/>
          <w:sz w:val="17"/>
          <w:szCs w:val="17"/>
          <w:color w:val="auto"/>
        </w:rPr>
        <w:t>”). Payments under the Sales Incentive Plan are only available for employees who remain active at the time of payment. Awards under the Sales Incentive Plan are paid on a quarterly basis. Awards under the Sales Incentive Plan are based on invoiced revenue and gross margin performance. The awards have been guaranteed at a specified threshold level for the 2019 calendar year. In May of 2019, the non-Debtor affiliates made the first quarterly payment under the Sales Incentive Plan to eligible participants under the program. The second quarterly payment will be made within 30 days after second quarter results are finalized.</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employees eligible to participate in the EBP are also eligible to receive a cash retention award which is based on the participant’s annual compensation (the “</w:t>
      </w:r>
      <w:r>
        <w:rPr>
          <w:rFonts w:ascii="Arial" w:cs="Arial" w:eastAsia="Arial" w:hAnsi="Arial"/>
          <w:sz w:val="17"/>
          <w:szCs w:val="17"/>
          <w:b w:val="1"/>
          <w:bCs w:val="1"/>
          <w:u w:val="single" w:color="auto"/>
          <w:color w:val="auto"/>
        </w:rPr>
        <w:t>Executive Retention Program</w:t>
      </w:r>
      <w:r>
        <w:rPr>
          <w:rFonts w:ascii="Arial" w:cs="Arial" w:eastAsia="Arial" w:hAnsi="Arial"/>
          <w:sz w:val="17"/>
          <w:szCs w:val="17"/>
          <w:color w:val="auto"/>
        </w:rPr>
        <w:t>”). The retention awards are payable in advance within 30 days of a participant accepting the terms. In the event a recipient of a retention award voluntarily terminates his or her employment, or the recipient is terminated for cause, in either case, before the first anniversary of the date on which the recipient received the retention award, then such recipient will be required to promptly repay the amount of the retention award. The retention award letters issued pursuant to the Executive Retention Program also include certain restrictive covenants including non-solicitation and non-compete provisions. All payments under the Executive Retention Program were made in April of 2019.</w:t>
      </w:r>
    </w:p>
    <w:p>
      <w:pPr>
        <w:spacing w:after="0" w:line="1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Approximately 1,700 employees are eligible to participate in a cash retention award program for non-officers (the “</w:t>
      </w:r>
      <w:r>
        <w:rPr>
          <w:rFonts w:ascii="Arial" w:cs="Arial" w:eastAsia="Arial" w:hAnsi="Arial"/>
          <w:sz w:val="16"/>
          <w:szCs w:val="16"/>
          <w:b w:val="1"/>
          <w:bCs w:val="1"/>
          <w:u w:val="single" w:color="auto"/>
          <w:color w:val="auto"/>
        </w:rPr>
        <w:t>Non-Officer Retention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Program</w:t>
      </w:r>
      <w:r>
        <w:rPr>
          <w:rFonts w:ascii="Arial" w:cs="Arial" w:eastAsia="Arial" w:hAnsi="Arial"/>
          <w:sz w:val="16"/>
          <w:szCs w:val="16"/>
          <w:color w:val="auto"/>
        </w:rPr>
        <w:t>”). Pursuant to the program, employees are eligible to receive a quarterly cash award contingent on such employee’s 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not eligible to participate in the program. The retention award letters issued pursuant to the Non-Officer Retention Program also include certain restrictive covenants including non-solicitation and non-compete provisions. In April of 2019, the non-Debtor affiliates made the first quarterly payment under the Non-Officer Retention Program to the eligible participants under the program. The second quarterly payment will be made in July of 2019.</w:t>
      </w:r>
    </w:p>
    <w:p>
      <w:pPr>
        <w:spacing w:after="0" w:line="15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 addition to the Incentive and Retention Bonus Programs, the non-Debtor affiliates maintain ordinary course incentive plans for non-insider employees including, but not limited to, a field bonus program and a bonus program relating to the Transformation Plan (as defined below).</w:t>
      </w:r>
    </w:p>
    <w:p>
      <w:pPr>
        <w:spacing w:after="0" w:line="12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management team of Weatherford Parent consists of the following individuals: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4" w:name="page145"/>
    <w:bookmarkEnd w:id="144"/>
    <w:tbl>
      <w:tblPr>
        <w:tblLayout w:type="fixed"/>
        <w:tblInd w:w="660" w:type="dxa"/>
        <w:tblCellMar>
          <w:top w:w="0" w:type="dxa"/>
          <w:left w:w="0" w:type="dxa"/>
          <w:bottom w:w="0" w:type="dxa"/>
          <w:right w:w="0" w:type="dxa"/>
        </w:tblCellMar>
      </w:tblPr>
      <w:tr>
        <w:trPr>
          <w:trHeight w:val="17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54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 Bausch</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Christina M. Ibrahim</w:t>
            </w: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Executive Vice President, General Counsel, Chief Compliance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INDEBTEDNESS</w:t>
      </w:r>
    </w:p>
    <w:p>
      <w:pPr>
        <w:spacing w:after="0" w:line="229"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As set forth below, as of the date of this Disclosure Statement, the Debtors have outstanding funded debt obligations consisting of approximately $8.35 billion.</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Term Loan Agreement</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May 4, 2016, each of the Debtors entered into or guaranteed that certain Term Loan Agreement, by and among Weatherford International Ltd., Weatherford Parent, JPMorgan Chase Bank, N.A. (the “</w:t>
      </w:r>
      <w:r>
        <w:rPr>
          <w:rFonts w:ascii="Arial" w:cs="Arial" w:eastAsia="Arial" w:hAnsi="Arial"/>
          <w:sz w:val="18"/>
          <w:szCs w:val="18"/>
          <w:b w:val="1"/>
          <w:bCs w:val="1"/>
          <w:u w:val="single" w:color="auto"/>
          <w:color w:val="auto"/>
        </w:rPr>
        <w:t>Prepetition Term Loan Agent</w:t>
      </w:r>
      <w:r>
        <w:rPr>
          <w:rFonts w:ascii="Arial" w:cs="Arial" w:eastAsia="Arial" w:hAnsi="Arial"/>
          <w:sz w:val="18"/>
          <w:szCs w:val="18"/>
          <w:color w:val="auto"/>
        </w:rPr>
        <w:t>”) and the lenders party thereto from time to time (the “</w:t>
      </w:r>
      <w:r>
        <w:rPr>
          <w:rFonts w:ascii="Arial" w:cs="Arial" w:eastAsia="Arial" w:hAnsi="Arial"/>
          <w:sz w:val="18"/>
          <w:szCs w:val="18"/>
          <w:b w:val="1"/>
          <w:bCs w:val="1"/>
          <w:u w:val="single" w:color="auto"/>
          <w:color w:val="auto"/>
        </w:rPr>
        <w:t>Prepetition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 Loan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Term Loan Agreement</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amended, the Prepetition Term Loan Agreement has a maturity date of July 13, 2020. The outstanding principal amount under the Prepetition Term Loan Agreement is $297.50 million plus accrued and unpaid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Prepetition Term Loan Agreement is secured by substantially all of Weatherford Parent’s assets and certain assets of its subsidiaries.</w:t>
      </w:r>
    </w:p>
    <w:p>
      <w:pPr>
        <w:spacing w:after="0" w:line="23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Revolving Credit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16, 2018, each of the Debtors entered into or guaranteed that certain 364-Day Revolving Credit Agreement, by and among Weatherford International Ltd., Weatherford Parent, JPMorgan Chase Bank, N.A. (the “</w:t>
      </w:r>
      <w:r>
        <w:rPr>
          <w:rFonts w:ascii="Arial" w:cs="Arial" w:eastAsia="Arial" w:hAnsi="Arial"/>
          <w:sz w:val="18"/>
          <w:szCs w:val="18"/>
          <w:b w:val="1"/>
          <w:bCs w:val="1"/>
          <w:u w:val="single" w:color="auto"/>
          <w:color w:val="auto"/>
        </w:rPr>
        <w:t>Prepetition Revolving Credit Agreement Agent</w:t>
      </w:r>
      <w:r>
        <w:rPr>
          <w:rFonts w:ascii="Arial" w:cs="Arial" w:eastAsia="Arial" w:hAnsi="Arial"/>
          <w:sz w:val="18"/>
          <w:szCs w:val="18"/>
          <w:color w:val="auto"/>
        </w:rPr>
        <w:t>”), Morgan Stanley Senior Funding, Inc. as collateral agent, and the lenders party thereto from time to time (“</w:t>
      </w:r>
      <w:r>
        <w:rPr>
          <w:rFonts w:ascii="Arial" w:cs="Arial" w:eastAsia="Arial" w:hAnsi="Arial"/>
          <w:sz w:val="18"/>
          <w:szCs w:val="18"/>
          <w:b w:val="1"/>
          <w:bCs w:val="1"/>
          <w:u w:val="single" w:color="auto"/>
          <w:color w:val="auto"/>
        </w:rPr>
        <w:t>Prepetition Revolving Credit Agreement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Revolving Credit Agreement</w:t>
      </w:r>
      <w:r>
        <w:rPr>
          <w:rFonts w:ascii="Arial" w:cs="Arial" w:eastAsia="Arial" w:hAnsi="Arial"/>
          <w:sz w:val="18"/>
          <w:szCs w:val="18"/>
          <w:color w:val="auto"/>
        </w:rPr>
        <w:t>”).</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has a maturity date of August 15, 2019. The outstanding principal amount under the Prepetition Revolving Credit Agreement is $316.74 million plus accrued and unpaid interest.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is secured by a junior lien on the current assets of Weatherford Parent and certain subsidiaries of Weatherford Parent.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145" w:name="page146"/>
    <w:bookmarkEnd w:id="145"/>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Unsecured Revolving Credit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9, 2016, each of the Debtors entered into or guaranteed that certain Amended and Restated Credit Agreement, by and among Weatherford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WOFS Assurance Limited, Weatherford Parent, by and among the other borrowers party thereto, JPMorgan Chase Bank, N.A.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Prepetition A&amp;R Credit Agreement Agent</w:t>
      </w:r>
      <w:r>
        <w:rPr>
          <w:rFonts w:ascii="Arial" w:cs="Arial" w:eastAsia="Arial" w:hAnsi="Arial"/>
          <w:sz w:val="17"/>
          <w:szCs w:val="17"/>
          <w:color w:val="auto"/>
        </w:rPr>
        <w:t>”) and the lenders party thereto from time to time (the “</w:t>
      </w:r>
      <w:r>
        <w:rPr>
          <w:rFonts w:ascii="Arial" w:cs="Arial" w:eastAsia="Arial" w:hAnsi="Arial"/>
          <w:sz w:val="17"/>
          <w:szCs w:val="17"/>
          <w:b w:val="1"/>
          <w:bCs w:val="1"/>
          <w:u w:val="single" w:color="auto"/>
          <w:color w:val="auto"/>
        </w:rPr>
        <w:t>Prepetition A&amp;R Credit Agreement Lenders</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from time to time (the “</w:t>
      </w:r>
      <w:r>
        <w:rPr>
          <w:rFonts w:ascii="Arial" w:cs="Arial" w:eastAsia="Arial" w:hAnsi="Arial"/>
          <w:sz w:val="17"/>
          <w:szCs w:val="17"/>
          <w:b w:val="1"/>
          <w:bCs w:val="1"/>
          <w:u w:val="single" w:color="auto"/>
          <w:color w:val="auto"/>
        </w:rPr>
        <w:t>Prepetition A&amp;R Credit Agreement</w:t>
      </w:r>
      <w:r>
        <w:rPr>
          <w:rFonts w:ascii="Arial" w:cs="Arial" w:eastAsia="Arial" w:hAnsi="Arial"/>
          <w:sz w:val="17"/>
          <w:szCs w:val="17"/>
          <w:color w:val="auto"/>
        </w:rPr>
        <w:t>” and together with the Prepetition Term Loan Agreement and the Prepetition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Agreement, the “</w:t>
      </w:r>
      <w:r>
        <w:rPr>
          <w:rFonts w:ascii="Arial" w:cs="Arial" w:eastAsia="Arial" w:hAnsi="Arial"/>
          <w:sz w:val="18"/>
          <w:szCs w:val="18"/>
          <w:b w:val="1"/>
          <w:bCs w:val="1"/>
          <w:u w:val="single" w:color="auto"/>
          <w:color w:val="auto"/>
        </w:rPr>
        <w:t>Prepetition Credit Agreements</w:t>
      </w:r>
      <w:r>
        <w:rPr>
          <w:rFonts w:ascii="Arial" w:cs="Arial" w:eastAsia="Arial" w:hAnsi="Arial"/>
          <w:sz w:val="18"/>
          <w:szCs w:val="18"/>
          <w:color w:val="auto"/>
        </w:rPr>
        <w:t>”).</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amended, the Prepetition A&amp;R Credit Agreement has a maturity date of July 12, 2019, which may be extended pursuant to certain conditions. The outstanding principal amount under the Prepetition A&amp;R Credit Agreement is $305.00 million (plus accrued and unpaid interest), plus outstanding letters of credit in an amount of $166,000,000. The obligations arising under the Prepetition A&amp;R Credit Agreement are unsecured.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Prepetition Credit Agreements is guaranteed by certain subsidiaries of Weatherford Parent as listed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Letters of Credit</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the date hereof, the Debtors and certain of their non-Debtor subsidiaries have entered into or guaranteed certain letter of credit facilities with a total exposure of $415.0 million. The letters of credit are held by Standard Chartered Bank, Deutsche Bank, and Citibank, among others.</w:t>
      </w:r>
    </w:p>
    <w:p>
      <w:pPr>
        <w:spacing w:after="0" w:line="143"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Notes</w:t>
      </w:r>
    </w:p>
    <w:p>
      <w:pPr>
        <w:spacing w:after="0" w:line="225" w:lineRule="exact"/>
        <w:rPr>
          <w:sz w:val="20"/>
          <w:szCs w:val="20"/>
          <w:color w:val="auto"/>
        </w:rPr>
      </w:pPr>
    </w:p>
    <w:p>
      <w:pPr>
        <w:ind w:right="280" w:firstLine="648"/>
        <w:spacing w:after="0" w:line="303" w:lineRule="auto"/>
        <w:rPr>
          <w:sz w:val="20"/>
          <w:szCs w:val="20"/>
          <w:color w:val="auto"/>
        </w:rPr>
      </w:pPr>
      <w:r>
        <w:rPr>
          <w:rFonts w:ascii="Arial" w:cs="Arial" w:eastAsia="Arial" w:hAnsi="Arial"/>
          <w:sz w:val="16"/>
          <w:szCs w:val="16"/>
          <w:color w:val="auto"/>
        </w:rPr>
        <w:t>The Debtors have a series of unsecured Prepetition Notes that have been issued by either Debtor Weatherford International Ltd. (“</w:t>
      </w:r>
      <w:r>
        <w:rPr>
          <w:rFonts w:ascii="Arial" w:cs="Arial" w:eastAsia="Arial" w:hAnsi="Arial"/>
          <w:sz w:val="16"/>
          <w:szCs w:val="16"/>
          <w:b w:val="1"/>
          <w:bCs w:val="1"/>
          <w:u w:val="single" w:color="auto"/>
          <w:color w:val="auto"/>
        </w:rPr>
        <w:t>Weatherford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Bermuda</w:t>
      </w:r>
      <w:r>
        <w:rPr>
          <w:rFonts w:ascii="Arial" w:cs="Arial" w:eastAsia="Arial" w:hAnsi="Arial"/>
          <w:sz w:val="16"/>
          <w:szCs w:val="16"/>
          <w:color w:val="auto"/>
        </w:rPr>
        <w:t>”) or Debtor Weatherford International LLC (“</w:t>
      </w:r>
      <w:r>
        <w:rPr>
          <w:rFonts w:ascii="Arial" w:cs="Arial" w:eastAsia="Arial" w:hAnsi="Arial"/>
          <w:sz w:val="16"/>
          <w:szCs w:val="16"/>
          <w:b w:val="1"/>
          <w:bCs w:val="1"/>
          <w:u w:val="single" w:color="auto"/>
          <w:color w:val="auto"/>
        </w:rPr>
        <w:t>Weatherford Delaware</w:t>
      </w:r>
      <w:r>
        <w:rPr>
          <w:rFonts w:ascii="Arial" w:cs="Arial" w:eastAsia="Arial" w:hAnsi="Arial"/>
          <w:sz w:val="16"/>
          <w:szCs w:val="16"/>
          <w:color w:val="auto"/>
        </w:rPr>
        <w:t>”), with each such issuance being guaranteed by Weatherford Parent.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Prepetition Notes are pari passu with one another. The total aggregate outstanding amount of the Prepetition Notes is $7.4 billion plus accrued and unpaid interest. As noted above, the three Debtor entities are the only Weatherford entities that are liable on the Prepetition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series of Prepetition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 Principal Amount</w:t>
            </w:r>
          </w:p>
        </w:tc>
        <w:tc>
          <w:tcPr>
            <w:tcW w:w="14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125%</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365,107,000</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2020</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1,265,000,000</w:t>
            </w: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750,000,000</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646,286,000</w:t>
            </w:r>
          </w:p>
        </w:tc>
        <w:tc>
          <w:tcPr>
            <w:tcW w:w="140" w:type="dxa"/>
            <w:vAlign w:val="bottom"/>
          </w:tcPr>
          <w:p>
            <w:pPr>
              <w:spacing w:after="0"/>
              <w:rPr>
                <w:sz w:val="15"/>
                <w:szCs w:val="15"/>
                <w:color w:val="auto"/>
              </w:rPr>
            </w:pP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2600" w:type="dxa"/>
            <w:vAlign w:val="bottom"/>
            <w:gridSpan w:val="2"/>
          </w:tcPr>
          <w:p>
            <w:pPr>
              <w:jc w:val="right"/>
              <w:ind w:right="1459"/>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1"/>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080" w:type="dxa"/>
            <w:vAlign w:val="bottom"/>
          </w:tcPr>
          <w:p>
            <w:pPr>
              <w:jc w:val="right"/>
              <w:ind w:right="232"/>
              <w:spacing w:after="0"/>
              <w:rPr>
                <w:sz w:val="20"/>
                <w:szCs w:val="20"/>
                <w:color w:val="auto"/>
              </w:rPr>
            </w:pPr>
            <w:r>
              <w:rPr>
                <w:rFonts w:ascii="Arial" w:cs="Arial" w:eastAsia="Arial" w:hAnsi="Arial"/>
                <w:sz w:val="14"/>
                <w:szCs w:val="14"/>
                <w:b w:val="1"/>
                <w:bCs w:val="1"/>
                <w:color w:val="auto"/>
              </w:rPr>
              <w:t>Current Principal Amount</w:t>
            </w:r>
          </w:p>
        </w:tc>
        <w:tc>
          <w:tcPr>
            <w:tcW w:w="2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750,000,000</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2024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790,000,000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2025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453,045,000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800%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258,767,000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000%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461,300,000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2039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462,601,000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950%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374,961,000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Unsecured Claims</w:t>
      </w:r>
    </w:p>
    <w:p>
      <w:pPr>
        <w:spacing w:after="0" w:line="229" w:lineRule="exact"/>
        <w:rPr>
          <w:sz w:val="20"/>
          <w:szCs w:val="20"/>
          <w:color w:val="auto"/>
        </w:rPr>
      </w:pPr>
    </w:p>
    <w:p>
      <w:pPr>
        <w:jc w:val="both"/>
        <w:ind w:right="380" w:firstLine="662"/>
        <w:spacing w:after="0" w:line="264" w:lineRule="auto"/>
        <w:rPr>
          <w:sz w:val="20"/>
          <w:szCs w:val="20"/>
          <w:color w:val="auto"/>
        </w:rPr>
      </w:pPr>
      <w:r>
        <w:rPr>
          <w:rFonts w:ascii="Arial" w:cs="Arial" w:eastAsia="Arial" w:hAnsi="Arial"/>
          <w:sz w:val="18"/>
          <w:szCs w:val="18"/>
          <w:color w:val="auto"/>
        </w:rPr>
        <w:t>General Unsecured Claims consist of any prepetition claims against the Debtors (other than the Prepetition Notes Claims, 510(b) Claims, or any Intercompany Claims) as of the Petition Date that are neither secured by collateral nor entitled to priority under the Bankruptcy Code or any order of the Bankruptcy Court. The Debtors expect that there will be no General Unsecured Claims.</w:t>
      </w:r>
    </w:p>
    <w:p>
      <w:pPr>
        <w:spacing w:after="0" w:line="17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Intercompany Claims</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Certain Debtors hold Claims against other Debtors resulting primarily from the normal functioning of the Company’s centralized cash management system as well as, in some cases, the provision of intercompany services by one Debtor to another Debtor, such as, for example, administrative support services. Historically, such intercompany claims were recorded in the Company’s books and records. Pursuant to the Plan, for administrative convenience only, these Intercompany Claims will be adjusted, reinstated, compromised, or cancelled to the extent determined appropriate by the Debtors, with the consent of the Required Consenting Noteholders.</w:t>
      </w:r>
    </w:p>
    <w:p>
      <w:pPr>
        <w:spacing w:after="0" w:line="18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EVENTS LEADING TO THE CHAPTER 11 FILING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Current State of the Oil &amp; Gas Industry and Impact on Debtors.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Weatherford’s operations have been and likely will continue to be affected by the volatility of oil and natural gas prices. The oil and gas industry has been in one of the longest, steepest, and most sustained declines in oil and gas prices in recent history. Oil and natural gas prices 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7" w:name="page148"/>
    <w:bookmarkEnd w:id="147"/>
    <w:p>
      <w:pPr>
        <w:ind w:right="120"/>
        <w:spacing w:after="0" w:line="257" w:lineRule="auto"/>
        <w:rPr>
          <w:sz w:val="20"/>
          <w:szCs w:val="20"/>
          <w:color w:val="auto"/>
        </w:rPr>
      </w:pPr>
      <w:r>
        <w:rPr>
          <w:rFonts w:ascii="Arial" w:cs="Arial" w:eastAsia="Arial" w:hAnsi="Arial"/>
          <w:sz w:val="18"/>
          <w:szCs w:val="18"/>
          <w:color w:val="auto"/>
        </w:rPr>
        <w:t>dependent on factors beyond the Company’s control, including the supply of and demand for oil, weather conditions, and political conditions, among others. As a result of the sustained market downturn, oil and gas companies around the world have dramatically curtailed capital and operating expenditures dedicated to oil and gas exploration, development and production, which in turn has contributed to the financial distress of numerous oilfield services companies. In fact, dozens of oilfield services companies, whose business is dependent on spending by oil and gas companies, have filed for bankruptcy in the last several years.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sustained drop in oil and gas prices has impacted companies throughout the oil and gas industry including Weatherford and the majority of its customers. As spending on exploration, development, and production of oil and natural gas has decreased so has demand for Weatherford’s services and products. The decline in spending by oil and gas companies has had a significant effect on the Debtors’ financial health. To illustrate, on a consolidated basis, the Company’s cash flows from operating activities have been negative $304 million, negative $388 million, and negative $242 million in fiscal years 2016, 2017, and 2018, respectively.</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to the issues facing the oil and gas industry generally, Weatherford operates in a highly competitive market. The oilfield services and equipment industry is saturated with competition from various companies that operate in the same sector and the same regions of the world as Weatherford. The primary competitive factors include safety, performance, price, quality, and breadth of products and services. Weatherford also faces competition from regional suppliers in some of the sectors in which it operates as these suppliers offer limited equipment and services that are specifically tailored to the relevant local market. Some of the Company’s competitors have better financial and technical resources, which allows them to pursue more vigorous marketing and expansion activities. This heavily competitive market has impacted the Company’s ability to maintain its market share and defend or maintain the pricing for its products and services. Heavy competition has also impacted the Company’s ability to negotiate contract terms with its customers and suppliers, which has resulted in the Company accepting suboptimal terms.</w:t>
      </w:r>
    </w:p>
    <w:p>
      <w:pPr>
        <w:spacing w:after="0" w:line="17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Company’s operations are also subject to extensive federal, international, state and local laws and regulations relating to environmental production, waste management and cleanup of hazardous materials, and other matters. Compliance with the various requirements imposed by these laws and regulations has also resulted in increased capital expenditures as companies in these sectors have had to make significant investments to ensure compliance.</w:t>
      </w:r>
    </w:p>
    <w:p>
      <w:pPr>
        <w:spacing w:after="0" w:line="143"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Efforts to Combat Market Downturn</w:t>
      </w:r>
    </w:p>
    <w:p>
      <w:pPr>
        <w:spacing w:after="0" w:line="229"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The decline in the price of oil and gas and the resulting adverse market conditions have severely impacted Weatherford affecting, among other things, the Company’s cash flow, borrowing capacity, and ability to service its outstanding indebtedness. As with many of their peers, this drastic and prolonged drop in oil and gas prices has strained the Company’s liquidity for an extended period of time.</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took several steps to try to address its capital structure and liquidity needs without a comprehensive in-court restructuring before commencing these Chapter 11 Cases. The Company and its management team focused on cutting costs, reducing capital expenditure, and managing liquidity.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8" w:name="page149"/>
    <w:bookmarkEnd w:id="148"/>
    <w:p>
      <w:pPr>
        <w:ind w:left="1940" w:hanging="63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The Debtors’ Cost-Reduction Initiatives and Operational Adjustments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second quarter of 2017 management, led by the new chief executive officer, focused on analyzing and assessing the structure and operations of the Company in order to determine where key cost-reduction initiatives could be implemented. Management and the board of directors engaged in an extensive review of all existing protocols and processes to determine which initiatives should be implemented. The ensuing cost-reduction efforts were strategic and focused on the reduction of overhead and elimination of inefficiencies across the enterprise. Specifically, the Company implemented new initiatives focused on training leaders as well as field-level supervisors and other personnel in order to improve efficiency and accountability. The initiatives also focused on flattening the organizational structure of the Company in order to improve cost efficiency and reduce organizational redundancies. In the fourth quarter of 2017, the Company eliminated the regional structure and consolidated countries into a geo-zone structure, to eliminate overhead costs and redundancies. This fundamental change in operation of the business resulted in a headcount reduction of approximately 900 and created annualized savings of approximately $114 million.</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2018, the Company continued its cost-reduction initiatives and operational adjustments. In the first quarter of 2018, the Company, with the assistance of McKinsey Restructuring &amp; Transformation Services, implemented its transformation plan (the “</w:t>
      </w:r>
      <w:r>
        <w:rPr>
          <w:rFonts w:ascii="Arial" w:cs="Arial" w:eastAsia="Arial" w:hAnsi="Arial"/>
          <w:sz w:val="18"/>
          <w:szCs w:val="18"/>
          <w:b w:val="1"/>
          <w:bCs w:val="1"/>
          <w:u w:val="single" w:color="auto"/>
          <w:color w:val="auto"/>
        </w:rPr>
        <w:t>Transformation Plan</w:t>
      </w:r>
      <w:r>
        <w:rPr>
          <w:rFonts w:ascii="Arial" w:cs="Arial" w:eastAsia="Arial" w:hAnsi="Arial"/>
          <w:sz w:val="18"/>
          <w:szCs w:val="18"/>
          <w:color w:val="auto"/>
        </w:rPr>
        <w:t>”), which was aimed at reducing the Company’s overall cost structure and workforce to better align the business with current activity levels. The Transformation Plan continued into 2019 and includes a workforce reduction, organization restructure, facility consolidations, and other cost reduction and efficiency initiatives across the Company globally.</w:t>
      </w:r>
    </w:p>
    <w:p>
      <w:pPr>
        <w:spacing w:after="0" w:line="18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Despite implementing these efficient and strategic initiatives, the Company continued to face declining revenue and cash flow, as well as market challenges. Due to the Company’s increasingly tight liquidity, its key vendors began requiring shortened payment terms, including pay on delivery or prepayment for all supplies purchased by the Company. This contributed to additional pressure on liquidity that the Company could not sustain. Additionally, as discussed above, the highly competitive market that the Company operates in posed challenges for the Company in winning new bids, resulting in decreased revenue.</w:t>
      </w:r>
    </w:p>
    <w:p>
      <w:pPr>
        <w:spacing w:after="0" w:line="188" w:lineRule="exact"/>
        <w:rPr>
          <w:sz w:val="20"/>
          <w:szCs w:val="20"/>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The Debtors’ Strategic Divestitures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part of the Company’s overall operations adjustments, management conducted a detailed review of all of the Company’s product lines focusing on the current state of the product line, the ability to invest in its growth, and the overall role of the product in the Company’s long-term strategy. Management and the board determined that there were product lines and sectors that could be sold in order to increase liquidity and focus on the Company’s key product lines and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of 2017, Weatherford completed the sale of its U.S. pressure pumping and pump-down perforating assets for gross cash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$430 million, the proceeds of which were used to reduce the Company’s outstanding indebtedness. In the fourth quarter of 2018, the Company completed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a portion of its land drilling rigs operations for gross cash proceeds of $216 million. The sale represents two of a series of four closings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and sale agreements entered into with ADES International Holding Ltd. in July of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7"/>
          <w:szCs w:val="17"/>
          <w:color w:val="auto"/>
        </w:rPr>
        <w:t>to sell the Company’s land drilling rig operations in Algeria, Kuwait and Saudi Arabia, as well as two idle land rigs in Iraq. The sale is for an aggregate purchase price of $287.5 million. In April of 2019, the Company sold its laboratory services business to an affiliate of CSL Capital Management, L.P., and its surface data logging business to Excellence Logging, for an aggregate net purchase price of approximately $225 million in cash.</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Despite several successful strategic divestitures, the Company remained overleveraged, with debt service payments hampering its ability to use the proceeds of these divestitures to invest in the business and the new initiatives.</w:t>
      </w:r>
    </w:p>
    <w:p>
      <w:pPr>
        <w:spacing w:after="0" w:line="166" w:lineRule="exact"/>
        <w:rPr>
          <w:sz w:val="20"/>
          <w:szCs w:val="20"/>
          <w:color w:val="auto"/>
        </w:rPr>
      </w:pPr>
    </w:p>
    <w:p>
      <w:pPr>
        <w:ind w:left="1220" w:hanging="564"/>
        <w:spacing w:after="0"/>
        <w:tabs>
          <w:tab w:leader="none" w:pos="12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Financing Initiatives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Despite management’s best efforts, performance and liquidity continued to further deteriorate and it became apparent that the Company’s revenue and cash flow generating capacity would not be sufficient to service its outstanding debt on a long-term basis and to maintain the liquidity necessary to operate its businesses and maximize long-term enterprise value. The Company retained Lazard Frères &amp; Co. LLC (“</w:t>
      </w:r>
      <w:r>
        <w:rPr>
          <w:rFonts w:ascii="Arial" w:cs="Arial" w:eastAsia="Arial" w:hAnsi="Arial"/>
          <w:sz w:val="17"/>
          <w:szCs w:val="17"/>
          <w:b w:val="1"/>
          <w:bCs w:val="1"/>
          <w:u w:val="single" w:color="auto"/>
          <w:color w:val="auto"/>
        </w:rPr>
        <w:t>Lazard</w:t>
      </w:r>
      <w:r>
        <w:rPr>
          <w:rFonts w:ascii="Arial" w:cs="Arial" w:eastAsia="Arial" w:hAnsi="Arial"/>
          <w:sz w:val="17"/>
          <w:szCs w:val="17"/>
          <w:color w:val="auto"/>
        </w:rPr>
        <w:t>”) on May 30, 2018, to assist the Company in refinancing its revolving credit facility. The revolving credit facility was successfully extended in August of 2018.</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the third quarter of 2018, the Company reported that it had missed its cash flow projections for the quarter. In addition, Weatherford continued to face industry headwinds and was levered at over 10.0x EBITDA, a figure significantly higher those of its competitors, who have traditionally been levered at close to 2.0x EBITDA. Weatherford generated negative cash flow driven in part by approximately $600 million in annual interest payments. Its negative cash flow position began to impact the Company’s ability to win business, invest in new technologies, and compete more broadly with its better-capitalized peers. It became critical that the Company extend its liquidity runway in order to realize the benefits of the Transformation Plan, necessitating that it address approximately $2.4 billion of upcoming maturities through 2021. To that end, the Company retained Lazard on December 31, 2018 and Latham &amp; Watkins LLP as restructuring counsel on April 1, 2019, to advise on further refinancing efforts and a possible balance sheet restructuring.</w:t>
      </w:r>
    </w:p>
    <w:p>
      <w:pPr>
        <w:spacing w:after="0" w:line="163" w:lineRule="exact"/>
        <w:rPr>
          <w:sz w:val="20"/>
          <w:szCs w:val="20"/>
          <w:color w:val="auto"/>
        </w:rPr>
      </w:pPr>
    </w:p>
    <w:p>
      <w:pPr>
        <w:ind w:left="1220" w:hanging="564"/>
        <w:spacing w:after="0"/>
        <w:tabs>
          <w:tab w:leader="none" w:pos="12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Prepetition Restructuring Efforts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early 2019, the Company, with the assistance of its advisors, determined that it would need to pursue a restructuring option that significantly de-leveraged the Company while giving it enough runway to implement the cost-reduction and operational adjustments it had begun in 2017 and 2018.</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Management and the board of directors first considered a variety of out-of-court alternatives to achieve the necessary runway. The alternatives included a variety of potential transactions including maturity extensions of the revolving credit facilities and first lien term loan, debt-for-uptiered-debt and/or debt-for-cash exchanges, the issuance of convertible debt instruments, and debt equitization transactions to provide short- and medium-term runway so the Company could execute on its turnaround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0" w:name="page151"/>
    <w:bookmarkEnd w:id="150"/>
    <w:p>
      <w:pPr>
        <w:ind w:right="60" w:firstLine="648"/>
        <w:spacing w:after="0" w:line="264" w:lineRule="auto"/>
        <w:rPr>
          <w:sz w:val="20"/>
          <w:szCs w:val="20"/>
          <w:color w:val="auto"/>
        </w:rPr>
      </w:pPr>
      <w:r>
        <w:rPr>
          <w:rFonts w:ascii="Arial" w:cs="Arial" w:eastAsia="Arial" w:hAnsi="Arial"/>
          <w:sz w:val="18"/>
          <w:szCs w:val="18"/>
          <w:color w:val="auto"/>
        </w:rPr>
        <w:t>During this time, revenues continued to decline, delaying execution on the Transformation Plan and further constraining liquidity. In April, the Company met with its bank group to provide a revised forecast for fiscal year 2019 and continue to explore a refinancing of the credit facility, but was unable to reach agreement on the terms of a refinancing that would meet the Company’s holistic goals.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Beginning in mid-April of 2019, the Company and their advisors began to engage in parallel arms-length negotiations with an ad hoc group holding a substantial portion of their unsecured notes to first explore out-of-court alternatives that would be workable in conjunction with a credit facility maturity extension on terms proposed by the Company’s existing bank group and, alternatively, to develop a comprehensive financing and restructuring plan to be implemented through the Chapter 11 Cases to the extent a solution could not be reached. Despite the parties’ best efforts to achieve an out-of-court solution, it became clear that an in-court process would be required to accomplish the comprehensive balance sheet restructuring the Company needed.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Over the next several weeks, the Company, with the aid of its advisors, was able to execute a consensual Restructuring Support Agreement with the Consenting Noteholders in support of the Restructuring. The Company intends to file the Chapter 11 Cases to implement the prepackaged Plan that is contemplated by the Restructuring Support Agreement.</w:t>
      </w:r>
    </w:p>
    <w:p>
      <w:pPr>
        <w:spacing w:after="0" w:line="177"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Entry into the Restructuring Support Agreement</w:t>
      </w:r>
      <w:r>
        <w:rPr>
          <w:rFonts w:ascii="Arial" w:cs="Arial" w:eastAsia="Arial" w:hAnsi="Arial"/>
          <w:sz w:val="23"/>
          <w:szCs w:val="23"/>
          <w:b w:val="1"/>
          <w:bCs w:val="1"/>
          <w:color w:val="auto"/>
          <w:vertAlign w:val="superscript"/>
        </w:rPr>
        <w:t>(3)</w:t>
      </w:r>
    </w:p>
    <w:p>
      <w:pPr>
        <w:spacing w:after="0" w:line="17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May 10, 2019, the Debtors and the Consenting Noteholders entered into the Restructuring Support Agreement whereby the Consenting Noteholders have committed, subject to the terms and conditions of the Restructuring Support Agreement, to support the Debtors in their efforts to confirm the Plan, as well as to provide additional liquidity to the Debtors both during the Chapter 11 Cases and upon emergence (as described herein in more detail). The terms of the Restructuring are reflected in the Plan.</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Restructuring Support Agreement contemplates a comprehensive deleveraging of the Company’s balance sheet and an approximately $5.85 billion reduction of its prepetition funded debt. The key provisions of the Restructuring Support Agreement are as follows:</w:t>
      </w:r>
    </w:p>
    <w:p>
      <w:pPr>
        <w:spacing w:after="0" w:line="147" w:lineRule="exact"/>
        <w:rPr>
          <w:sz w:val="20"/>
          <w:szCs w:val="20"/>
          <w:color w:val="auto"/>
        </w:rPr>
      </w:pPr>
    </w:p>
    <w:p>
      <w:pPr>
        <w:ind w:left="660" w:right="140" w:hanging="328"/>
        <w:spacing w:after="0" w:line="259" w:lineRule="auto"/>
        <w:tabs>
          <w:tab w:leader="none" w:pos="6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Prepetition Notes will be cancelled and exchanged for (a) 99% of the New Common Stock, subject to dilution on account of equity issued pursuant to the New Management Incentive Plan, the Tranche B Equity Conversion, and the New Common Stock issuable pursuant to the New Warrants, and (b) an aggregate amount of up to $1.25 billion of New Tranche B Senior Unsecured Notes to be issued by Weatherford Delaware and Weatherford Bermuda, as applicable;</w:t>
      </w:r>
    </w:p>
    <w:p>
      <w:pPr>
        <w:spacing w:after="0" w:line="186" w:lineRule="exact"/>
        <w:rPr>
          <w:rFonts w:ascii="Arial" w:cs="Arial" w:eastAsia="Arial" w:hAnsi="Arial"/>
          <w:sz w:val="18"/>
          <w:szCs w:val="18"/>
          <w:color w:val="auto"/>
        </w:rPr>
      </w:pPr>
    </w:p>
    <w:p>
      <w:pPr>
        <w:ind w:left="660" w:hanging="328"/>
        <w:spacing w:after="0" w:line="277" w:lineRule="auto"/>
        <w:tabs>
          <w:tab w:leader="none" w:pos="6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Holders of the Prepetition Notes will have the option to convert up to $500 million of the New Tranche B Unsecured Notes to New Common Stock at the mid-point of plan equity value;</w:t>
      </w:r>
    </w:p>
    <w:p>
      <w:pPr>
        <w:spacing w:after="0" w:line="395" w:lineRule="exact"/>
        <w:rPr>
          <w:rFonts w:ascii="Arial" w:cs="Arial" w:eastAsia="Arial" w:hAnsi="Arial"/>
          <w:sz w:val="18"/>
          <w:szCs w:val="18"/>
          <w:color w:val="auto"/>
        </w:rPr>
      </w:pPr>
    </w:p>
    <w:p>
      <w:pPr>
        <w:ind w:right="60" w:firstLine="8"/>
        <w:spacing w:after="0" w:line="215" w:lineRule="auto"/>
        <w:tabs>
          <w:tab w:leader="none" w:pos="177"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This summary is qualified in its entirety by the Restructuring Support Agreement. To the extent that any provision of this summary is inconsistent with the Restructuring Support Agreement, the Restructuring Support Agreement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826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ind w:left="660" w:right="220" w:hanging="328"/>
        <w:spacing w:after="0" w:line="308" w:lineRule="auto"/>
        <w:tabs>
          <w:tab w:leader="none" w:pos="6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Holders of Prepetition Notes also will receive subscription rights in a Rights Offering (as defined below) for the New Tranche A Senior Unsecured Notes to be issued by Weatherford Delaware and Weatherford Bermuda and backstopped by certain Prepetition Noteholders;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Prepetition Revolving Credit Claims, the Prepetition A&amp;R Claims, and the Prepetition Term Loan Claims will be repaid in full in cash;</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trade claims will be paid in full in the ordinary course of business;</w:t>
      </w:r>
    </w:p>
    <w:p>
      <w:pPr>
        <w:spacing w:after="0" w:line="225" w:lineRule="exact"/>
        <w:rPr>
          <w:rFonts w:ascii="Arial" w:cs="Arial" w:eastAsia="Arial" w:hAnsi="Arial"/>
          <w:sz w:val="18"/>
          <w:szCs w:val="18"/>
          <w:color w:val="auto"/>
        </w:rPr>
      </w:pPr>
    </w:p>
    <w:p>
      <w:pPr>
        <w:ind w:left="660" w:right="40" w:hanging="328"/>
        <w:spacing w:after="0" w:line="308" w:lineRule="auto"/>
        <w:tabs>
          <w:tab w:leader="none" w:pos="6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Existing Common Stock will be cancelled and exchanged for (a) 1% of the New Common Stock, and (b) three-year warrants to purchase 10% of the New Common Stock (the “</w:t>
      </w:r>
      <w:r>
        <w:rPr>
          <w:rFonts w:ascii="Arial" w:cs="Arial" w:eastAsia="Arial" w:hAnsi="Arial"/>
          <w:sz w:val="17"/>
          <w:szCs w:val="17"/>
          <w:b w:val="1"/>
          <w:bCs w:val="1"/>
          <w:u w:val="single" w:color="auto"/>
          <w:color w:val="auto"/>
        </w:rPr>
        <w:t>New Warrants</w:t>
      </w:r>
      <w:r>
        <w:rPr>
          <w:rFonts w:ascii="Arial" w:cs="Arial" w:eastAsia="Arial" w:hAnsi="Arial"/>
          <w:sz w:val="17"/>
          <w:szCs w:val="17"/>
          <w:color w:val="auto"/>
        </w:rPr>
        <w:t xml:space="preserve">”) pursuant to the terms of the Warrant Term Sheet attached hereto as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60" w:right="380" w:hanging="328"/>
        <w:spacing w:after="0" w:line="282"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will be a DIP Facility which will consist of a $1.0 billion term loan facility (the “</w:t>
      </w:r>
      <w:r>
        <w:rPr>
          <w:rFonts w:ascii="Arial" w:cs="Arial" w:eastAsia="Arial" w:hAnsi="Arial"/>
          <w:sz w:val="18"/>
          <w:szCs w:val="18"/>
          <w:b w:val="1"/>
          <w:bCs w:val="1"/>
          <w:u w:val="single" w:color="auto"/>
          <w:color w:val="auto"/>
        </w:rPr>
        <w:t>DIP Term Loan Facility</w:t>
      </w:r>
      <w:r>
        <w:rPr>
          <w:rFonts w:ascii="Arial" w:cs="Arial" w:eastAsia="Arial" w:hAnsi="Arial"/>
          <w:sz w:val="18"/>
          <w:szCs w:val="18"/>
          <w:color w:val="auto"/>
        </w:rPr>
        <w:t>”) and a $750 million revolving credit facility (the “</w:t>
      </w:r>
      <w:r>
        <w:rPr>
          <w:rFonts w:ascii="Arial" w:cs="Arial" w:eastAsia="Arial" w:hAnsi="Arial"/>
          <w:sz w:val="18"/>
          <w:szCs w:val="18"/>
          <w:b w:val="1"/>
          <w:bCs w:val="1"/>
          <w:u w:val="single" w:color="auto"/>
          <w:color w:val="auto"/>
        </w:rPr>
        <w:t>DIP Revolving Credit Facility</w:t>
      </w:r>
      <w:r>
        <w:rPr>
          <w:rFonts w:ascii="Arial" w:cs="Arial" w:eastAsia="Arial" w:hAnsi="Arial"/>
          <w:sz w:val="18"/>
          <w:szCs w:val="18"/>
          <w:color w:val="auto"/>
        </w:rPr>
        <w:t>” and together with the DIP Term Loan Facility, the “</w:t>
      </w:r>
      <w:r>
        <w:rPr>
          <w:rFonts w:ascii="Arial" w:cs="Arial" w:eastAsia="Arial" w:hAnsi="Arial"/>
          <w:sz w:val="18"/>
          <w:szCs w:val="18"/>
          <w:b w:val="1"/>
          <w:bCs w:val="1"/>
          <w:u w:val="single" w:color="auto"/>
          <w:color w:val="auto"/>
        </w:rPr>
        <w:t>DIP Facility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DIP Facility will be repaid or refinanced in full upon the Effective Date of the Plan through the Company’s (a) Exit Facility (as defined and described below) and (b) issuance of up to $1.25 billion of New Tranche A Senior Unsecured Notes, which notes issuance will be fully backstopped by the Consenting Noteholders.</w:t>
      </w:r>
    </w:p>
    <w:p>
      <w:pPr>
        <w:spacing w:after="0" w:line="181"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The Restructuring Support Agreement includes certain milestones for the progress of the Chapter 11 Cases, which include the dates by which the Debtors are required to, among other things, obtain certain court orders and complete the Restructuring.</w:t>
      </w:r>
      <w:r>
        <w:rPr>
          <w:rFonts w:ascii="Arial" w:cs="Arial" w:eastAsia="Arial" w:hAnsi="Arial"/>
          <w:sz w:val="23"/>
          <w:szCs w:val="23"/>
          <w:color w:val="auto"/>
          <w:vertAlign w:val="superscript"/>
        </w:rPr>
        <w:t>(4)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Milestone</w:t>
            </w:r>
          </w:p>
        </w:tc>
        <w:tc>
          <w:tcPr>
            <w:tcW w:w="5600" w:type="dxa"/>
            <w:vAlign w:val="bottom"/>
          </w:tcPr>
          <w:p>
            <w:pPr>
              <w:ind w:left="254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Commencement of Chapter 11 Cases</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 later than July 15,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Bermuda Proceedings</w:t>
            </w:r>
          </w:p>
        </w:tc>
        <w:tc>
          <w:tcPr>
            <w:tcW w:w="5600" w:type="dxa"/>
            <w:vAlign w:val="bottom"/>
          </w:tcPr>
          <w:p>
            <w:pPr>
              <w:spacing w:after="0"/>
              <w:rPr>
                <w:sz w:val="20"/>
                <w:szCs w:val="20"/>
                <w:color w:val="auto"/>
              </w:rPr>
            </w:pPr>
            <w:r>
              <w:rPr>
                <w:rFonts w:ascii="Arial" w:cs="Arial" w:eastAsia="Arial" w:hAnsi="Arial"/>
                <w:sz w:val="18"/>
                <w:szCs w:val="18"/>
                <w:color w:val="auto"/>
              </w:rPr>
              <w:t>One calendar day after the Petition Date</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Filing of Chapter 11 Plan, Disclosure Statement, and Solicitation Procedures</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One calendar day after the Petition Date</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Motion</w:t>
            </w:r>
          </w:p>
        </w:tc>
        <w:tc>
          <w:tcPr>
            <w:tcW w:w="560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Entry of interim order approving DIP Motion (as defined below)</w:t>
            </w:r>
          </w:p>
        </w:tc>
        <w:tc>
          <w:tcPr>
            <w:tcW w:w="5600" w:type="dxa"/>
            <w:vAlign w:val="bottom"/>
          </w:tcPr>
          <w:p>
            <w:pPr>
              <w:spacing w:after="0"/>
              <w:rPr>
                <w:sz w:val="20"/>
                <w:szCs w:val="20"/>
                <w:color w:val="auto"/>
              </w:rPr>
            </w:pPr>
            <w:r>
              <w:rPr>
                <w:rFonts w:ascii="Arial" w:cs="Arial" w:eastAsia="Arial" w:hAnsi="Arial"/>
                <w:sz w:val="18"/>
                <w:szCs w:val="18"/>
                <w:color w:val="auto"/>
              </w:rPr>
              <w:t>No later than July 18,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Entry of final order approving DIP Motion</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 after entry of Interim DIP Order</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Irish Examinership Proceeding</w:t>
            </w:r>
          </w:p>
        </w:tc>
        <w:tc>
          <w:tcPr>
            <w:tcW w:w="5600" w:type="dxa"/>
            <w:vAlign w:val="bottom"/>
          </w:tcPr>
          <w:p>
            <w:pPr>
              <w:spacing w:after="0"/>
              <w:rPr>
                <w:sz w:val="20"/>
                <w:szCs w:val="20"/>
                <w:color w:val="auto"/>
              </w:rPr>
            </w:pPr>
            <w:r>
              <w:rPr>
                <w:rFonts w:ascii="Arial" w:cs="Arial" w:eastAsia="Arial" w:hAnsi="Arial"/>
                <w:sz w:val="18"/>
                <w:szCs w:val="18"/>
                <w:color w:val="auto"/>
              </w:rPr>
              <w:t>October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Entry of order confirming the Chapter 11 Plan</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 later than September 15, 2019, subject to availability of the Bankruptcy</w:t>
            </w:r>
          </w:p>
        </w:tc>
      </w:tr>
      <w:tr>
        <w:trPr>
          <w:trHeight w:val="230"/>
        </w:trPr>
        <w:tc>
          <w:tcPr>
            <w:tcW w:w="5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Court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40" w:firstLine="8"/>
        <w:spacing w:after="0" w:line="215" w:lineRule="auto"/>
        <w:tabs>
          <w:tab w:leader="none" w:pos="177"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The Restructuring Support Agreement was amended by the Debtors and the Consenting Noteholders in June of 2019 to, among other things, amend certain of the milestones, incorporate the Bermuda proceedings, and address certain diligence issues.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w:t>
            </w:r>
          </w:p>
        </w:tc>
        <w:tc>
          <w:tcPr>
            <w:tcW w:w="220" w:type="dxa"/>
            <w:vAlign w:val="bottom"/>
            <w:tcBorders>
              <w:bottom w:val="single" w:sz="8" w:color="CCEEFF"/>
            </w:tcBorders>
          </w:tcPr>
          <w:p>
            <w:pPr>
              <w:spacing w:after="0"/>
              <w:rPr>
                <w:sz w:val="14"/>
                <w:szCs w:val="14"/>
                <w:color w:val="auto"/>
              </w:rPr>
            </w:pPr>
          </w:p>
        </w:tc>
        <w:tc>
          <w:tcPr>
            <w:tcW w:w="55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9"/>
              </w:rPr>
              <w:t>Entry of order of the Irish Court approving the Scheme of Arrangement</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1"/>
              </w:rPr>
              <w:t>No later than 70 calendar days after the Examinership Commencement Date</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Chapter 11 Plan Effective Date</w:t>
            </w:r>
          </w:p>
        </w:tc>
        <w:tc>
          <w:tcPr>
            <w:tcW w:w="58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No later than fifteen calendar days after entry of the Confirmation Order by</w:t>
            </w:r>
          </w:p>
        </w:tc>
      </w:tr>
      <w:tr>
        <w:trPr>
          <w:trHeight w:val="216"/>
        </w:trPr>
        <w:tc>
          <w:tcPr>
            <w:tcW w:w="562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w w:val="92"/>
              </w:rPr>
              <w:t>the Bankruptcy Court and entry of the order of the Irish Court approving the</w:t>
            </w:r>
          </w:p>
        </w:tc>
      </w:tr>
      <w:tr>
        <w:trPr>
          <w:trHeight w:val="230"/>
        </w:trPr>
        <w:tc>
          <w:tcPr>
            <w:tcW w:w="56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Scheme of Arrangement and the Bermuda Scheme</w:t>
            </w:r>
          </w:p>
        </w:tc>
      </w:tr>
    </w:tbl>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Of key importance, the Restructuring Support Agreement provides that the Consenting Noteholders will support the Plan. The Plan provides for a comprehensive restructuring of the Debtors’ prepetition obligations, preserves the going-concern value of the Debtors’ business, maximizes creditor recoveries, provides for an equitable distribution to the Debtors’ stakeholders, and protects the jobs of thousands of employees.</w:t>
      </w:r>
    </w:p>
    <w:p>
      <w:pPr>
        <w:spacing w:after="0" w:line="162"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Amortization Payment and Interest Payments Due Under Prepetition Debt</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Prepetition Credit Agreements provide for interest payments (and in the case of the Prepetition Term Loan Agreement, payments of principal) to be made on each of June 30, September 30, December 31, and March 31 (or in the case of a Eurodollar rate loan, at the end of each interest period) until maturity. Failure to make the interest and/or principal payments, as applicable, on one of the Prepetition Credit Agreements when due will result in an event of default under such Prepetition Credit Agreement and the other Prepetition Credit Agreements. The occurrence of an event of default under the Prepetition Credit Agreements allows the respective administrative agents and lenders to declare each Debtor’s obligations under the Prepetition Credit Agreements immediately due and payable and to exercise such administrative agents’ and lenders’ rights under the Prepetition Credit Agreements.</w:t>
      </w:r>
    </w:p>
    <w:p>
      <w:pPr>
        <w:spacing w:after="0" w:line="161"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A&amp;R Forbearance Agreement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June of 2019, the Company and Prepetition A&amp;R Credit Agreement Lenders entered into a forbearance agreement (the “</w:t>
      </w:r>
      <w:r>
        <w:rPr>
          <w:rFonts w:ascii="Arial" w:cs="Arial" w:eastAsia="Arial" w:hAnsi="Arial"/>
          <w:sz w:val="17"/>
          <w:szCs w:val="17"/>
          <w:b w:val="1"/>
          <w:bCs w:val="1"/>
          <w:u w:val="single" w:color="auto"/>
          <w:color w:val="auto"/>
        </w:rPr>
        <w:t>A&amp;R Forbearance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with respect to certain defaults under the Prepetition A&amp;R Credit Agreement. Specifically, under the Forbearance Agreement, the Prepetition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A&amp;R Credit Agreement Lenders agreed to forbear from exercising their rights and remedies, including the right to accelerate any indebtedness for a specified period of time. Under the terms of the A&amp;R Forbearance Agreement, the Company will pay a fee for the ratable account of the Prepetition A&amp;R Credit Agreement Lenders in an amount equal to 0.25% on the outstanding principal amount of the loans and total letter of credit exposure under the A&amp;R Credit Agreement, with such fee due and payable on the effective date of the A&amp;R Forbearance Agreement. Additionally, (i) to the extent such entities are not currently guarantors under the Prepetition A&amp;R Credit Agreement, all subsidiaries of the Company who will be guarantors under the DIP Facility will join as guarantors under the Prepetition A&amp;R Credit Agreement; provided that the aggregate amount of all guaranteed obligations and (ii) all U.S. and Canadian subsidiaries of the Company will grant a second lien security interest in favor of the Prepetition A&amp;R Credit Agreement Lenders in the same assets that such U.S. and Canadian subsidiaries are pledging a first lien security interest in under the DIP Facility; provided that the aggregate amount of the guaranteed obligations to be secured under the Prepetition A&amp;R Credit Agreement shall not exceed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3" w:name="page154"/>
    <w:bookmarkEnd w:id="153"/>
    <w:p>
      <w:pPr>
        <w:ind w:right="40"/>
        <w:spacing w:after="0" w:line="264" w:lineRule="auto"/>
        <w:rPr>
          <w:sz w:val="20"/>
          <w:szCs w:val="20"/>
          <w:color w:val="auto"/>
        </w:rPr>
      </w:pPr>
      <w:r>
        <w:rPr>
          <w:rFonts w:ascii="Arial" w:cs="Arial" w:eastAsia="Arial" w:hAnsi="Arial"/>
          <w:sz w:val="18"/>
          <w:szCs w:val="18"/>
          <w:color w:val="auto"/>
        </w:rPr>
        <w:t xml:space="preserve">$100,000,000; provided, further, that if the obligations under the Prepetition A&amp;R Credit Agreement are not paid in full by November 30, 2019, such security interest of the Prepetition A&amp;R Credit Agreement Lenders shall automatically transition from second liens to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liens with the liens under the DIP Facility.</w:t>
      </w:r>
    </w:p>
    <w:p>
      <w:pPr>
        <w:spacing w:after="0" w:line="177"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of Equity Holder Group</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 May of 2019, certain counsel contacted the Company’s legal advisors claiming to represent a group of Holders of Existing Common Stock (the “</w:t>
      </w:r>
      <w:r>
        <w:rPr>
          <w:rFonts w:ascii="Arial" w:cs="Arial" w:eastAsia="Arial" w:hAnsi="Arial"/>
          <w:sz w:val="16"/>
          <w:szCs w:val="16"/>
          <w:b w:val="1"/>
          <w:bCs w:val="1"/>
          <w:u w:val="single" w:color="auto"/>
          <w:color w:val="auto"/>
        </w:rPr>
        <w:t>Equity Holder Group</w:t>
      </w:r>
      <w:r>
        <w:rPr>
          <w:rFonts w:ascii="Arial" w:cs="Arial" w:eastAsia="Arial" w:hAnsi="Arial"/>
          <w:sz w:val="16"/>
          <w:szCs w:val="16"/>
          <w:color w:val="auto"/>
        </w:rPr>
        <w:t>”). According to counsel for the Equity Holder Group, the Equity Holder Group holds approximately 25% of the issued and outstanding common stock of Weatherford Parent. Subsequently, Proskauer Rose LLP was retained as counsel to the Equity Holder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ANTICIPATED EVENTS DURING THE CHAPTER 11 CASE, THE IRISH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EXAMINERSHIP PROCEEDING, AND THE BERMUDA PROCEEDING</w:t>
      </w:r>
    </w:p>
    <w:p>
      <w:pPr>
        <w:spacing w:after="0" w:line="20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CHAPTER 11 FIRST DAY MOTIONS AND CERTAIN RELATED RELIEF</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anticipate filing voluntary petitions for relief under chapter 11 of the Bankruptcy Code on or around July 1, 2019. The filing of the petitions will commence the Chapter 11 Cases at which time the Debtors will be afforded the benefits and become subject to the limitations of the Bankruptcy Code.</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Debtors intend to continue operating their businesses in the ordinary course during the pendency of the Chapter 11 Cases as they have been doing prior to the intended Petition Date. To facilitate the efficient and expeditious implementation of the Plan through the Chapter 11 Cases, and to minimize disruptions to the Debtors’ operations on the Petition Date, the Debtors intend to seek to have the Chapter 11 Cases assigned to the same bankruptcy judge and administered jointly and to file various motions seeking important and urgent relief from the Bankruptcy Court. Such relief, if granted, will assist in the administration of the Chapter 11 Cases; however, there can be no assurance that the requested relief will be granted by the Bankruptcy Court.</w:t>
      </w:r>
    </w:p>
    <w:p>
      <w:pPr>
        <w:spacing w:after="0" w:line="154"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First Day Motions and Other Related Relief</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the Petition Date, the Debtors intend to file multiple motions seeking various relief from the Bankruptcy Court and authorizing the Debtors to maintain their operations in the ordinary course. Such relief is designed to ensure a seamless transition between the Debtors’ prepetition and postpetition business operations, facilitate a smooth reorganization through the Chapter 11 Cases, and minimize any disruptions to the Debtors’ operations. The following is a brief overview of the relief the Debtors intend to seek on the Petition Date to maintain their operations in the ordinary course.</w:t>
      </w:r>
    </w:p>
    <w:p>
      <w:pPr>
        <w:spacing w:after="0" w:line="154" w:lineRule="exact"/>
        <w:rPr>
          <w:sz w:val="20"/>
          <w:szCs w:val="20"/>
          <w:color w:val="auto"/>
        </w:rPr>
      </w:pPr>
    </w:p>
    <w:p>
      <w:pPr>
        <w:ind w:left="1940" w:hanging="635"/>
        <w:spacing w:after="0"/>
        <w:tabs>
          <w:tab w:leader="none" w:pos="19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First Day Motions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Recognizing that any interruption of the Debtors’ business, even for a brief period of time, would negatively impact their operations, customer relationships, revenue and profits, the Debtors intend to file a number of motions to help stabilize their operations and effectuate, as much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4" w:name="page155"/>
    <w:bookmarkEnd w:id="154"/>
    <w:p>
      <w:pPr>
        <w:ind w:right="780"/>
        <w:spacing w:after="0" w:line="277" w:lineRule="auto"/>
        <w:rPr>
          <w:sz w:val="20"/>
          <w:szCs w:val="20"/>
          <w:color w:val="auto"/>
        </w:rPr>
      </w:pPr>
      <w:r>
        <w:rPr>
          <w:rFonts w:ascii="Arial" w:cs="Arial" w:eastAsia="Arial" w:hAnsi="Arial"/>
          <w:sz w:val="18"/>
          <w:szCs w:val="18"/>
          <w:color w:val="auto"/>
        </w:rPr>
        <w:t>possible, a smooth transition into operations as debtors in possession. Specifically, the Debtors will request that the Bankruptcy Court enter orders authorizing the Debtors to:</w:t>
      </w:r>
    </w:p>
    <w:p>
      <w:pPr>
        <w:spacing w:after="0" w:line="170" w:lineRule="exact"/>
        <w:rPr>
          <w:sz w:val="20"/>
          <w:szCs w:val="20"/>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and administer customer programs and honor their obligations arising under or relating to those customer programs;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continue insurance coverage, including performance under its insurance financing agreements, and enter into new insurance policies, if necessary;</w:t>
      </w:r>
    </w:p>
    <w:p>
      <w:pPr>
        <w:spacing w:after="0" w:line="248" w:lineRule="exact"/>
        <w:rPr>
          <w:rFonts w:ascii="Arial" w:cs="Arial" w:eastAsia="Arial" w:hAnsi="Arial"/>
          <w:sz w:val="16"/>
          <w:szCs w:val="16"/>
          <w:color w:val="auto"/>
        </w:rPr>
      </w:pPr>
    </w:p>
    <w:p>
      <w:pPr>
        <w:ind w:left="660" w:right="420" w:hanging="328"/>
        <w:spacing w:after="0" w:line="277"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procedures to protect certain tax attributes, including stock trading restrictions, and establish record date and sell-down procedures for trading claims; and</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their existing cash management system, maintain existing bank accounts and continue entering into certain intercompany transactions among the Debtors and with their non-debtor affiliates.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Motion to Approve Debtor in Possession Financing</w:t>
      </w:r>
    </w:p>
    <w:p>
      <w:pPr>
        <w:spacing w:after="0" w:line="221"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The Debtors intend to file a motion (the “</w:t>
      </w:r>
      <w:r>
        <w:rPr>
          <w:rFonts w:ascii="Arial" w:cs="Arial" w:eastAsia="Arial" w:hAnsi="Arial"/>
          <w:sz w:val="16"/>
          <w:szCs w:val="16"/>
          <w:b w:val="1"/>
          <w:bCs w:val="1"/>
          <w:u w:val="single" w:color="auto"/>
          <w:color w:val="auto"/>
        </w:rPr>
        <w:t>DIP Motion</w:t>
      </w:r>
      <w:r>
        <w:rPr>
          <w:rFonts w:ascii="Arial" w:cs="Arial" w:eastAsia="Arial" w:hAnsi="Arial"/>
          <w:sz w:val="16"/>
          <w:szCs w:val="16"/>
          <w:color w:val="auto"/>
        </w:rPr>
        <w:t>”) to approve the DIP Facility and the use of cash collateral. The Debtors will be entering chapter 11 with minimal cash on hand. Access to the DIP Facility and the use of Cash Collateral (as such term is defined in section 363(a) of the Bankruptcy Code) is critical to ensure that the Debtors have sufficient liquidity to operate their business and administer their estates during these Chapter 11 Cases.</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address their working capital needs and fund their reorganization efforts, in the months leading up to the Petition Date, the Debtors and their advisors solicited interest in providing the DIP Facility from various parties including major banks that were current holders of the Debtors’ prepetition credit facilities. Each of the lenders submitted initial non-binding term sheets. The Debtors, with the help of their advisors, evaluated each of the proposals and considered each potential lender’s indicative proposed economics, perceived ability to fully commit and underwrite the entire facility if needed, financing structure, perceived deal risk, market flex, and proposed covenants, among other factors. The Debtors submitted counterproposals to each of the term sheets and received updated proposals from four potential lenders. The Debtors, with assistance from their advisors, then undertook similar quantitative and qualitative analyses to compare the updated proposals. Based on these analyses, the Debtors and their advisors determined that the current proposed DIP Facility was the best option reasonably available under the totality of the circumstances. The Debtors and their advisors negotiated the terms of the proposed DIP Facility with the DIP Lenders in good faith and at arm’s-length.</w:t>
      </w:r>
    </w:p>
    <w:p>
      <w:pPr>
        <w:spacing w:after="0" w:line="182"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Motion to Authorize Hedging Program</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the ordinary course of business, the Debtors have historically entered into financial derivative contracts primarily to hedge the Debtors’ exposure to foreign exchange rate risks to their cash flows. To that end, shortly after commencement of the Chapter 11 Cases, the Debtors intend to file a motion requesting that the Bankruptcy Court enter an order authorizing the Debtors to, among other things, perform under existing financial derivative contracts, enter into and perform under new postpetition financial derivative contracts, and in each case grant counterparties to such contracts superpriority administrative expense claims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superpriority administrative expense claims provided under the DIP Order.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5" w:name="page156"/>
    <w:bookmarkEnd w:id="155"/>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Procedural Motions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To facilitate a smooth and efficient administration of the Chapter 11 Cases, the Debtors intend to file several other motions that are common to chapter 11 cases of similar size and complexity as the Chapter 11 Cases, including applications to retain various professionals to assist the Debtors in the Chapter 11 Cases.</w:t>
      </w:r>
    </w:p>
    <w:p>
      <w:pPr>
        <w:spacing w:after="0" w:line="177"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 Motion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Contemporaneously with the filing of their chapter 11 petitions, the Debtors will seek an order of the Bankruptcy Court scheduling a hearing to conditionally approve the Disclosure Statement for purposes of soliciting the Holders of Existing Common Stock and the Solicitation in connection therewith, and scheduling the Confirmation Hearing to consider the adequacy of the Disclosure Statement and confirmation of the Plan (the “</w:t>
      </w:r>
      <w:r>
        <w:rPr>
          <w:rFonts w:ascii="Arial" w:cs="Arial" w:eastAsia="Arial" w:hAnsi="Arial"/>
          <w:sz w:val="18"/>
          <w:szCs w:val="18"/>
          <w:b w:val="1"/>
          <w:bCs w:val="1"/>
          <w:u w:val="single" w:color="auto"/>
          <w:color w:val="auto"/>
        </w:rPr>
        <w:t>Solicitation Procedures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Motion</w:t>
      </w:r>
      <w:r>
        <w:rPr>
          <w:rFonts w:ascii="Arial" w:cs="Arial" w:eastAsia="Arial" w:hAnsi="Arial"/>
          <w:sz w:val="18"/>
          <w:szCs w:val="18"/>
          <w:color w:val="auto"/>
        </w:rPr>
        <w:t>”). Notice of these hearings will be published and mailed to all known holders of Claims and Equity Interests in accordance with orders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Court to be requested by the Debtors.</w:t>
      </w:r>
    </w:p>
    <w:p>
      <w:pPr>
        <w:spacing w:after="0" w:line="184"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Chapter 11 Cases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have agreed to proceed with the implementation of the Plan through the Chapter 11 Cases. The milestones contained in the Restructuring Support Agreement are described in section II.D.5. Achieving the various milestones under the Restructuring Support Agreement is crucial to successfully reorganizing the Debtors.</w:t>
      </w:r>
    </w:p>
    <w:p>
      <w:pPr>
        <w:spacing w:after="0" w:line="17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 and Backstop Commitment Agreement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the Initial Distribution Date, either Weatherford Delaware or Weatherford Bermuda will issue the New Tranche A Senior Unsecured Notes up to an aggregate principal amount of up to $1.25 billion, which will be offered Pro Rata to all holders of Allowed Prepetition Notes Claims through a rights offering (the “</w:t>
      </w:r>
      <w:r>
        <w:rPr>
          <w:rFonts w:ascii="Arial" w:cs="Arial" w:eastAsia="Arial" w:hAnsi="Arial"/>
          <w:sz w:val="16"/>
          <w:szCs w:val="16"/>
          <w:b w:val="1"/>
          <w:bCs w:val="1"/>
          <w:u w:val="single" w:color="auto"/>
          <w:color w:val="auto"/>
        </w:rPr>
        <w:t>Rights Offering</w:t>
      </w:r>
      <w:r>
        <w:rPr>
          <w:rFonts w:ascii="Arial" w:cs="Arial" w:eastAsia="Arial" w:hAnsi="Arial"/>
          <w:sz w:val="16"/>
          <w:szCs w:val="16"/>
          <w:color w:val="auto"/>
        </w:rPr>
        <w:t xml:space="preserve">”), which will be fully backstopped by the Backstop Parties pursuant to the Backstop Commitment Agreement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The Debtors expect to commence the Rights Offering following confirmation of the Plan. The procedures for soliciting participation from the holders of the Prepetition Notes in the Rights Offering (the “</w:t>
      </w:r>
      <w:r>
        <w:rPr>
          <w:rFonts w:ascii="Arial" w:cs="Arial" w:eastAsia="Arial" w:hAnsi="Arial"/>
          <w:sz w:val="16"/>
          <w:szCs w:val="16"/>
          <w:b w:val="1"/>
          <w:bCs w:val="1"/>
          <w:u w:val="single" w:color="auto"/>
          <w:color w:val="auto"/>
        </w:rPr>
        <w:t>Rights Offering Procedures</w:t>
      </w:r>
      <w:r>
        <w:rPr>
          <w:rFonts w:ascii="Arial" w:cs="Arial" w:eastAsia="Arial" w:hAnsi="Arial"/>
          <w:sz w:val="16"/>
          <w:szCs w:val="16"/>
          <w:color w:val="auto"/>
        </w:rPr>
        <w:t>”) will be attached to the Confirmation Order.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Backstop Commitment Agreement generally provides as follows:</w:t>
      </w:r>
    </w:p>
    <w:p>
      <w:pPr>
        <w:spacing w:after="0" w:line="225" w:lineRule="exact"/>
        <w:rPr>
          <w:sz w:val="20"/>
          <w:szCs w:val="20"/>
          <w:color w:val="auto"/>
        </w:rPr>
      </w:pPr>
    </w:p>
    <w:p>
      <w:pPr>
        <w:ind w:left="98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Backstop Party agrees to purchase its Commitment Percentage (as defined in the Backstop Commitment Agreement) of the New Tranche A Senior Unsecured Notes that have not been subscribed for in the Rights Offering.</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consideration for the foregoing, the Backstop Parties have received the Backstop Commitment Premium (as defined in the Backstop Commitment Agreement).</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Backstop Parties will be entitled to have all of the reasonable and documented out-of-pocket fees and expenses of their advisors paid by the Debtors.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6" w:name="page157"/>
    <w:bookmarkEnd w:id="156"/>
    <w:p>
      <w:pPr>
        <w:ind w:left="980" w:right="160" w:hanging="324"/>
        <w:spacing w:after="0" w:line="27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Backstop Parties will be entitled to a termination fee payment in an amount equal to the Backstop Commitment Premium, payable in cash, under certain circumstances if the Backstop Commitment Agreement is terminated.</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Because the Backstop Commitment Agreement facilitates the success of the Rights Offering and thereby significantly reduces the financing risks associated with consummation of the Plan, the Debtors submit, in their business judgment, that the payments are fair and reasonable.</w:t>
      </w:r>
    </w:p>
    <w:p>
      <w:pPr>
        <w:spacing w:after="0" w:line="143"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Holders of Existing Common Stock will receive three-year warrants for 10.0% of the New Common Stock to be issued by Reorganized Parent, which will be subject to dilution on account of the equity issued pursuant to the New Management Incentive Plan and the Tranche B Equity Conversion, with a strike price to be set at an equity value at which the Prepetition Noteholders would receive a recovery equal to par plus accrued and unpaid interest as of the Petition Date in respect of the Prepetition Notes.</w:t>
      </w:r>
    </w:p>
    <w:p>
      <w:pPr>
        <w:spacing w:after="0" w:line="183"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Debtors intend to begin marketing for secured commitments for an exit facility (the “</w:t>
      </w:r>
      <w:r>
        <w:rPr>
          <w:rFonts w:ascii="Arial" w:cs="Arial" w:eastAsia="Arial" w:hAnsi="Arial"/>
          <w:sz w:val="18"/>
          <w:szCs w:val="18"/>
          <w:b w:val="1"/>
          <w:bCs w:val="1"/>
          <w:u w:val="single" w:color="auto"/>
          <w:color w:val="auto"/>
        </w:rPr>
        <w:t>Exit Facility</w:t>
      </w:r>
      <w:r>
        <w:rPr>
          <w:rFonts w:ascii="Arial" w:cs="Arial" w:eastAsia="Arial" w:hAnsi="Arial"/>
          <w:sz w:val="18"/>
          <w:szCs w:val="18"/>
          <w:color w:val="auto"/>
        </w:rPr>
        <w:t>”) which will be provided to the Reorganized Debtors on the Effective Date consisting of a first lien revolving credit facility in the principal amount of up to $1.00 billion. The proceeds of the Exit Facility will be used to fund general working capital needs and for general corporate purposes of Reorganized Weatherford, subject to the terms of the Exit Facility Credit Agreement.</w:t>
      </w:r>
    </w:p>
    <w:p>
      <w:pPr>
        <w:spacing w:after="0" w:line="180"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Internal Reorganizations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part of the Plan, Weatherford intends to carry out certain internal reorganizations (“</w:t>
      </w:r>
      <w:r>
        <w:rPr>
          <w:rFonts w:ascii="Arial" w:cs="Arial" w:eastAsia="Arial" w:hAnsi="Arial"/>
          <w:sz w:val="17"/>
          <w:szCs w:val="17"/>
          <w:b w:val="1"/>
          <w:bCs w:val="1"/>
          <w:u w:val="single" w:color="auto"/>
          <w:color w:val="auto"/>
        </w:rPr>
        <w:t>Internal Reorganizations</w:t>
      </w:r>
      <w:r>
        <w:rPr>
          <w:rFonts w:ascii="Arial" w:cs="Arial" w:eastAsia="Arial" w:hAnsi="Arial"/>
          <w:sz w:val="17"/>
          <w:szCs w:val="17"/>
          <w:color w:val="auto"/>
        </w:rPr>
        <w:t xml:space="preserve">”). The Internal Reorganizations are intended to be effected substantially in accordance with those transaction steps outlined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Reorganization Steps Overview</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Description of Reorganization Steps</w:t>
      </w:r>
      <w:r>
        <w:rPr>
          <w:rFonts w:ascii="Arial" w:cs="Arial" w:eastAsia="Arial" w:hAnsi="Arial"/>
          <w:sz w:val="17"/>
          <w:szCs w:val="17"/>
          <w:color w:val="auto"/>
        </w:rPr>
        <w:t xml:space="preserve">”) is intended as an illustrative example of specific reorganization steps by which Weatherford Parent may effect the Internal Reorganizations. There can be no assurance that all or any of the reorganization steps outlined in the Reorganization Steps Overview or described in the Description of Reorganization Steps will actually occur or, if they do occur, will occur in the order set forth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J</w:t>
      </w:r>
      <w:r>
        <w:rPr>
          <w:rFonts w:ascii="Arial" w:cs="Arial" w:eastAsia="Arial" w:hAnsi="Arial"/>
          <w:sz w:val="17"/>
          <w:szCs w:val="17"/>
          <w:color w:val="auto"/>
        </w:rPr>
        <w:t>, as applicable. In addition, the Internal Reorganizations may be effected by means of steps not outlined in the Reorganization Steps Overview or the Description of Reorganization Steps. The Internal Reorganizations are intended to take place during the period following the confirmation of the Plan and ending on and including the Effective Date, but the actual timing of the steps comprising the Internal Reorganizations is uncertain and certain steps may occur, if at all, prior to confirmation of the Plan or after the Effective Date.</w:t>
      </w:r>
    </w:p>
    <w:p>
      <w:pPr>
        <w:spacing w:after="0" w:line="174"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PERIOD FOR FILING A CHAPTER 11 PLAN AND SOLICITING VOTES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Bankruptcy Code, a debtor has the exclusive right to file and solicit acceptances of a plan or plans of reorganization for an initial period of 120 days from the date on which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jc w:val="both"/>
        <w:ind w:right="20"/>
        <w:spacing w:after="0" w:line="264" w:lineRule="auto"/>
        <w:rPr>
          <w:sz w:val="20"/>
          <w:szCs w:val="20"/>
          <w:color w:val="auto"/>
        </w:rPr>
      </w:pPr>
      <w:r>
        <w:rPr>
          <w:rFonts w:ascii="Arial" w:cs="Arial" w:eastAsia="Arial" w:hAnsi="Arial"/>
          <w:sz w:val="18"/>
          <w:szCs w:val="18"/>
          <w:color w:val="auto"/>
        </w:rPr>
        <w:t>debtor filed for voluntary relief. If a debtor files a plan within this exclusive period, then the debtor has the exclusive right for 180 days from the petition date to solicit acceptances to the plan. During these exclusive periods, no other party in interest may file a competing plan of reorganization; however, a court may extend these periods upon request of a party in interest and “for cause.”</w:t>
      </w:r>
    </w:p>
    <w:p>
      <w:pPr>
        <w:spacing w:after="0" w:line="17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THE IRISH EXAMINERSHIP PROCEEDING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the Restructuring Support Agreement, Weatherford Parent anticipates filing a petition for the appointment of an examiner to itself under part 10 of the Companies Act 2014 (Ireland) following confirmation of the Plan (the “</w:t>
      </w:r>
      <w:r>
        <w:rPr>
          <w:rFonts w:ascii="Arial" w:cs="Arial" w:eastAsia="Arial" w:hAnsi="Arial"/>
          <w:sz w:val="18"/>
          <w:szCs w:val="18"/>
          <w:b w:val="1"/>
          <w:bCs w:val="1"/>
          <w:u w:val="single" w:color="auto"/>
          <w:color w:val="auto"/>
        </w:rPr>
        <w:t>Irish Examinership Proceeding</w:t>
      </w:r>
      <w:r>
        <w:rPr>
          <w:rFonts w:ascii="Arial" w:cs="Arial" w:eastAsia="Arial" w:hAnsi="Arial"/>
          <w:sz w:val="18"/>
          <w:szCs w:val="18"/>
          <w:color w:val="auto"/>
        </w:rPr>
        <w:t>”). The filing of the petition will commence the protection period during which Weatherford Parent will, under Irish law, have the benefit of protection against enforcement and other actions by its creditors for a period of up to 100 calendar days. Weatherford Parent intends to apply on the same date as the filing of the petition to the High Court of Ireland for the appointment of an examiner to itself on an interim basis pending the hearing of the petition which is likely to take place between one and two weeks after filing.</w:t>
      </w:r>
    </w:p>
    <w:p>
      <w:pPr>
        <w:spacing w:after="0" w:line="19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Weatherford Parent intends to continue operating its business in the ordinary course during the protection period, save that an examiner will be in place whose primary function will be to seek approval for its proposals for a scheme of arrangement in relation to Weatherford Parent (the “</w:t>
      </w:r>
      <w:r>
        <w:rPr>
          <w:rFonts w:ascii="Arial" w:cs="Arial" w:eastAsia="Arial" w:hAnsi="Arial"/>
          <w:sz w:val="18"/>
          <w:szCs w:val="18"/>
          <w:b w:val="1"/>
          <w:bCs w:val="1"/>
          <w:u w:val="single" w:color="auto"/>
          <w:color w:val="auto"/>
        </w:rPr>
        <w:t>Scheme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Arrangement</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Weatherford Parent believes that the terms of the proposals for a scheme of arrangement which will accompany the petition to have an examiner appointed to Weatherford Parent will, inter alia, deal with the: (i) cancellation of all Existing Common Stock; (ii) issue of New Common Stock and New Warrants to the Holders of Existing Common Stock; and (iii) issue of New Common Stock and New Tranche B Senior Unsecured Notes to the holders of Allowed Prepetition Notes Claims each on terms consistent with the Plan. Weatherford Parent is a guarantor of the Prepetition Revolving Credit Claims, the Prepetition Term Loan Claims, the Prepetition A&amp;R Claims and the Prepetition Note Claims, all of which are expected to be treated in the same way in the Scheme of Arrangement as in the Plan.</w:t>
      </w:r>
    </w:p>
    <w:p>
      <w:pPr>
        <w:spacing w:after="0" w:line="189"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Petition Hearing</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the petition hearing date, Weatherford Parent will apply to have the examiner’s appointment confirmed. Weatherford Parent will be required to establish that it is insolvent and that there is a reasonable prospect of the survival of both the company and its undertaking. It is intended that the petition will be accompanied by the Scheme of Arrangement.</w:t>
      </w:r>
    </w:p>
    <w:p>
      <w:pPr>
        <w:spacing w:after="0" w:line="17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Proposals for the Scheme of Arrangement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examiner will convene meetings of classes of creditors and the shareholders of Weatherford Parent. The Scheme of Arrangement is required to be approved by in excess of 50% plus one in value and in number of at least one class of impaired creditors. The Prepetition Notes Claims class will be the only impaired class of creditors in the Scheme of Arrangement.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8" w:name="page159"/>
    <w:bookmarkEnd w:id="158"/>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by the High Court of Ireland</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Once the requisite creditor class has voted in favor of the Scheme of Arrangement, the examiner will file a report containing details of the outcome of the votes of the class meetings with the High Court of Ireland and apply to the High Court of Ireland for a hearing date to confirm the Scheme of Arrangement. At such hearing the examiner will be required to establish that the proposals are fair and equitable to any class of creditors which has not accepted the proposals and whose interests would be impaired by the proposals and that the proposals are not unfairly prejudicial to the interests of any interested party.</w:t>
      </w:r>
    </w:p>
    <w:p>
      <w:pPr>
        <w:spacing w:after="0" w:line="184"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Irish Examinership Proceeding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Examinership Proceeding is a milestone under the Restructuring Support Agreement as described in section II.D.5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Alternatively, Weatherford Parent may commence an alternative proceeding or implement an alternative structure that is reasonably acceptable to the Required Consenting Noteholders.</w:t>
      </w:r>
    </w:p>
    <w:p>
      <w:pPr>
        <w:spacing w:after="0" w:line="166"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PROCEEDING</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To implement the foregoing restructuring, in parallel with these Chapter 11 Cases, and contemporaneously with the Debtors’ commencing these Chapter 11 Cases, Weatherford Bermuda (the “</w:t>
      </w:r>
      <w:r>
        <w:rPr>
          <w:rFonts w:ascii="Arial" w:cs="Arial" w:eastAsia="Arial" w:hAnsi="Arial"/>
          <w:sz w:val="17"/>
          <w:szCs w:val="17"/>
          <w:b w:val="1"/>
          <w:bCs w:val="1"/>
          <w:u w:val="single" w:color="auto"/>
          <w:color w:val="auto"/>
        </w:rPr>
        <w:t>Bermuda Debtor</w:t>
      </w:r>
      <w:r>
        <w:rPr>
          <w:rFonts w:ascii="Arial" w:cs="Arial" w:eastAsia="Arial" w:hAnsi="Arial"/>
          <w:sz w:val="17"/>
          <w:szCs w:val="17"/>
          <w:color w:val="auto"/>
        </w:rPr>
        <w:t xml:space="preserve">”) expects to commence “provisional liquidation” proceedings (the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Bermuda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Proceedings</w:t>
      </w:r>
      <w:r>
        <w:rPr>
          <w:rFonts w:ascii="Arial" w:cs="Arial" w:eastAsia="Arial" w:hAnsi="Arial"/>
          <w:sz w:val="17"/>
          <w:szCs w:val="17"/>
          <w:color w:val="auto"/>
        </w:rPr>
        <w:t>”) pursuant to sections 161 and 170 of the Companies Act 1981 of Bermuda by presenting a “winding up” petition to the Supreme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Bermuda (the “</w:t>
      </w:r>
      <w:r>
        <w:rPr>
          <w:rFonts w:ascii="Arial" w:cs="Arial" w:eastAsia="Arial" w:hAnsi="Arial"/>
          <w:sz w:val="17"/>
          <w:szCs w:val="17"/>
          <w:b w:val="1"/>
          <w:bCs w:val="1"/>
          <w:u w:val="single" w:color="auto"/>
          <w:color w:val="auto"/>
        </w:rPr>
        <w:t>Bermuda Court</w:t>
      </w:r>
      <w:r>
        <w:rPr>
          <w:rFonts w:ascii="Arial" w:cs="Arial" w:eastAsia="Arial" w:hAnsi="Arial"/>
          <w:sz w:val="17"/>
          <w:szCs w:val="17"/>
          <w:color w:val="auto"/>
        </w:rPr>
        <w:t>”). Upon the application of the Bermuda Debtor, the Bermuda Court will be requested to appoint one or more “provisional liquidators” over the Bermuda Debtor to facilitate the restructuring of the Bermuda Debtor in its chapter 11 case. The provisional liquidator(s) act as officers of the Bermuda Court, and will be required under the Bermuda Court’s order to report to the Bermuda Court from time to time on the progress of the Bermuda Debtor’s chapter 11 proceedings. The Bermuda Debtor’s application will also seek to limit the provisional liquidator(s)’ powers such that the Bermuda Debtor’s management team and boards of directors will remain in control of the Bermuda Debtor’s day-to-day operations and its chapter 11 case and the provisional liquidators will have the power to oversee the process, including the review of documents. Upon the appointment of provisional liquidators in respect of the Bermuda Debtor, a statutory stay of proceedings in Bermuda against the Bermuda Debtor or its assets will automatically arise. On the “return date” for the Bermuda petition—similar to a “second day” hearing in a chapter 11 proceeding—the Bermuda Debtor will seek to postpone its petition for a specified period, while the Bermuda Debtor administers its Chapter 11 Cases.</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Prior to the Effective Date the Bermuda Debtor may, along with the provisional liquidator and subject to the direction of the Supreme Court of Bermuda, convene meetings of the impaired creditors in order to consider and if thought fit approve a scheme of arrangement pursuant to the Companies Act 1981 of Bermuda (the “</w:t>
      </w:r>
      <w:r>
        <w:rPr>
          <w:rFonts w:ascii="Arial" w:cs="Arial" w:eastAsia="Arial" w:hAnsi="Arial"/>
          <w:sz w:val="18"/>
          <w:szCs w:val="18"/>
          <w:b w:val="1"/>
          <w:bCs w:val="1"/>
          <w:u w:val="single" w:color="auto"/>
          <w:color w:val="auto"/>
        </w:rPr>
        <w:t>Bermuda Scheme</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It is anticipated that a terms of the Bermuda Scheme will mirror the terms of the Plan. A Bermuda Scheme is a mechanism for ensuring that all of the impaired creditors of the Bermuda Debtor are bound by the terms of the Plan and will be binding on impaired creditors after (i) a</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59" w:name="page160"/>
    <w:bookmarkEnd w:id="159"/>
    <w:p>
      <w:pPr>
        <w:ind w:right="120"/>
        <w:spacing w:after="0" w:line="312" w:lineRule="auto"/>
        <w:rPr>
          <w:sz w:val="20"/>
          <w:szCs w:val="20"/>
          <w:color w:val="auto"/>
        </w:rPr>
      </w:pPr>
      <w:r>
        <w:rPr>
          <w:rFonts w:ascii="Arial" w:cs="Arial" w:eastAsia="Arial" w:hAnsi="Arial"/>
          <w:sz w:val="16"/>
          <w:szCs w:val="16"/>
          <w:color w:val="auto"/>
        </w:rPr>
        <w:t>majority in number of those impaired creditors voting, representing three-quarters in value of those voting, vote in person or by proxy in favor of the scheme at a meeting convened at the direction of the court for the purpose of considering the Bermuda Scheme; and (ii) the Bermuda Court subsequently makes an order approving the Bermuda Scheme; and (iii) a copy of that order is delivered to the Registrar of Companies in Bermuda for registration.</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impaired creditors who have claims in Class 7 in both the Plan and a Bermuda Scheme will be asked to vote on both the Plan and the Bermuda Scheme, they will only receive a single distribution in respect of such a claim if allowed. Impaired creditors who have claimed only in a Bermuda Scheme will not be prejudiced as a result and will receive a single distribution in the same way as all other claims which are allowed under a Bermuda Scheme and the Plan.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Bermuda Scheme and the Plan are expected to be inter-conditional; one is expected not to become effective without the other. Impaired creditors should expect to receive a separate circular explaining the Bermuda Scheme. It is anticipated that the meeting to consider the Bermuda Scheme will be held after the meetings convened to vote on the Plan.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Alternatively, instead of a Bermuda Scheme, after the Confirmation of the Plan by the Bankruptcy Court, applications may be made by the Bermuda Debtor and the provisional liquidator(s) to the Bermuda Court seeking orders that, conditional upon the Confirmation Order, (i) the Bermuda Court recognize the Confirmation Order as a matter of Bermuda law; (ii) the Bermuda Court permanently restrain creditors and shareholders of the Bermuda Debtor from pursing claims against the Bermuda Debtor in breach of their obligations under the chapter 11 plan; and (iii) the Bermuda Court dismiss the winding up petition, thereby removing the provisional liquidators from office and terminating the Bermuda Proceedings.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SUMMARY OF THE PLAN</w:t>
      </w:r>
    </w:p>
    <w:p>
      <w:pPr>
        <w:spacing w:after="0" w:line="20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 xml:space="preserve">This section of the Disclosure Statement summarized the Plan, a copy of which is annexed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This summary is qualified in its entirety by reference to the Plan. </w:t>
      </w:r>
      <w:r>
        <w:rPr>
          <w:rFonts w:ascii="Arial" w:cs="Arial" w:eastAsia="Arial" w:hAnsi="Arial"/>
          <w:sz w:val="18"/>
          <w:szCs w:val="18"/>
          <w:b w:val="1"/>
          <w:bCs w:val="1"/>
          <w:color w:val="auto"/>
        </w:rPr>
        <w:t>YOU SHOULD READ THE PLAN IN ITS ENTIRETY BEFORE VOTING TO ACCEPT OR REJECT THE</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general, a chapter 11 plan (1) divided claims and equity interests into separate classes, (2) specifies the consideration that each class is to receive under the plan and (3) contains other provisions necessary to implement the plan. Under the Bankruptcy Code, “claims” and “equity interests,” rather than “creditors” and “shareholders,” are classified because creditors and shareholders may hold claims and equity interests in more than one class. Under section 1124 of the Bankruptcy Code, a class of claims is “impaired” under a plan unless the plan (1) leaves unaltered the legal, equitable, and contractual rights of each holder of a claim in such class or (2) provides, among other things, for the cure of certain existing defaults and reinstatement of the maturity of claims in such class. Under the Plan, Classes 7, 10, and 12 are impaired, and holders of Claims or Interests in such Classes are entitled to vote to accept or reject the Plan unless such Classes of Claims or Interests are deemed to reject the Plan (e.g., Class 12) or subject to an objection filed by the Debtors. Ballots are being furnished herewith to all holders of Claims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right="80"/>
        <w:spacing w:after="0" w:line="277" w:lineRule="auto"/>
        <w:rPr>
          <w:sz w:val="20"/>
          <w:szCs w:val="20"/>
          <w:color w:val="auto"/>
        </w:rPr>
      </w:pPr>
      <w:r>
        <w:rPr>
          <w:rFonts w:ascii="Arial" w:cs="Arial" w:eastAsia="Arial" w:hAnsi="Arial"/>
          <w:sz w:val="18"/>
          <w:szCs w:val="18"/>
          <w:color w:val="auto"/>
        </w:rPr>
        <w:t>Classes 7 and 10 that are entitled to vote to facilitate their voting to accept or reject the Plan. Class 12 is deemed to reject the Plan, and, therefore, holders of Claims or Interests in such Class will not vote on the Plan.</w:t>
      </w:r>
    </w:p>
    <w:p>
      <w:pPr>
        <w:spacing w:after="0" w:line="16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DIP FACILITY, AND PRIORITY TAX CLAIMS</w:t>
      </w:r>
    </w:p>
    <w:p>
      <w:pPr>
        <w:spacing w:after="0" w:line="22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Claims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(a)</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1940" w:hanging="635"/>
        <w:spacing w:after="0"/>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the Plan, in each case without further application or notice to or order of the Bankruptcy Court.</w:t>
      </w:r>
    </w:p>
    <w:p>
      <w:pPr>
        <w:spacing w:after="0" w:line="158"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the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1" w:name="page162"/>
    <w:bookmarkEnd w:id="161"/>
    <w:p>
      <w:pPr>
        <w:ind w:right="520"/>
        <w:spacing w:after="0" w:line="277" w:lineRule="auto"/>
        <w:rPr>
          <w:sz w:val="20"/>
          <w:szCs w:val="20"/>
          <w:color w:val="auto"/>
        </w:rPr>
      </w:pPr>
      <w:r>
        <w:rPr>
          <w:rFonts w:ascii="Arial" w:cs="Arial" w:eastAsia="Arial" w:hAnsi="Arial"/>
          <w:sz w:val="18"/>
          <w:szCs w:val="18"/>
          <w:color w:val="auto"/>
        </w:rPr>
        <w:t>Claims, such Professionals will have an Allowed Administrative Claim for any such deficiency, which will be satisfied in full in Cash accordance with Article II.A of the Plan.</w:t>
      </w:r>
    </w:p>
    <w:p>
      <w:pPr>
        <w:spacing w:after="0" w:line="166"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DIP Facility Claims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4"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Priority Tax Claims</w:t>
      </w:r>
    </w:p>
    <w:p>
      <w:pPr>
        <w:spacing w:after="0" w:line="229" w:lineRule="exact"/>
        <w:rPr>
          <w:sz w:val="20"/>
          <w:szCs w:val="20"/>
          <w:color w:val="auto"/>
        </w:rPr>
      </w:pPr>
    </w:p>
    <w:p>
      <w:pPr>
        <w:ind w:right="40" w:firstLine="662"/>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of the Plan,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2" w:name="page163"/>
    <w:bookmarkEnd w:id="162"/>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CLASSIFIED CLAIMS AND EQUITY INTERESTS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Plan constitutes a separate plan of reorganization for each Debtor. All Claims and Equity Interests, except Administrative Claims, DIP Facility Claims, and Priority Tax Claims, are placed in the Classes set forth below. For all purposes under the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of the Plan.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The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Claim/Equity Interest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30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Tax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Revolving Credit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Term Loan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A&amp;R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Notes Claims</w:t>
            </w: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Unsecured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00" w:type="dxa"/>
            <w:vAlign w:val="bottom"/>
          </w:tcPr>
          <w:p>
            <w:pPr>
              <w:spacing w:after="0"/>
              <w:rPr>
                <w:sz w:val="18"/>
                <w:szCs w:val="18"/>
                <w:color w:val="auto"/>
              </w:rPr>
            </w:pPr>
          </w:p>
        </w:tc>
        <w:tc>
          <w:tcPr>
            <w:tcW w:w="4260" w:type="dxa"/>
            <w:vAlign w:val="bottom"/>
            <w:gridSpan w:val="2"/>
          </w:tcPr>
          <w:p>
            <w:pPr>
              <w:spacing w:after="0" w:line="216"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(5)</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Equity Interests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Unexercised Equity Interests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Deemed to Reject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ind w:left="644" w:hanging="644"/>
        <w:spacing w:after="0"/>
        <w:tabs>
          <w:tab w:leader="none" w:pos="6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w:t>
      </w:r>
    </w:p>
    <w:p>
      <w:pPr>
        <w:spacing w:after="0" w:line="229" w:lineRule="exact"/>
        <w:rPr>
          <w:sz w:val="20"/>
          <w:szCs w:val="20"/>
          <w:color w:val="auto"/>
        </w:rPr>
      </w:pPr>
    </w:p>
    <w:p>
      <w:pPr>
        <w:ind w:left="1284" w:hanging="635"/>
        <w:spacing w:after="0"/>
        <w:tabs>
          <w:tab w:leader="none" w:pos="128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sz w:val="20"/>
          <w:szCs w:val="20"/>
          <w:color w:val="auto"/>
        </w:rPr>
      </w:pPr>
    </w:p>
    <w:p>
      <w:pPr>
        <w:ind w:left="944" w:hanging="295"/>
        <w:spacing w:after="0"/>
        <w:tabs>
          <w:tab w:leader="none" w:pos="944"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964" w:hanging="315"/>
        <w:spacing w:after="0" w:line="287" w:lineRule="auto"/>
        <w:tabs>
          <w:tab w:leader="none" w:pos="928" w:val="left"/>
        </w:tabs>
        <w:numPr>
          <w:ilvl w:val="0"/>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ind w:left="964" w:right="180" w:hanging="315"/>
        <w:spacing w:after="0" w:line="264" w:lineRule="auto"/>
        <w:tabs>
          <w:tab w:leader="none" w:pos="928"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 is an Unimpaired Class, and the Holders of Claims in Class 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the Plan.</w:t>
      </w:r>
    </w:p>
    <w:p>
      <w:pPr>
        <w:spacing w:after="0" w:line="181" w:lineRule="exact"/>
        <w:rPr>
          <w:sz w:val="20"/>
          <w:szCs w:val="20"/>
          <w:color w:val="auto"/>
        </w:rPr>
      </w:pPr>
    </w:p>
    <w:p>
      <w:pPr>
        <w:ind w:left="1304" w:hanging="655"/>
        <w:spacing w:after="0"/>
        <w:tabs>
          <w:tab w:leader="none" w:pos="130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Class 2 — Other Secured Claims</w:t>
      </w:r>
    </w:p>
    <w:p>
      <w:pPr>
        <w:spacing w:after="0" w:line="225" w:lineRule="exact"/>
        <w:rPr>
          <w:sz w:val="20"/>
          <w:szCs w:val="20"/>
          <w:color w:val="auto"/>
        </w:rPr>
      </w:pPr>
    </w:p>
    <w:p>
      <w:pPr>
        <w:ind w:left="944" w:hanging="295"/>
        <w:spacing w:after="0"/>
        <w:tabs>
          <w:tab w:leader="none" w:pos="944" w:val="left"/>
        </w:tabs>
        <w:numPr>
          <w:ilvl w:val="0"/>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Classification</w:t>
      </w:r>
      <w:r>
        <w:rPr>
          <w:rFonts w:ascii="Arial" w:cs="Arial" w:eastAsia="Arial" w:hAnsi="Arial"/>
          <w:sz w:val="16"/>
          <w:szCs w:val="16"/>
          <w:color w:val="auto"/>
        </w:rPr>
        <w:t>: Class 2 consists of the Other Secured Claims. Class 2 consists of separate subclasses for each Other Secured Claim.</w:t>
      </w:r>
    </w:p>
    <w:p>
      <w:pPr>
        <w:spacing w:after="0" w:line="248" w:lineRule="exact"/>
        <w:rPr>
          <w:rFonts w:ascii="Arial" w:cs="Arial" w:eastAsia="Arial" w:hAnsi="Arial"/>
          <w:sz w:val="16"/>
          <w:szCs w:val="16"/>
          <w:color w:val="auto"/>
        </w:rPr>
      </w:pPr>
    </w:p>
    <w:p>
      <w:pPr>
        <w:ind w:left="964" w:hanging="315"/>
        <w:spacing w:after="0" w:line="264" w:lineRule="auto"/>
        <w:tabs>
          <w:tab w:leader="none" w:pos="928"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on, or as soon as reasonably practicable after, the later of (i) the Initial Distribution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if such Class 2 Claim is an Allowed Class 2 Claim as of the Effective Date or (ii) the next Subsequent Distribution Date after the date on which such Class 2 Claim becomes 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38" w:right="319" w:bottom="1440" w:gutter="0" w:footer="0" w:header="0"/>
        </w:sectPr>
      </w:pPr>
    </w:p>
    <w:bookmarkStart w:id="164" w:name="page165"/>
    <w:bookmarkEnd w:id="164"/>
    <w:p>
      <w:pPr>
        <w:ind w:left="420"/>
        <w:spacing w:after="0" w:line="289" w:lineRule="auto"/>
        <w:rPr>
          <w:sz w:val="20"/>
          <w:szCs w:val="20"/>
          <w:color w:val="auto"/>
        </w:rPr>
      </w:pPr>
      <w:r>
        <w:rPr>
          <w:rFonts w:ascii="Arial" w:cs="Arial" w:eastAsia="Arial" w:hAnsi="Arial"/>
          <w:sz w:val="16"/>
          <w:szCs w:val="16"/>
          <w:color w:val="auto"/>
        </w:rPr>
        <w:t xml:space="preserve">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2 Claims incurred by any Debtor in the ordinary course of business may be paid in the ordinary course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occurrence of the Effective Date by the applicable Reorganized Debtor in accordance with the terms and conditions of any agreements relating thereto without further notice to or order of the Bankruptcy Court.</w:t>
      </w:r>
    </w:p>
    <w:p>
      <w:pPr>
        <w:spacing w:after="0" w:line="167" w:lineRule="exact"/>
        <w:rPr>
          <w:sz w:val="20"/>
          <w:szCs w:val="20"/>
          <w:color w:val="auto"/>
        </w:rPr>
      </w:pPr>
    </w:p>
    <w:p>
      <w:pPr>
        <w:ind w:left="420" w:right="220" w:hanging="315"/>
        <w:spacing w:after="0" w:line="264" w:lineRule="auto"/>
        <w:tabs>
          <w:tab w:leader="none" w:pos="384"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2 is an Unimpaired Class, and the Holders of Claims in Class 2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Class 3 - Secured Tax Claims</w:t>
      </w:r>
    </w:p>
    <w:p>
      <w:pPr>
        <w:spacing w:after="0" w:line="225" w:lineRule="exact"/>
        <w:rPr>
          <w:sz w:val="20"/>
          <w:szCs w:val="20"/>
          <w:color w:val="auto"/>
        </w:rPr>
      </w:pPr>
    </w:p>
    <w:p>
      <w:pPr>
        <w:ind w:left="400" w:hanging="295"/>
        <w:spacing w:after="0"/>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420" w:right="40" w:hanging="315"/>
        <w:spacing w:after="0" w:line="268" w:lineRule="auto"/>
        <w:tabs>
          <w:tab w:leader="none" w:pos="384" w:val="left"/>
        </w:tabs>
        <w:numPr>
          <w:ilvl w:val="0"/>
          <w:numId w:val="84"/>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65" w:name="page166"/>
    <w:bookmarkEnd w:id="165"/>
    <w:p>
      <w:pPr>
        <w:ind w:left="420"/>
        <w:spacing w:after="0" w:line="273" w:lineRule="auto"/>
        <w:rPr>
          <w:sz w:val="20"/>
          <w:szCs w:val="20"/>
          <w:color w:val="auto"/>
        </w:rPr>
      </w:pPr>
      <w:r>
        <w:rPr>
          <w:rFonts w:ascii="Arial" w:cs="Arial" w:eastAsia="Arial" w:hAnsi="Arial"/>
          <w:sz w:val="17"/>
          <w:szCs w:val="17"/>
          <w:color w:val="auto"/>
        </w:rPr>
        <w:t xml:space="preserve">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8" w:lineRule="exact"/>
        <w:rPr>
          <w:sz w:val="20"/>
          <w:szCs w:val="20"/>
          <w:color w:val="auto"/>
        </w:rPr>
      </w:pPr>
    </w:p>
    <w:p>
      <w:pPr>
        <w:ind w:left="420" w:right="240" w:hanging="315"/>
        <w:spacing w:after="0" w:line="264" w:lineRule="auto"/>
        <w:tabs>
          <w:tab w:leader="none" w:pos="384"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3 is an Unimpaired Class, and the Holders of Claims in Class 3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3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Class 4 — Prepetition Revolving Credit Claims</w:t>
      </w:r>
    </w:p>
    <w:p>
      <w:pPr>
        <w:spacing w:after="0" w:line="225" w:lineRule="exact"/>
        <w:rPr>
          <w:sz w:val="20"/>
          <w:szCs w:val="20"/>
          <w:color w:val="auto"/>
        </w:rPr>
      </w:pPr>
    </w:p>
    <w:p>
      <w:pPr>
        <w:ind w:left="400" w:hanging="295"/>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420" w:right="420" w:hanging="315"/>
        <w:spacing w:after="0" w:line="277"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420" w:right="140" w:hanging="315"/>
        <w:spacing w:after="0" w:line="259"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420" w:right="60" w:hanging="315"/>
        <w:spacing w:after="0" w:line="264"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is an Unimpaired Class, and the Holders of Claims in Class 4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4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Class 5 — Prepetition Term Loan Claims</w:t>
      </w:r>
    </w:p>
    <w:p>
      <w:pPr>
        <w:spacing w:after="0" w:line="225" w:lineRule="exact"/>
        <w:rPr>
          <w:sz w:val="20"/>
          <w:szCs w:val="20"/>
          <w:color w:val="auto"/>
        </w:rPr>
      </w:pPr>
    </w:p>
    <w:p>
      <w:pPr>
        <w:ind w:left="400" w:hanging="295"/>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420" w:right="200" w:hanging="315"/>
        <w:spacing w:after="0" w:line="277" w:lineRule="auto"/>
        <w:tabs>
          <w:tab w:leader="none" w:pos="384"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Term Loans Claims are deemed Allowed in the aggregate principal amount of $297,500,000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w:t>
      </w:r>
    </w:p>
    <w:p>
      <w:pPr>
        <w:spacing w:after="0" w:line="170"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will, in full</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66" w:name="page167"/>
    <w:bookmarkEnd w:id="166"/>
    <w:p>
      <w:pPr>
        <w:ind w:left="420" w:right="20"/>
        <w:spacing w:after="0" w:line="264" w:lineRule="auto"/>
        <w:rPr>
          <w:sz w:val="20"/>
          <w:szCs w:val="20"/>
          <w:color w:val="auto"/>
        </w:rPr>
      </w:pPr>
      <w:r>
        <w:rPr>
          <w:rFonts w:ascii="Arial" w:cs="Arial" w:eastAsia="Arial" w:hAnsi="Arial"/>
          <w:sz w:val="18"/>
          <w:szCs w:val="18"/>
          <w:color w:val="auto"/>
        </w:rPr>
        <w:t>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1" w:lineRule="exact"/>
        <w:rPr>
          <w:sz w:val="20"/>
          <w:szCs w:val="20"/>
          <w:color w:val="auto"/>
        </w:rPr>
      </w:pPr>
    </w:p>
    <w:p>
      <w:pPr>
        <w:ind w:left="420" w:hanging="315"/>
        <w:spacing w:after="0" w:line="264" w:lineRule="auto"/>
        <w:tabs>
          <w:tab w:leader="none" w:pos="3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is an Unimpaired Class, and the Holders of Claims in Class 5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5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Class 6 — Prepetition A&amp;R Claims</w:t>
      </w:r>
    </w:p>
    <w:p>
      <w:pPr>
        <w:spacing w:after="0" w:line="225" w:lineRule="exact"/>
        <w:rPr>
          <w:sz w:val="20"/>
          <w:szCs w:val="20"/>
          <w:color w:val="auto"/>
        </w:rPr>
      </w:pPr>
    </w:p>
    <w:p>
      <w:pPr>
        <w:ind w:left="400" w:hanging="295"/>
        <w:spacing w:after="0"/>
        <w:tabs>
          <w:tab w:leader="none" w:pos="400"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420" w:right="300" w:hanging="315"/>
        <w:spacing w:after="0" w:line="277" w:lineRule="auto"/>
        <w:tabs>
          <w:tab w:leader="none" w:pos="384"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420" w:right="80" w:hanging="315"/>
        <w:spacing w:after="0" w:line="279" w:lineRule="auto"/>
        <w:tabs>
          <w:tab w:leader="none" w:pos="384" w:val="left"/>
        </w:tabs>
        <w:numPr>
          <w:ilvl w:val="0"/>
          <w:numId w:val="92"/>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Effective Date, the Allowed Prepetition A&amp;R Claims will, in full satisfaction, settlement, discharge and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71" w:lineRule="exact"/>
        <w:rPr>
          <w:rFonts w:ascii="Arial" w:cs="Arial" w:eastAsia="Arial" w:hAnsi="Arial"/>
          <w:sz w:val="17"/>
          <w:szCs w:val="17"/>
          <w:color w:val="auto"/>
        </w:rPr>
      </w:pPr>
    </w:p>
    <w:p>
      <w:pPr>
        <w:ind w:left="420" w:hanging="315"/>
        <w:spacing w:after="0" w:line="264" w:lineRule="auto"/>
        <w:tabs>
          <w:tab w:leader="none" w:pos="384"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is an Unimpaired Class, and the Holders of Claims in Class 6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6 are not entitled to vote to accept or reject the Plan.</w:t>
      </w:r>
    </w:p>
    <w:p>
      <w:pPr>
        <w:spacing w:after="0" w:line="181" w:lineRule="exact"/>
        <w:rPr>
          <w:sz w:val="20"/>
          <w:szCs w:val="20"/>
          <w:color w:val="auto"/>
        </w:rPr>
      </w:pPr>
    </w:p>
    <w:p>
      <w:pPr>
        <w:ind w:left="780" w:hanging="675"/>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Class 7 — Prepetition Notes Claims</w:t>
      </w:r>
    </w:p>
    <w:p>
      <w:pPr>
        <w:spacing w:after="0" w:line="225" w:lineRule="exact"/>
        <w:rPr>
          <w:sz w:val="20"/>
          <w:szCs w:val="20"/>
          <w:color w:val="auto"/>
        </w:rPr>
      </w:pPr>
    </w:p>
    <w:p>
      <w:pPr>
        <w:ind w:left="400" w:hanging="295"/>
        <w:spacing w:after="0"/>
        <w:tabs>
          <w:tab w:leader="none" w:pos="400"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Notes Claims are deemed Allowed in the aggregate principal amount of $7,427,067,000,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consisting of:</w:t>
      </w:r>
    </w:p>
    <w:p>
      <w:pPr>
        <w:spacing w:after="0" w:line="170" w:lineRule="exact"/>
        <w:rPr>
          <w:rFonts w:ascii="Arial" w:cs="Arial" w:eastAsia="Arial" w:hAnsi="Arial"/>
          <w:sz w:val="18"/>
          <w:szCs w:val="18"/>
          <w:color w:val="auto"/>
        </w:rPr>
      </w:pPr>
    </w:p>
    <w:p>
      <w:pPr>
        <w:ind w:left="1040" w:hanging="287"/>
        <w:spacing w:after="0"/>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$365,107,000 in aggregate principal amount, plus accrued and unpaid interest on account of the 5.125%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7.750%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$1,265,000,000 in aggregate principal amount, plus accrued and unpaid interest on account of the 5.875% Notes;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167" w:name="page168"/>
    <w:bookmarkEnd w:id="167"/>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$646,286,000 in aggregate principal amount, plus accrued and unpaid interest on account of the 4.500%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8.250%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$790,000,000 in aggregate principal amount, plus accrued and unpaid interest on account of the 9.875% 2024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$453,045,000 in aggregate principal amount, plus accrued and unpaid interest on account of the 6.500%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$461,300,000 in aggregate principal amount, plus accrued and unpaid interest on account of the 7.000%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$250,000,000 in aggregate principal amount, plus accrued and unpaid interest on account of the 9.875% 2039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$462,601,000 in aggregate principal amount, plus accrued and unpaid interest on account of the 6.750%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$374,961,000 in aggregate principal amount, plus accrued and unpaid interest on account of the 5.950%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$600,000,000 in aggregate principal amount, plus accrued and unpaid interest on account of the 9.875% 2025 Notes; and</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$258,767,000 in aggregate principal amount, plus accrued and unpaid interest on account of the 6.8000% Notes.</w:t>
      </w:r>
    </w:p>
    <w:p>
      <w:pPr>
        <w:spacing w:after="0" w:line="225" w:lineRule="exact"/>
        <w:rPr>
          <w:rFonts w:ascii="Arial" w:cs="Arial" w:eastAsia="Arial" w:hAnsi="Arial"/>
          <w:sz w:val="18"/>
          <w:szCs w:val="18"/>
          <w:color w:val="auto"/>
        </w:rPr>
      </w:pPr>
    </w:p>
    <w:p>
      <w:pPr>
        <w:ind w:left="420" w:hanging="315"/>
        <w:spacing w:after="0" w:line="287" w:lineRule="auto"/>
        <w:tabs>
          <w:tab w:leader="none" w:pos="384" w:val="left"/>
        </w:tabs>
        <w:numPr>
          <w:ilvl w:val="0"/>
          <w:numId w:val="95"/>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discharge and release of, and in exchange for, such Claim, its Pro Rata share of (i) 99% of the New Common Stock, subject to dilution on account of equity issued pursuant to the New Management Incentive Plan, the Tranche B Equity Conversion (as defined below), and the New Common Stock issuable pursuant to the New Warrants and (ii) the New Tranche B Senior Unsecured Notes;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each of such Holders will have the option, in its sole discretion, to convert its Pro Rata share of $500,000,000</w:t>
      </w:r>
      <w:r>
        <w:rPr>
          <w:rFonts w:ascii="Arial" w:cs="Arial" w:eastAsia="Arial" w:hAnsi="Arial"/>
          <w:sz w:val="16"/>
          <w:szCs w:val="16"/>
          <w:i w:val="1"/>
          <w:iCs w:val="1"/>
          <w:color w:val="auto"/>
        </w:rPr>
        <w:t xml:space="preserve"> </w:t>
      </w:r>
      <w:r>
        <w:rPr>
          <w:rFonts w:ascii="Arial" w:cs="Arial" w:eastAsia="Arial" w:hAnsi="Arial"/>
          <w:sz w:val="16"/>
          <w:szCs w:val="16"/>
          <w:color w:val="auto"/>
        </w:rPr>
        <w:t>in principal amount of the New Tranche B Senior Unsecured Notes into New Common Stock (the “</w:t>
      </w:r>
      <w:r>
        <w:rPr>
          <w:rFonts w:ascii="Arial" w:cs="Arial" w:eastAsia="Arial" w:hAnsi="Arial"/>
          <w:sz w:val="16"/>
          <w:szCs w:val="16"/>
          <w:b w:val="1"/>
          <w:bCs w:val="1"/>
          <w:u w:val="single" w:color="auto"/>
          <w:color w:val="auto"/>
        </w:rPr>
        <w:t>Tranche B Equity Conversion</w:t>
      </w:r>
      <w:r>
        <w:rPr>
          <w:rFonts w:ascii="Arial" w:cs="Arial" w:eastAsia="Arial" w:hAnsi="Arial"/>
          <w:sz w:val="16"/>
          <w:szCs w:val="16"/>
          <w:color w:val="auto"/>
        </w:rPr>
        <w:t xml:space="preserve">”) at a conversion price of $36.20 per share of New Common Stock;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168" w:name="page169"/>
    <w:bookmarkEnd w:id="168"/>
    <w:p>
      <w:pPr>
        <w:ind w:left="1952"/>
        <w:spacing w:after="0" w:line="286" w:lineRule="auto"/>
        <w:rPr>
          <w:sz w:val="20"/>
          <w:szCs w:val="20"/>
          <w:color w:val="auto"/>
        </w:rPr>
      </w:pPr>
      <w:r>
        <w:rPr>
          <w:rFonts w:ascii="Arial" w:cs="Arial" w:eastAsia="Arial" w:hAnsi="Arial"/>
          <w:sz w:val="17"/>
          <w:szCs w:val="17"/>
          <w:color w:val="auto"/>
        </w:rPr>
        <w:t>effectuation of the Tranche B Equity Conversion and the Overallotment Rights are set forth in Article V.V of the Plan. In addition, each of such Holders will receive Subscription Rights to purchase its Pro Rata share of New Tranche A Senior Unsecured Notes pursuant to the Rights Offering and in accordance with the applicable Rights Offerings Procedures.</w:t>
      </w:r>
    </w:p>
    <w:p>
      <w:pPr>
        <w:spacing w:after="0" w:line="166" w:lineRule="exact"/>
        <w:rPr>
          <w:sz w:val="20"/>
          <w:szCs w:val="20"/>
          <w:color w:val="auto"/>
        </w:rPr>
      </w:pPr>
    </w:p>
    <w:p>
      <w:pPr>
        <w:ind w:left="1592" w:hanging="295"/>
        <w:spacing w:after="0"/>
        <w:tabs>
          <w:tab w:leader="none" w:pos="1592" w:val="left"/>
        </w:tabs>
        <w:numPr>
          <w:ilvl w:val="0"/>
          <w:numId w:val="96"/>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is Impaired, and Holders of Claims in Class 7 are entitled to vote to accept or reject the Plan.</w:t>
      </w:r>
    </w:p>
    <w:p>
      <w:pPr>
        <w:spacing w:after="0" w:line="225" w:lineRule="exact"/>
        <w:rPr>
          <w:sz w:val="20"/>
          <w:szCs w:val="20"/>
          <w:color w:val="auto"/>
        </w:rPr>
      </w:pPr>
    </w:p>
    <w:p>
      <w:pPr>
        <w:ind w:left="1952" w:hanging="655"/>
        <w:spacing w:after="0"/>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Class 8 — General Unsecured Claims</w:t>
      </w:r>
    </w:p>
    <w:p>
      <w:pPr>
        <w:spacing w:after="0" w:line="225" w:lineRule="exact"/>
        <w:rPr>
          <w:sz w:val="20"/>
          <w:szCs w:val="20"/>
          <w:color w:val="auto"/>
        </w:rPr>
      </w:pPr>
    </w:p>
    <w:p>
      <w:pPr>
        <w:ind w:left="1592" w:hanging="295"/>
        <w:spacing w:after="0"/>
        <w:tabs>
          <w:tab w:leader="none" w:pos="1592"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612" w:hanging="315"/>
        <w:spacing w:after="0" w:line="259" w:lineRule="auto"/>
        <w:tabs>
          <w:tab w:leader="none" w:pos="1576"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equitable, and contractual rights of the holders of General Unsecured Claims are unaltered by the Plan. Except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ind w:left="1612" w:right="220" w:hanging="315"/>
        <w:spacing w:after="0" w:line="264" w:lineRule="auto"/>
        <w:tabs>
          <w:tab w:leader="none" w:pos="1576"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is an Unimpaired Class, and the Holders of Claims in Class 8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the Plan.</w:t>
      </w:r>
    </w:p>
    <w:p>
      <w:pPr>
        <w:spacing w:after="0" w:line="181" w:lineRule="exact"/>
        <w:rPr>
          <w:sz w:val="20"/>
          <w:szCs w:val="20"/>
          <w:color w:val="auto"/>
        </w:rPr>
      </w:pPr>
    </w:p>
    <w:p>
      <w:pPr>
        <w:ind w:left="1972" w:hanging="675"/>
        <w:spacing w:after="0"/>
        <w:tabs>
          <w:tab w:leader="none" w:pos="197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Class 9 — Intercompany Claims</w:t>
      </w:r>
    </w:p>
    <w:p>
      <w:pPr>
        <w:spacing w:after="0" w:line="225" w:lineRule="exact"/>
        <w:rPr>
          <w:sz w:val="20"/>
          <w:szCs w:val="20"/>
          <w:color w:val="auto"/>
        </w:rPr>
      </w:pPr>
    </w:p>
    <w:p>
      <w:pPr>
        <w:ind w:left="1592" w:hanging="295"/>
        <w:spacing w:after="0"/>
        <w:tabs>
          <w:tab w:leader="none" w:pos="1592" w:val="left"/>
        </w:tabs>
        <w:numPr>
          <w:ilvl w:val="0"/>
          <w:numId w:val="100"/>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612" w:right="20" w:hanging="315"/>
        <w:spacing w:after="0" w:line="308" w:lineRule="auto"/>
        <w:tabs>
          <w:tab w:leader="none" w:pos="1576" w:val="left"/>
        </w:tabs>
        <w:numPr>
          <w:ilvl w:val="0"/>
          <w:numId w:val="100"/>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Restructuring Transactions, the Intercompany Claims will be adjusted, reinstated, compromised, or cancelled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determined appropriate by the Debtors, with the consent of the Required Consenting Noteholders.</w:t>
      </w:r>
    </w:p>
    <w:p>
      <w:pPr>
        <w:spacing w:after="0" w:line="146" w:lineRule="exact"/>
        <w:rPr>
          <w:rFonts w:ascii="Arial" w:cs="Arial" w:eastAsia="Arial" w:hAnsi="Arial"/>
          <w:sz w:val="17"/>
          <w:szCs w:val="17"/>
          <w:color w:val="auto"/>
        </w:rPr>
      </w:pPr>
    </w:p>
    <w:p>
      <w:pPr>
        <w:ind w:left="1612" w:right="220" w:hanging="315"/>
        <w:spacing w:after="0" w:line="264" w:lineRule="auto"/>
        <w:tabs>
          <w:tab w:leader="none" w:pos="1576" w:val="left"/>
        </w:tabs>
        <w:numPr>
          <w:ilvl w:val="0"/>
          <w:numId w:val="10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9 is an Unimpaired Class and the Holders of Claims in Class 9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the Plan.</w:t>
      </w:r>
    </w:p>
    <w:p>
      <w:pPr>
        <w:spacing w:after="0" w:line="181" w:lineRule="exact"/>
        <w:rPr>
          <w:sz w:val="20"/>
          <w:szCs w:val="20"/>
          <w:color w:val="auto"/>
        </w:rPr>
      </w:pPr>
    </w:p>
    <w:p>
      <w:pPr>
        <w:ind w:left="1952" w:hanging="655"/>
        <w:spacing w:after="0"/>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Class 10 — Existing Common Stock</w:t>
      </w:r>
    </w:p>
    <w:p>
      <w:pPr>
        <w:spacing w:after="0" w:line="225" w:lineRule="exact"/>
        <w:rPr>
          <w:sz w:val="20"/>
          <w:szCs w:val="20"/>
          <w:color w:val="auto"/>
        </w:rPr>
      </w:pPr>
    </w:p>
    <w:p>
      <w:pPr>
        <w:ind w:left="1592" w:hanging="295"/>
        <w:spacing w:after="0"/>
        <w:tabs>
          <w:tab w:leader="none" w:pos="1592" w:val="left"/>
        </w:tabs>
        <w:numPr>
          <w:ilvl w:val="1"/>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(6)</w:t>
      </w:r>
    </w:p>
    <w:p>
      <w:pPr>
        <w:spacing w:after="0" w:line="167" w:lineRule="exact"/>
        <w:rPr>
          <w:rFonts w:ascii="Arial" w:cs="Arial" w:eastAsia="Arial" w:hAnsi="Arial"/>
          <w:sz w:val="18"/>
          <w:szCs w:val="18"/>
          <w:color w:val="auto"/>
        </w:rPr>
      </w:pPr>
    </w:p>
    <w:p>
      <w:pPr>
        <w:ind w:left="1612" w:right="80" w:hanging="315"/>
        <w:spacing w:after="0" w:line="277" w:lineRule="auto"/>
        <w:tabs>
          <w:tab w:leader="none" w:pos="1576" w:val="left"/>
        </w:tabs>
        <w:numPr>
          <w:ilvl w:val="1"/>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On the Effective Date, the Existing Common Stock will be cancelled without further notice to, approval of or action by any</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On the</w:t>
      </w:r>
    </w:p>
    <w:p>
      <w:pPr>
        <w:spacing w:after="0" w:line="370" w:lineRule="exact"/>
        <w:rPr>
          <w:rFonts w:ascii="Arial" w:cs="Arial" w:eastAsia="Arial" w:hAnsi="Arial"/>
          <w:sz w:val="18"/>
          <w:szCs w:val="18"/>
          <w:color w:val="auto"/>
        </w:rPr>
      </w:pPr>
    </w:p>
    <w:p>
      <w:pPr>
        <w:ind w:left="172" w:hanging="172"/>
        <w:spacing w:after="0"/>
        <w:tabs>
          <w:tab w:leader="none" w:pos="172"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1826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69" w:name="page170"/>
    <w:bookmarkEnd w:id="169"/>
    <w:p>
      <w:pPr>
        <w:jc w:val="both"/>
        <w:ind w:left="1620" w:right="380"/>
        <w:spacing w:after="0" w:line="312" w:lineRule="auto"/>
        <w:rPr>
          <w:sz w:val="20"/>
          <w:szCs w:val="20"/>
          <w:color w:val="auto"/>
        </w:rPr>
      </w:pPr>
      <w:r>
        <w:rPr>
          <w:rFonts w:ascii="Arial" w:cs="Arial" w:eastAsia="Arial" w:hAnsi="Arial"/>
          <w:sz w:val="16"/>
          <w:szCs w:val="16"/>
          <w:color w:val="auto"/>
        </w:rPr>
        <w:t>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the Plan and the occurrence of the Effective Date.</w:t>
      </w:r>
    </w:p>
    <w:p>
      <w:pPr>
        <w:spacing w:after="0" w:line="170" w:lineRule="exact"/>
        <w:rPr>
          <w:sz w:val="20"/>
          <w:szCs w:val="20"/>
          <w:color w:val="auto"/>
        </w:rPr>
      </w:pPr>
    </w:p>
    <w:p>
      <w:pPr>
        <w:ind w:left="1600" w:hanging="295"/>
        <w:spacing w:after="0"/>
        <w:tabs>
          <w:tab w:leader="none" w:pos="1600" w:val="left"/>
        </w:tabs>
        <w:numPr>
          <w:ilvl w:val="0"/>
          <w:numId w:val="103"/>
        </w:numPr>
        <w:rPr>
          <w:rFonts w:ascii="Arial" w:cs="Arial" w:eastAsia="Arial" w:hAnsi="Arial"/>
          <w:sz w:val="16"/>
          <w:szCs w:val="16"/>
          <w:color w:val="auto"/>
        </w:rPr>
      </w:pPr>
      <w:r>
        <w:rPr>
          <w:rFonts w:ascii="Arial" w:cs="Arial" w:eastAsia="Arial" w:hAnsi="Arial"/>
          <w:sz w:val="16"/>
          <w:szCs w:val="16"/>
          <w:i w:val="1"/>
          <w:iCs w:val="1"/>
          <w:u w:val="single" w:color="auto"/>
          <w:color w:val="auto"/>
        </w:rPr>
        <w:t>Voting</w:t>
      </w:r>
      <w:r>
        <w:rPr>
          <w:rFonts w:ascii="Arial" w:cs="Arial" w:eastAsia="Arial" w:hAnsi="Arial"/>
          <w:sz w:val="16"/>
          <w:szCs w:val="16"/>
          <w:color w:val="auto"/>
        </w:rPr>
        <w:t>: Class 10 is Impaired, and the Holders of Existing Common Stock in Class 10 are entitled to vote to accept or reject the Plan.</w:t>
      </w:r>
    </w:p>
    <w:p>
      <w:pPr>
        <w:spacing w:after="0" w:line="248" w:lineRule="exact"/>
        <w:rPr>
          <w:sz w:val="20"/>
          <w:szCs w:val="20"/>
          <w:color w:val="auto"/>
        </w:rPr>
      </w:pPr>
    </w:p>
    <w:p>
      <w:pPr>
        <w:ind w:left="1960" w:hanging="655"/>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Class 11 — Intercompany Equity Interests</w:t>
      </w:r>
    </w:p>
    <w:p>
      <w:pPr>
        <w:spacing w:after="0" w:line="225" w:lineRule="exact"/>
        <w:rPr>
          <w:sz w:val="20"/>
          <w:szCs w:val="20"/>
          <w:color w:val="auto"/>
        </w:rPr>
      </w:pPr>
    </w:p>
    <w:p>
      <w:pPr>
        <w:ind w:left="1600" w:hanging="295"/>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620" w:right="180" w:hanging="315"/>
        <w:spacing w:after="0" w:line="264" w:lineRule="auto"/>
        <w:tabs>
          <w:tab w:leader="none" w:pos="1584"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ind w:left="1620" w:right="60" w:hanging="315"/>
        <w:spacing w:after="0" w:line="264" w:lineRule="auto"/>
        <w:tabs>
          <w:tab w:leader="none" w:pos="1584"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11 is an Unimpaired Class and the Holders of Claims in Class 11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the Plan.</w:t>
      </w:r>
    </w:p>
    <w:p>
      <w:pPr>
        <w:spacing w:after="0" w:line="181" w:lineRule="exact"/>
        <w:rPr>
          <w:sz w:val="20"/>
          <w:szCs w:val="20"/>
          <w:color w:val="auto"/>
        </w:rPr>
      </w:pPr>
    </w:p>
    <w:p>
      <w:pPr>
        <w:ind w:left="1980" w:hanging="675"/>
        <w:spacing w:after="0"/>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Class 12 — Unexercised Equity Interests</w:t>
      </w:r>
    </w:p>
    <w:p>
      <w:pPr>
        <w:spacing w:after="0" w:line="225" w:lineRule="exact"/>
        <w:rPr>
          <w:sz w:val="20"/>
          <w:szCs w:val="20"/>
          <w:color w:val="auto"/>
        </w:rPr>
      </w:pPr>
    </w:p>
    <w:p>
      <w:pPr>
        <w:ind w:left="1600" w:hanging="295"/>
        <w:spacing w:after="0"/>
        <w:tabs>
          <w:tab w:leader="none" w:pos="1600" w:val="left"/>
        </w:tabs>
        <w:numPr>
          <w:ilvl w:val="1"/>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620" w:right="260" w:hanging="315"/>
        <w:spacing w:after="0" w:line="308" w:lineRule="auto"/>
        <w:tabs>
          <w:tab w:leader="none" w:pos="1584" w:val="left"/>
        </w:tabs>
        <w:numPr>
          <w:ilvl w:val="1"/>
          <w:numId w:val="107"/>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jc w:val="both"/>
        <w:ind w:left="1620" w:hanging="315"/>
        <w:spacing w:after="0" w:line="264" w:lineRule="auto"/>
        <w:tabs>
          <w:tab w:leader="none" w:pos="1584" w:val="left"/>
        </w:tabs>
        <w:numPr>
          <w:ilvl w:val="1"/>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12 is Impaired, and the Holders of Unexercised Equity Interests in Class 12 will be conclusively deemed to have rejected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pursuant to section 1126(g) of the Bankruptcy Code. Therefore, Holders of Unexercised Equity Interests in Class 12 will not be entitled to vote to accept or reject the Plan.</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 Governing Unimpaired Claims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Except as otherwise provided herein, nothing under the Plan will affect or limit the Debtors’ or the Reorganized Debtors’ rights and defenses (whether legal or equitable) in respect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70" w:name="page171"/>
    <w:bookmarkEnd w:id="170"/>
    <w:p>
      <w:pPr>
        <w:ind w:right="320"/>
        <w:spacing w:after="0" w:line="277" w:lineRule="auto"/>
        <w:rPr>
          <w:sz w:val="20"/>
          <w:szCs w:val="20"/>
          <w:color w:val="auto"/>
        </w:rPr>
      </w:pPr>
      <w:r>
        <w:rPr>
          <w:rFonts w:ascii="Arial" w:cs="Arial" w:eastAsia="Arial" w:hAnsi="Arial"/>
          <w:sz w:val="18"/>
          <w:szCs w:val="18"/>
          <w:color w:val="auto"/>
        </w:rPr>
        <w:t>of any Unimpaired Claims, including, without limitation, all rights in respect of legal and equitable defenses to or setoffs or recoupments against any such Unimpaired Claims.</w:t>
      </w:r>
    </w:p>
    <w:p>
      <w:pPr>
        <w:spacing w:after="0" w:line="166"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Elimination of Vacant Classes</w:t>
      </w:r>
    </w:p>
    <w:p>
      <w:pPr>
        <w:spacing w:after="0" w:line="229" w:lineRule="exact"/>
        <w:rPr>
          <w:sz w:val="20"/>
          <w:szCs w:val="20"/>
          <w:color w:val="auto"/>
        </w:rPr>
      </w:pPr>
    </w:p>
    <w:p>
      <w:pPr>
        <w:ind w:right="20" w:firstLine="662"/>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the Plan for purposes of voting to accept or reject the Plan and for purposes of determining acceptance or rejection of the Plan by such Class pursuant to section 1129(a)(8) of the Bankruptcy Code.</w:t>
      </w:r>
    </w:p>
    <w:p>
      <w:pPr>
        <w:spacing w:after="0" w:line="162"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OR REJECTION OF THE PLAN</w:t>
      </w:r>
    </w:p>
    <w:p>
      <w:pPr>
        <w:spacing w:after="0" w:line="225"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Presumed Acceptance of Plan</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Classes 1-6 and 8, 9, and 11 are Unimpaired under the Plan. Therefore, the Holders of Claims or Equity Interests in such Classes are deemed to have accepted the Plan pursuant to section 1126(f) of the Bankruptcy Code and are not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Presumed Rejection of Plan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the Plan. Accordingly, under section 1126(g) of the Bankruptcy Code, the votes of Holders of Unexercised Equity Interests in Class 12 will not be solicited and such Holders are deemed to reject the Plan.</w:t>
      </w:r>
    </w:p>
    <w:p>
      <w:pPr>
        <w:spacing w:after="0" w:line="177"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Voting Classes</w:t>
      </w:r>
    </w:p>
    <w:p>
      <w:pPr>
        <w:spacing w:after="0" w:line="229"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Classes 7 and 10 are Impaired and entitled to vote under the Plan. The Holders of Claims in Class 7 and Existing Common Stock in Class 10 as of the Voting Record Date are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 of Claims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the Plan if the Holders of at least two-thirds (2/3) in dollar amount and more than one-half (1/2) in number of the Allowed Claims in such Class actually voting have voted to accept the Plan.</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the Plan if the Holders of at least two-thirds (2/3) in amount of the Allowed Equity Interests in such Class actually have voted to accept the Plan.</w:t>
      </w:r>
    </w:p>
    <w:p>
      <w:pPr>
        <w:spacing w:after="0" w:line="177"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Pursuant to Sections 1129(a)(10) and 1129(b) of the Bankruptcy Code; Cram Down</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1129(a)(10) of the Bankruptcy Code will be satisfied for purposes of Confirmation by acceptance of the Plan by Class 7. The Debtors request confirmation of the Plan under section 1129(b) of the Bankruptcy Code with respect to any Impaired Class that does not accept the Plan pursuant to section 1126 of the Bankruptcy Code. The Debtors reserve the right, in accordance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1" w:name="page172"/>
    <w:bookmarkEnd w:id="171"/>
    <w:p>
      <w:pPr>
        <w:ind w:right="340"/>
        <w:spacing w:after="0" w:line="277" w:lineRule="auto"/>
        <w:rPr>
          <w:sz w:val="20"/>
          <w:szCs w:val="20"/>
          <w:color w:val="auto"/>
        </w:rPr>
      </w:pPr>
      <w:r>
        <w:rPr>
          <w:rFonts w:ascii="Arial" w:cs="Arial" w:eastAsia="Arial" w:hAnsi="Arial"/>
          <w:sz w:val="18"/>
          <w:szCs w:val="18"/>
          <w:color w:val="auto"/>
        </w:rPr>
        <w:t>with the terms of the Restructuring Support Agreement, to modify the Plan or any Exhibit or Plan Schedule in order to satisfy the requirements of section 1129(b) of the Bankruptcy Code, if necessary.</w:t>
      </w:r>
    </w:p>
    <w:p>
      <w:pPr>
        <w:spacing w:after="0" w:line="166"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Votes Solicited in Good Faith</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the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MEANS FOR IMPLEMENTATION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Restructuring Transactions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the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the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the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the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the Plan and having such other terms to which the applicable Entities may agree; (iii) the filing of appropriate certificates or articles of merger, amalgamation,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2" w:name="page173"/>
    <w:bookmarkEnd w:id="172"/>
    <w:p>
      <w:pPr>
        <w:ind w:right="60"/>
        <w:spacing w:after="0" w:line="302" w:lineRule="auto"/>
        <w:rPr>
          <w:sz w:val="20"/>
          <w:szCs w:val="20"/>
          <w:color w:val="auto"/>
        </w:rPr>
      </w:pPr>
      <w:r>
        <w:rPr>
          <w:rFonts w:ascii="Arial" w:cs="Arial" w:eastAsia="Arial" w:hAnsi="Arial"/>
          <w:sz w:val="16"/>
          <w:szCs w:val="16"/>
          <w:color w:val="auto"/>
        </w:rPr>
        <w:t>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the Plan, the DIP Financing Documents (if applicable), and the Restructuring Documents and any consents or approvals required thereunder.</w:t>
      </w:r>
    </w:p>
    <w:p>
      <w:pPr>
        <w:spacing w:after="0" w:line="150"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Corporate Existence</w:t>
      </w:r>
    </w:p>
    <w:p>
      <w:pPr>
        <w:spacing w:after="0" w:line="229" w:lineRule="exact"/>
        <w:rPr>
          <w:sz w:val="20"/>
          <w:szCs w:val="20"/>
          <w:color w:val="auto"/>
        </w:rPr>
      </w:pPr>
    </w:p>
    <w:p>
      <w:pPr>
        <w:ind w:right="20" w:firstLine="662"/>
        <w:spacing w:after="0" w:line="284" w:lineRule="auto"/>
        <w:rPr>
          <w:sz w:val="20"/>
          <w:szCs w:val="20"/>
          <w:color w:val="auto"/>
        </w:rPr>
      </w:pPr>
      <w:r>
        <w:rPr>
          <w:rFonts w:ascii="Arial" w:cs="Arial" w:eastAsia="Arial" w:hAnsi="Arial"/>
          <w:sz w:val="16"/>
          <w:szCs w:val="16"/>
          <w:color w:val="auto"/>
        </w:rPr>
        <w:t xml:space="preserve">Subject to the Restructuring Transactions permitted by </w:t>
      </w:r>
      <w:r>
        <w:rPr>
          <w:rFonts w:ascii="Arial" w:cs="Arial" w:eastAsia="Arial" w:hAnsi="Arial"/>
          <w:sz w:val="16"/>
          <w:szCs w:val="16"/>
          <w:u w:val="single" w:color="auto"/>
          <w:color w:val="auto"/>
        </w:rPr>
        <w:t>Article V.A</w:t>
      </w:r>
      <w:r>
        <w:rPr>
          <w:rFonts w:ascii="Arial" w:cs="Arial" w:eastAsia="Arial" w:hAnsi="Arial"/>
          <w:sz w:val="16"/>
          <w:szCs w:val="16"/>
          <w:color w:val="auto"/>
        </w:rPr>
        <w:t xml:space="preserve"> of the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the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the Plan or the Chapter</w:t>
      </w:r>
    </w:p>
    <w:p>
      <w:pPr>
        <w:spacing w:after="0" w:line="1"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Cases.</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Assets in the Reorganized Debtors Free and Clear of Liens and Claims</w:t>
      </w:r>
    </w:p>
    <w:p>
      <w:pPr>
        <w:spacing w:after="0" w:line="229"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 xml:space="preserve">Except as otherwise expressly provided in the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the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the Plan or the Confirmation Order.</w:t>
      </w:r>
    </w:p>
    <w:p>
      <w:pPr>
        <w:spacing w:after="0" w:line="174"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 Loan Documents</w:t>
      </w:r>
    </w:p>
    <w:p>
      <w:pPr>
        <w:spacing w:after="0" w:line="229"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3" w:name="page174"/>
    <w:bookmarkEnd w:id="173"/>
    <w:p>
      <w:pPr>
        <w:spacing w:after="0" w:line="255" w:lineRule="auto"/>
        <w:rPr>
          <w:sz w:val="20"/>
          <w:szCs w:val="20"/>
          <w:color w:val="auto"/>
        </w:rPr>
      </w:pPr>
      <w:r>
        <w:rPr>
          <w:rFonts w:ascii="Arial" w:cs="Arial" w:eastAsia="Arial" w:hAnsi="Arial"/>
          <w:sz w:val="18"/>
          <w:szCs w:val="18"/>
          <w:color w:val="auto"/>
        </w:rPr>
        <w:t>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85"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New Senior Unsecured Notes Indentures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78"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New Common Stock; Book Entry</w:t>
      </w:r>
    </w:p>
    <w:p>
      <w:pPr>
        <w:spacing w:after="0" w:line="229"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On the Effective Date, subject to the terms and conditions of the Plan and the Restructuring Transactions and as described more fully in the Reorganization Steps Overview, Reorganized Parent will issue the New Common Stock pursuant to the Plan and the Amended/New Corporate Governance Documents.</w:t>
      </w:r>
    </w:p>
    <w:p>
      <w:pPr>
        <w:spacing w:after="0" w:line="181"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the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3"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New Securities and Transfer Restrictions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4" w:name="page175"/>
    <w:bookmarkEnd w:id="174"/>
    <w:p>
      <w:pPr>
        <w:ind w:right="60"/>
        <w:spacing w:after="0" w:line="259" w:lineRule="auto"/>
        <w:rPr>
          <w:sz w:val="20"/>
          <w:szCs w:val="20"/>
          <w:color w:val="auto"/>
        </w:rPr>
      </w:pPr>
      <w:r>
        <w:rPr>
          <w:rFonts w:ascii="Arial" w:cs="Arial" w:eastAsia="Arial" w:hAnsi="Arial"/>
          <w:sz w:val="18"/>
          <w:szCs w:val="18"/>
          <w:color w:val="auto"/>
        </w:rPr>
        <w:t>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3"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New Registration Rights Agreement</w:t>
      </w:r>
    </w:p>
    <w:p>
      <w:pPr>
        <w:spacing w:after="0" w:line="229"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the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67"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New Management Incentive Plan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3"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0"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Plan Securities and Related Documentation; Exemption from Securities Laws</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the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the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75" w:name="page176"/>
    <w:bookmarkEnd w:id="175"/>
    <w:p>
      <w:pPr>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the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the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69"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Liens and Claims</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the Plan) or in any contract, instrument, release or other agreement or document entered into or delivered in connection with the Plan, on the Effective Date and concurrently with the applicable distributions made pursuant to Article VII of the Plan,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such instruments of termination, release, satisfaction and/or assignment (in recordable form) as may be reasonably requested by the Reorganized Debtors.</w:t>
      </w:r>
    </w:p>
    <w:p>
      <w:pPr>
        <w:spacing w:after="0" w:line="244"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 Documents of the Reorganized Debtors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New/Amended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the Plan (including as a result of the exercise of New Warrants); and (iii) to the extent necessary or appropriate, include such provisions as may be needed to effectuate and consummate the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63"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of the Reorganized Debtors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3"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Action</w:t>
      </w:r>
    </w:p>
    <w:p>
      <w:pPr>
        <w:spacing w:after="0" w:line="229" w:lineRule="exact"/>
        <w:rPr>
          <w:sz w:val="20"/>
          <w:szCs w:val="20"/>
          <w:color w:val="auto"/>
        </w:rPr>
      </w:pPr>
    </w:p>
    <w:p>
      <w:pPr>
        <w:ind w:right="620" w:firstLine="662"/>
        <w:spacing w:after="0" w:line="342" w:lineRule="auto"/>
        <w:rPr>
          <w:sz w:val="20"/>
          <w:szCs w:val="20"/>
          <w:color w:val="auto"/>
        </w:rPr>
      </w:pPr>
      <w:r>
        <w:rPr>
          <w:rFonts w:ascii="Arial" w:cs="Arial" w:eastAsia="Arial" w:hAnsi="Arial"/>
          <w:sz w:val="16"/>
          <w:szCs w:val="16"/>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7" w:name="page178"/>
    <w:bookmarkEnd w:id="177"/>
    <w:p>
      <w:pPr>
        <w:ind w:right="100"/>
        <w:spacing w:after="0" w:line="255" w:lineRule="auto"/>
        <w:rPr>
          <w:sz w:val="20"/>
          <w:szCs w:val="20"/>
          <w:color w:val="auto"/>
        </w:rPr>
      </w:pPr>
      <w:r>
        <w:rPr>
          <w:rFonts w:ascii="Arial" w:cs="Arial" w:eastAsia="Arial" w:hAnsi="Arial"/>
          <w:sz w:val="18"/>
          <w:szCs w:val="18"/>
          <w:color w:val="auto"/>
        </w:rPr>
        <w:t>provisions of the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193"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the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As of the Effective Date, all matters provided for in the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the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the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5"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Notes, Certificates and Instruments</w:t>
      </w:r>
    </w:p>
    <w:p>
      <w:pPr>
        <w:spacing w:after="0" w:line="229" w:lineRule="exact"/>
        <w:rPr>
          <w:sz w:val="20"/>
          <w:szCs w:val="20"/>
          <w:color w:val="auto"/>
        </w:rPr>
      </w:pPr>
    </w:p>
    <w:p>
      <w:pPr>
        <w:ind w:right="200" w:firstLine="662"/>
        <w:spacing w:after="0" w:line="308" w:lineRule="auto"/>
        <w:rPr>
          <w:sz w:val="20"/>
          <w:szCs w:val="20"/>
          <w:color w:val="auto"/>
        </w:rPr>
      </w:pPr>
      <w:r>
        <w:rPr>
          <w:rFonts w:ascii="Arial" w:cs="Arial" w:eastAsia="Arial" w:hAnsi="Arial"/>
          <w:sz w:val="17"/>
          <w:szCs w:val="17"/>
          <w:color w:val="auto"/>
        </w:rPr>
        <w:t>On the Effective Date, except to the extent otherwise provided in the Plan (including, without limitation, Article II.B, Article V.B, Article V.E, and Article V.K of the Plan), all notes, indentures, instruments, certificates, agreements and other documents evidencing or relating to any Impaired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p>
      <w:pPr>
        <w:spacing w:after="0" w:line="285" w:lineRule="auto"/>
        <w:rPr>
          <w:sz w:val="20"/>
          <w:szCs w:val="20"/>
          <w:color w:val="auto"/>
        </w:rPr>
      </w:pPr>
      <w:r>
        <w:rPr>
          <w:rFonts w:ascii="Arial" w:cs="Arial" w:eastAsia="Arial" w:hAnsi="Arial"/>
          <w:sz w:val="16"/>
          <w:szCs w:val="16"/>
          <w:color w:val="auto"/>
        </w:rPr>
        <w:t>Claim (including, for the avoidance of doubt and without limitation, the Prepetition Notes Indentures and the Prepetition Notes, or any Claim being paid in full in Cash under the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the Plan; provided that the Prepetition Debt 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the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the Plan, and (iv) preserving the DIP Contingent Claims as contemplated by Article II.B of the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the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the Plan or otherwise.</w:t>
      </w:r>
    </w:p>
    <w:p>
      <w:pPr>
        <w:spacing w:after="0" w:line="171"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Existing Equity Interests</w:t>
      </w:r>
    </w:p>
    <w:p>
      <w:pPr>
        <w:spacing w:after="0" w:line="229"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the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9" w:name="page180"/>
    <w:bookmarkEnd w:id="179"/>
    <w:p>
      <w:pPr>
        <w:ind w:left="1300" w:hanging="644"/>
        <w:spacing w:after="0"/>
        <w:tabs>
          <w:tab w:leader="none" w:pos="1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Sources of Cash for Plan Distributions</w:t>
      </w:r>
    </w:p>
    <w:p>
      <w:pPr>
        <w:spacing w:after="0" w:line="229"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the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the Plan and the DIP Orders.</w:t>
      </w:r>
    </w:p>
    <w:p>
      <w:pPr>
        <w:spacing w:after="0" w:line="174"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Funding and Use of Professional Fee Claim Reserve</w:t>
      </w:r>
    </w:p>
    <w:p>
      <w:pPr>
        <w:spacing w:after="0" w:line="229"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the Plan.</w:t>
      </w:r>
    </w:p>
    <w:p>
      <w:pPr>
        <w:spacing w:after="0" w:line="171" w:lineRule="exact"/>
        <w:rPr>
          <w:sz w:val="20"/>
          <w:szCs w:val="20"/>
          <w:color w:val="auto"/>
        </w:rPr>
      </w:pPr>
    </w:p>
    <w:p>
      <w:pPr>
        <w:jc w:val="both"/>
        <w:ind w:right="140" w:firstLine="662"/>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4"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Certain Creditors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0" w:name="page181"/>
    <w:bookmarkEnd w:id="180"/>
    <w:p>
      <w:pPr>
        <w:ind w:right="380"/>
        <w:spacing w:after="0" w:line="277" w:lineRule="auto"/>
        <w:rPr>
          <w:sz w:val="20"/>
          <w:szCs w:val="20"/>
          <w:color w:val="auto"/>
        </w:rPr>
      </w:pPr>
      <w:r>
        <w:rPr>
          <w:rFonts w:ascii="Arial" w:cs="Arial" w:eastAsia="Arial" w:hAnsi="Arial"/>
          <w:sz w:val="18"/>
          <w:szCs w:val="18"/>
          <w:color w:val="auto"/>
        </w:rPr>
        <w:t>during the Chapter 11 Cases), without the need for application by any such parties to the Bankruptcy Court, and without notice and a hearing pursuant to section 1129(a)(4) of the Bankruptcy Code or otherwise.</w:t>
      </w:r>
    </w:p>
    <w:p>
      <w:pPr>
        <w:spacing w:after="0" w:line="166"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the Prepetition Notes Indenture Trustee</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the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63"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Tranche B Equity Conversion and Overallotment Rights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the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1" w:name="page182"/>
    <w:bookmarkEnd w:id="181"/>
    <w:p>
      <w:pPr>
        <w:ind w:right="360" w:firstLine="662"/>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the Plan.</w:t>
      </w:r>
    </w:p>
    <w:p>
      <w:pPr>
        <w:spacing w:after="0" w:line="167"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the Plan and the Rights Offering Procedures. Pursuant to the Rights Offering Procedures and the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the Plan, the Reorganized Debtors will be authorized to issue the New Tranche A Senior Unsecured Notes on the Effective Date in accordance with the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EXECUTORY CONTRACTS AND UNEXPIRED LEASES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 of Executory Contracts and Unexpired Leases</w:t>
      </w:r>
    </w:p>
    <w:p>
      <w:pPr>
        <w:spacing w:after="0" w:line="229" w:lineRule="exact"/>
        <w:rPr>
          <w:sz w:val="20"/>
          <w:szCs w:val="20"/>
          <w:color w:val="auto"/>
        </w:rPr>
      </w:pPr>
    </w:p>
    <w:p>
      <w:pPr>
        <w:ind w:firstLine="662"/>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940" w:hanging="635"/>
        <w:spacing w:after="0"/>
        <w:tabs>
          <w:tab w:leader="none" w:pos="1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1960" w:hanging="655"/>
        <w:spacing w:after="0" w:line="279" w:lineRule="auto"/>
        <w:tabs>
          <w:tab w:leader="none" w:pos="197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2" w:name="page183"/>
    <w:bookmarkEnd w:id="182"/>
    <w:p>
      <w:pPr>
        <w:ind w:right="20" w:firstLine="662"/>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ind w:right="20" w:firstLine="662"/>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the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the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the Plan, in each case subject to the remaining terms and conditions of Article VI of the Plan.</w:t>
      </w:r>
    </w:p>
    <w:p>
      <w:pPr>
        <w:spacing w:after="0" w:line="185"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the Plan will revest in and be fully enforceable by the applicable Reorganized Debtor or the applicable assignee in accordance with its terms and conditions, except as modified by the provisions of the Plan, any order of the Bankruptcy Court approving its assumption and/or assignment, or applicable law.</w:t>
      </w:r>
    </w:p>
    <w:p>
      <w:pPr>
        <w:spacing w:after="0" w:line="181"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66"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Cure of Defaults; Assignment of Executory Contracts and Unexpired Leases</w:t>
      </w:r>
    </w:p>
    <w:p>
      <w:pPr>
        <w:spacing w:after="0" w:line="229" w:lineRule="exact"/>
        <w:rPr>
          <w:sz w:val="20"/>
          <w:szCs w:val="20"/>
          <w:color w:val="auto"/>
        </w:rPr>
      </w:pPr>
    </w:p>
    <w:p>
      <w:pPr>
        <w:ind w:right="280" w:firstLine="662"/>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the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In the event of an assumption, or an assumption and assignment, of an Executory Contract or Unexpired Lease under the Plan, at least twenty-one (21) days prior to the Plan Objection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3" w:name="page184"/>
    <w:bookmarkEnd w:id="183"/>
    <w:p>
      <w:pPr>
        <w:ind w:right="220"/>
        <w:spacing w:after="0" w:line="257" w:lineRule="auto"/>
        <w:rPr>
          <w:sz w:val="20"/>
          <w:szCs w:val="20"/>
          <w:color w:val="auto"/>
        </w:rPr>
      </w:pPr>
      <w:r>
        <w:rPr>
          <w:rFonts w:ascii="Arial" w:cs="Arial" w:eastAsia="Arial" w:hAnsi="Arial"/>
          <w:sz w:val="18"/>
          <w:szCs w:val="18"/>
          <w:color w:val="auto"/>
        </w:rPr>
        <w:t>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 Contract or Unexpired Lease will be assigned; (c) describe the procedures for filing objections thereto; and (d) explain the process by which related disputes will be resolved by the Bankruptcy Court.</w:t>
      </w:r>
    </w:p>
    <w:p>
      <w:pPr>
        <w:spacing w:after="0" w:line="188"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the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180" w:firstLine="662"/>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00" w:firstLine="662"/>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the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Article VI the Plan.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480" w:firstLine="662"/>
        <w:spacing w:after="0" w:line="308" w:lineRule="auto"/>
        <w:rPr>
          <w:sz w:val="20"/>
          <w:szCs w:val="20"/>
          <w:color w:val="auto"/>
        </w:rPr>
      </w:pPr>
      <w:r>
        <w:rPr>
          <w:rFonts w:ascii="Arial" w:cs="Arial" w:eastAsia="Arial" w:hAnsi="Arial"/>
          <w:sz w:val="17"/>
          <w:szCs w:val="17"/>
          <w:color w:val="auto"/>
        </w:rPr>
        <w:t>With respect to any Executory Contract or Unexpired Lease assumed and assigned pursuant to the Plan, upon and as of the Effective Date, the applicable assignee will be deemed to be substituted as a party thereto for the applicable Debtor party to such assigned Executory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4" w:name="page185"/>
    <w:bookmarkEnd w:id="184"/>
    <w:p>
      <w:pPr>
        <w:ind w:right="340"/>
        <w:spacing w:after="0" w:line="277" w:lineRule="auto"/>
        <w:rPr>
          <w:sz w:val="20"/>
          <w:szCs w:val="20"/>
          <w:color w:val="auto"/>
        </w:rPr>
      </w:pPr>
      <w:r>
        <w:rPr>
          <w:rFonts w:ascii="Arial" w:cs="Arial" w:eastAsia="Arial" w:hAnsi="Arial"/>
          <w:sz w:val="18"/>
          <w:szCs w:val="18"/>
          <w:color w:val="auto"/>
        </w:rPr>
        <w:t>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66"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Rejection of Executory Contracts and Unexpired Leases</w:t>
      </w:r>
    </w:p>
    <w:p>
      <w:pPr>
        <w:spacing w:after="0" w:line="22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Plan pursuant to sections 365 and 1123 of the Bankruptcy Code as of the Effective Date. Rejection of any Executory Contract or Unexpired Lease pursuant to the Plan or otherwise will not constitute a termination of any preexisting obligations owed to the Debtors or the Reorganized Debtors, as applicable, under such Executory Contracts or Unexpired Leases.</w:t>
      </w:r>
    </w:p>
    <w:p>
      <w:pPr>
        <w:spacing w:after="0" w:line="185"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Claims on Account of the Rejection of Executory Contracts or Unexpired Leases</w:t>
      </w:r>
    </w:p>
    <w:p>
      <w:pPr>
        <w:spacing w:after="0" w:line="229"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the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of the Plan.</w:t>
      </w:r>
    </w:p>
    <w:p>
      <w:pPr>
        <w:spacing w:after="0" w:line="154"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D&amp;O Liability Insurance Policies</w:t>
      </w:r>
    </w:p>
    <w:p>
      <w:pPr>
        <w:spacing w:after="0" w:line="229" w:lineRule="exact"/>
        <w:rPr>
          <w:sz w:val="20"/>
          <w:szCs w:val="20"/>
          <w:color w:val="auto"/>
        </w:rPr>
      </w:pPr>
    </w:p>
    <w:p>
      <w:pPr>
        <w:ind w:right="60" w:firstLine="662"/>
        <w:spacing w:after="0" w:line="290"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5" w:name="page186"/>
    <w:bookmarkEnd w:id="185"/>
    <w:p>
      <w:pPr>
        <w:spacing w:after="0" w:line="255" w:lineRule="auto"/>
        <w:rPr>
          <w:sz w:val="20"/>
          <w:szCs w:val="20"/>
          <w:color w:val="auto"/>
        </w:rPr>
      </w:pPr>
      <w:r>
        <w:rPr>
          <w:rFonts w:ascii="Arial" w:cs="Arial" w:eastAsia="Arial" w:hAnsi="Arial"/>
          <w:sz w:val="18"/>
          <w:szCs w:val="18"/>
          <w:color w:val="auto"/>
        </w:rPr>
        <w:t>nothing in the Plan otherwise alters the terms and conditions of the D&amp;O Liability Insurance Policies. Confirmation and Consummation of the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85"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Provisions</w:t>
      </w:r>
    </w:p>
    <w:p>
      <w:pPr>
        <w:spacing w:after="0" w:line="229"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the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5"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Plans</w:t>
      </w:r>
    </w:p>
    <w:p>
      <w:pPr>
        <w:spacing w:after="0" w:line="229" w:lineRule="exact"/>
        <w:rPr>
          <w:sz w:val="20"/>
          <w:szCs w:val="20"/>
          <w:color w:val="auto"/>
        </w:rPr>
      </w:pPr>
    </w:p>
    <w:p>
      <w:pPr>
        <w:ind w:right="120" w:firstLine="662"/>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4"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Contracts</w:t>
      </w:r>
    </w:p>
    <w:p>
      <w:pPr>
        <w:spacing w:after="0" w:line="229" w:lineRule="exact"/>
        <w:rPr>
          <w:sz w:val="20"/>
          <w:szCs w:val="20"/>
          <w:color w:val="auto"/>
        </w:rPr>
      </w:pPr>
    </w:p>
    <w:p>
      <w:pPr>
        <w:ind w:right="160" w:firstLine="662"/>
        <w:spacing w:after="0" w:line="257"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6" w:name="page187"/>
    <w:bookmarkEnd w:id="186"/>
    <w:p>
      <w:pPr>
        <w:ind w:right="640"/>
        <w:spacing w:after="0" w:line="277" w:lineRule="auto"/>
        <w:rPr>
          <w:sz w:val="20"/>
          <w:szCs w:val="20"/>
          <w:color w:val="auto"/>
        </w:rPr>
      </w:pPr>
      <w:r>
        <w:rPr>
          <w:rFonts w:ascii="Arial" w:cs="Arial" w:eastAsia="Arial" w:hAnsi="Arial"/>
          <w:sz w:val="18"/>
          <w:szCs w:val="18"/>
          <w:color w:val="auto"/>
        </w:rPr>
        <w:t>Consummation of the Plan will not impair or otherwise modify any available defenses of the Reorganized Debtors or any insurer under the Insurance Contracts.</w:t>
      </w:r>
    </w:p>
    <w:p>
      <w:pPr>
        <w:spacing w:after="0" w:line="166"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Time to Assume or Reject</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the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4"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 Amendments, Supplements, Restatements, or Other Agreements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otherwise provided in the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DISTRIBUTIONS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Distributions for Claims Allowed as of the Effective Date</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the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w:t>
      </w:r>
    </w:p>
    <w:p>
      <w:pPr>
        <w:spacing w:after="0" w:line="184"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 Postpetition Interest on Claims</w:t>
      </w:r>
    </w:p>
    <w:p>
      <w:pPr>
        <w:spacing w:after="0" w:line="229" w:lineRule="exact"/>
        <w:rPr>
          <w:sz w:val="20"/>
          <w:szCs w:val="20"/>
          <w:color w:val="auto"/>
        </w:rPr>
      </w:pPr>
    </w:p>
    <w:p>
      <w:pPr>
        <w:jc w:val="both"/>
        <w:ind w:right="300" w:firstLine="662"/>
        <w:spacing w:after="0" w:line="264" w:lineRule="auto"/>
        <w:rPr>
          <w:sz w:val="20"/>
          <w:szCs w:val="20"/>
          <w:color w:val="auto"/>
        </w:rPr>
      </w:pPr>
      <w:r>
        <w:rPr>
          <w:rFonts w:ascii="Arial" w:cs="Arial" w:eastAsia="Arial" w:hAnsi="Arial"/>
          <w:sz w:val="18"/>
          <w:szCs w:val="18"/>
          <w:color w:val="auto"/>
        </w:rPr>
        <w:t>Unless otherwise specifically provided for in the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Holder of a Claim (except a DIP Facility Claim) will be entitled to interest accruing on or after the Petition Date on any Claim.</w:t>
      </w:r>
    </w:p>
    <w:p>
      <w:pPr>
        <w:spacing w:after="0" w:line="221"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by the Reorganized Debtors or Other Applicable Distribution Agent</w:t>
      </w:r>
    </w:p>
    <w:p>
      <w:pPr>
        <w:spacing w:after="0" w:line="229" w:lineRule="exact"/>
        <w:rPr>
          <w:sz w:val="20"/>
          <w:szCs w:val="20"/>
          <w:color w:val="auto"/>
        </w:rPr>
      </w:pPr>
    </w:p>
    <w:p>
      <w:pPr>
        <w:ind w:right="20" w:firstLine="662"/>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the Plan, the Reorganized Debtors or other applicable Distribution Agent will make all distributions required to be distributed under the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the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the Plan, as applicable. The Reorganized Debtors may employ or contract with other Entities to assist in or make the distributions required by the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the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the Plan, the Prepetition Notes Indenture Trustee may transfer or direct the transfer of such distributions through the facilities of DTC and, in such event, will be entitled to recognize and deal for all purposes under the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the Plan to Holders of Allowed Prepetition Notes Claims shall be made by the Voting and Claims Agent as provided in the Rights Offering Procedures. The obligations of the Prepetition Notes Indenture Trustee under the Prepetition Notes Indentures, the Prepetition Notes, and the Plan shall be deemed fully satisfied upon DTC’s receipt of the distributions with respect to the Prepetition Notes.</w:t>
      </w:r>
    </w:p>
    <w:p>
      <w:pPr>
        <w:spacing w:after="0" w:line="17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distributions of New Common Stock and New Warrants to be made under the Plan to Holders of Allowed Existing Common Stock shall be made by the Debtors or Reorganized Debtors, as applicable, and may include the distribution of that New Common Stock and New</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88" w:name="page189"/>
    <w:bookmarkEnd w:id="188"/>
    <w:p>
      <w:pPr>
        <w:ind w:right="80"/>
        <w:spacing w:after="0" w:line="308" w:lineRule="auto"/>
        <w:rPr>
          <w:sz w:val="20"/>
          <w:szCs w:val="20"/>
          <w:color w:val="auto"/>
        </w:rPr>
      </w:pPr>
      <w:r>
        <w:rPr>
          <w:rFonts w:ascii="Arial" w:cs="Arial" w:eastAsia="Arial" w:hAnsi="Arial"/>
          <w:sz w:val="17"/>
          <w:szCs w:val="17"/>
          <w:color w:val="auto"/>
        </w:rPr>
        <w:t>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43"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Distributions; Undeliverable or Unclaimed Distributions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60" w:firstLine="729"/>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the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960" w:hanging="655"/>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the Plan would otherwise be called for, the actual payment or distribution will reflect a rounding of such fraction down to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9" w:name="page190"/>
    <w:bookmarkEnd w:id="189"/>
    <w:p>
      <w:pPr>
        <w:ind w:right="100"/>
        <w:spacing w:after="0" w:line="308" w:lineRule="auto"/>
        <w:rPr>
          <w:sz w:val="20"/>
          <w:szCs w:val="20"/>
          <w:color w:val="auto"/>
        </w:rPr>
      </w:pPr>
      <w:r>
        <w:rPr>
          <w:rFonts w:ascii="Arial" w:cs="Arial" w:eastAsia="Arial" w:hAnsi="Arial"/>
          <w:sz w:val="17"/>
          <w:szCs w:val="17"/>
          <w:color w:val="auto"/>
        </w:rPr>
        <w:t>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4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the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of the Plan.</w:t>
      </w:r>
    </w:p>
    <w:p>
      <w:pPr>
        <w:spacing w:after="0" w:line="188" w:lineRule="exact"/>
        <w:rPr>
          <w:sz w:val="20"/>
          <w:szCs w:val="20"/>
          <w:color w:val="auto"/>
        </w:rPr>
      </w:pPr>
    </w:p>
    <w:p>
      <w:pPr>
        <w:ind w:left="1960" w:hanging="655"/>
        <w:spacing w:after="0"/>
        <w:tabs>
          <w:tab w:leader="none" w:pos="19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sz w:val="20"/>
          <w:szCs w:val="20"/>
          <w:color w:val="auto"/>
        </w:rPr>
      </w:pPr>
    </w:p>
    <w:p>
      <w:pPr>
        <w:ind w:left="1620" w:right="40" w:hanging="315"/>
        <w:spacing w:after="0" w:line="271" w:lineRule="auto"/>
        <w:tabs>
          <w:tab w:leader="none" w:pos="1584" w:val="left"/>
        </w:tabs>
        <w:numPr>
          <w:ilvl w:val="0"/>
          <w:numId w:val="158"/>
        </w:numPr>
        <w:rPr>
          <w:rFonts w:ascii="Arial" w:cs="Arial" w:eastAsia="Arial" w:hAnsi="Arial"/>
          <w:sz w:val="17"/>
          <w:szCs w:val="17"/>
          <w:color w:val="auto"/>
        </w:rPr>
      </w:pPr>
      <w:r>
        <w:rPr>
          <w:rFonts w:ascii="Arial" w:cs="Arial" w:eastAsia="Arial" w:hAnsi="Arial"/>
          <w:sz w:val="17"/>
          <w:szCs w:val="17"/>
          <w:i w:val="1"/>
          <w:iCs w:val="1"/>
          <w:u w:val="single" w:color="auto"/>
          <w:color w:val="auto"/>
        </w:rPr>
        <w:t>Holding of Certain Undeliverable Distributions</w:t>
      </w:r>
      <w:r>
        <w:rPr>
          <w:rFonts w:ascii="Arial" w:cs="Arial" w:eastAsia="Arial" w:hAnsi="Arial"/>
          <w:sz w:val="17"/>
          <w:szCs w:val="17"/>
          <w:color w:val="auto"/>
        </w:rPr>
        <w:t>: If the distribution to any Holder of an Allowed Claim or an Allowed Equity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until such time as any such distributions become deliverable. Undeliverable distributions will not be entitled to any additional interest, dividends or other accruals of any kind on account of their distribution being undeliverable.</w:t>
      </w:r>
    </w:p>
    <w:p>
      <w:pPr>
        <w:spacing w:after="0" w:line="178" w:lineRule="exact"/>
        <w:rPr>
          <w:rFonts w:ascii="Arial" w:cs="Arial" w:eastAsia="Arial" w:hAnsi="Arial"/>
          <w:sz w:val="17"/>
          <w:szCs w:val="17"/>
          <w:color w:val="auto"/>
        </w:rPr>
      </w:pPr>
    </w:p>
    <w:p>
      <w:pPr>
        <w:ind w:left="1620" w:hanging="315"/>
        <w:spacing w:after="0" w:line="287" w:lineRule="auto"/>
        <w:tabs>
          <w:tab w:leader="none" w:pos="1584" w:val="left"/>
        </w:tabs>
        <w:numPr>
          <w:ilvl w:val="0"/>
          <w:numId w:val="158"/>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Claim Undeliverable Distributions</w:t>
      </w:r>
      <w:r>
        <w:rPr>
          <w:rFonts w:ascii="Arial" w:cs="Arial" w:eastAsia="Arial" w:hAnsi="Arial"/>
          <w:sz w:val="16"/>
          <w:szCs w:val="16"/>
          <w:color w:val="auto"/>
        </w:rPr>
        <w:t>: Any Holder of an Allowed Claim or an Allowed Equity Interest (or any successor or</w:t>
      </w:r>
      <w:r>
        <w:rPr>
          <w:rFonts w:ascii="Arial" w:cs="Arial" w:eastAsia="Arial" w:hAnsi="Arial"/>
          <w:sz w:val="16"/>
          <w:szCs w:val="16"/>
          <w:i w:val="1"/>
          <w:iCs w:val="1"/>
          <w:color w:val="auto"/>
        </w:rPr>
        <w:t xml:space="preserve"> </w:t>
      </w:r>
      <w:r>
        <w:rPr>
          <w:rFonts w:ascii="Arial" w:cs="Arial" w:eastAsia="Arial" w:hAnsi="Arial"/>
          <w:sz w:val="16"/>
          <w:szCs w:val="16"/>
          <w:color w:val="auto"/>
        </w:rPr>
        <w:t>assignee or other Person or Entity claiming by, through, or on behalf of, such Holder) that does not assert a right pursuant to the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the Plan. Nothing contained in the Plan will require the Debtors, the Reorganized Debtors, or any Distribution Agent to attempt to locate any Holder of an Allowed Claim or an Allowed Equity Interest.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0" w:name="page191"/>
    <w:bookmarkEnd w:id="190"/>
    <w:p>
      <w:pPr>
        <w:ind w:left="1620" w:right="80" w:hanging="315"/>
        <w:spacing w:after="0" w:line="288" w:lineRule="auto"/>
        <w:tabs>
          <w:tab w:leader="none" w:pos="1584" w:val="left"/>
        </w:tabs>
        <w:numPr>
          <w:ilvl w:val="1"/>
          <w:numId w:val="159"/>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Present Checks</w:t>
      </w:r>
      <w:r>
        <w:rPr>
          <w:rFonts w:ascii="Arial" w:cs="Arial" w:eastAsia="Arial" w:hAnsi="Arial"/>
          <w:sz w:val="16"/>
          <w:szCs w:val="16"/>
          <w:color w:val="auto"/>
        </w:rPr>
        <w:t>: Checks issued by the Distribution Agent on account of Allowed Claims or Allowed Equity Interests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the Plan.</w:t>
      </w:r>
    </w:p>
    <w:p>
      <w:pPr>
        <w:spacing w:after="0" w:line="165" w:lineRule="exact"/>
        <w:rPr>
          <w:rFonts w:ascii="Arial" w:cs="Arial" w:eastAsia="Arial" w:hAnsi="Arial"/>
          <w:sz w:val="16"/>
          <w:szCs w:val="16"/>
          <w:color w:val="auto"/>
        </w:rPr>
      </w:pPr>
    </w:p>
    <w:p>
      <w:pPr>
        <w:ind w:left="1300" w:hanging="644"/>
        <w:spacing w:after="0"/>
        <w:tabs>
          <w:tab w:leader="none" w:pos="13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Tax Requirements</w:t>
      </w:r>
    </w:p>
    <w:p>
      <w:pPr>
        <w:spacing w:after="0" w:line="229"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In connection with the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the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Article VII.E of the Plan will be treated as if distributed to the Holder of the Allowed Claim.</w:t>
      </w:r>
    </w:p>
    <w:p>
      <w:pPr>
        <w:spacing w:after="0" w:line="178"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Means of Cash Payment</w:t>
      </w:r>
    </w:p>
    <w:p>
      <w:pPr>
        <w:spacing w:after="0" w:line="229"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Payments of Cash made pursuant to the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the Plan to the DIP Agent on account of the DIP Facility Claims shall be made by wire transfer.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1" w:name="page192"/>
    <w:bookmarkEnd w:id="191"/>
    <w:p>
      <w:pPr>
        <w:ind w:left="1300" w:hanging="644"/>
        <w:spacing w:after="0"/>
        <w:tabs>
          <w:tab w:leader="none" w:pos="1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Calculation of Amounts to Be Distributed</w:t>
      </w:r>
    </w:p>
    <w:p>
      <w:pPr>
        <w:spacing w:after="0" w:line="229" w:lineRule="exact"/>
        <w:rPr>
          <w:sz w:val="20"/>
          <w:szCs w:val="20"/>
          <w:color w:val="auto"/>
        </w:rPr>
      </w:pPr>
    </w:p>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the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5"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Setoffs</w:t>
      </w:r>
    </w:p>
    <w:p>
      <w:pPr>
        <w:spacing w:after="0" w:line="229" w:lineRule="exact"/>
        <w:rPr>
          <w:sz w:val="20"/>
          <w:szCs w:val="20"/>
          <w:color w:val="auto"/>
        </w:rPr>
      </w:pPr>
    </w:p>
    <w:p>
      <w:pPr>
        <w:ind w:firstLine="652"/>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the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2" w:name="page193"/>
    <w:bookmarkEnd w:id="192"/>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RESOLVING CONTINGENT, UNLIQUIDATED AND DISPUTED CLAIMS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Resolution of Disputed Claims and Equity Interests</w:t>
      </w:r>
    </w:p>
    <w:p>
      <w:pPr>
        <w:spacing w:after="0" w:line="229" w:lineRule="exact"/>
        <w:rPr>
          <w:sz w:val="20"/>
          <w:szCs w:val="20"/>
          <w:color w:val="auto"/>
        </w:rPr>
      </w:pPr>
    </w:p>
    <w:p>
      <w:pPr>
        <w:ind w:left="1940" w:hanging="635"/>
        <w:spacing w:after="0"/>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40" w:firstLine="652"/>
        <w:spacing w:after="0" w:line="276" w:lineRule="auto"/>
        <w:rPr>
          <w:sz w:val="20"/>
          <w:szCs w:val="20"/>
          <w:color w:val="auto"/>
        </w:rPr>
      </w:pPr>
      <w:r>
        <w:rPr>
          <w:rFonts w:ascii="Arial" w:cs="Arial" w:eastAsia="Arial" w:hAnsi="Arial"/>
          <w:sz w:val="17"/>
          <w:szCs w:val="17"/>
          <w:color w:val="auto"/>
        </w:rPr>
        <w:t>After the Effective Date, and except as otherwise provided in the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52"/>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the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960" w:hanging="655"/>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20" w:firstLine="652"/>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3" w:name="page194"/>
    <w:bookmarkEnd w:id="193"/>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Except as otherwise provided in the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Debtors and the Reorganized Debtors, as applicable, reserve the right to object to any Claim or Equity Interest that is entitled, or deemed to be entitled, to a distribution under the Plan or is rendered Unimpaired under the Plan. Instead, the Debtors intend to make distributions, as required by the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Debtors may, with the consent of the Required Consenting Noteholders, compromise, settle, withdraw or resolve by any other method approved by the Bankruptcy Court any objections to Claims or Equity Interests.</w:t>
      </w:r>
    </w:p>
    <w:p>
      <w:pPr>
        <w:spacing w:after="0" w:line="165"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No Distributions Pending Allowance</w:t>
      </w:r>
    </w:p>
    <w:p>
      <w:pPr>
        <w:spacing w:after="0" w:line="229" w:lineRule="exact"/>
        <w:rPr>
          <w:sz w:val="20"/>
          <w:szCs w:val="20"/>
          <w:color w:val="auto"/>
        </w:rPr>
      </w:pPr>
    </w:p>
    <w:p>
      <w:pPr>
        <w:ind w:firstLine="652"/>
        <w:spacing w:after="0" w:line="276" w:lineRule="auto"/>
        <w:rPr>
          <w:sz w:val="20"/>
          <w:szCs w:val="20"/>
          <w:color w:val="auto"/>
        </w:rPr>
      </w:pPr>
      <w:r>
        <w:rPr>
          <w:rFonts w:ascii="Arial" w:cs="Arial" w:eastAsia="Arial" w:hAnsi="Arial"/>
          <w:sz w:val="17"/>
          <w:szCs w:val="17"/>
          <w:color w:val="auto"/>
        </w:rPr>
        <w:t xml:space="preserve">Notwithstanding any other provision of the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the Plan to Holders of Allowed Prepetition Notes Claims will be made in full on the Initial Distribution Date, regardless of whether such Holders hold any Disputed Claims.</w:t>
      </w:r>
    </w:p>
    <w:p>
      <w:pPr>
        <w:spacing w:after="0" w:line="169" w:lineRule="exact"/>
        <w:rPr>
          <w:sz w:val="20"/>
          <w:szCs w:val="20"/>
          <w:color w:val="auto"/>
        </w:rPr>
      </w:pPr>
    </w:p>
    <w:p>
      <w:pPr>
        <w:ind w:left="1300" w:right="180" w:hanging="644"/>
        <w:spacing w:after="0" w:line="282" w:lineRule="auto"/>
        <w:tabs>
          <w:tab w:leader="none" w:pos="13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on Account of Disputed Claims and Disputed Equity Interests Once They Are Allowed and Additional Distributions on Account of Previously Allowed Claims and Allowed Equity Interests</w:t>
      </w:r>
    </w:p>
    <w:p>
      <w:pPr>
        <w:spacing w:after="0" w:line="166" w:lineRule="exact"/>
        <w:rPr>
          <w:sz w:val="20"/>
          <w:szCs w:val="20"/>
          <w:color w:val="auto"/>
        </w:rPr>
      </w:pPr>
    </w:p>
    <w:p>
      <w:pPr>
        <w:ind w:right="200" w:firstLine="652"/>
        <w:spacing w:after="0" w:line="279" w:lineRule="auto"/>
        <w:rPr>
          <w:sz w:val="20"/>
          <w:szCs w:val="20"/>
          <w:color w:val="auto"/>
        </w:rPr>
      </w:pPr>
      <w:r>
        <w:rPr>
          <w:rFonts w:ascii="Arial" w:cs="Arial" w:eastAsia="Arial" w:hAnsi="Arial"/>
          <w:sz w:val="17"/>
          <w:szCs w:val="17"/>
          <w:color w:val="auto"/>
        </w:rPr>
        <w:t>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ind w:right="100"/>
        <w:spacing w:after="0" w:line="273" w:lineRule="auto"/>
        <w:rPr>
          <w:sz w:val="20"/>
          <w:szCs w:val="20"/>
          <w:color w:val="auto"/>
        </w:rPr>
      </w:pPr>
      <w:r>
        <w:rPr>
          <w:rFonts w:ascii="Arial" w:cs="Arial" w:eastAsia="Arial" w:hAnsi="Arial"/>
          <w:sz w:val="17"/>
          <w:szCs w:val="17"/>
          <w:color w:val="auto"/>
        </w:rPr>
        <w:t xml:space="preserve">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the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of the Plan, any dividends or other distributions arising from property distributed to holders of Allowed Claims and Allowed Equity Interests in a Class and paid to such Holders under the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4"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Reserve for Disputed Claims and Disputed Equity Interests</w:t>
      </w:r>
    </w:p>
    <w:p>
      <w:pPr>
        <w:spacing w:after="0" w:line="229" w:lineRule="exact"/>
        <w:rPr>
          <w:sz w:val="20"/>
          <w:szCs w:val="20"/>
          <w:color w:val="auto"/>
        </w:rPr>
      </w:pPr>
    </w:p>
    <w:p>
      <w:pPr>
        <w:ind w:firstLine="652"/>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the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 AND CONSUMMATION OF THE PLAN</w:t>
      </w:r>
    </w:p>
    <w:p>
      <w:pPr>
        <w:spacing w:after="0" w:line="225"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Confirmation of the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5" w:name="page196"/>
    <w:bookmarkEnd w:id="195"/>
    <w:p>
      <w:pPr>
        <w:ind w:left="1960" w:hanging="655"/>
        <w:spacing w:after="0" w:line="257" w:lineRule="auto"/>
        <w:tabs>
          <w:tab w:leader="none" w:pos="195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88" w:lineRule="exact"/>
        <w:rPr>
          <w:rFonts w:ascii="Arial" w:cs="Arial" w:eastAsia="Arial" w:hAnsi="Arial"/>
          <w:sz w:val="18"/>
          <w:szCs w:val="18"/>
          <w:color w:val="auto"/>
        </w:rPr>
      </w:pPr>
    </w:p>
    <w:p>
      <w:pPr>
        <w:ind w:left="1960" w:right="120" w:hanging="655"/>
        <w:spacing w:after="0" w:line="297" w:lineRule="auto"/>
        <w:tabs>
          <w:tab w:leader="none" w:pos="196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940" w:hanging="635"/>
        <w:spacing w:after="0"/>
        <w:tabs>
          <w:tab w:leader="none" w:pos="19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Confirmation Order has become a Final Order and such order has not been amended, modified, vacated, stayed, or reversed;</w:t>
      </w:r>
    </w:p>
    <w:p>
      <w:pPr>
        <w:spacing w:after="0" w:line="248" w:lineRule="exact"/>
        <w:rPr>
          <w:rFonts w:ascii="Arial" w:cs="Arial" w:eastAsia="Arial" w:hAnsi="Arial"/>
          <w:sz w:val="16"/>
          <w:szCs w:val="16"/>
          <w:color w:val="auto"/>
        </w:rPr>
      </w:pPr>
    </w:p>
    <w:p>
      <w:pPr>
        <w:ind w:left="1960" w:right="100" w:hanging="655"/>
        <w:spacing w:after="0" w:line="312" w:lineRule="auto"/>
        <w:tabs>
          <w:tab w:leader="none" w:pos="196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the Plan and the Plan Supplement;</w:t>
      </w:r>
    </w:p>
    <w:p>
      <w:pPr>
        <w:spacing w:after="0" w:line="146" w:lineRule="exact"/>
        <w:rPr>
          <w:rFonts w:ascii="Arial" w:cs="Arial" w:eastAsia="Arial" w:hAnsi="Arial"/>
          <w:sz w:val="16"/>
          <w:szCs w:val="16"/>
          <w:color w:val="auto"/>
        </w:rPr>
      </w:pPr>
    </w:p>
    <w:p>
      <w:pPr>
        <w:ind w:left="1960" w:right="40" w:hanging="655"/>
        <w:spacing w:after="0" w:line="257" w:lineRule="auto"/>
        <w:tabs>
          <w:tab w:leader="none" w:pos="197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6" w:name="page197"/>
    <w:bookmarkEnd w:id="196"/>
    <w:p>
      <w:pPr>
        <w:ind w:left="760" w:right="100" w:hanging="655"/>
        <w:spacing w:after="0" w:line="255" w:lineRule="auto"/>
        <w:tabs>
          <w:tab w:leader="none" w:pos="7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the Plan;</w:t>
      </w:r>
    </w:p>
    <w:p>
      <w:pPr>
        <w:spacing w:after="0" w:line="193" w:lineRule="exact"/>
        <w:rPr>
          <w:rFonts w:ascii="Arial" w:cs="Arial" w:eastAsia="Arial" w:hAnsi="Arial"/>
          <w:sz w:val="18"/>
          <w:szCs w:val="18"/>
          <w:color w:val="auto"/>
        </w:rPr>
      </w:pPr>
    </w:p>
    <w:p>
      <w:pPr>
        <w:ind w:left="760" w:right="200" w:hanging="655"/>
        <w:spacing w:after="0" w:line="302" w:lineRule="auto"/>
        <w:tabs>
          <w:tab w:leader="none" w:pos="77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the Plan and all conditions precedent to issuance of the New Tranche A Senior Unsecured Notes have been satisfied or waived;</w:t>
      </w:r>
    </w:p>
    <w:p>
      <w:pPr>
        <w:spacing w:after="0" w:line="154" w:lineRule="exact"/>
        <w:rPr>
          <w:rFonts w:ascii="Arial" w:cs="Arial" w:eastAsia="Arial" w:hAnsi="Arial"/>
          <w:sz w:val="16"/>
          <w:szCs w:val="16"/>
          <w:color w:val="auto"/>
        </w:rPr>
      </w:pPr>
    </w:p>
    <w:p>
      <w:pPr>
        <w:ind w:left="760" w:right="40" w:hanging="655"/>
        <w:spacing w:after="0" w:line="312" w:lineRule="auto"/>
        <w:tabs>
          <w:tab w:leader="none" w:pos="76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documents governing the New Tranche B Senior Unsecured Notes, which shall be in form and substance acceptable to the Debtors and the Required Consenting Noteholders, have become effective or will become effective concurrently with effectiveness of the Plan and all conditions precedent to issuance of the New Tranche B Senior Unsecured Notes have been satisfied or waived;</w:t>
      </w:r>
    </w:p>
    <w:p>
      <w:pPr>
        <w:spacing w:after="0" w:line="146" w:lineRule="exact"/>
        <w:rPr>
          <w:rFonts w:ascii="Arial" w:cs="Arial" w:eastAsia="Arial" w:hAnsi="Arial"/>
          <w:sz w:val="16"/>
          <w:szCs w:val="16"/>
          <w:color w:val="auto"/>
        </w:rPr>
      </w:pPr>
    </w:p>
    <w:p>
      <w:pPr>
        <w:ind w:left="760" w:right="80" w:hanging="655"/>
        <w:spacing w:after="0" w:line="277" w:lineRule="auto"/>
        <w:tabs>
          <w:tab w:leader="none" w:pos="7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the Plan, in accordance with the terms of the DIP Credit Agreement;</w:t>
      </w:r>
    </w:p>
    <w:p>
      <w:pPr>
        <w:spacing w:after="0" w:line="170" w:lineRule="exact"/>
        <w:rPr>
          <w:rFonts w:ascii="Arial" w:cs="Arial" w:eastAsia="Arial" w:hAnsi="Arial"/>
          <w:sz w:val="18"/>
          <w:szCs w:val="18"/>
          <w:color w:val="auto"/>
        </w:rPr>
      </w:pPr>
    </w:p>
    <w:p>
      <w:pPr>
        <w:ind w:left="760" w:hanging="655"/>
        <w:spacing w:after="0" w:line="342" w:lineRule="auto"/>
        <w:tabs>
          <w:tab w:leader="none" w:pos="76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23" w:lineRule="exact"/>
        <w:rPr>
          <w:rFonts w:ascii="Arial" w:cs="Arial" w:eastAsia="Arial" w:hAnsi="Arial"/>
          <w:sz w:val="16"/>
          <w:szCs w:val="16"/>
          <w:color w:val="auto"/>
        </w:rPr>
      </w:pPr>
    </w:p>
    <w:p>
      <w:pPr>
        <w:ind w:left="760" w:hanging="655"/>
        <w:spacing w:after="0" w:line="264" w:lineRule="auto"/>
        <w:tabs>
          <w:tab w:leader="none" w:pos="7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Amended/New Corporate Governance Documents, which shall be in form and substance acceptable to the Required Consenting Noteholders in their sole discretion, have become effective or will become effective concurrently with the effectiveness of the Plan;</w:t>
      </w:r>
    </w:p>
    <w:p>
      <w:pPr>
        <w:spacing w:after="0" w:line="181" w:lineRule="exact"/>
        <w:rPr>
          <w:rFonts w:ascii="Arial" w:cs="Arial" w:eastAsia="Arial" w:hAnsi="Arial"/>
          <w:sz w:val="18"/>
          <w:szCs w:val="18"/>
          <w:color w:val="auto"/>
        </w:rPr>
      </w:pPr>
    </w:p>
    <w:p>
      <w:pPr>
        <w:ind w:left="760" w:right="240" w:hanging="655"/>
        <w:spacing w:after="0" w:line="259" w:lineRule="auto"/>
        <w:tabs>
          <w:tab w:leader="none" w:pos="7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97" w:name="page198"/>
    <w:bookmarkEnd w:id="197"/>
    <w:p>
      <w:pPr>
        <w:ind w:left="1960" w:hanging="655"/>
        <w:spacing w:after="0" w:line="257" w:lineRule="auto"/>
        <w:tabs>
          <w:tab w:leader="none" w:pos="196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8" w:lineRule="exact"/>
        <w:rPr>
          <w:rFonts w:ascii="Arial" w:cs="Arial" w:eastAsia="Arial" w:hAnsi="Arial"/>
          <w:sz w:val="18"/>
          <w:szCs w:val="18"/>
          <w:color w:val="auto"/>
        </w:rPr>
      </w:pPr>
    </w:p>
    <w:p>
      <w:pPr>
        <w:ind w:left="1960" w:right="120" w:hanging="655"/>
        <w:spacing w:after="0" w:line="259" w:lineRule="auto"/>
        <w:tabs>
          <w:tab w:leader="none" w:pos="198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consents, actions, documents, certificates and agreements necessary to implement the Plan and the transactions contemplated by the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86" w:lineRule="exact"/>
        <w:rPr>
          <w:rFonts w:ascii="Arial" w:cs="Arial" w:eastAsia="Arial" w:hAnsi="Arial"/>
          <w:sz w:val="18"/>
          <w:szCs w:val="18"/>
          <w:color w:val="auto"/>
        </w:rPr>
      </w:pPr>
    </w:p>
    <w:p>
      <w:pPr>
        <w:ind w:left="1960" w:right="140" w:hanging="655"/>
        <w:spacing w:after="0" w:line="259" w:lineRule="auto"/>
        <w:tabs>
          <w:tab w:leader="none" w:pos="196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the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left="1960" w:right="380" w:hanging="655"/>
        <w:spacing w:after="0" w:line="277" w:lineRule="auto"/>
        <w:tabs>
          <w:tab w:leader="none" w:pos="196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960" w:hanging="655"/>
        <w:spacing w:after="0" w:line="277" w:lineRule="auto"/>
        <w:tabs>
          <w:tab w:leader="none" w:pos="196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Professional Fee Claim Reserve has been funded in full in Cash by the Debtors in accordance with the terms and conditions of the Plan;</w:t>
      </w:r>
    </w:p>
    <w:p>
      <w:pPr>
        <w:spacing w:after="0" w:line="170" w:lineRule="exact"/>
        <w:rPr>
          <w:rFonts w:ascii="Arial" w:cs="Arial" w:eastAsia="Arial" w:hAnsi="Arial"/>
          <w:sz w:val="18"/>
          <w:szCs w:val="18"/>
          <w:color w:val="auto"/>
        </w:rPr>
      </w:pPr>
    </w:p>
    <w:p>
      <w:pPr>
        <w:ind w:left="1960" w:right="200" w:hanging="655"/>
        <w:spacing w:after="0" w:line="277" w:lineRule="auto"/>
        <w:tabs>
          <w:tab w:leader="none" w:pos="197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7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sz w:val="20"/>
          <w:szCs w:val="20"/>
          <w:color w:val="auto"/>
        </w:rPr>
      </w:pPr>
    </w:p>
    <w:p>
      <w:pPr>
        <w:ind w:right="260" w:firstLine="652"/>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the Plan set forth in </w:t>
      </w:r>
      <w:r>
        <w:rPr>
          <w:rFonts w:ascii="Arial" w:cs="Arial" w:eastAsia="Arial" w:hAnsi="Arial"/>
          <w:sz w:val="18"/>
          <w:szCs w:val="18"/>
          <w:u w:val="single" w:color="auto"/>
          <w:color w:val="auto"/>
        </w:rPr>
        <w:t>Article IX of the Plan</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8" w:name="page199"/>
    <w:bookmarkEnd w:id="198"/>
    <w:p>
      <w:pPr>
        <w:ind w:right="20"/>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 B.15, B.19 and B.9 of the Plan, the Required Consenting Noteholders in their sole discretion, without notice, leave or order of the Bankruptcy Court or any formal action other than proceeding to confirm or consummate the Plan. The failure of the Debtors or Reorganized Debtors to exercise any of the foregoing rights will not be deemed a waiver of any other rights, and each right will be deemed an ongoing right that may be asserted at any time.</w:t>
      </w:r>
    </w:p>
    <w:p>
      <w:pPr>
        <w:spacing w:after="0" w:line="167"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Non-Occurrence of Conditions to Confirmation or Consummation</w:t>
      </w:r>
    </w:p>
    <w:p>
      <w:pPr>
        <w:spacing w:after="0" w:line="229" w:lineRule="exact"/>
        <w:rPr>
          <w:sz w:val="20"/>
          <w:szCs w:val="20"/>
          <w:color w:val="auto"/>
        </w:rPr>
      </w:pPr>
    </w:p>
    <w:p>
      <w:pPr>
        <w:ind w:right="80" w:firstLine="652"/>
        <w:spacing w:after="0" w:line="257" w:lineRule="auto"/>
        <w:rPr>
          <w:sz w:val="20"/>
          <w:szCs w:val="20"/>
          <w:color w:val="auto"/>
        </w:rPr>
      </w:pPr>
      <w:r>
        <w:rPr>
          <w:rFonts w:ascii="Arial" w:cs="Arial" w:eastAsia="Arial" w:hAnsi="Arial"/>
          <w:sz w:val="18"/>
          <w:szCs w:val="18"/>
          <w:color w:val="auto"/>
        </w:rPr>
        <w:t>If the Confirmation or the Consummation of the Plan does not occur with respect to one or more of the Debtors, then the Plan will, with respect to such applicable Debtor or Debtors, be null and void in all respects and nothing contained in the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RELEASE, DISCHARGE, INJUNCTION AND RELATED PROVISIONS</w:t>
      </w:r>
    </w:p>
    <w:p>
      <w:pPr>
        <w:spacing w:after="0" w:line="225"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52"/>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the Plan, upon the Effective Date, the provisions of the Plan shall constitute a good faith compromise and settlement of all Claims and Equity Interests and controversies resolved pursuant to the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20" w:firstLine="652"/>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the Plan and the contracts, instruments, releases, indentures, and other agreements or documents delivered under or in connection with the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9" w:name="page200"/>
    <w:bookmarkEnd w:id="199"/>
    <w:p>
      <w:pPr>
        <w:ind w:left="644" w:hanging="644"/>
        <w:spacing w:after="0"/>
        <w:tabs>
          <w:tab w:leader="none" w:pos="64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 and Causes of Action</w:t>
      </w:r>
    </w:p>
    <w:p>
      <w:pPr>
        <w:spacing w:after="0" w:line="225" w:lineRule="exact"/>
        <w:rPr>
          <w:rFonts w:ascii="Arial" w:cs="Arial" w:eastAsia="Arial" w:hAnsi="Arial"/>
          <w:sz w:val="18"/>
          <w:szCs w:val="18"/>
          <w:b w:val="1"/>
          <w:bCs w:val="1"/>
          <w:color w:val="auto"/>
        </w:rPr>
      </w:pPr>
    </w:p>
    <w:p>
      <w:pPr>
        <w:ind w:left="1304" w:hanging="655"/>
        <w:spacing w:after="0" w:line="302" w:lineRule="auto"/>
        <w:tabs>
          <w:tab w:leader="none" w:pos="1328" w:val="left"/>
        </w:tabs>
        <w:numPr>
          <w:ilvl w:val="1"/>
          <w:numId w:val="18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Release by the Debtors and their Estates</w:t>
      </w:r>
      <w:r>
        <w:rPr>
          <w:rFonts w:ascii="Arial" w:cs="Arial" w:eastAsia="Arial" w:hAnsi="Arial"/>
          <w:sz w:val="15"/>
          <w:szCs w:val="15"/>
          <w:b w:val="1"/>
          <w:bCs w:val="1"/>
          <w:u w:val="single" w:color="auto"/>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Pursuant to section 1123(b) and any other applicable provisions of the Bankruptcy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Code, and except as otherwise expressly provided in the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5"/>
          <w:szCs w:val="15"/>
          <w:b w:val="1"/>
          <w:bCs w:val="1"/>
          <w:u w:val="single" w:color="auto"/>
          <w:color w:val="auto"/>
        </w:rPr>
        <w:t>Debtor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Releasing Parties</w:t>
      </w:r>
      <w:r>
        <w:rPr>
          <w:rFonts w:ascii="Arial" w:cs="Arial" w:eastAsia="Arial" w:hAnsi="Arial"/>
          <w:sz w:val="15"/>
          <w:szCs w:val="15"/>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5"/>
          <w:szCs w:val="15"/>
          <w:b w:val="1"/>
          <w:bCs w:val="1"/>
          <w:u w:val="single" w:color="auto"/>
          <w:color w:val="auto"/>
        </w:rPr>
        <w:t>Debtor Release</w:t>
      </w:r>
      <w:r>
        <w:rPr>
          <w:rFonts w:ascii="Arial" w:cs="Arial" w:eastAsia="Arial" w:hAnsi="Arial"/>
          <w:sz w:val="15"/>
          <w:szCs w:val="15"/>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3" w:lineRule="exact"/>
        <w:rPr>
          <w:rFonts w:ascii="Arial" w:cs="Arial" w:eastAsia="Arial" w:hAnsi="Arial"/>
          <w:sz w:val="15"/>
          <w:szCs w:val="15"/>
          <w:color w:val="auto"/>
        </w:rPr>
      </w:pPr>
    </w:p>
    <w:p>
      <w:pPr>
        <w:ind w:left="1304" w:right="80"/>
        <w:spacing w:after="0" w:line="285" w:lineRule="auto"/>
        <w:rPr>
          <w:rFonts w:ascii="Arial" w:cs="Arial" w:eastAsia="Arial" w:hAnsi="Arial"/>
          <w:sz w:val="15"/>
          <w:szCs w:val="15"/>
          <w:color w:val="auto"/>
        </w:rPr>
      </w:pPr>
      <w:r>
        <w:rPr>
          <w:rFonts w:ascii="Arial" w:cs="Arial" w:eastAsia="Arial" w:hAnsi="Arial"/>
          <w:sz w:val="16"/>
          <w:szCs w:val="16"/>
          <w:b w:val="1"/>
          <w:bCs w:val="1"/>
          <w:color w:val="auto"/>
        </w:rPr>
        <w:t>(i) 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200" w:name="page201"/>
    <w:bookmarkEnd w:id="200"/>
    <w:p>
      <w:pPr>
        <w:ind w:left="760" w:right="20"/>
        <w:spacing w:after="0" w:line="285" w:lineRule="auto"/>
        <w:rPr>
          <w:sz w:val="20"/>
          <w:szCs w:val="20"/>
          <w:color w:val="auto"/>
        </w:rPr>
      </w:pPr>
      <w:r>
        <w:rPr>
          <w:rFonts w:ascii="Arial" w:cs="Arial" w:eastAsia="Arial" w:hAnsi="Arial"/>
          <w:sz w:val="16"/>
          <w:szCs w:val="16"/>
          <w:b w:val="1"/>
          <w:bCs w:val="1"/>
          <w:color w:val="auto"/>
        </w:rPr>
        <w:t xml:space="preserve">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the Plan and the contracts, instruments, releases, indentures, and other agreements or documents delivered under or in connection with the Plan or assumed pursuant to the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of the Plan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the Plan.</w:t>
      </w:r>
    </w:p>
    <w:p>
      <w:pPr>
        <w:spacing w:after="0" w:line="175" w:lineRule="exact"/>
        <w:rPr>
          <w:sz w:val="20"/>
          <w:szCs w:val="20"/>
          <w:color w:val="auto"/>
        </w:rPr>
      </w:pPr>
    </w:p>
    <w:p>
      <w:pPr>
        <w:ind w:left="76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74" w:lineRule="exact"/>
        <w:rPr>
          <w:sz w:val="20"/>
          <w:szCs w:val="20"/>
          <w:color w:val="auto"/>
        </w:rPr>
      </w:pPr>
    </w:p>
    <w:p>
      <w:pPr>
        <w:ind w:left="760" w:right="220" w:hanging="655"/>
        <w:spacing w:after="0" w:line="261" w:lineRule="auto"/>
        <w:tabs>
          <w:tab w:leader="none" w:pos="794" w:val="left"/>
        </w:tabs>
        <w:numPr>
          <w:ilvl w:val="0"/>
          <w:numId w:val="18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Release By Third Parties</w:t>
      </w:r>
      <w:r>
        <w:rPr>
          <w:rFonts w:ascii="Arial" w:cs="Arial" w:eastAsia="Arial" w:hAnsi="Arial"/>
          <w:sz w:val="18"/>
          <w:szCs w:val="18"/>
          <w:b w:val="1"/>
          <w:bCs w:val="1"/>
          <w:color w:val="auto"/>
        </w:rPr>
        <w:t>. Except as otherwise expressly provided in the Plan, effective as of the Effective Date,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fullest extent permitted by applicable law, for good and valuable consideration provided by each of the Released Parties, the adequacy and sufficiency of which is hereby confirmed, and without limiting or otherwise modifying the scope of the Debtor Release provided by the Debtor Releasing Parties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37" w:right="279" w:bottom="1440" w:gutter="0" w:footer="0" w:header="0"/>
        </w:sectPr>
      </w:pPr>
    </w:p>
    <w:bookmarkStart w:id="201" w:name="page202"/>
    <w:bookmarkEnd w:id="201"/>
    <w:p>
      <w:pPr>
        <w:ind w:left="760"/>
        <w:spacing w:after="0" w:line="284" w:lineRule="auto"/>
        <w:rPr>
          <w:sz w:val="20"/>
          <w:szCs w:val="20"/>
          <w:color w:val="auto"/>
        </w:rPr>
      </w:pPr>
      <w:r>
        <w:rPr>
          <w:rFonts w:ascii="Arial" w:cs="Arial" w:eastAsia="Arial" w:hAnsi="Arial"/>
          <w:sz w:val="16"/>
          <w:szCs w:val="16"/>
          <w:b w:val="1"/>
          <w:bCs w:val="1"/>
          <w:color w:val="auto"/>
        </w:rPr>
        <w:t>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2" w:lineRule="exact"/>
        <w:rPr>
          <w:sz w:val="20"/>
          <w:szCs w:val="20"/>
          <w:color w:val="auto"/>
        </w:rPr>
      </w:pPr>
    </w:p>
    <w:p>
      <w:pPr>
        <w:ind w:left="760" w:right="60" w:hanging="7"/>
        <w:spacing w:after="0" w:line="284" w:lineRule="auto"/>
        <w:tabs>
          <w:tab w:leader="none" w:pos="975"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the Plan and the contracts, instruments, releases, indentures, and other agreements and documents delivered under or in connection with the Plan or assumed pursuant to the Plan or Final Order of the Bankruptcy Court; and/or (iii) any obligations of any Entity arising after the Effective Date under the Exit Facility Loan Documents or any document, instrument or agreement set forth in the Plan Supplement. The foregoing release</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02" w:name="page203"/>
    <w:bookmarkEnd w:id="202"/>
    <w:p>
      <w:pPr>
        <w:ind w:left="1960"/>
        <w:spacing w:after="0" w:line="277" w:lineRule="auto"/>
        <w:rPr>
          <w:sz w:val="20"/>
          <w:szCs w:val="20"/>
          <w:color w:val="auto"/>
        </w:rPr>
      </w:pPr>
      <w:r>
        <w:rPr>
          <w:rFonts w:ascii="Arial" w:cs="Arial" w:eastAsia="Arial" w:hAnsi="Arial"/>
          <w:sz w:val="17"/>
          <w:szCs w:val="17"/>
          <w:b w:val="1"/>
          <w:bCs w:val="1"/>
          <w:color w:val="auto"/>
        </w:rPr>
        <w:t>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8" w:lineRule="exact"/>
        <w:rPr>
          <w:sz w:val="20"/>
          <w:szCs w:val="20"/>
          <w:color w:val="auto"/>
        </w:rPr>
      </w:pPr>
    </w:p>
    <w:p>
      <w:pPr>
        <w:ind w:left="1960" w:right="4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4"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Statutory Limitations on Releases</w:t>
      </w:r>
    </w:p>
    <w:p>
      <w:pPr>
        <w:spacing w:after="0" w:line="229" w:lineRule="exact"/>
        <w:rPr>
          <w:sz w:val="20"/>
          <w:szCs w:val="20"/>
          <w:color w:val="auto"/>
        </w:rPr>
      </w:pPr>
    </w:p>
    <w:p>
      <w:pPr>
        <w:ind w:right="20" w:firstLine="652"/>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the Plan are effective regardless of whether those released matters are presently known, unknown, suspected or unsuspected, foreseen or unforeseen.</w:t>
      </w:r>
    </w:p>
    <w:p>
      <w:pPr>
        <w:spacing w:after="0" w:line="167"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Discharge of Claims and Equity Interests</w:t>
      </w:r>
    </w:p>
    <w:p>
      <w:pPr>
        <w:spacing w:after="0" w:line="225" w:lineRule="exact"/>
        <w:rPr>
          <w:sz w:val="20"/>
          <w:szCs w:val="20"/>
          <w:color w:val="auto"/>
        </w:rPr>
      </w:pPr>
    </w:p>
    <w:p>
      <w:pPr>
        <w:ind w:firstLine="652"/>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the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the Plan) or the Confirmation Order, effective as of the Effective Date, all consideration distributed under the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the Plan on account of such Claims, Equity Interests or Causes of 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3" w:name="page204"/>
    <w:bookmarkEnd w:id="203"/>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expressly provided by the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the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60" w:firstLine="652"/>
        <w:spacing w:after="0" w:line="271" w:lineRule="auto"/>
        <w:rPr>
          <w:sz w:val="20"/>
          <w:szCs w:val="20"/>
          <w:color w:val="auto"/>
        </w:rPr>
      </w:pPr>
      <w:r>
        <w:rPr>
          <w:rFonts w:ascii="Arial" w:cs="Arial" w:eastAsia="Arial" w:hAnsi="Arial"/>
          <w:sz w:val="17"/>
          <w:szCs w:val="17"/>
          <w:color w:val="auto"/>
        </w:rPr>
        <w:t xml:space="preserve">Except as otherwise expressly provided by the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the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Exculpation</w:t>
      </w:r>
    </w:p>
    <w:p>
      <w:pPr>
        <w:spacing w:after="0" w:line="225" w:lineRule="exact"/>
        <w:rPr>
          <w:sz w:val="20"/>
          <w:szCs w:val="20"/>
          <w:color w:val="auto"/>
        </w:rPr>
      </w:pPr>
    </w:p>
    <w:p>
      <w:pPr>
        <w:ind w:firstLine="652"/>
        <w:spacing w:after="0" w:line="268" w:lineRule="auto"/>
        <w:rPr>
          <w:sz w:val="20"/>
          <w:szCs w:val="20"/>
          <w:color w:val="auto"/>
        </w:rPr>
      </w:pPr>
      <w:r>
        <w:rPr>
          <w:rFonts w:ascii="Arial" w:cs="Arial" w:eastAsia="Arial" w:hAnsi="Arial"/>
          <w:sz w:val="17"/>
          <w:szCs w:val="17"/>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the Plan, the Disclosure Statement, the Restructuring Documents, the DIP Financing Documents, or any contract, instrument, release or other agreement or document created or entered into in connection with the Plan, including the Restructuring Support Agreement, or any other prepetition or postpetition act taken or omitted to be taken in connection with or in contemplation of the restructuring of the Debtors, the approval of the Disclosure Statement or Confirmation or Consummation of the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the Plan and the contracts, instruments, releases, indentures, and other agreements and documents delivered under or in connection with the Plan or assumed pursuant to the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w:t>
      </w:r>
      <w:r>
        <w:rPr>
          <w:rFonts w:ascii="Arial" w:cs="Arial" w:eastAsia="Arial" w:hAnsi="Arial"/>
          <w:sz w:val="17"/>
          <w:szCs w:val="17"/>
          <w:u w:val="single" w:color="auto"/>
          <w:color w:val="auto"/>
        </w:rPr>
        <w:t>Article X.E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4" w:name="page205"/>
    <w:bookmarkEnd w:id="204"/>
    <w:p>
      <w:pPr>
        <w:ind w:right="140" w:firstLine="45"/>
        <w:spacing w:after="0" w:line="312" w:lineRule="auto"/>
        <w:rPr>
          <w:sz w:val="20"/>
          <w:szCs w:val="20"/>
          <w:color w:val="auto"/>
        </w:rPr>
      </w:pPr>
      <w:r>
        <w:rPr>
          <w:rFonts w:ascii="Arial" w:cs="Arial" w:eastAsia="Arial" w:hAnsi="Arial"/>
          <w:sz w:val="16"/>
          <w:szCs w:val="16"/>
          <w:color w:val="auto"/>
        </w:rPr>
        <w:t>of the Plan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the Plan.</w:t>
      </w:r>
    </w:p>
    <w:p>
      <w:pPr>
        <w:spacing w:after="0" w:line="143"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Preservation of Causes of Action</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20" w:firstLine="652"/>
        <w:spacing w:after="0" w:line="255"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(including, without limitation, and for the avoidance of doubt, the Releases 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of the Plan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of the Plan) or elsewhere in the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89" w:lineRule="exact"/>
        <w:rPr>
          <w:sz w:val="20"/>
          <w:szCs w:val="20"/>
          <w:color w:val="auto"/>
        </w:rPr>
      </w:pPr>
    </w:p>
    <w:p>
      <w:pPr>
        <w:ind w:left="1960" w:hanging="655"/>
        <w:spacing w:after="0"/>
        <w:tabs>
          <w:tab w:leader="none" w:pos="19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firstLine="652"/>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the Plan based on the Disclosure Statement, the Plan or the Confirmation Order, except in each case where such Causes of Action or Litigation Claims have been expressly waived, relinquished, released, compromised or settled in the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of the Plan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of the Plan)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79"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w:t>
      </w:r>
    </w:p>
    <w:p>
      <w:pPr>
        <w:spacing w:after="0" w:line="225" w:lineRule="exact"/>
        <w:rPr>
          <w:sz w:val="20"/>
          <w:szCs w:val="20"/>
          <w:color w:val="auto"/>
        </w:rPr>
      </w:pPr>
    </w:p>
    <w:p>
      <w:pPr>
        <w:ind w:right="160" w:firstLine="652"/>
        <w:spacing w:after="0" w:line="261" w:lineRule="auto"/>
        <w:rPr>
          <w:sz w:val="20"/>
          <w:szCs w:val="20"/>
          <w:color w:val="auto"/>
        </w:rPr>
      </w:pPr>
      <w:r>
        <w:rPr>
          <w:rFonts w:ascii="Arial" w:cs="Arial" w:eastAsia="Arial" w:hAnsi="Arial"/>
          <w:sz w:val="18"/>
          <w:szCs w:val="18"/>
          <w:b w:val="1"/>
          <w:bCs w:val="1"/>
          <w:color w:val="auto"/>
        </w:rPr>
        <w:t>EXCEPT AS OTHERWISE EXPRESSLY PROVIDED IN THE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5" w:name="page206"/>
    <w:bookmarkEnd w:id="205"/>
    <w:p>
      <w:pPr>
        <w:ind w:left="320" w:hanging="312"/>
        <w:spacing w:after="0"/>
        <w:tabs>
          <w:tab w:leader="none" w:pos="32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ATTACHING, COLLECTING, OR RECOVERING IN ANY MANNER ANY JUDGMENT, AWARD, DECREE, OR ORDER;</w:t>
      </w:r>
    </w:p>
    <w:p>
      <w:pPr>
        <w:spacing w:after="0" w:line="27" w:lineRule="exact"/>
        <w:rPr>
          <w:rFonts w:ascii="Arial" w:cs="Arial" w:eastAsia="Arial" w:hAnsi="Arial"/>
          <w:sz w:val="18"/>
          <w:szCs w:val="18"/>
          <w:b w:val="1"/>
          <w:bCs w:val="1"/>
          <w:color w:val="auto"/>
        </w:rPr>
      </w:pPr>
    </w:p>
    <w:p>
      <w:pPr>
        <w:ind w:right="80" w:firstLine="8"/>
        <w:spacing w:after="0" w:line="251" w:lineRule="auto"/>
        <w:tabs>
          <w:tab w:leader="none" w:pos="375"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THE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4"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Binding Nature Of Plan</w:t>
      </w:r>
    </w:p>
    <w:p>
      <w:pPr>
        <w:spacing w:after="0" w:line="225" w:lineRule="exact"/>
        <w:rPr>
          <w:sz w:val="20"/>
          <w:szCs w:val="20"/>
          <w:color w:val="auto"/>
        </w:rPr>
      </w:pPr>
    </w:p>
    <w:p>
      <w:pPr>
        <w:ind w:firstLine="652"/>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THE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THE PLAN, EACH PERSON AND ENTITY ACQUIRING PROPERTY UNDER THE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THE PLAN, (II) HAS FILED A PROOF OF CLAIM OR INTEREST IN THE CHAPTER 11 CASES OR (III) FAILED TO VOTE TO ACCEPT OR REJECT THE PLAN, AFFIRMATIVELY VOTED TO REJECT THE PLAN OR IS CONCLUSIVELY PRESUMED TO REJECT THE PLAN.</w:t>
      </w:r>
    </w:p>
    <w:p>
      <w:pPr>
        <w:spacing w:after="0" w:line="186"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Against Discriminatory Treatment</w:t>
      </w:r>
    </w:p>
    <w:p>
      <w:pPr>
        <w:spacing w:after="0" w:line="229" w:lineRule="exact"/>
        <w:rPr>
          <w:sz w:val="20"/>
          <w:szCs w:val="20"/>
          <w:color w:val="auto"/>
        </w:rPr>
      </w:pPr>
    </w:p>
    <w:p>
      <w:pPr>
        <w:jc w:val="both"/>
        <w:ind w:right="80" w:firstLine="652"/>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6" w:name="page207"/>
    <w:bookmarkEnd w:id="206"/>
    <w:p>
      <w:pPr>
        <w:ind w:left="1300" w:hanging="644"/>
        <w:spacing w:after="0"/>
        <w:tabs>
          <w:tab w:leader="none" w:pos="13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Integral Part of Plan</w:t>
      </w:r>
    </w:p>
    <w:p>
      <w:pPr>
        <w:spacing w:after="0" w:line="229" w:lineRule="exact"/>
        <w:rPr>
          <w:sz w:val="20"/>
          <w:szCs w:val="20"/>
          <w:color w:val="auto"/>
        </w:rPr>
      </w:pPr>
    </w:p>
    <w:p>
      <w:pPr>
        <w:ind w:firstLine="652"/>
        <w:spacing w:after="0" w:line="259" w:lineRule="auto"/>
        <w:rPr>
          <w:sz w:val="20"/>
          <w:szCs w:val="20"/>
          <w:color w:val="auto"/>
        </w:rPr>
      </w:pPr>
      <w:r>
        <w:rPr>
          <w:rFonts w:ascii="Arial" w:cs="Arial" w:eastAsia="Arial" w:hAnsi="Arial"/>
          <w:sz w:val="18"/>
          <w:szCs w:val="18"/>
          <w:color w:val="auto"/>
        </w:rPr>
        <w:t>Each of the provisions set forth in the Plan with respect to the settlement, release, discharge, exculpation, injunction, indemnification and insurance of, for or with respect to Claims and/or Causes of Action are an integral part of the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right="20" w:firstLine="652"/>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the Plan as legally permissible, including, without limitation, jurisdiction to:</w:t>
      </w:r>
    </w:p>
    <w:p>
      <w:pPr>
        <w:spacing w:after="0" w:line="166" w:lineRule="exact"/>
        <w:rPr>
          <w:sz w:val="20"/>
          <w:szCs w:val="20"/>
          <w:color w:val="auto"/>
        </w:rPr>
      </w:pPr>
    </w:p>
    <w:p>
      <w:pPr>
        <w:ind w:left="1960" w:right="420" w:hanging="655"/>
        <w:spacing w:after="0" w:line="286" w:lineRule="auto"/>
        <w:tabs>
          <w:tab w:leader="none" w:pos="195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65" w:lineRule="exact"/>
        <w:rPr>
          <w:rFonts w:ascii="Arial" w:cs="Arial" w:eastAsia="Arial" w:hAnsi="Arial"/>
          <w:sz w:val="17"/>
          <w:szCs w:val="17"/>
          <w:color w:val="auto"/>
        </w:rPr>
      </w:pPr>
    </w:p>
    <w:p>
      <w:pPr>
        <w:ind w:left="1960" w:right="20" w:hanging="655"/>
        <w:spacing w:after="0" w:line="259" w:lineRule="auto"/>
        <w:tabs>
          <w:tab w:leader="none" w:pos="196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the Plan, for periods ending on or before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left="1960" w:right="100" w:hanging="655"/>
        <w:spacing w:after="0" w:line="259" w:lineRule="auto"/>
        <w:tabs>
          <w:tab w:leader="none" w:pos="19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the Plan after the Effective Date to add Executory Contracts or Unexpired Leases to the list of Executory Contracts and Unexpired Leases to be assumed or rejected (as applicable);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ensure that distributions to Holders of Allowed Claims or Allowed Equity Interests are accomplished pursuant to the provisions of the Plan;</w:t>
      </w:r>
    </w:p>
    <w:p>
      <w:pPr>
        <w:spacing w:after="0" w:line="170" w:lineRule="exact"/>
        <w:rPr>
          <w:rFonts w:ascii="Arial" w:cs="Arial" w:eastAsia="Arial" w:hAnsi="Arial"/>
          <w:sz w:val="18"/>
          <w:szCs w:val="18"/>
          <w:color w:val="auto"/>
        </w:rPr>
      </w:pPr>
    </w:p>
    <w:p>
      <w:pPr>
        <w:ind w:left="1960" w:right="20" w:hanging="655"/>
        <w:spacing w:after="0" w:line="264" w:lineRule="auto"/>
        <w:tabs>
          <w:tab w:leader="none" w:pos="196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7" w:name="page208"/>
    <w:bookmarkEnd w:id="207"/>
    <w:p>
      <w:pPr>
        <w:ind w:left="1960" w:right="520"/>
        <w:spacing w:after="0" w:line="277" w:lineRule="auto"/>
        <w:rPr>
          <w:sz w:val="20"/>
          <w:szCs w:val="20"/>
          <w:color w:val="auto"/>
        </w:rPr>
      </w:pPr>
      <w:r>
        <w:rPr>
          <w:rFonts w:ascii="Arial" w:cs="Arial" w:eastAsia="Arial" w:hAnsi="Arial"/>
          <w:sz w:val="18"/>
          <w:szCs w:val="18"/>
          <w:color w:val="auto"/>
        </w:rPr>
        <w:t xml:space="preserve">Date or instituted by the Reorganized Debtors after the Effective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70" w:lineRule="exact"/>
        <w:rPr>
          <w:sz w:val="20"/>
          <w:szCs w:val="20"/>
          <w:color w:val="auto"/>
        </w:rPr>
      </w:pPr>
    </w:p>
    <w:p>
      <w:pPr>
        <w:ind w:left="1960" w:right="460" w:hanging="655"/>
        <w:spacing w:after="0" w:line="264" w:lineRule="auto"/>
        <w:tabs>
          <w:tab w:leader="none" w:pos="19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such orders as may be necessary or appropriate to implement or consummate the provisions of the Plan and all other contracts, instruments, releases, indentures and other agreements or documents adopted in connection with the Plan, the Plan Supplement or the Disclosure Statement;</w:t>
      </w:r>
    </w:p>
    <w:p>
      <w:pPr>
        <w:spacing w:after="0" w:line="181" w:lineRule="exact"/>
        <w:rPr>
          <w:rFonts w:ascii="Arial" w:cs="Arial" w:eastAsia="Arial" w:hAnsi="Arial"/>
          <w:sz w:val="18"/>
          <w:szCs w:val="18"/>
          <w:color w:val="auto"/>
        </w:rPr>
      </w:pPr>
    </w:p>
    <w:p>
      <w:pPr>
        <w:ind w:left="1960" w:right="780" w:hanging="655"/>
        <w:spacing w:after="0" w:line="308" w:lineRule="auto"/>
        <w:tabs>
          <w:tab w:leader="none" w:pos="196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resolve any cases, controversies, suits or disputes that may arise in connection with the Consummation, interpretation or enforcement of the Plan or any Person or Entity’s obligations incurred in connection with the Plan;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hear and determine all Causes of Action that are pending as of the Effective Date or that may be commenced in the future;</w:t>
      </w:r>
    </w:p>
    <w:p>
      <w:pPr>
        <w:spacing w:after="0" w:line="236" w:lineRule="exact"/>
        <w:rPr>
          <w:rFonts w:ascii="Arial" w:cs="Arial" w:eastAsia="Arial" w:hAnsi="Arial"/>
          <w:sz w:val="17"/>
          <w:szCs w:val="17"/>
          <w:color w:val="auto"/>
        </w:rPr>
      </w:pPr>
    </w:p>
    <w:p>
      <w:pPr>
        <w:ind w:left="1960" w:hanging="655"/>
        <w:spacing w:after="0" w:line="277" w:lineRule="auto"/>
        <w:tabs>
          <w:tab w:leader="none" w:pos="196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enforce the terms and conditions of the Plan, the Confirmation Order, and the Restructuring Documents;</w:t>
      </w:r>
    </w:p>
    <w:p>
      <w:pPr>
        <w:spacing w:after="0" w:line="225" w:lineRule="exact"/>
        <w:rPr>
          <w:rFonts w:ascii="Arial" w:cs="Arial" w:eastAsia="Arial" w:hAnsi="Arial"/>
          <w:sz w:val="18"/>
          <w:szCs w:val="18"/>
          <w:color w:val="auto"/>
        </w:rPr>
      </w:pPr>
    </w:p>
    <w:p>
      <w:pPr>
        <w:ind w:left="1960" w:right="120" w:hanging="655"/>
        <w:spacing w:after="0" w:line="264" w:lineRule="auto"/>
        <w:tabs>
          <w:tab w:leader="none" w:pos="19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with respect to the Release, the Exculpation, the indemnification and other provisions contained in Article X of the Plan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left="1960" w:right="580" w:hanging="655"/>
        <w:spacing w:after="0" w:line="277" w:lineRule="auto"/>
        <w:tabs>
          <w:tab w:leader="none" w:pos="196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6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the Plan, the Disclosure Statement, the Confirmation Order or any release or exculpation adopted in connection with the Plan;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ind w:right="280" w:firstLine="652"/>
        <w:spacing w:after="0" w:line="279" w:lineRule="auto"/>
        <w:rPr>
          <w:sz w:val="20"/>
          <w:szCs w:val="20"/>
          <w:color w:val="auto"/>
        </w:rPr>
      </w:pPr>
      <w:r>
        <w:rPr>
          <w:rFonts w:ascii="Arial" w:cs="Arial" w:eastAsia="Arial" w:hAnsi="Arial"/>
          <w:sz w:val="17"/>
          <w:szCs w:val="17"/>
          <w:color w:val="auto"/>
        </w:rPr>
        <w:t>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08" w:name="page209"/>
    <w:bookmarkEnd w:id="208"/>
    <w:p>
      <w:pPr>
        <w:ind w:right="240"/>
        <w:spacing w:after="0" w:line="277" w:lineRule="auto"/>
        <w:rPr>
          <w:sz w:val="20"/>
          <w:szCs w:val="20"/>
          <w:color w:val="auto"/>
        </w:rPr>
      </w:pPr>
      <w:r>
        <w:rPr>
          <w:rFonts w:ascii="Arial" w:cs="Arial" w:eastAsia="Arial" w:hAnsi="Arial"/>
          <w:sz w:val="18"/>
          <w:szCs w:val="18"/>
          <w:color w:val="auto"/>
        </w:rPr>
        <w:t xml:space="preserve">to the Chapter 11 Cases, including the matters set forth in this Article of the Plan,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the Plan will have no effect upon and will not control, prohibit, or limit the exercise of jurisdiction by any other court having jurisdiction with respect to such matter.</w:t>
      </w:r>
    </w:p>
    <w:p>
      <w:pPr>
        <w:spacing w:after="0" w:line="166"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Substantial Consummation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Consummation” of the Plan, as defined in 11 U.S.C. § 1101(2), will be deemed to occur on the Effective Date.</w:t>
      </w:r>
    </w:p>
    <w:p>
      <w:pPr>
        <w:spacing w:after="0" w:line="221"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Statutory Fees; Post-Effective Date Fees and Expenses</w:t>
      </w:r>
    </w:p>
    <w:p>
      <w:pPr>
        <w:spacing w:after="0" w:line="229" w:lineRule="exact"/>
        <w:rPr>
          <w:sz w:val="20"/>
          <w:szCs w:val="20"/>
          <w:color w:val="auto"/>
        </w:rPr>
      </w:pPr>
    </w:p>
    <w:p>
      <w:pPr>
        <w:ind w:firstLine="652"/>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52"/>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the Plan and the Restructuring Documents.</w:t>
      </w:r>
    </w:p>
    <w:p>
      <w:pPr>
        <w:spacing w:after="0" w:line="154"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Committee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61"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Conflicts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the Plan or the Confirmation Order, the provision of the Plan and the Confirmation Order (as applicable) will govern and control to the extent of such conflict. In the event that a provision of the Plan conflicts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with a provision of the Confirmation Order, the provision of the Confirmation Order will govern and control to the extent of such conflict.</w:t>
      </w:r>
    </w:p>
    <w:p>
      <w:pPr>
        <w:spacing w:after="0" w:line="221"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Plan</w:t>
      </w:r>
    </w:p>
    <w:p>
      <w:pPr>
        <w:spacing w:after="0" w:line="229" w:lineRule="exact"/>
        <w:rPr>
          <w:sz w:val="20"/>
          <w:szCs w:val="20"/>
          <w:color w:val="auto"/>
        </w:rPr>
      </w:pPr>
    </w:p>
    <w:p>
      <w:pPr>
        <w:ind w:right="60" w:firstLine="652"/>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the Plan: (a) the Debtors reserve the right, in accordance with the Bankruptcy Code and the Bankruptcy Rules, to amend or modify the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the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the Plan in such manner as may be necessary to carry out the purpose and intent of the Plan. A Holder of a Claim or Equity Interest that has accepted the Plan will be deemed to have accepted the Plan, as altered, amended or modified, if the proposed alteration, amendment or modification does not materially and adversely change the treatment of the Claim or Equity Interest of such Holder.</w:t>
      </w:r>
    </w:p>
    <w:p>
      <w:pPr>
        <w:spacing w:after="0" w:line="181"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 or Withdrawal of Plan</w:t>
      </w:r>
    </w:p>
    <w:p>
      <w:pPr>
        <w:spacing w:after="0" w:line="229" w:lineRule="exact"/>
        <w:rPr>
          <w:sz w:val="20"/>
          <w:szCs w:val="20"/>
          <w:color w:val="auto"/>
        </w:rPr>
      </w:pPr>
    </w:p>
    <w:p>
      <w:pPr>
        <w:ind w:firstLine="652"/>
        <w:spacing w:after="0" w:line="253" w:lineRule="auto"/>
        <w:rPr>
          <w:sz w:val="20"/>
          <w:szCs w:val="20"/>
          <w:color w:val="auto"/>
        </w:rPr>
      </w:pPr>
      <w:r>
        <w:rPr>
          <w:rFonts w:ascii="Arial" w:cs="Arial" w:eastAsia="Arial" w:hAnsi="Arial"/>
          <w:sz w:val="18"/>
          <w:szCs w:val="18"/>
          <w:color w:val="auto"/>
        </w:rPr>
        <w:t>The Debtors reserve the right to revoke or withdraw the Plan prior to the Effective Date and/or to File subsequent chapter 11 plans, with respect to one or more of the Debtors. If the Debtors revoke or withdraw the Plan, or if Confirmation or Consummation of the Plan does not occur with respect to one or more of the Debtors, then with respect to the applicable Debtor or Debtors for which the Plan was revoked or withdrawn or for which Confirmation or Consummation of the Plan did not occur: (1) the Plan will be null and void in all respects; (2) any settlement or compromise embodied in the Plan, assumption or rejection of Executory Contracts or Unexpired Leases effected by the Plan and any document or agreement executed pursuant hereto will be deemed null and void except as may be set forth in a separate order entered by the Bankruptcy Court; and (3) nothing contained in the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93"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right="40" w:firstLine="652"/>
        <w:spacing w:after="0" w:line="277" w:lineRule="auto"/>
        <w:rPr>
          <w:sz w:val="20"/>
          <w:szCs w:val="20"/>
          <w:color w:val="auto"/>
        </w:rPr>
      </w:pPr>
      <w:r>
        <w:rPr>
          <w:rFonts w:ascii="Arial" w:cs="Arial" w:eastAsia="Arial" w:hAnsi="Arial"/>
          <w:sz w:val="18"/>
          <w:szCs w:val="18"/>
          <w:color w:val="auto"/>
        </w:rPr>
        <w:t>The Plan will be binding upon and inure to the benefit of the Debtors, the Reorganized Debtors, all present and former Holders of Claims and Equity Interests, other parties-in-interest,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0" w:name="page211"/>
    <w:bookmarkEnd w:id="210"/>
    <w:p>
      <w:pPr>
        <w:ind w:right="120"/>
        <w:spacing w:after="0" w:line="342" w:lineRule="auto"/>
        <w:rPr>
          <w:sz w:val="20"/>
          <w:szCs w:val="20"/>
          <w:color w:val="auto"/>
        </w:rPr>
      </w:pPr>
      <w:r>
        <w:rPr>
          <w:rFonts w:ascii="Arial" w:cs="Arial" w:eastAsia="Arial" w:hAnsi="Arial"/>
          <w:sz w:val="16"/>
          <w:szCs w:val="16"/>
          <w:color w:val="auto"/>
        </w:rPr>
        <w:t>and their respective heirs, executors, administrators, successors, and assigns. The rights, benefits, and obligations of any Person or Entity named or referred to in the Plan will be binding on, and will inure to the benefit of, any heir, executor, administrator, successor, or assign of such Person or Entity.</w:t>
      </w:r>
    </w:p>
    <w:p>
      <w:pPr>
        <w:spacing w:after="0" w:line="120"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Rights</w:t>
      </w:r>
    </w:p>
    <w:p>
      <w:pPr>
        <w:spacing w:after="0" w:line="229" w:lineRule="exact"/>
        <w:rPr>
          <w:sz w:val="20"/>
          <w:szCs w:val="20"/>
          <w:color w:val="auto"/>
        </w:rPr>
      </w:pPr>
    </w:p>
    <w:p>
      <w:pPr>
        <w:ind w:firstLine="652"/>
        <w:spacing w:after="0" w:line="279" w:lineRule="auto"/>
        <w:rPr>
          <w:sz w:val="20"/>
          <w:szCs w:val="20"/>
          <w:color w:val="auto"/>
        </w:rPr>
      </w:pPr>
      <w:r>
        <w:rPr>
          <w:rFonts w:ascii="Arial" w:cs="Arial" w:eastAsia="Arial" w:hAnsi="Arial"/>
          <w:sz w:val="17"/>
          <w:szCs w:val="17"/>
          <w:color w:val="auto"/>
        </w:rPr>
        <w:t>Except as expressly set forth herein, the Plan will have no force or effect unless and until the Bankruptcy Court enters the Confirmation Order and the Plan is Consummated. Neither the filing of the Plan, any statement or provision contained herein, nor the taking of any action by the Debtors or any other Entity with respect to the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67"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the Plan or the Confirmation Order.</w:t>
      </w:r>
    </w:p>
    <w:p>
      <w:pPr>
        <w:spacing w:after="0" w:line="177"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firstLine="652"/>
        <w:spacing w:after="0" w:line="272" w:lineRule="auto"/>
        <w:rPr>
          <w:sz w:val="20"/>
          <w:szCs w:val="20"/>
          <w:color w:val="auto"/>
        </w:rPr>
      </w:pPr>
      <w:r>
        <w:rPr>
          <w:rFonts w:ascii="Arial" w:cs="Arial" w:eastAsia="Arial" w:hAnsi="Arial"/>
          <w:sz w:val="17"/>
          <w:szCs w:val="17"/>
          <w:color w:val="auto"/>
        </w:rPr>
        <w:t>If, prior to the Confirmation Date, any term or provision of the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the Plan will remain in full force and effect and will in no way be affected, impaired, or invalidated by such holding, alteration, or interpretation. The Confirmation Order will constitute a judicial determination and will provide that each term and provision of the Plan, as it may have been altered or interpreted in accordance with the foregoing, is valid and enforceable pursuant to its terms.</w:t>
      </w:r>
    </w:p>
    <w:p>
      <w:pPr>
        <w:spacing w:after="0" w:line="174"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Documents</w:t>
      </w:r>
    </w:p>
    <w:p>
      <w:pPr>
        <w:spacing w:after="0" w:line="225" w:lineRule="exact"/>
        <w:rPr>
          <w:sz w:val="20"/>
          <w:szCs w:val="20"/>
          <w:color w:val="auto"/>
        </w:rPr>
      </w:pPr>
    </w:p>
    <w:p>
      <w:pPr>
        <w:ind w:right="200" w:firstLine="652"/>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the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Debtors: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Ad Hoc Noteholder Committee:</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2" w:name="page213"/>
    <w:bookmarkEnd w:id="212"/>
    <w:p>
      <w:pPr>
        <w:ind w:left="1300" w:hanging="644"/>
        <w:spacing w:after="0"/>
        <w:tabs>
          <w:tab w:leader="none" w:pos="13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Exemption from Transfer Taxes Pursuant to Section 1146(a) of the Bankruptcy Code</w:t>
      </w:r>
    </w:p>
    <w:p>
      <w:pPr>
        <w:spacing w:after="0" w:line="229" w:lineRule="exact"/>
        <w:rPr>
          <w:sz w:val="20"/>
          <w:szCs w:val="20"/>
          <w:color w:val="auto"/>
        </w:rPr>
      </w:pPr>
    </w:p>
    <w:p>
      <w:pPr>
        <w:ind w:firstLine="652"/>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the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the Plan or the Restructuring Documents, (ii) the issuance and distribution of the New Common Stock or Plan Securities and Documents, and (iii) the maintenance or creation of security interests or any Lien as contemplated by the Plan or the Restructuring Documents.</w:t>
      </w:r>
    </w:p>
    <w:p>
      <w:pPr>
        <w:spacing w:after="0" w:line="178"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180" w:firstLine="652"/>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the Plan provides otherwise, the rights and obligations arising under the Plan will be governed by, and construed and enforced in accordance with, the laws of New York, without giving effect to the principles of conflicts of law of such jurisdiction.</w:t>
      </w:r>
    </w:p>
    <w:p>
      <w:pPr>
        <w:spacing w:after="0" w:line="162"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Tax Reporting and Compliance</w:t>
      </w:r>
    </w:p>
    <w:p>
      <w:pPr>
        <w:spacing w:after="0" w:line="229" w:lineRule="exact"/>
        <w:rPr>
          <w:sz w:val="20"/>
          <w:szCs w:val="20"/>
          <w:color w:val="auto"/>
        </w:rPr>
      </w:pPr>
    </w:p>
    <w:p>
      <w:pPr>
        <w:ind w:right="640" w:firstLine="652"/>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0"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right="100" w:firstLine="652"/>
        <w:spacing w:after="0" w:line="277" w:lineRule="auto"/>
        <w:rPr>
          <w:sz w:val="20"/>
          <w:szCs w:val="20"/>
          <w:color w:val="auto"/>
        </w:rPr>
      </w:pPr>
      <w:r>
        <w:rPr>
          <w:rFonts w:ascii="Arial" w:cs="Arial" w:eastAsia="Arial" w:hAnsi="Arial"/>
          <w:sz w:val="18"/>
          <w:szCs w:val="18"/>
          <w:color w:val="auto"/>
        </w:rPr>
        <w:t>All exhibits and schedules to the Plan, including the Exhibits and Plan Schedules, are incorporated herein and are a part of the Plan as if set forth in full herein.</w:t>
      </w:r>
    </w:p>
    <w:p>
      <w:pPr>
        <w:spacing w:after="0" w:line="166"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p>
    <w:p>
      <w:pPr>
        <w:spacing w:after="0" w:line="229" w:lineRule="exact"/>
        <w:rPr>
          <w:sz w:val="20"/>
          <w:szCs w:val="20"/>
          <w:color w:val="auto"/>
        </w:rPr>
      </w:pPr>
    </w:p>
    <w:p>
      <w:pPr>
        <w:ind w:right="40" w:firstLine="652"/>
        <w:spacing w:after="0" w:line="273" w:lineRule="auto"/>
        <w:rPr>
          <w:sz w:val="20"/>
          <w:szCs w:val="20"/>
          <w:color w:val="auto"/>
        </w:rPr>
      </w:pPr>
      <w:r>
        <w:rPr>
          <w:rFonts w:ascii="Arial" w:cs="Arial" w:eastAsia="Arial" w:hAnsi="Arial"/>
          <w:sz w:val="17"/>
          <w:szCs w:val="17"/>
          <w:color w:val="auto"/>
        </w:rPr>
        <w:t xml:space="preserve">The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the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the Plan, the Disclosure Statement, the Exhibits or the Plan Schedules, or the documents ancillary and related thereto.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13" w:name="page214"/>
    <w:bookmarkEnd w:id="213"/>
    <w:p>
      <w:pPr>
        <w:ind w:left="1300" w:hanging="644"/>
        <w:spacing w:after="0"/>
        <w:tabs>
          <w:tab w:leader="none" w:pos="13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right="20" w:firstLine="652"/>
        <w:spacing w:after="0" w:line="264" w:lineRule="auto"/>
        <w:rPr>
          <w:sz w:val="20"/>
          <w:szCs w:val="20"/>
          <w:color w:val="auto"/>
        </w:rPr>
      </w:pPr>
      <w:r>
        <w:rPr>
          <w:rFonts w:ascii="Arial" w:cs="Arial" w:eastAsia="Arial" w:hAnsi="Arial"/>
          <w:sz w:val="18"/>
          <w:szCs w:val="18"/>
          <w:color w:val="auto"/>
        </w:rPr>
        <w:t>Except as otherwise provided herein or therein, the Plan and the Restructuring Documents supersede all previous and contemporaneous negotiations, promises, covenants, agreements, understandings, and representations on such subjects, all of which have become merged and integrated into the Plan and the Restructuring Documents.</w:t>
      </w:r>
    </w:p>
    <w:p>
      <w:pPr>
        <w:spacing w:after="0" w:line="177"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Chapter 11 Cases</w:t>
      </w:r>
    </w:p>
    <w:p>
      <w:pPr>
        <w:spacing w:after="0" w:line="229" w:lineRule="exact"/>
        <w:rPr>
          <w:sz w:val="20"/>
          <w:szCs w:val="20"/>
          <w:color w:val="auto"/>
        </w:rPr>
      </w:pPr>
    </w:p>
    <w:p>
      <w:pPr>
        <w:ind w:firstLine="652"/>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66"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2002 Notice Parties</w:t>
      </w:r>
    </w:p>
    <w:p>
      <w:pPr>
        <w:spacing w:after="0" w:line="229" w:lineRule="exact"/>
        <w:rPr>
          <w:sz w:val="20"/>
          <w:szCs w:val="20"/>
          <w:color w:val="auto"/>
        </w:rPr>
      </w:pPr>
    </w:p>
    <w:p>
      <w:pPr>
        <w:ind w:right="380" w:firstLine="652"/>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PLAN-RELATED RISK FACTORS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PRIOR TO VOTING TO ACCEPT OR REJECT THE PLAN, ALL HOLDERS OF CLAIMS OR EQUITY INTERESTS THAT ARE IMPAIRED SHOULD READ AND CONSIDER CAREFULLY THE FACTORS SET FORTH HEREIN, AS WELL AS ALL OTHER INFORMATION SET FORTH OR OTHERWISE REFERENCED IN THIS DISCLOSURE STATEMENT. ALTHOUGH THESE RISK FACTORS ARE MANY, THESE FACTORS SHOULD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REGARDED AS CONSTITUTING THE ONLY RISKS PRESENT IN CONNECTION WITH THE DEBTORS’ BUSINESSES, THE PLAN OR THE IMPLEMENTATION OF THE PLAN.</w:t>
      </w:r>
    </w:p>
    <w:p>
      <w:pPr>
        <w:spacing w:after="0" w:line="184"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CERTAIN BANKRUPTCY LAW CONSIDERATIONS</w:t>
      </w:r>
    </w:p>
    <w:p>
      <w:pPr>
        <w:spacing w:after="0" w:line="225"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the Debtors believe that the Chapter 11 Cases will be of short duration and will not be materially disruptive to their businesses, the Debtors cannot be certain that this will be the case. Although the Plan is designed to minimize the length of the Chapter 11 Cases, it is impossible to predict with certainty the amount of time that one or more of the Debtors may spend in bankruptcy or to assure parties in interest that the Plan will be confirmed. Even if confirmed on a timely basis, the Chapter 11 Cases could have an adverse effect on the Debtors’ businesses. Among other things, it is possible that bankruptcy proceedings could adversely affect the Debtors’ relationships with their key customers and employees. The cases will also involve additional expense and may divert some of the attention of the Debtors’ management away from business operations.</w:t>
      </w:r>
    </w:p>
    <w:p>
      <w:pPr>
        <w:spacing w:after="0" w:line="174"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Debtors’ Classification of Claims and Equity Interests.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Section 1122 of the Bankruptcy Code provides that a plan may place a claim or an equity interest in a particular class only if such claim or equity interest is substantially similar to the other claims or equity interests in such class. The Debtors believe that the classification of Claims and Equity Interests under the Plan complies with the requirements set forth in the Bankruptcy Code because the Debtors created Classes of Claims and Equity Interests, each encompassing Claims or Equity Interests, as applicable, that are substantially similar to the other Claims and Equity Interests in each such Class. Nevertheless, there can be no assurance that the Bankruptcy Court will reach the same conclusion.</w:t>
      </w:r>
    </w:p>
    <w:p>
      <w:pPr>
        <w:spacing w:after="0" w:line="169"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Fail to Satisfy the Vote Requirement.</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If votes are received in number and amount sufficient to enable the Bankruptcy Court to confirm the Plan, the Debtors intend to seek, as promptly as practicable thereafter, confirmation of the Plan. In the event that sufficient votes are not received, the Debtors may seek to accomplish an alternative chapter 11 plan of reorganization. There can be no assurance that the terms of any such alternative chapter 11 plan would be similar or as favorable to the Holders of Allowed Claims as those proposed in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5" w:name="page216"/>
    <w:bookmarkEnd w:id="215"/>
    <w:p>
      <w:pPr>
        <w:ind w:left="1300" w:hanging="644"/>
        <w:spacing w:after="0"/>
        <w:tabs>
          <w:tab w:leader="none" w:pos="130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Secure Confirmation of the Plan.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the event that any impaired class of claims or equity interests does not accept or is deemed not to accept a plan of reorganization, a bankruptcy court may nevertheless confirm such plan at the proponent’s request if at least one impaired class has voted to accept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Should any Class vote to reject the Plan, then these requirements must be satisfied with respect to </w:t>
      </w:r>
      <w:r>
        <w:rPr>
          <w:rFonts w:ascii="Arial" w:cs="Arial" w:eastAsia="Arial" w:hAnsi="Arial"/>
          <w:sz w:val="17"/>
          <w:szCs w:val="17"/>
          <w:i w:val="1"/>
          <w:iCs w:val="1"/>
          <w:color w:val="auto"/>
        </w:rPr>
        <w:t>such</w:t>
      </w:r>
      <w:r>
        <w:rPr>
          <w:rFonts w:ascii="Arial" w:cs="Arial" w:eastAsia="Arial" w:hAnsi="Arial"/>
          <w:sz w:val="17"/>
          <w:szCs w:val="17"/>
          <w:color w:val="auto"/>
        </w:rPr>
        <w:t xml:space="preserve"> rejecting Classes.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Even if the requisite acceptances are received, there can be no assurance that the Bankruptcy Court will confirm the Plan. A non-accepting Holder of an Allowed Claim or Equity Interest might challenge either the adequacy of this Disclosure Statement or whether the balloting procedures and voting results satisfy the requirements of the Bankruptcy Code or Bankruptcy Rules. Even if the Bankruptcy Court determined that the Disclosure Statement, the balloting procedures and voting results were appropriate, the Bankruptcy Court could still decline to confirm the Plan if it found that any of the statutory requirements for confirmation were not met, including the requirement that the terms of the Plan do not “unfairly discriminate” and are “fair and equitable” to non-accepting Classes. If the Plan is not confirmed, it is unclear what distributions holders of Claims or Equity Interests ultimately would receive with respect to their Claims or Equity Interests in a subsequent plan of reorganization.</w:t>
      </w:r>
    </w:p>
    <w:p>
      <w:pPr>
        <w:spacing w:after="0" w:line="174"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Non-Consensual Confirmation of the Plan May Be Necessary.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that any impaired class of claims or equity interests does not accept a chapter 11 plan, a bankruptcy court may nevertheless confirm such a plan at the proponents’ request if at least one impaired class has accepted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The Debtors believe that the Plan satisfies these requirements and the Debtors may request such non-consensual confirmation in accordance with subsection 1129(b) of the Bankruptcy Code. Nevertheless, in the event that the Voting Classes do not accept the Plan, there can be no assurance that the Bankruptcy Court will reach this conclusion.</w:t>
      </w:r>
    </w:p>
    <w:p>
      <w:pPr>
        <w:spacing w:after="0" w:line="161"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Risk of Termination of the Restructuring Support Agreement.</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more fully set forth in sections 9-11 of the Restructuring Support Agreement, the Restructuring Support Agreement contains certain provisions that give the Required Consenting Noteholders (as defined in the Restructuring Support Agreement) the ability to terminate the Restructuring Support Agreement upon the occurrence of certain events or conditions. In the event the Restructuring Support Agreement is terminated, the Debtors may be forced to file an alternative plan that lacks the same broad noteholder support. The termination of the Restructuring Support Agreement could result in protracted Chapter 11 Cases, which could significantly and detrimentally impact the Debtors’ relationships with vendors, suppliers, and major customers.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6" w:name="page217"/>
    <w:bookmarkEnd w:id="216"/>
    <w:p>
      <w:pPr>
        <w:ind w:left="1300" w:hanging="644"/>
        <w:spacing w:after="0"/>
        <w:tabs>
          <w:tab w:leader="none" w:pos="130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The Effective Date May Not Occur.</w:t>
      </w:r>
    </w:p>
    <w:p>
      <w:pPr>
        <w:spacing w:after="0" w:line="229"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 xml:space="preserve">As more fully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the Plan, the Effective Date is subject to a number of conditions precedent. If such conditions precedent are not met or waived, the Effective Date will not take place. There can be no assurance as to such timing or as to whether the Effective Date will, in fact, occur.</w:t>
      </w:r>
    </w:p>
    <w:p>
      <w:pPr>
        <w:spacing w:after="0" w:line="120"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The Exit Facility Credit Agreement and the Transactions Contemplated Thereby, May Not Become Effective.</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Although the Debtors believe that the Exit Facility Credit Agreement will become effective shortly after the Confirmation Date, there can be no assurance as to such timing or as to whether the Exit Facility Credit Agreement and the transactions contemplated thereunder, will become effective.</w:t>
      </w:r>
    </w:p>
    <w:p>
      <w:pPr>
        <w:spacing w:after="0" w:line="120"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Will Not Affect Votes of the Voting Classes to Accept or Reject the Plan.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distributions available to Holders of Allowed Claims and Equity Interests under the Plan can be affected by a variety of contingencies. The occurrence of any and all such contingencies, which could affect distributions available to Holders of Allowed Claims and Equity Interests under the Plan, will not affect the validity of the vote taken by the Voting Classes to accept or reject the Plan or require any sort of revote by the Impaired Classes.</w:t>
      </w:r>
    </w:p>
    <w:p>
      <w:pPr>
        <w:spacing w:after="0" w:line="143"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Cannot State with Certainty What Recovery Will be Available to Holders of Allowed Prepetition Notes Claims.</w:t>
      </w:r>
    </w:p>
    <w:p>
      <w:pPr>
        <w:spacing w:after="0" w:line="24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estimated Claims and recoveries set forth in this Disclosure Statement are based on various assumptions, and the actual Allowed amounts of Claims may significantly differ from the estimates. Should one or more of the underlying assumptions ultimately prove to be incorrect, the actual Allowed amounts of Claims may vary from the estimated amounts contained in this Disclosure Statement. Moreover, the Debtors cannot determine with any certainty at this time the number or amount of Claims that will ultimately be Allowed. Accordingly, because certain Claims under the Plan will be paid on a Pro Rata basis, the Debtors cannot state with certainty what recoveries will be available to Holders of Allowed Prepetition Notes Claims.</w:t>
      </w:r>
    </w:p>
    <w:p>
      <w:pPr>
        <w:spacing w:after="0" w:line="154"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into Chapter 7 Cases.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or elected to liquidate the Debtors’ assets for distribution in accordance with the priorities established by the Bankruptcy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XI.A hereof, as well as the Liquidation Analysis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for a discussion of the effects that a chapter 7 liquidation would have on the recoveries of holders of Claims and Equity Interests.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7" w:name="page218"/>
    <w:bookmarkEnd w:id="217"/>
    <w:p>
      <w:pPr>
        <w:ind w:left="1300" w:hanging="644"/>
        <w:spacing w:after="0"/>
        <w:tabs>
          <w:tab w:leader="none" w:pos="13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Releases, Injunctions, and Exculpation Provisions May Not Be Approved.</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Plan provides for certain releases, injunctions, and exculpations. However, such releases, injunctions, and exculpations are subject to objection by parties in interest and may not be approved. If the releases are not approved, certain Released Parties may not support the Plan.</w:t>
      </w:r>
    </w:p>
    <w:p>
      <w:pPr>
        <w:spacing w:after="0" w:line="143"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FACTORS AFFECTING THE VALUE OF THE REORGANIZED DEBTORS</w:t>
      </w:r>
    </w:p>
    <w:p>
      <w:pPr>
        <w:spacing w:after="0" w:line="225"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Claims Could be More than Projected.</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There can be no assurance that the estimated Allowed amount of Claims in certain Classes will not be significantly more than projected, which in turn, could cause the value of distributions to be reduced substantially. Inevitably, some assumptions will not materialize, and unanticipated events and circumstances may affect the ultimate results. Therefore, the actual amount of Allowed Claims may vary materially from the Debtors’ projections and feasibility analysis.</w:t>
      </w:r>
    </w:p>
    <w:p>
      <w:pPr>
        <w:spacing w:after="0" w:line="183"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Projections and other Forward-Looking Statements Are Not Assured and Actual Results May Vary.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Certain of the information contained in the Disclosure Statement, including the Financial Projections in </w:t>
      </w:r>
      <w:r>
        <w:rPr>
          <w:rFonts w:ascii="Arial" w:cs="Arial" w:eastAsia="Arial" w:hAnsi="Arial"/>
          <w:sz w:val="18"/>
          <w:szCs w:val="18"/>
          <w:u w:val="single" w:color="auto"/>
          <w:color w:val="auto"/>
        </w:rPr>
        <w:t>Exhibit D</w:t>
      </w:r>
      <w:r>
        <w:rPr>
          <w:rFonts w:ascii="Arial" w:cs="Arial" w:eastAsia="Arial" w:hAnsi="Arial"/>
          <w:sz w:val="18"/>
          <w:szCs w:val="18"/>
          <w:color w:val="auto"/>
        </w:rPr>
        <w:t>, is, by nature, forward-looking, and contains estimates and assumptions, which might ultimately prove to be incorrect, and projections, which may be materially different from actual future experiences. There are uncertainties associated with any projections and estimates, and they should not be considered assurances or guarantees of the amount of funds or the amount of Claims in the various Classes that might be allowed.</w:t>
      </w:r>
    </w:p>
    <w:p>
      <w:pPr>
        <w:spacing w:after="0" w:line="183"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Post-Effective Date Indebtedness.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Following the Effective Date, the Reorganized Debtors will have approximately $1 billion of secured funded indebtedness and a $500 million letter of credit from the Exit Facility, and up to $2.500 billion of unsecured funded indebtedness composed of up to $1.250 billion principal amount of New Tranche A Senior Unsecured Notes and up to $1.250 billion principal amount of New Tranche B Senior Unsecured Notes. The Reorganized Debtors’ ability to service their debt obligations will depend, among other things, on their future operating performance, which depends partly on economic, financial, competitive, and other factors beyond the Reorganized Debtors’ control. The Reorganized Debtors may not be able to generate sufficient cash from operations to meet their debt service obligations as well as fund necessary capital expenditures and investments in sales and marketing. In addition, if the Reorganized Debtors need to refinance their debt, obtain additional financing, or sell assets or equity, they may not be able to do so on commercially reasonable terms, if at all.</w:t>
      </w:r>
    </w:p>
    <w:p>
      <w:pPr>
        <w:spacing w:after="0" w:line="188"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 of Indebtedness.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financing agreements governing the Reorganized Debtors’ indebtedness will contain various covenants that may limit the discretion of the Reorganized Debtors’ management by restricting the Reorganized Debtors’ ability to, among other things, incur additional indebtedness, incur liens, pay dividends or make certain restricted payments, consummate certain asset sales, enter into certain transactions with affiliates, merge, consolidate and/or sell or dispose of all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8" w:name="page219"/>
    <w:bookmarkEnd w:id="218"/>
    <w:p>
      <w:pPr>
        <w:ind w:right="360"/>
        <w:spacing w:after="0" w:line="264" w:lineRule="auto"/>
        <w:rPr>
          <w:sz w:val="20"/>
          <w:szCs w:val="20"/>
          <w:color w:val="auto"/>
        </w:rPr>
      </w:pPr>
      <w:r>
        <w:rPr>
          <w:rFonts w:ascii="Arial" w:cs="Arial" w:eastAsia="Arial" w:hAnsi="Arial"/>
          <w:sz w:val="18"/>
          <w:szCs w:val="18"/>
          <w:color w:val="auto"/>
        </w:rPr>
        <w:t>substantially all of their assets. In addition, it is expected that certain of the agreements will require the Reorganized Debtors to meet certain financial covenants. As a result of these covenants, the Reorganized Debtors will be limited in the manner in which they conduct their businesses and they may be unable to engage in favorable business activities or finance future operations or capital needs.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failure to comply with the restrictions of the financing agreements may result in an event of default. An event of default may allow the creditors to accelerate the related debt as well as any other debt to which a cross-acceleration or cross-default provision applies. If the Reorganized Debtors are unable to repay amounts outstanding under their financing agreements when due, the lenders thereunder could, subject to the terms of the financing agreements, seek to foreclose on the collateral that is pledged to secure the indebtedness outstanding under such facility.</w:t>
      </w:r>
    </w:p>
    <w:p>
      <w:pPr>
        <w:spacing w:after="0" w:line="167" w:lineRule="exact"/>
        <w:rPr>
          <w:sz w:val="20"/>
          <w:szCs w:val="20"/>
          <w:color w:val="auto"/>
        </w:rPr>
      </w:pPr>
    </w:p>
    <w:p>
      <w:pPr>
        <w:ind w:left="1300" w:right="200" w:hanging="644"/>
        <w:spacing w:after="0" w:line="266" w:lineRule="auto"/>
        <w:tabs>
          <w:tab w:leader="none" w:pos="13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or Issuances Of Existing Common Stock or New Common Stock, Before or in Connection with the Debtors’ Chapter 11 Cases, May Impair The Debtors’ Ability To Utilize Their U.S. Federal Income Tax Net Operating Loss Carryforwards In Future Years.</w:t>
      </w:r>
    </w:p>
    <w:p>
      <w:pPr>
        <w:spacing w:after="0" w:line="1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Under U.S. federal income tax law, a corporation is generally permitted to deduct from taxable income net operating losses carried forward from prior years. The Debtors’ U.S. consolidated group, of which Weatherford Delaware will become the parent prior to the Effective Date, had consolidated net operating losses and net operating loss carryforwards of approximately $2 billion as of December 31, 2017, of which approximately 85% will be allocable to Weatherford Delaware. The Debtors believe that their U.S. consolidated group generated additional net operating losses for the 2018 taxable year. The U.S. group’s ability to utilize its net operating loss carryforwards to offset future taxable income and to reduce its U.S. federal income tax liability is subject to certain requirements and restrictions. Since the Weatherford Parent (and indirectly the U.S. group) will experience an “ownership change,” as defined in Section 382 of the U.S. Internal Revenue Code of 1986, as amended (the “</w:t>
      </w:r>
      <w:r>
        <w:rPr>
          <w:rFonts w:ascii="Arial" w:cs="Arial" w:eastAsia="Arial" w:hAnsi="Arial"/>
          <w:sz w:val="16"/>
          <w:szCs w:val="16"/>
          <w:b w:val="1"/>
          <w:bCs w:val="1"/>
          <w:u w:val="single" w:color="auto"/>
          <w:color w:val="auto"/>
        </w:rPr>
        <w:t>IRC</w:t>
      </w:r>
      <w:r>
        <w:rPr>
          <w:rFonts w:ascii="Arial" w:cs="Arial" w:eastAsia="Arial" w:hAnsi="Arial"/>
          <w:sz w:val="16"/>
          <w:szCs w:val="16"/>
          <w:color w:val="auto"/>
        </w:rPr>
        <w:t>”), the U.S. group’s ability to use its net operating loss carryforwards may be substantially limited, which could have a negative impact on its financial position and results of operations. Generally, there is an “ownership change” if one or more stockholders owning 5% or more of a corporation’s common stock have aggregate increases in their ownership of such stock of more than 50 percentage points over the prior three-year period. Under IRC Section 382, absent an applicable exception, if a corporation undergoes an “ownership change,” the amount of its net operating losses that may be utilized to offset future table income generally is subject to an annual limitation. Even if the net operating loss carryforwards are subject to limitation under IRC Section 382, the net operating losses can be further reduced by the amount of discharge of indebtedness arising in a Chapter 11 Case under IRC Section 108. The Debtors intend to request that the Bankruptcy Court approve restrictions on certain transfers of Existing Common Stock to limit the risk of an “ownership change” occurring prior to the issuance of New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p>
      <w:pPr>
        <w:ind w:left="1300" w:hanging="644"/>
        <w:spacing w:after="0" w:line="313" w:lineRule="auto"/>
        <w:tabs>
          <w:tab w:leader="none" w:pos="130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Transfers of Prepetition Note Claims During the Debtors’ Chapter 11 Cases, May Impair The Debtors’ Ability To Utilize Their U.S. Federal Income Tax Net Operating Loss Carryforwards In Future Years, and May be Subject to a Sell Down Order.</w:t>
      </w:r>
    </w:p>
    <w:p>
      <w:pPr>
        <w:spacing w:after="0" w:line="14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Under the Plan, 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(ii) the New Tranche B Senior Unsecured Notes and (iii) Subscription Rights to purchase its Pro Rata share of New Tranche A Senior Unsecured Notes pursuant to the Rights Offering. As a result, the consummation of the Plan is expected to result in an “ownership change” of Weatherford Delaware and all other members of the U.S. Group. The Debtors believe that the application of IRC Section 382(l)(5) could result in significant future savings and are seeking to protect the continued existence of the their significant tax attributes (including net operating losses ranging between $1.5 billion to $2 billion that are expected to remain after taking into account the impact of the Restructuring Transactions) without annual limitations on the use of its net operating losses and net unrealized built-in loss pursuant to IRC Section 382(l)(5). Refer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for a discussion on IRC Section 382 and the exception under IRC Section 382(l)(5).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Accordingly, the Debtors will file a First Day Motion to seek an order establishing a record date and sell-down procedures for trading claims.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First Day Motion:</w:t>
      </w:r>
    </w:p>
    <w:p>
      <w:pPr>
        <w:spacing w:after="0" w:line="211" w:lineRule="exact"/>
        <w:rPr>
          <w:sz w:val="20"/>
          <w:szCs w:val="20"/>
          <w:color w:val="auto"/>
        </w:rPr>
      </w:pPr>
    </w:p>
    <w:p>
      <w:pPr>
        <w:ind w:left="1260" w:hanging="280"/>
        <w:spacing w:after="0"/>
        <w:tabs>
          <w:tab w:leader="none" w:pos="12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Record Date will be set as of the date the First Day Motion is filed.</w:t>
      </w:r>
    </w:p>
    <w:p>
      <w:pPr>
        <w:spacing w:after="0" w:line="221" w:lineRule="exact"/>
        <w:rPr>
          <w:rFonts w:ascii="Arial" w:cs="Arial" w:eastAsia="Arial" w:hAnsi="Arial"/>
          <w:sz w:val="18"/>
          <w:szCs w:val="18"/>
          <w:color w:val="auto"/>
        </w:rPr>
      </w:pPr>
    </w:p>
    <w:p>
      <w:pPr>
        <w:ind w:left="1240" w:right="120" w:hanging="260"/>
        <w:spacing w:after="0" w:line="273" w:lineRule="auto"/>
        <w:tabs>
          <w:tab w:leader="none" w:pos="126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 date will be set in August 2019 (the “</w:t>
      </w:r>
      <w:r>
        <w:rPr>
          <w:rFonts w:ascii="Arial" w:cs="Arial" w:eastAsia="Arial" w:hAnsi="Arial"/>
          <w:sz w:val="17"/>
          <w:szCs w:val="17"/>
          <w:b w:val="1"/>
          <w:bCs w:val="1"/>
          <w:u w:val="single" w:color="auto"/>
          <w:color w:val="auto"/>
        </w:rPr>
        <w:t>Reporting Deadline</w:t>
      </w:r>
      <w:r>
        <w:rPr>
          <w:rFonts w:ascii="Arial" w:cs="Arial" w:eastAsia="Arial" w:hAnsi="Arial"/>
          <w:sz w:val="17"/>
          <w:szCs w:val="17"/>
          <w:color w:val="auto"/>
        </w:rPr>
        <w:t xml:space="preserve">”), at which time the Holder of any Prepetition Notes Claim who would own more than 4.75% of the New Common Stock on emergence shall be required to provide notice of its Prepetition Note Claims, including the amount of such Claims and date of acquisition. For this purpose, the person or Entity required to file such notice is the beneficial owner determined under the rules set forth in IRC Section 382 and the regulations thereunder, described below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If, after the Reporting Deadline, the Holder acquires or disposes of Prepetition Notes Claims, it is required to report such changes in ownership within the time period specified in the motion.</w:t>
      </w:r>
    </w:p>
    <w:p>
      <w:pPr>
        <w:spacing w:after="0" w:line="176" w:lineRule="exact"/>
        <w:rPr>
          <w:rFonts w:ascii="Arial" w:cs="Arial" w:eastAsia="Arial" w:hAnsi="Arial"/>
          <w:sz w:val="17"/>
          <w:szCs w:val="17"/>
          <w:color w:val="auto"/>
        </w:rPr>
      </w:pPr>
    </w:p>
    <w:p>
      <w:pPr>
        <w:ind w:left="1280" w:hanging="300"/>
        <w:spacing w:after="0"/>
        <w:tabs>
          <w:tab w:leader="none" w:pos="12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connection with confirmation of the Plan, the Debtors will seek an additional motion requiring a Holder who would own more than</w:t>
      </w:r>
    </w:p>
    <w:p>
      <w:pPr>
        <w:spacing w:after="0" w:line="35" w:lineRule="exact"/>
        <w:rPr>
          <w:sz w:val="20"/>
          <w:szCs w:val="20"/>
          <w:color w:val="auto"/>
        </w:rPr>
      </w:pPr>
    </w:p>
    <w:p>
      <w:pPr>
        <w:ind w:left="1240" w:right="20"/>
        <w:spacing w:after="0" w:line="253" w:lineRule="auto"/>
        <w:rPr>
          <w:sz w:val="20"/>
          <w:szCs w:val="20"/>
          <w:color w:val="auto"/>
        </w:rPr>
      </w:pPr>
      <w:r>
        <w:rPr>
          <w:rFonts w:ascii="Arial" w:cs="Arial" w:eastAsia="Arial" w:hAnsi="Arial"/>
          <w:sz w:val="18"/>
          <w:szCs w:val="18"/>
          <w:color w:val="auto"/>
        </w:rPr>
        <w:t>4.75% of the New Common Stock at emergence (A) to not make any purchases of Prepetition Notes Claims without providing notice before such acquisition and obtaining advance approval of the Debtors, (B) to notify the Debtors of any sale of Prepetition Note Claims within a specified time period of such sale, and (C) giving Debtors the authority (but not requiring Debtors) to require such Holders to sell down their holdings of Prepetition Note Claims to an amount determined by the Debtors that will permit the Debtors to qualify for the benefits of IRC section 382(l)(5).</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0" w:name="page221"/>
    <w:bookmarkEnd w:id="220"/>
    <w:p>
      <w:pPr>
        <w:ind w:right="180" w:firstLine="648"/>
        <w:spacing w:after="0" w:line="277" w:lineRule="auto"/>
        <w:rPr>
          <w:sz w:val="20"/>
          <w:szCs w:val="20"/>
          <w:color w:val="auto"/>
        </w:rPr>
      </w:pPr>
      <w:r>
        <w:rPr>
          <w:rFonts w:ascii="Arial" w:cs="Arial" w:eastAsia="Arial" w:hAnsi="Arial"/>
          <w:sz w:val="18"/>
          <w:szCs w:val="18"/>
          <w:color w:val="auto"/>
        </w:rPr>
        <w:t>For purposes of this section, the amounts of Prepetition Notes Claims required to be sold in a sell down procedure may depend, in part, on whether such Claims were acquired more than eighteen months before the Petition Date.</w:t>
      </w:r>
    </w:p>
    <w:p>
      <w:pPr>
        <w:spacing w:after="0" w:line="166"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The New Common Stock Will be Subject to Trading Restrictions in Order to Protect the Reorganized Debtors’ Tax Attributes.</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order to preserve the Debtors’ tax attributes post-emergence, the Debtors intend to impose trading restrictions on the New Common Stock in a form similar to those used by U.S. debtor corporations emerging from bankruptcy.</w:t>
      </w:r>
    </w:p>
    <w:p>
      <w:pPr>
        <w:spacing w:after="0" w:line="166" w:lineRule="exact"/>
        <w:rPr>
          <w:sz w:val="20"/>
          <w:szCs w:val="20"/>
          <w:color w:val="auto"/>
        </w:rPr>
      </w:pPr>
    </w:p>
    <w:p>
      <w:pPr>
        <w:ind w:left="660" w:right="240" w:hanging="652"/>
        <w:spacing w:after="0" w:line="282" w:lineRule="auto"/>
        <w:tabs>
          <w:tab w:leader="none" w:pos="673"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MAY AFFECT THE VALUE OF SECURITIES TO BE ISSUED UNDER THE PLAN AND/OR RECOVERIES UNDER THE PLAN</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The Valuation of the Reorganized Debtors May Not Be Adopted by the Bankruptcy Court.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Parties in interest in these Chapter 11 Cases may oppose confirmation of the Plan by alleging that the value of the Reorganized Debtors is higher than estimated by the Debtors and that the Plan thereby improperly limits or extinguishes their rights to recoveries under the Plan. At the Confirmation Hearing, the Bankruptcy Court will hear evidence regarding the views of the Debtors and opposing parties, if any, with respect to the valuation of the Reorganized Debtors. Based on that evidence, the Bankruptcy Court will determine the appropriate valuation for the Reorganized Debtors for purposes of the Plan.</w:t>
      </w:r>
    </w:p>
    <w:p>
      <w:pPr>
        <w:spacing w:after="0" w:line="184" w:lineRule="exact"/>
        <w:rPr>
          <w:sz w:val="20"/>
          <w:szCs w:val="20"/>
          <w:color w:val="auto"/>
        </w:rPr>
      </w:pPr>
    </w:p>
    <w:p>
      <w:pPr>
        <w:jc w:val="both"/>
        <w:ind w:left="1300" w:right="160" w:hanging="644"/>
        <w:spacing w:after="0" w:line="266" w:lineRule="auto"/>
        <w:tabs>
          <w:tab w:leader="none" w:pos="13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The Estimated Valuation of the Reorganized Debtors, the New Common Stock, the New Warrants, and the New Senior Unsecured Notes and the Estimated Recoveries to Holders of Allowed Claims and Equity Interests Are Not Intended to Represent the Private or Public Sale Values.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Debtors’ estimated recoveries to Holders of Allowed Claims and Allowed Equity Interests are not intended to represent the private or public sale values of the Reorganized Debtors’ securities. The estimated recoveries are based on numerous assumptions (the realization of many of which is beyond the control of Reorganized Debtors), including, without limitation: (a) the successful reorganization of the Debtors; (b) an assumed date for the occurrence of the Effective Date; (c) the Debtors’ ability to achieve the operating and financial results included in the Financial Projections; and (d) the Debtors’ ability to maintain adequate liquidity to fund operations.</w:t>
      </w:r>
    </w:p>
    <w:p>
      <w:pPr>
        <w:spacing w:after="0" w:line="184" w:lineRule="exact"/>
        <w:rPr>
          <w:sz w:val="20"/>
          <w:szCs w:val="20"/>
          <w:color w:val="auto"/>
        </w:rPr>
      </w:pPr>
    </w:p>
    <w:p>
      <w:pPr>
        <w:ind w:left="1300" w:hanging="644"/>
        <w:spacing w:after="0"/>
        <w:tabs>
          <w:tab w:leader="none" w:pos="130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There May Be a Lack of a Trading Market For the New Common Stock.</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Although Weatherford Parent will use commercially reasonable efforts to list the New Common Stock on a national securities exchange, there can be no assurance that there will be an active trading market for the New Common Stock or the other Plan Securities. In addition, there may be trading restrictions on shares of New Common Stock (or any interest therein) following the Effective Time. Accordingly, there can be no assurance that any market will develop or as to the liquidity of any market that may develop for any such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1" w:name="page222"/>
    <w:bookmarkEnd w:id="221"/>
    <w:p>
      <w:pPr>
        <w:ind w:left="1300" w:hanging="644"/>
        <w:spacing w:after="0"/>
        <w:tabs>
          <w:tab w:leader="none" w:pos="1300"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The New Common Stock Will be Subordinated to the New Senior Unsecured Notes and Other Indebtedness of Reorganized Parent.</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any subsequent liquidation, dissolution, or winding up of Reorganized Parent, the New Common Stock would rank below all debt claims against Reorganized Parent. As a result, holders of the New Common Stock would not be entitled to receive any payment or other distribution of assets upon the liquidation, dissolution, or winding up of Reorganized Parent until after all applicable holders of debt have been paid in full.</w:t>
      </w:r>
    </w:p>
    <w:p>
      <w:pPr>
        <w:spacing w:after="0" w:line="162"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The New Warrants May Not Become Exercisable Prior to Expiration.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can be no assurance that the total enterprise value of the Reorganized Debtors will ever reach the thresholds at which the New Warrants become exercisable prior to the expiration of the New Warrants.</w:t>
      </w:r>
    </w:p>
    <w:p>
      <w:pPr>
        <w:spacing w:after="0" w:line="166"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The Reorganized Debtors May Not Be Able to Achieve Projected Financial Results or Service Their Debt.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Although the Financial Projections represent management’s view based on current known facts and assumptions about the future operations of the Reorganized Debtors there is no guarantee that the Financial Projections will be realized. The Reorganized Debtors may not be able to meet their projected financial results or achieve projected revenues and Cash flows assumed in projecting future business prospects. To the extent the Reorganized Debtors do not meet their projected financial results or achieve projected revenues and Cash flows, the Reorganized Debtors may lack sufficient liquidity to continue operating as planned after the Effective Date, may be unable to service their debt obligations as they come due or may not be able to meet their operational needs. Any one of these failures may preclude the Reorganized Debtors from, among other things: (a) taking advantage of future opportunities; (b) growing their businesses; or (c) responding to future changes in the oil and gas industry. Further, a failure of the Reorganized Debtors to meet their projected financial results or achieve projected revenues and cash flows could lead to cash flow and working capital constraints, which constraints may require the Reorganized Debtors to seek additional working capital. The Reorganized Debtors may not be able to obtain such working capital when it is required.</w:t>
      </w:r>
    </w:p>
    <w:p>
      <w:pPr>
        <w:spacing w:after="0" w:line="163"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A Small Number of Holders Will Own a Significant Percentage of the New Common Stock.</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Consummation of the Plan will result in a small number of holders owning a significant percentage of the outstanding New Common Stock. Accordingly, these holders may, among other things, have significant influence over the business and affairs of the Reorganized Debtors and have the power to elect directors or managers and approve or disapprove of proposed mergers and other material corporate transactions.</w:t>
      </w:r>
    </w:p>
    <w:p>
      <w:pPr>
        <w:spacing w:after="0" w:line="162" w:lineRule="exact"/>
        <w:rPr>
          <w:sz w:val="20"/>
          <w:szCs w:val="20"/>
          <w:color w:val="auto"/>
        </w:rPr>
      </w:pPr>
    </w:p>
    <w:p>
      <w:pPr>
        <w:ind w:left="1300" w:right="140" w:hanging="644"/>
        <w:spacing w:after="0" w:line="282" w:lineRule="auto"/>
        <w:tabs>
          <w:tab w:leader="none" w:pos="13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If a United States Person is Treated as Owning At Least 10% of the New Common Stock, Such Holder May be Subject to Adverse U.S. Federal Income Tax Consequences.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Many of Weatherford Parent’s non-U.S. subsidiaries are classified as “controlled foreign corporations” for U.S. federal income tax purposes due to the application of certain ownership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2" w:name="page223"/>
    <w:bookmarkEnd w:id="222"/>
    <w:p>
      <w:pPr>
        <w:ind w:right="20"/>
        <w:spacing w:after="0" w:line="286" w:lineRule="auto"/>
        <w:rPr>
          <w:sz w:val="20"/>
          <w:szCs w:val="20"/>
          <w:color w:val="auto"/>
        </w:rPr>
      </w:pPr>
      <w:r>
        <w:rPr>
          <w:rFonts w:ascii="Arial" w:cs="Arial" w:eastAsia="Arial" w:hAnsi="Arial"/>
          <w:sz w:val="16"/>
          <w:szCs w:val="16"/>
          <w:color w:val="auto"/>
        </w:rPr>
        <w:t>attribution rules within a multinational corporate group (although there is a legislative proposal to significantly limit the application of these rules). If a United States person is treated as owning (directly, indirectly or constructively) at least 10% of the value or voting power of Weatherford Parent’s shares, such person may be treated as a “United States shareholder” with respect to one or more of Weatherford Parent’s controlled foreign corporation subsidiaries. In addition, if Weatherford Parent’s shares are treated as owned more than 50% (by voting power or value) by United States shareholders, Weatherford Parent itself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Weatherford Parent makes any distributions to such United States shareholder. An individual United States shareholder generally would not be allowed certain tax deductions or foreign tax credits that would be allowed to a corporate United States shareholder.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Weatherford Parent cannot provide any assurances that it will assist investors in determining whether it or any of its non-U.S. subsidiaries are controlled foreign corporations. Weatherford Parent also cannot guarantee that it will furnish to United States shareholders information that may be necessary for them to comply with the aforementioned obligations. The risk of being subject to increased reporting and compliance obligations and taxation could impact the demand for, and value of, New Common Stock.</w:t>
      </w:r>
    </w:p>
    <w:p>
      <w:pPr>
        <w:spacing w:after="0" w:line="168" w:lineRule="exact"/>
        <w:rPr>
          <w:sz w:val="20"/>
          <w:szCs w:val="20"/>
          <w:color w:val="auto"/>
        </w:rPr>
      </w:pPr>
    </w:p>
    <w:p>
      <w:pPr>
        <w:ind w:left="660" w:right="440" w:hanging="652"/>
        <w:spacing w:after="0" w:line="295" w:lineRule="auto"/>
        <w:tabs>
          <w:tab w:leader="none" w:pos="673"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COULD NEGATIVELY IMPACT THE DEBTORS’ AND REORGANIZED DEBTORS’ BUSINESSES AND FINANCIAL CONDITION</w:t>
      </w:r>
      <w:r>
        <w:rPr>
          <w:rFonts w:ascii="Arial" w:cs="Arial" w:eastAsia="Arial" w:hAnsi="Arial"/>
          <w:sz w:val="23"/>
          <w:szCs w:val="23"/>
          <w:color w:val="auto"/>
          <w:vertAlign w:val="superscript"/>
        </w:rPr>
        <w:t>(7)</w:t>
      </w:r>
    </w:p>
    <w:p>
      <w:pPr>
        <w:spacing w:after="0" w:line="6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7"/>
          <w:szCs w:val="17"/>
          <w:b w:val="1"/>
          <w:bCs w:val="1"/>
          <w:color w:val="auto"/>
        </w:rPr>
        <w:t>DIP Facility.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DIP Facility is intended to provide liquidity to the Debtors during the pendency of the Chapter 11 Cases. If the Chapter 11 Cases take longer than expected to conclude, or in the event of a breach of a milestone or another event of default under the DIP Facility, which could occur if the Plan is not confirmed on the proposed timeline, the Debtors may exhaust or lose access to their financing. There is no assurance that they will be able to obtain additional financing from their existing lenders or otherwise. In either such case, the liquidity necessary for the orderly functioning of the Debtors’ businesses may be materially impaired.</w:t>
      </w:r>
    </w:p>
    <w:p>
      <w:pPr>
        <w:spacing w:after="0" w:line="184" w:lineRule="exact"/>
        <w:rPr>
          <w:sz w:val="20"/>
          <w:szCs w:val="20"/>
          <w:color w:val="auto"/>
        </w:rPr>
      </w:pPr>
    </w:p>
    <w:p>
      <w:pPr>
        <w:ind w:left="1300" w:right="700" w:hanging="644"/>
        <w:spacing w:after="0" w:line="282" w:lineRule="auto"/>
        <w:tabs>
          <w:tab w:leader="none" w:pos="130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Fluctuations in Oil and Gas Prices May Continue to Adversely Affect the Debtors’ and the Reorganized Debtors’ Financial Condition, Financial Results, Cash Flows, Access to Capital and Ability to Grow.</w:t>
      </w:r>
    </w:p>
    <w:p>
      <w:pPr>
        <w:spacing w:after="0" w:line="16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Demand for the Debtors’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ind w:left="180" w:hanging="172"/>
        <w:spacing w:after="0"/>
        <w:tabs>
          <w:tab w:leader="none" w:pos="180" w:val="left"/>
        </w:tabs>
        <w:numPr>
          <w:ilvl w:val="0"/>
          <w:numId w:val="250"/>
        </w:numPr>
        <w:rPr>
          <w:rFonts w:ascii="Arial" w:cs="Arial" w:eastAsia="Arial" w:hAnsi="Arial"/>
          <w:sz w:val="18"/>
          <w:szCs w:val="18"/>
          <w:color w:val="auto"/>
          <w:vertAlign w:val="superscript"/>
        </w:rPr>
      </w:pPr>
      <w:r>
        <w:rPr>
          <w:rFonts w:ascii="Arial" w:cs="Arial" w:eastAsia="Arial" w:hAnsi="Arial"/>
          <w:sz w:val="14"/>
          <w:szCs w:val="14"/>
          <w:color w:val="auto"/>
        </w:rPr>
        <w:t>Additional factors are provided in the Company’s 10-K and 10-Q, filed with the Securities and Exchange Commission on February 15, 2019 and May 10,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3" w:name="page224"/>
    <w:bookmarkEnd w:id="223"/>
    <w:p>
      <w:pPr>
        <w:jc w:val="both"/>
        <w:ind w:right="80"/>
        <w:spacing w:after="0" w:line="264" w:lineRule="auto"/>
        <w:rPr>
          <w:sz w:val="20"/>
          <w:szCs w:val="20"/>
          <w:color w:val="auto"/>
        </w:rPr>
      </w:pPr>
      <w:r>
        <w:rPr>
          <w:rFonts w:ascii="Arial" w:cs="Arial" w:eastAsia="Arial" w:hAnsi="Arial"/>
          <w:sz w:val="18"/>
          <w:szCs w:val="18"/>
          <w:color w:val="auto"/>
        </w:rPr>
        <w:t>given current geopolitical and economic conditions. Therefore, declines in oil and natural gas prices or sustained low oil and natural gas prices or customer perceptions that oil and natural gas prices will remain depressed or will further decrease in the future could result in a continued reduction in the demand and pricing for the Debtors’ equipment and will likely continue at lower rates for the Debtors’ services.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Prices for oil and natural gas are highly volatile and are subject to large fluctuations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the Organization of the Petroleum Exporting Countries (“</w:t>
      </w:r>
      <w:r>
        <w:rPr>
          <w:rFonts w:ascii="Arial" w:cs="Arial" w:eastAsia="Arial" w:hAnsi="Arial"/>
          <w:sz w:val="17"/>
          <w:szCs w:val="17"/>
          <w:b w:val="1"/>
          <w:bCs w:val="1"/>
          <w:u w:val="single" w:color="auto"/>
          <w:color w:val="auto"/>
        </w:rPr>
        <w:t>OPEC</w:t>
      </w:r>
      <w:r>
        <w:rPr>
          <w:rFonts w:ascii="Arial" w:cs="Arial" w:eastAsia="Arial" w:hAnsi="Arial"/>
          <w:sz w:val="17"/>
          <w:szCs w:val="17"/>
          <w:color w:val="auto"/>
        </w:rPr>
        <w:t>”)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the Debtors’ control. Any perceived or actual further reduction in oil and natural gas prices will depress the immediate levels of exploration, development and production activity and decrease spending by the Debtors’ customers, which could have a material adverse effect on the Debtors’ businesses, financial conditions and results of operations.</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Sustained lower oil and natural gas prices have led to a significant decrease in spending by the Debtors’ customers over the past several years, and thus significant decreases in the Debtors’ revenues. Further decreases in oil and natural gas prices could lead to further cuts in spending and lower revenues. The Debtors’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the Debtors’ businesses, financial conditions, results of operations and cash flow.</w:t>
      </w:r>
    </w:p>
    <w:p>
      <w:pPr>
        <w:spacing w:after="0" w:line="169" w:lineRule="exact"/>
        <w:rPr>
          <w:sz w:val="20"/>
          <w:szCs w:val="20"/>
          <w:color w:val="auto"/>
        </w:rPr>
      </w:pPr>
    </w:p>
    <w:p>
      <w:pPr>
        <w:ind w:left="1300" w:right="520" w:hanging="644"/>
        <w:spacing w:after="0" w:line="282" w:lineRule="auto"/>
        <w:tabs>
          <w:tab w:leader="none" w:pos="13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The Credit Risks of the Debtors’ Concentrated Customer Base in the Energy Industry Could Result in Operating Losses and Negatively Impact Liquidity.</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concentration of the Debtors’ customer base in the energy industry may impact the Debtors overall exposure to credit risk as customers may be similarly affected by prolonged changes in economic and industry conditions. Some of the Debtors’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the Debtors’ ability to collect from customers in these countries, particularly national oil companies. Laws in some jurisdictions in which the Debtors operate could make collection difficult or time consuming. The Debtors perform on-going credit evaluations of customers and do not generally require collateral in support of trade receivables. While the Debtors maintain reserves for potential credit losses, the Debtors cannot assure such reserves will be sufficient to meet write-offs of uncollectible receivables or that losses from such receivables will be consistent with the Debtors’ expectations. Additionally, in the event of a bankruptcy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24" w:name="page225"/>
    <w:bookmarkEnd w:id="224"/>
    <w:p>
      <w:pPr>
        <w:ind w:right="280"/>
        <w:spacing w:after="0" w:line="277" w:lineRule="auto"/>
        <w:rPr>
          <w:sz w:val="20"/>
          <w:szCs w:val="20"/>
          <w:color w:val="auto"/>
        </w:rPr>
      </w:pPr>
      <w:r>
        <w:rPr>
          <w:rFonts w:ascii="Arial" w:cs="Arial" w:eastAsia="Arial" w:hAnsi="Arial"/>
          <w:sz w:val="18"/>
          <w:szCs w:val="18"/>
          <w:color w:val="auto"/>
        </w:rPr>
        <w:t>any of the Debtors’ customers, the Debtors may be treated as an unsecured creditor and may collect substantially less, or none, of the amounts owed to the Debtors by such customer.</w:t>
      </w:r>
    </w:p>
    <w:p>
      <w:pPr>
        <w:spacing w:after="0" w:line="166" w:lineRule="exact"/>
        <w:rPr>
          <w:sz w:val="20"/>
          <w:szCs w:val="20"/>
          <w:color w:val="auto"/>
        </w:rPr>
      </w:pPr>
    </w:p>
    <w:p>
      <w:pPr>
        <w:ind w:left="1300" w:right="480" w:hanging="644"/>
        <w:spacing w:after="0" w:line="282" w:lineRule="auto"/>
        <w:tabs>
          <w:tab w:leader="none" w:pos="13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Capital Spending by Customers May Continue to Have an Adverse Effect on the Debtors’ and the Reorganized Debtors’ Business, Financial Condition and Financial Results.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Sustained low oil and natural gas prices have led to lower capital expenditures by the Debtors’ customers. Most of the Debtors’ contracts can be cancelled by a customer at any time. Low commodity prices, the short-term tenor of most of the Debtors’ contracts and the extreme financial stress experienced by customers (some of whom may have to seek bankruptcy protection) have combined to generate demands by many of the Debtors’ customers for reductions in the prices of the Debtors’ products and services. Further reductions in capital spending or requests for further cost reductions by the Debtors’ customers could directly impact the Debtors’ business by reducing demand for services and products and have a material adverse effect on the Debtors’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the Debtors’ services, the rates the Debtors can charge and the utilization of their assets. Moreover, reduced discovery rates of new oil and natural gas reserves or a decrease in the development rate of reserves in the Debtors’ market areas, whether due to increased governmental regulation, limitations on exploration and drilling activity or other factors, could also have a material adverse impact on the Debtors’ businesses, even in a stronger oil and natural gas price environment. With respect to national oil company customers, the Debtors are also subject to risk of policy, regime, currency and budgetary changes all of which may affect their capital expenditures.</w:t>
      </w:r>
    </w:p>
    <w:p>
      <w:pPr>
        <w:spacing w:after="0" w:line="181" w:lineRule="exact"/>
        <w:rPr>
          <w:sz w:val="20"/>
          <w:szCs w:val="20"/>
          <w:color w:val="auto"/>
        </w:rPr>
      </w:pPr>
    </w:p>
    <w:p>
      <w:pPr>
        <w:ind w:left="1300" w:right="460" w:hanging="644"/>
        <w:spacing w:after="0" w:line="282" w:lineRule="auto"/>
        <w:tabs>
          <w:tab w:leader="none" w:pos="130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Severe or Unseasonable Weather Could Adversely Affect Demand for the Debtors’ or the Reorganized Debtors’ Products and Services.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operations, or the Debtors’ customers’ operations, cause supply disruptions or loss of productivity or result in a loss of revenue or damage to equipment and facilities, which may or may not be insured. Any of these outcomes could have a material adverse effect on the Debtors’ business, financial condition and results of operations.</w:t>
      </w:r>
    </w:p>
    <w:p>
      <w:pPr>
        <w:spacing w:after="0" w:line="184" w:lineRule="exact"/>
        <w:rPr>
          <w:sz w:val="20"/>
          <w:szCs w:val="20"/>
          <w:color w:val="auto"/>
        </w:rPr>
      </w:pPr>
    </w:p>
    <w:p>
      <w:pPr>
        <w:ind w:left="1300" w:right="120" w:hanging="644"/>
        <w:spacing w:after="0" w:line="282" w:lineRule="auto"/>
        <w:tabs>
          <w:tab w:leader="none" w:pos="13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 in the Oilfield Services Industry Is Intense and Many of the Debtors’ Competitors Have Greater Financial and Other Resources Than The Debtors Do.</w:t>
      </w:r>
    </w:p>
    <w:p>
      <w:pPr>
        <w:spacing w:after="0" w:line="16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Debtors’ businesses are highly competitive, particularly with respect to the marketing of products and services to customers as well as securing equipment and trained personnel. Currently the oilfield service industry has excess capacity relative to customer demand, and,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5" w:name="page226"/>
    <w:bookmarkEnd w:id="225"/>
    <w:p>
      <w:pPr>
        <w:ind w:right="20"/>
        <w:spacing w:after="0" w:line="271" w:lineRule="auto"/>
        <w:rPr>
          <w:sz w:val="20"/>
          <w:szCs w:val="20"/>
          <w:color w:val="auto"/>
        </w:rPr>
      </w:pPr>
      <w:r>
        <w:rPr>
          <w:rFonts w:ascii="Arial" w:cs="Arial" w:eastAsia="Arial" w:hAnsi="Arial"/>
          <w:sz w:val="17"/>
          <w:szCs w:val="17"/>
          <w:color w:val="auto"/>
        </w:rPr>
        <w:t>most cases, multiple sources of comparable oilfield services are available from a number of different competitors. This competitive environment could impact the Debtors’ ability to maintain market share, defend, maintain or increase pricing for products and services and negotiate acceptable contract terms with customers and suppliers. In order to remain competitive, the Debtors must continue to add value for customers by providing, relative to their peers, new technologies, reliable products and services and competent personnel. The anticipated timing and cost of the development of competitive technology and new product introductions can impact the Debtors’ financial results, particularly if one of the Debtors’ competitors were to develop competing technology that accelerates the obsolescence of any of the Debtors’ products or services. Additionally, the Debtors may be disadvantaged competitively and financially by a significant movement of exploration and production operations to areas of the world in which they are not currently active, particularly if one or more of the Debtors’ competitors is already operating in that area of the world.</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Mergers, combinations and consolidations in the Debtors’ industry could result in existing competitors increasing their market share and may result in stronger competitors, which in turn, could have a material adverse effect on the Debtors’ business, financial condition and results of operations. The Debtors may not be able to compete successfully in an increasingly consolidated industry and cannot predict with certainty how industry consolidation will affect other competitors or the Debtors.</w:t>
      </w:r>
    </w:p>
    <w:p>
      <w:pPr>
        <w:spacing w:after="0" w:line="183" w:lineRule="exact"/>
        <w:rPr>
          <w:sz w:val="20"/>
          <w:szCs w:val="20"/>
          <w:color w:val="auto"/>
        </w:rPr>
      </w:pPr>
    </w:p>
    <w:p>
      <w:pPr>
        <w:ind w:left="1300" w:right="980" w:hanging="644"/>
        <w:spacing w:after="0" w:line="282" w:lineRule="auto"/>
        <w:tabs>
          <w:tab w:leader="none" w:pos="13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Claims Resulting From Catastrophic Incidents Could Have a Material Adverse Effect on the Debtors’ and the Reorganized Debtors’ Business, Financial Condition and Financial Results.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Drilling for and producing hydrocarbons, and the associated products and services that the Debtors provide, include inherent dangers that may lead to property damage, personal injury, death or the discharge of hazardous materials into the environment. Many of these events are outside the Debtors’ control. Typically, the Debtors provide products and services at a well site where personnel and equipment are located together with personnel and equipment of the Debtors’ customer and third parties, such as other service providers. At many sites, the Debtors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products and services are deployed on more challenging prospects both onshore and offshore, where the occurrence of the types of events mentioned above can have an even more catastrophic impact on people, equipment and the environment. Such events may expose the Debtors to significant potential losses.</w:t>
      </w:r>
    </w:p>
    <w:p>
      <w:pPr>
        <w:spacing w:after="0" w:line="163" w:lineRule="exact"/>
        <w:rPr>
          <w:sz w:val="20"/>
          <w:szCs w:val="20"/>
          <w:color w:val="auto"/>
        </w:rPr>
      </w:pPr>
    </w:p>
    <w:p>
      <w:pPr>
        <w:ind w:left="1300" w:hanging="644"/>
        <w:spacing w:after="0" w:line="282" w:lineRule="auto"/>
        <w:tabs>
          <w:tab w:leader="none" w:pos="13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is customary in the Debtors’ industry, the Debtors’ contracts typically require that customers and other third parties indemnify the Debtors for claims arising from the injury or death of their employees (and those of their other contractors), the loss or damage of their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6" w:name="page227"/>
    <w:bookmarkEnd w:id="226"/>
    <w:p>
      <w:pPr>
        <w:ind w:right="40"/>
        <w:spacing w:after="0" w:line="302" w:lineRule="auto"/>
        <w:rPr>
          <w:sz w:val="20"/>
          <w:szCs w:val="20"/>
          <w:color w:val="auto"/>
        </w:rPr>
      </w:pPr>
      <w:r>
        <w:rPr>
          <w:rFonts w:ascii="Arial" w:cs="Arial" w:eastAsia="Arial" w:hAnsi="Arial"/>
          <w:sz w:val="16"/>
          <w:szCs w:val="16"/>
          <w:color w:val="auto"/>
        </w:rPr>
        <w:t>(and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the Debtors typically indemnify their customers and certain other third parties for claims arising from the injury or death of the Debtors’ employees, the loss or damage of the Debtors’ equipment (other than equipment lost in the hole) or pollution originating from the Debtors’ equipment.</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Debtors’ indemnification arrangements may not protect the Debtors in every case. For example, from time to time the Debtors may enter into contracts with less favorable indemnities or perform work without a contract that provides protection. The Debtors’ indemnity arrangements may also be held to be overly broad in some courts and/or contrary to public policy in some jurisdictions, and to that extent may be unenforceable. Additionally, some jurisdictions which permit indemnification nonetheless limit its scope by statute. The Debtors may be subject to claims brought by third parties or government agencies with respect to which they are not indemnified. Furthermore, the parties from which indemnity is sought may not be solvent, may become bankrupt, may lack resources or insurance to honor their indemnities or may not otherwise be able to satisfy their indemnity obligations to the Debtors. The lack of enforceable indemnification could expose the Debtors to significant potential losses.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 the Debtors’ assets are generally are not insured against loss from political violence such as war, terrorism or civil commotion. If assets are damaged or destroyed as a result of an uninsured cause, the Debtors could recognize a loss of those assets.</w:t>
      </w:r>
    </w:p>
    <w:p>
      <w:pPr>
        <w:spacing w:after="0" w:line="166" w:lineRule="exact"/>
        <w:rPr>
          <w:sz w:val="20"/>
          <w:szCs w:val="20"/>
          <w:color w:val="auto"/>
        </w:rPr>
      </w:pPr>
    </w:p>
    <w:p>
      <w:pPr>
        <w:ind w:left="1300" w:right="140" w:hanging="644"/>
        <w:spacing w:after="0" w:line="282" w:lineRule="auto"/>
        <w:tabs>
          <w:tab w:leader="none" w:pos="13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Businesses May Be Exposed To Uninsured Claims And, As A Result, Litigation Might Result In Significant Potential Losses. The Cost Of The Debtors’ Insured Risk Management Program May Increase.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ordinary course of business, the Debtors become the subject of various claims and litigation. The Debtors maintain liability insurance, which includes insurance against damage to people, property and the environment, up to maximum limits of $435 million, subject to self-insured retentions and deductibles.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These insurance policies are subject to exclusions, limitations and other conditions and may not apply in all cases, for example where willful wrongdoing on the Debtors part is alleged. It is possible an unexpected judgment could be rendered against the Debtors in cases in which the Debtors could be uninsured and beyond the amounts the Debtors currently have reserved or anticipate incurring, and in some cases those potential losses could be material.</w:t>
      </w:r>
    </w:p>
    <w:p>
      <w:pPr>
        <w:spacing w:after="0" w:line="14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Debtors’ insurance may not be sufficient to cover any particular loss or insurance may not cover all losses. For example, although the Debtors maintain product liability insurance, this type of insurance is limited in coverage and it is possible an adverse claim could arise in excess of that coverage. Additionally, insurance rates have in the past been subject to wide fluctuation and may be unavailable on terms that the Debtors or the Debtors’ customers believe are economically acceptable. Reductions in coverage, changes in the insurance markets and accidents affecting the Debtors’ industry may result in further cost increases and higher deductibles and retentions in future years and may also result in reduced activity levels in certain markets. Any of these events would have an adverse impact on the Debtors’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ind w:left="1300" w:right="80" w:hanging="644"/>
        <w:spacing w:after="0" w:line="313" w:lineRule="auto"/>
        <w:tabs>
          <w:tab w:leader="none" w:pos="1295"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Operations Are Subject To Numerous Laws And Regulations, Including Environmental Laws And Regulations, That May Expose The Debtors To Significant Liabilities And Could Reduce Business Opportunities And Revenues.</w:t>
      </w:r>
    </w:p>
    <w:p>
      <w:pPr>
        <w:spacing w:after="0" w:line="14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Debtors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the Debtors’ current businesses, products or services, or a business or property that one of the Debtors’ predecessors owned or used, and such claims could involve material expenditures. Generally, environmental laws have in recent years become more stringent and have sought to impose greater liability on a larger number of potentially responsible parties. The scope of regulation of the Debtors’ industry and the Debtors’ products and services may increase further, including possible increases in liabilities or funding requirements imposed by governmental agencies. The Debtors also cannot ensure that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the Debtors’ business where they are imposed.</w:t>
      </w:r>
    </w:p>
    <w:p>
      <w:pPr>
        <w:spacing w:after="0" w:line="16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addition, members of the U.S. Congress, the U.S. Environmental Protection Agency and various agencies of several states within the U.S. frequently review, consider and propose more stringent regulation of hydraulic fracturing, a service the Debtors previously provided (and may, in the future, resume providing) to clients. Regulators are investigating whether any chemicals used in the fracturing process might adversely affect groundwater or whether the fracturing processes could lead to other unintended effects or damages.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the costs of providing services or could materially reduce potential business opportunities and revenues if the Debtors’ customers decrease their levels of activity in response to such regulation or if the Debtors are not able to pass along any cost increases to customers. The Debtors are unable to predict whether changes in laws or regulations or any other governmental proposals or responses will ultimately occur, and accordingly, are unable to assess the potential financial or operational impact they may have on the Debtors’ businesses.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8" w:name="page229"/>
    <w:bookmarkEnd w:id="228"/>
    <w:p>
      <w:pPr>
        <w:ind w:left="1300" w:right="260" w:hanging="644"/>
        <w:spacing w:after="0" w:line="282" w:lineRule="auto"/>
        <w:tabs>
          <w:tab w:leader="none" w:pos="128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 Significant Portion of the Debtors’ Revenue is Derived From the Debtors’ Non-United States Operations, Which Exposes the Debtors to Risks Inherent in Doing Business in the Over 80 Countries in Which They Operate.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Debtors’ non-United States operations accounted for approximately $4.1 billion of their consolidated revenue in both 2018 and 2017 and $4.2 billion in 2016. Operations in countries other than the United States are subject to various risks, including:</w:t>
      </w:r>
    </w:p>
    <w:p>
      <w:pPr>
        <w:spacing w:after="0" w:line="170" w:lineRule="exact"/>
        <w:rPr>
          <w:sz w:val="20"/>
          <w:szCs w:val="20"/>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exposure to expropriation of the Debtors’ assets or other governmental 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or similar legislation;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21" w:lineRule="exact"/>
        <w:rPr>
          <w:sz w:val="20"/>
          <w:szCs w:val="20"/>
          <w:color w:val="auto"/>
        </w:rPr>
      </w:pPr>
    </w:p>
    <w:p>
      <w:pPr>
        <w:ind w:left="1300" w:right="360" w:hanging="644"/>
        <w:spacing w:after="0" w:line="282" w:lineRule="auto"/>
        <w:tabs>
          <w:tab w:leader="none" w:pos="129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Complete Their Strategic Divestitures And May Not Achieve The Intended Benefits Of Any Acquisition, Divestiture Or Joint Venture.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Debtors may pursue strategic divestitures, acquisitions, investments and joint ventures “transactions”. Such divestitures can be complex in nature and may be affected by unanticipated developments, such as the recent significant and sustained decrease in the price of crude oil, delays in obtaining regulatory, governmental, customer or other third party approvals and challenges in establishing processes and infrastructure for both the underlying business and for potential investors or buyers of the business, which may result in such divestiture being delayed, or in limited circumstances not being completed at all, any of which could have a negative impact on the Debtors’ ability to repay indebtedness or their liquidity and otherwise expose the Debtors to increased competitive pressures and additional risks.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earnings for a number of reasons, and pose many other risks that could adversely affect the Debtors’ operations or financial results, including: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8" w:right="379" w:bottom="1440" w:gutter="0" w:footer="0" w:header="0"/>
        </w:sectPr>
      </w:pPr>
    </w:p>
    <w:bookmarkStart w:id="229" w:name="page230"/>
    <w:bookmarkEnd w:id="229"/>
    <w:p>
      <w:pPr>
        <w:ind w:left="980" w:right="480" w:hanging="324"/>
        <w:spacing w:after="0" w:line="302" w:lineRule="auto"/>
        <w:tabs>
          <w:tab w:leader="none" w:pos="94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these transactions have and do require significant investment of time and resources, may disrupt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the Debtors’ financial results, including cash flow, repayment of indebtedness or compliance with debt covenants;</w:t>
      </w:r>
    </w:p>
    <w:p>
      <w:pPr>
        <w:spacing w:after="0" w:line="154" w:lineRule="exact"/>
        <w:rPr>
          <w:rFonts w:ascii="Arial" w:cs="Arial" w:eastAsia="Arial" w:hAnsi="Arial"/>
          <w:sz w:val="16"/>
          <w:szCs w:val="16"/>
          <w:color w:val="auto"/>
        </w:rPr>
      </w:pPr>
    </w:p>
    <w:p>
      <w:pPr>
        <w:ind w:left="980" w:right="480" w:hanging="324"/>
        <w:spacing w:after="0" w:line="277" w:lineRule="auto"/>
        <w:tabs>
          <w:tab w:leader="none" w:pos="9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operating income or operating margins, and the Debtors may be unable to recover their investments;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Debtors may not be able to effectively influence the operations of joint ventures, or may be exposed to certain liabilities if the Debtors’ joint venture partners do not fulfill their obligations; and</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Debtors may not be able to fully realize the intended or expected benefits of consummating such transactions, including receiving the expected cash proceeds.</w:t>
      </w:r>
    </w:p>
    <w:p>
      <w:pPr>
        <w:spacing w:after="0" w:line="166" w:lineRule="exact"/>
        <w:rPr>
          <w:sz w:val="20"/>
          <w:szCs w:val="20"/>
          <w:color w:val="auto"/>
        </w:rPr>
      </w:pPr>
    </w:p>
    <w:p>
      <w:pPr>
        <w:ind w:left="1300" w:right="640" w:hanging="644"/>
        <w:spacing w:after="0" w:line="282" w:lineRule="auto"/>
        <w:tabs>
          <w:tab w:leader="none" w:pos="1295"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to Retain or Attract Employees, Including Executive Officers and Other Key Personnel, Could Have a Material Adverse Effect on the Debtors’ Businesses.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Debtors’ businesses are dependent on their ability to attract, develop, and retain qualified employees and workers. The Debtors’ ability to meet employment and staffing needs is subject to external and internal factors such as the current and future prices of oil and natural gas, the demand for workers by companies in the Debtors’ industry, the Debtors’ reputation within the labor market (particularly in a highly competitive industry), and the Debtors’ workers’ perception of opportunities with the Debtors as compared to the Debtors’ peers (including as to financial performance and incentives related thereto). If the Debtors are unable to attract and retain adequate numbers and an appropriate mix of qualified workers, the quality of products and services provided to customers may decrease and financial performance may be adversely affected. Further, the Debtors depend on the contributions of key personnel for future success. Departures of key employees can cause disruptions to, and uncertainty in, the Debtors’ businesses and operations. Future departures of key employees, including changes in senior management, could disrupt the Debtors’ businesses and have a materially adverse effect on the Debtors’ financial condition and results of operations.</w:t>
      </w:r>
    </w:p>
    <w:p>
      <w:pPr>
        <w:spacing w:after="0" w:line="178" w:lineRule="exact"/>
        <w:rPr>
          <w:sz w:val="20"/>
          <w:szCs w:val="20"/>
          <w:color w:val="auto"/>
        </w:rPr>
      </w:pPr>
    </w:p>
    <w:p>
      <w:pPr>
        <w:ind w:left="1300" w:hanging="644"/>
        <w:spacing w:after="0" w:line="282" w:lineRule="auto"/>
        <w:tabs>
          <w:tab w:leader="none" w:pos="129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If Another Party Claims That the Debtors Have Infringed its Intellectual Property Rights, the Debtors May be Subject to Litigation or May Need to Take Remedial Steps to Eliminate or Mitigate Liability.</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third party may claim that the Debtors sell equipment or perform services that infringes upon the third party’s patent rights or unlawfully uses the third party’s trade secrets. Addressing such claims of patent infringement or trade secret misappropriation could result in significant legal and other costs and may adversely impact the Debtors’ businesses. To resolve such claims, the Debtors may be required to enter into license agreements that require them to make royalty payments to continue selling equipment or providing of services. Alternatively, the development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0" w:name="page231"/>
    <w:bookmarkEnd w:id="230"/>
    <w:p>
      <w:pPr>
        <w:spacing w:after="0" w:line="264" w:lineRule="auto"/>
        <w:rPr>
          <w:sz w:val="20"/>
          <w:szCs w:val="20"/>
          <w:color w:val="auto"/>
        </w:rPr>
      </w:pPr>
      <w:r>
        <w:rPr>
          <w:rFonts w:ascii="Arial" w:cs="Arial" w:eastAsia="Arial" w:hAnsi="Arial"/>
          <w:sz w:val="18"/>
          <w:szCs w:val="18"/>
          <w:color w:val="auto"/>
        </w:rPr>
        <w:t>of non-infringing technologies could be costly. If an allegation of patent infringement or trade secret misappropriation cannot be resolved through a license agreement, the Debtors might not be able to continue selling particular equipment or providing particular services, which could adversely affect their financial conditions, results of operations, and cash flow.</w:t>
      </w:r>
    </w:p>
    <w:p>
      <w:pPr>
        <w:spacing w:after="0" w:line="177" w:lineRule="exact"/>
        <w:rPr>
          <w:sz w:val="20"/>
          <w:szCs w:val="20"/>
          <w:color w:val="auto"/>
        </w:rPr>
      </w:pPr>
    </w:p>
    <w:p>
      <w:pPr>
        <w:ind w:left="1300" w:right="880" w:hanging="644"/>
        <w:spacing w:after="0" w:line="282" w:lineRule="auto"/>
        <w:tabs>
          <w:tab w:leader="none" w:pos="129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and Holders of Allowed Claims and Allowed Equity Interests May Suffer Adverse U.S. Federal Income Tax Consequences as a Result of the Implementation of the Plan</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Following the Effective Date, the Reorganized Debtors intend to continue to operate under Weatherford Parent, which is expected to be an Irish tax resident following the Irish Migration (as defined below). The United States Internal Revenue Service (the “</w:t>
      </w:r>
      <w:r>
        <w:rPr>
          <w:rFonts w:ascii="Arial" w:cs="Arial" w:eastAsia="Arial" w:hAnsi="Arial"/>
          <w:sz w:val="17"/>
          <w:szCs w:val="17"/>
          <w:b w:val="1"/>
          <w:bCs w:val="1"/>
          <w:u w:val="single" w:color="auto"/>
          <w:color w:val="auto"/>
        </w:rPr>
        <w:t>IRS</w:t>
      </w:r>
      <w:r>
        <w:rPr>
          <w:rFonts w:ascii="Arial" w:cs="Arial" w:eastAsia="Arial" w:hAnsi="Arial"/>
          <w:sz w:val="17"/>
          <w:szCs w:val="17"/>
          <w:color w:val="auto"/>
        </w:rPr>
        <w:t>”) may, however, assert that Weatherford Parent should be treated as a U.S. corporation for U.S. federal income tax purposes pursuant to IRC Section 7874. For U.S. federal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(i) an exception to this general rule under which a foreign incorporated entity may, in certain circumstances, be treated as a U.S. corporation for U.S. federal income tax purposes, or, in the alternative, (ii) for certain adverse tax consequences in certain cases where a foreign incorporated entity is treated as a non-U.S. corporation for U.S. federal income tax purposes.</w:t>
      </w:r>
    </w:p>
    <w:p>
      <w:pPr>
        <w:spacing w:after="0" w:line="1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application of IRC Section 7874 to Weatherford Parent is unclear and subject to factual uncertainty and may result in significant adverse tax consequences. For additional information regarding the application of IRC Section 7874, see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below.</w:t>
      </w:r>
    </w:p>
    <w:p>
      <w:pPr>
        <w:spacing w:after="0" w:line="166" w:lineRule="exact"/>
        <w:rPr>
          <w:sz w:val="20"/>
          <w:szCs w:val="20"/>
          <w:color w:val="auto"/>
        </w:rPr>
      </w:pPr>
    </w:p>
    <w:p>
      <w:pPr>
        <w:ind w:left="1300" w:right="140" w:hanging="644"/>
        <w:spacing w:after="0" w:line="282" w:lineRule="auto"/>
        <w:tabs>
          <w:tab w:leader="none" w:pos="129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The Rights Of The Debtors’ Shareholders Are Governed By Irish Law; Irish Law Differs From The Laws In Effect In The United States And May Afford Less Protection To Holders Of The Debtors’ Securities.</w:t>
      </w:r>
    </w:p>
    <w:p>
      <w:pPr>
        <w:spacing w:after="0" w:line="16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an Irish company, Weatherford Parent is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alone, as a separate legal entity, and not to individual shareholders (save in the case of insolvency, where the directors will primarily owe their duties to a company’s creditors). Shareholders of Irish companies generally do not have a personal right of action against directors or officers of the company and may exercise such rights of action on behalf of the company only in limited circumstances. Accordingly, holders of the Debtors’ securities may have more difficulty protecting their interests than would holders of securities of a corporation incorporated in a jurisdiction of the United States. Additionally, while Weatherford Parent is an Irish company, Weatherford Parent currently holds shareholders meetings in Switzerland, and in the future may hold shareholders meetings in Ireland which may make attendance in person more difficult for some investors.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1" w:name="page232"/>
    <w:bookmarkEnd w:id="231"/>
    <w:p>
      <w:pPr>
        <w:ind w:left="1300" w:right="340" w:hanging="644"/>
        <w:spacing w:after="0" w:line="266" w:lineRule="auto"/>
        <w:tabs>
          <w:tab w:leader="none" w:pos="129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Is Incorporated In Ireland and a Significant Portion of the Debtors’ Assets are Located Outside the United States. As a Result, it Might Not Be Possible For Shareholders to Enforce Civil Liability Provisions of the Federal or State Securities Laws of the United States.</w:t>
      </w:r>
    </w:p>
    <w:p>
      <w:pPr>
        <w:spacing w:after="0" w:line="18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Weatherford Parent is organized under the laws of Ireland, and a significant portion of the Debtors’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the Debtors in Ireland. In addition, there is some doubt as to whether the courts of Ireland and other countries would recognize or enforce judgments of U.S. courts obtained against the Debtors or the Debtors’ directors or officers based on the civil liabilities provisions of the federal or state securities laws of the United States or would hear actions against the Debtors or those persons based on those laws. The laws of Ireland do, however, as a general rule, provide that if an order of recognition by the Irish Court is granted, the judgments of the courts of the United States have the same validity in Ireland as if rendered by Irish Courts. Certain important requirements must be satisfied before the Irish Courts will recognize the U.S. judgment. These include the following: the judgment must be a money judgment for a liquidated sum,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76" w:lineRule="exact"/>
        <w:rPr>
          <w:sz w:val="20"/>
          <w:szCs w:val="20"/>
          <w:color w:val="auto"/>
        </w:rPr>
      </w:pPr>
    </w:p>
    <w:p>
      <w:pPr>
        <w:ind w:left="1300" w:right="80" w:hanging="644"/>
        <w:spacing w:after="0" w:line="282" w:lineRule="auto"/>
        <w:tabs>
          <w:tab w:leader="none" w:pos="129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Will Require “Profits Available for Distribution” to Pay Dividends and Generally to Make Share Repurchases and Redemptions.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Irish law, dividends may only be paid, and share repurchases and redemptions may generally only be made, by Weatherford Parent from its “profits available for distribution”. Immediately following the Effective Date, Weatherford Parent may not have any profits available for distribution. In such circumstances, no dividends, other distributions, share repurchases or redemptions will be permitted under Irish law until such time as Weatherford Parent has generated sufficient profits available for distribution from its business activities or, to the extent possible, reorganized its capital structure to create such profits.</w:t>
      </w:r>
    </w:p>
    <w:p>
      <w:pPr>
        <w:spacing w:after="0" w:line="184"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IRISH EXAMINERSHIP PROCEEDING</w:t>
      </w:r>
    </w:p>
    <w:p>
      <w:pPr>
        <w:spacing w:after="0" w:line="225"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Irish proceeding, the examinership in relation to Weatherford Parent, will be of shorter duration than the Chapter 11 Cases and will run concurrently with the Chapter 11 Cases. It will entail the same risks with regard to the Debtors’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2" w:name="page233"/>
    <w:bookmarkEnd w:id="232"/>
    <w:p>
      <w:pPr>
        <w:ind w:left="1300" w:hanging="644"/>
        <w:spacing w:after="0"/>
        <w:tabs>
          <w:tab w:leader="none" w:pos="13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Appointment of an Examiner to the Weatherford Parent.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509 of the Companies Act 2014 (Ireland) provides that the High Court of Ireland may appoint an examiner to an Irish registered company if it is insolvent, has not been put into liquidation, no receiver has been appointed for three consecutive days prior to the presentation of the petition and that there is a reasonable prospect of the survival of both the company and its undertaking. In the case of the latter proof, Weatherford Parent, as the ultimate parent company of the Weatherford group, will be required to satisfy the High Court of Ireland that it has an undertaking in its own right and that there is a reasonable prospect of survival of its undertaking as a going concern. Weatherford Parent believes that it will be possible to satisfy each of these proofs but there can be no assurance that the High Court of Ireland will reach the same conclusion.</w:t>
      </w:r>
    </w:p>
    <w:p>
      <w:pPr>
        <w:spacing w:after="0" w:line="174" w:lineRule="exact"/>
        <w:rPr>
          <w:sz w:val="20"/>
          <w:szCs w:val="20"/>
          <w:color w:val="auto"/>
        </w:rPr>
      </w:pPr>
    </w:p>
    <w:p>
      <w:pPr>
        <w:ind w:left="1300" w:right="200" w:hanging="644"/>
        <w:spacing w:after="0" w:line="282" w:lineRule="auto"/>
        <w:tabs>
          <w:tab w:leader="none" w:pos="13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Put the Proposals Before the Members and Creditors of Weatherford Parent and Seek their Approval by the High Court of Ireland.</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examiner, when appointed, will be an independent officer of the High Court of Ireland and will be free to adopt or decline to adopt the terms of the proposals for a scheme of arrangement accompanying the petition to have an examiner appointed to Weatherford Parent. Weatherford Parent believes that the examiner will adopt and put the proposals before meetings of Weatherford Parent’s shareholders and creditors and subsequently seek their approval by the High Court of Ireland, because the proposals will, insofar as Weatherford Parent is concerned, mirror the Plan and the Plan represents the best solution achievable for the Debtors, their creditors and shareholders. There can be no assurance however that the examiner will reach the same conclusion.</w:t>
      </w:r>
    </w:p>
    <w:p>
      <w:pPr>
        <w:spacing w:after="0" w:line="154" w:lineRule="exact"/>
        <w:rPr>
          <w:sz w:val="20"/>
          <w:szCs w:val="20"/>
          <w:color w:val="auto"/>
        </w:rPr>
      </w:pPr>
    </w:p>
    <w:p>
      <w:pPr>
        <w:ind w:left="1300" w:hanging="644"/>
        <w:spacing w:after="0"/>
        <w:tabs>
          <w:tab w:leader="none" w:pos="13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Fail to Satisfy the Vote Requirement.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541 of the Companies Act 2014 (Ireland) provides that at least one class of creditors whose claims would be impaired by the scheme of arrangement must have voted in favor of the scheme of arrangement. A class is deemed to vote in favor if a majority in number and value of claims of those present and voting at the class meeting convened by the examiner votes in favor. In the event that the only class which will be impaired, the Prepetition Notes Claims creditors (entitled to claim pursuant to guarantees provided by Weatherford Parent), do not vote in favor of the scheme of arrangement it cannot be approved by the High Court of Ireland and will therefore not become effective. In such circumstances, such alternative structure as is approved by the Required Consenting Noteholders may be put in place.</w:t>
      </w:r>
    </w:p>
    <w:p>
      <w:pPr>
        <w:spacing w:after="0" w:line="189"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Examiner’s Classification of Claims.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examiner will be required, pursuant to section 539 of the Companies Act 2014 (Ireland), to place creditors in classes of creditors and provide equal treatment for each claim within a particular class unless the holder of a particular claim agrees to less favorable treatment. It is likely that in considering any objection to the basis upon which classes have been formulated the High Court of Ireland would take the view that each class must be confined to those parties whose rights are not so dissimilar as to make it impossible for them to consult together with a 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color w:val="auto"/>
        </w:rPr>
        <w:t>to their common interest. There can be no assurance that the High Court of Ireland will decide that the examiner’s formulation of classes was correct.</w:t>
      </w:r>
    </w:p>
    <w:p>
      <w:pPr>
        <w:spacing w:after="0" w:line="233"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Be Able to Secure Confirmation of the Proposals for a Scheme of Arrangement.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541 of the Companies Act 2014 (Ireland) provides that the High Court of Ireland is precluded from confirming proposals for a scheme of arrangement unless it is satisfied that the proposals are fair and equitable in relation to any class of members or creditors that has not accepted the proposals and whose interests or claims would be impaired by implementation of the proposals and not unfairly prejudicial to the interests of any interested party. Whether proposals are fair and equitable or not unfairly prejudicial to any party will usually be assessed by reference to how such party would be treated in a liquidation, pursuant to Part 11 of the Companies Act 2014 (Ireland), of Weatherford Parent. A shareholder or creditor should not be unfairly prejudiced and a class of shareholders or creditors should not be considered to have been treated unfairly or inequitably if that party’s treatment approximates to, or is better than, the manner in which such party would be treated in a liquidation of Weatherford Parent. Any creditor or shareholder whose interests would be impaired by the proposals if implemented and who did not vote in favor of the proposals may object to the proposals in the High Court of Ireland at the hearing convened to confirm the proposals. Weatherford Parent believes that the terms of the Plan insofar as they relate to Weatherford Parent would not, if mirrored in a scheme of arrangement pursuant to Part 10 of the Companies Act 2014 (Ireland), be unfair or inequitable to any class of shareholders or creditors of Weatherford Parent and would not be unfairly prejudicial to the interests of any interested party. There is no assurance however that the High Court of Ireland will reach the same conclusion.</w:t>
      </w:r>
    </w:p>
    <w:p>
      <w:pPr>
        <w:spacing w:after="0" w:line="176" w:lineRule="exact"/>
        <w:rPr>
          <w:sz w:val="20"/>
          <w:szCs w:val="20"/>
          <w:color w:val="auto"/>
        </w:rPr>
      </w:pPr>
    </w:p>
    <w:p>
      <w:pPr>
        <w:ind w:left="640" w:hanging="632"/>
        <w:spacing w:after="0"/>
        <w:tabs>
          <w:tab w:leader="none" w:pos="6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BERMUDA PROCEEDING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Risk that the Bermuda Court Will Not Sanction the Bermuda Scheme or Grant Recognition of the Confirmation Order.</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Prior to the Effective Date, the Bermuda Debtor intends to put forward the Bermuda Scheme in Bermuda or alternatively seek recognition of the Confirmation Order in Bermuda. In the event that the Bermuda Scheme is put forward, the Bermuda Court is expected to direct that a meeting of creditors affected by the Bermuda Scheme be convened at which point such creditors are expected to approve the Bermuda Scheme. There is a risk that the creditors will not approve the Bermuda Scheme in accordance with the requisite majority under Bermuda law (a majority of those present and voting and seventy-five percent in value of those present and voting. There is a risk that the Bermuda Court will not sanction the scheme, which may affect the Bermuda Debtor’s ability to ensure that certain creditors are bound by the terms of the Confirmation order. There is a risk that, in the event that the Bermuda Debtor applies for recognition of the Confirmation Order, the Bermuda Court will not grant such recognition, which may affect the Bermuda Debtor’s ability to effectuate certain relief granted pursuant to the Confirmation Order in Bermuda.</w:t>
      </w:r>
    </w:p>
    <w:p>
      <w:pPr>
        <w:spacing w:after="0" w:line="175" w:lineRule="exact"/>
        <w:rPr>
          <w:sz w:val="20"/>
          <w:szCs w:val="20"/>
          <w:color w:val="auto"/>
        </w:rPr>
      </w:pPr>
    </w:p>
    <w:p>
      <w:pPr>
        <w:ind w:left="1300" w:right="200" w:hanging="644"/>
        <w:spacing w:after="0" w:line="282" w:lineRule="auto"/>
        <w:tabs>
          <w:tab w:leader="none" w:pos="13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Debtor’s Bye-Laws Restrict Shareholders From Bringing Legal Action Against the Bermuda Debtor’s Officers and Directors.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Bermuda Debtor’s bye-laws contain a broad waiver by its shareholders of any claim or right of action, both individually and on the Bermuda Debtor’s behalf, against any of its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4" w:name="page235"/>
    <w:bookmarkEnd w:id="234"/>
    <w:p>
      <w:pPr>
        <w:ind w:right="160"/>
        <w:spacing w:after="0" w:line="312" w:lineRule="auto"/>
        <w:rPr>
          <w:sz w:val="20"/>
          <w:szCs w:val="20"/>
          <w:color w:val="auto"/>
        </w:rPr>
      </w:pPr>
      <w:r>
        <w:rPr>
          <w:rFonts w:ascii="Arial" w:cs="Arial" w:eastAsia="Arial" w:hAnsi="Arial"/>
          <w:sz w:val="16"/>
          <w:szCs w:val="16"/>
          <w:color w:val="auto"/>
        </w:rPr>
        <w:t>or directors. The waiver applies to any action taken by an officer or director, or the failure of an officer or director to take any action, in the performance of his or her duties, except with respect to any matter involving any fraud or dishonesty on the part of the officer or director. This waiver limits the right of shareholders to assert claims against the Bermuda Debtor’s officers and directors unless the act or failure to act involves fraud or dishonesty.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SOLICITATION AND VOTING PROCEDURES</w:t>
      </w:r>
    </w:p>
    <w:p>
      <w:pPr>
        <w:spacing w:after="0" w:line="207"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w:t>
      </w:r>
    </w:p>
    <w:p>
      <w:pPr>
        <w:spacing w:after="0" w:line="225"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Each Eligible Holder</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of a Prepetition Notes Claim as of June 24, 2019 (the “</w:t>
      </w:r>
      <w:r>
        <w:rPr>
          <w:rFonts w:ascii="Arial" w:cs="Arial" w:eastAsia="Arial" w:hAnsi="Arial"/>
          <w:sz w:val="17"/>
          <w:szCs w:val="17"/>
          <w:b w:val="1"/>
          <w:bCs w:val="1"/>
          <w:u w:val="single" w:color="auto"/>
          <w:color w:val="auto"/>
        </w:rPr>
        <w:t>Prepetition Notes Voting Record Date</w:t>
      </w:r>
      <w:r>
        <w:rPr>
          <w:rFonts w:ascii="Arial" w:cs="Arial" w:eastAsia="Arial" w:hAnsi="Arial"/>
          <w:sz w:val="17"/>
          <w:szCs w:val="17"/>
          <w:color w:val="auto"/>
        </w:rPr>
        <w:t>”) is entitled to vote to accept or reject the Plan and shall receive the Solicitation Package (as defined below) in accordance with the solicitation procedures described herein.</w:t>
      </w:r>
    </w:p>
    <w:p>
      <w:pPr>
        <w:spacing w:after="0" w:line="19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Each Holder of Existing Common Stock as of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color w:val="auto"/>
        </w:rPr>
        <w:t>” and together with the Prepetition Notes Voting Record Date, the “</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 is entitled to vote to accept or reject the Plan and shall receive the Solicitation Package (as defined below) in accordance with the solicitation procedures described herein.</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discussion of the procedures below is a summary of the solicitation and voting process</w:t>
      </w:r>
      <w:r>
        <w:rPr>
          <w:rFonts w:ascii="Arial" w:cs="Arial" w:eastAsia="Arial" w:hAnsi="Arial"/>
          <w:sz w:val="18"/>
          <w:szCs w:val="18"/>
          <w:color w:val="auto"/>
        </w:rPr>
        <w:t>. Detailed voting instructions will be provided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ballot.</w:t>
      </w:r>
    </w:p>
    <w:p>
      <w:pPr>
        <w:spacing w:after="0" w:line="162" w:lineRule="exact"/>
        <w:rPr>
          <w:sz w:val="20"/>
          <w:szCs w:val="20"/>
          <w:color w:val="auto"/>
        </w:rPr>
      </w:pPr>
    </w:p>
    <w:p>
      <w:pPr>
        <w:jc w:val="center"/>
        <w:ind w:left="280" w:right="2220"/>
        <w:spacing w:after="0" w:line="261" w:lineRule="auto"/>
        <w:rPr>
          <w:sz w:val="20"/>
          <w:szCs w:val="20"/>
          <w:color w:val="auto"/>
        </w:rPr>
      </w:pPr>
      <w:r>
        <w:rPr>
          <w:rFonts w:ascii="Arial" w:cs="Arial" w:eastAsia="Arial" w:hAnsi="Arial"/>
          <w:sz w:val="18"/>
          <w:szCs w:val="18"/>
          <w:b w:val="1"/>
          <w:bCs w:val="1"/>
          <w:color w:val="auto"/>
        </w:rPr>
        <w:t>PLEASE REFER TO THE INSTRUCTIONS ACCOMPANYING THE BALLOTS FOR MORE INFORMATION REGARDING VOTING REQUIREMENTS TO ENSURE THAT YOUR BALLOT IS PROPERLY AND TIMELY SUBMITTED SUCH THAT YOUR VOTE MAY BE COUNTED.</w:t>
      </w:r>
    </w:p>
    <w:p>
      <w:pPr>
        <w:spacing w:after="0" w:line="180" w:lineRule="exact"/>
        <w:rPr>
          <w:sz w:val="20"/>
          <w:szCs w:val="20"/>
          <w:color w:val="auto"/>
        </w:rPr>
      </w:pPr>
    </w:p>
    <w:p>
      <w:pPr>
        <w:ind w:left="1300" w:hanging="644"/>
        <w:spacing w:after="0"/>
        <w:tabs>
          <w:tab w:leader="none" w:pos="130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Debtors have sought authority to retain Prime Clerk LLC (“</w:t>
      </w:r>
      <w:r>
        <w:rPr>
          <w:rFonts w:ascii="Arial" w:cs="Arial" w:eastAsia="Arial" w:hAnsi="Arial"/>
          <w:sz w:val="18"/>
          <w:szCs w:val="18"/>
          <w:b w:val="1"/>
          <w:bCs w:val="1"/>
          <w:u w:val="single" w:color="auto"/>
          <w:color w:val="auto"/>
        </w:rPr>
        <w:t>Prime Clerk</w:t>
      </w:r>
      <w:r>
        <w:rPr>
          <w:rFonts w:ascii="Arial" w:cs="Arial" w:eastAsia="Arial" w:hAnsi="Arial"/>
          <w:sz w:val="18"/>
          <w:szCs w:val="18"/>
          <w:color w:val="auto"/>
        </w:rPr>
        <w:t>”) to, among other things, act as Voting and Claims Agent.</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Specifically, the Voting and Claims Agent will assist the Debtors with: (a) mailing notices of the Confirmation Hearing for the Plan; (b) mailing Solicitation Packages (as defined and described below); (c) soliciting votes on the Plan; (d) receiving, tabulating, and reporting on ballots cast for or against the Plan by Holders of Claims against and Equity Interests in the Debtors; (e) responding to inquiries from creditors and stakeholders relating to the Plan, the Disclosure Statement, the Ballots and matters related thereto, including, without limitation, the procedures and requirements for voting to accept or reject the Plan and objecting to the Plan; and (f) if necessary, contacting creditors regarding the Plan and their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firstLine="8"/>
        <w:spacing w:after="0" w:line="217" w:lineRule="auto"/>
        <w:tabs>
          <w:tab w:leader="none" w:pos="177" w:val="left"/>
        </w:tabs>
        <w:numPr>
          <w:ilvl w:val="0"/>
          <w:numId w:val="280"/>
        </w:numPr>
        <w:rPr>
          <w:rFonts w:ascii="Arial" w:cs="Arial" w:eastAsia="Arial" w:hAnsi="Arial"/>
          <w:sz w:val="18"/>
          <w:szCs w:val="18"/>
          <w:color w:val="auto"/>
          <w:vertAlign w:val="superscript"/>
        </w:rPr>
      </w:pPr>
      <w:r>
        <w:rPr>
          <w:rFonts w:ascii="Arial" w:cs="Arial" w:eastAsia="Arial" w:hAnsi="Arial"/>
          <w:sz w:val="14"/>
          <w:szCs w:val="14"/>
          <w:color w:val="auto"/>
        </w:rPr>
        <w:t>“</w:t>
      </w:r>
      <w:r>
        <w:rPr>
          <w:rFonts w:ascii="Arial" w:cs="Arial" w:eastAsia="Arial" w:hAnsi="Arial"/>
          <w:sz w:val="14"/>
          <w:szCs w:val="14"/>
          <w:u w:val="single" w:color="auto"/>
          <w:color w:val="auto"/>
        </w:rPr>
        <w:t>Eligible Holder</w:t>
      </w:r>
      <w:r>
        <w:rPr>
          <w:rFonts w:ascii="Arial" w:cs="Arial" w:eastAsia="Arial" w:hAnsi="Arial"/>
          <w:sz w:val="14"/>
          <w:szCs w:val="14"/>
          <w:color w:val="auto"/>
        </w:rPr>
        <w:t>” means a holder of Prepetition Notes who certifies that they are (i) located inside the United States and are (a) “qualified institutional buyers” (as defined in Rule 144A under the Securities Act) or (b) “accredited investors” (as defined in Rule 501(a) of Regulation D under the Securities Act) or (ii) located outside the United States and are persons other than “U.S. persons” (as defined in Rule 902 under the Securities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5" w:name="page236"/>
    <w:bookmarkEnd w:id="235"/>
    <w:p>
      <w:pPr>
        <w:ind w:left="1300" w:hanging="644"/>
        <w:spacing w:after="0"/>
        <w:tabs>
          <w:tab w:leader="none" w:pos="130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Contents of the Solicitation Package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and materials will collectively constitute the Solicitation Package:</w:t>
      </w:r>
    </w:p>
    <w:p>
      <w:pPr>
        <w:spacing w:after="0" w:line="225" w:lineRule="exact"/>
        <w:rPr>
          <w:sz w:val="20"/>
          <w:szCs w:val="20"/>
          <w:color w:val="auto"/>
        </w:rPr>
      </w:pPr>
    </w:p>
    <w:p>
      <w:pPr>
        <w:ind w:left="980" w:right="360" w:hanging="324"/>
        <w:spacing w:after="0" w:line="277" w:lineRule="auto"/>
        <w:tabs>
          <w:tab w:leader="none" w:pos="94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 cover letter from the Debtors explaining the solicitation process and urging Holders of Claims and Equity Interests in the Voting Classes to vote to accept the Plan;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this Disclosure Statement (and exhibits annexed thereto, including the Plan); and</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to the extent applicable, a ballot and/or notice, appropriate for the specific creditor (as may be modified for particular classes and with instruction attached thereto).</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Before voting to accept or reject the Plan, each eligible holder of a Prepetition Notes Claim and each holder of Existing Common Stock as of the</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applicable Record Date (each an “</w:t>
      </w:r>
      <w:r>
        <w:rPr>
          <w:rFonts w:ascii="Arial" w:cs="Arial" w:eastAsia="Arial" w:hAnsi="Arial"/>
          <w:sz w:val="18"/>
          <w:szCs w:val="18"/>
          <w:b w:val="1"/>
          <w:bCs w:val="1"/>
          <w:u w:val="single" w:color="auto"/>
          <w:color w:val="auto"/>
        </w:rPr>
        <w:t>Eligible Holder</w:t>
      </w:r>
      <w:r>
        <w:rPr>
          <w:rFonts w:ascii="Arial" w:cs="Arial" w:eastAsia="Arial" w:hAnsi="Arial"/>
          <w:sz w:val="18"/>
          <w:szCs w:val="18"/>
          <w:color w:val="auto"/>
        </w:rPr>
        <w:t xml:space="preserve">”) should carefully review the Plan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All descriptions of the Plan set forth in this Disclosure Statement are subject to the terms and conditions of the Plan.</w:t>
      </w:r>
    </w:p>
    <w:p>
      <w:pPr>
        <w:spacing w:after="0" w:line="180"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Voting Deadline</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All Eligible Holders have been sent a Ballot together with this Disclosure Statement. Such holders should read the Ballot carefully and follow the instructions contained therein. Please use only the Ballot that accompanies this Disclosure Statement to cast your vote. Special procedures are set forth below for holders of securities through a broker, dealer, commercial bank, trust company, or other agent or nominee (“</w:t>
      </w:r>
      <w:r>
        <w:rPr>
          <w:rFonts w:ascii="Arial" w:cs="Arial" w:eastAsia="Arial" w:hAnsi="Arial"/>
          <w:sz w:val="17"/>
          <w:szCs w:val="17"/>
          <w:b w:val="1"/>
          <w:bCs w:val="1"/>
          <w:u w:val="single" w:color="auto"/>
          <w:color w:val="auto"/>
        </w:rPr>
        <w:t>Nominee</w:t>
      </w:r>
      <w:r>
        <w:rPr>
          <w:rFonts w:ascii="Arial" w:cs="Arial" w:eastAsia="Arial" w:hAnsi="Arial"/>
          <w:sz w:val="17"/>
          <w:szCs w:val="17"/>
          <w:color w:val="auto"/>
        </w:rPr>
        <w:t>”).</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YOU ARE AN ELIGIBLE HOLDER OF ALLOWED PREPETITION NOTES CLAIMS, FOR YOUR VOTE TO BE COUNTED, YOUR VOTE MUST BE RECEIVED BY THE VOTING AND CLAIMS AGENT AT THE ADDRESS SET FORTH BELOW ON OR BEFORE THE PREPETITION NOTES VOTING DEADLINE OF 5:00 P.M., PREVAILING CENTRAL TIME, ON AUGUST 1, 2019, UNLESS EXTENDED BY THE DEBTORS.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SET FORTH IN THE BALLOTS, A SEPARATE VOTING DEADLINE WILL BE ESTABLISHED FOR HOLDERS OF EXISTING COMMON STOCK. SUCH HOLDERS OF EXISTING COMMON STOCK WILL RECEIVE FURTHER INFORMATION AND INSTRUCTIONS FOR VOTING AT THAT TIME.</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 ELIGIBLE HOLDER HOLDING THE PREPETITION NOTES IN “STREET NAME” THROUGH A NOMINEE MAY VOTE AS FURTHER DESCRIBED BELOW.</w:t>
      </w:r>
    </w:p>
    <w:p>
      <w:pPr>
        <w:spacing w:after="0" w:line="170"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IF YOU MUST RETURN YOUR BALLOT TO YOUR NOMINEE, YOU MUST RETURN YOUR BALLOT TO THEM IN SUFFICIENT TIME FOR THEM TO PROCESS IT AND RETURN THE MASTER BALLOT TO THE VOTING AND CLAIMS AGENT BEFORE THE VOTING DEADLINE.</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BALLOT IS DAMAGED OR LOST, YOU MAY CONTACT THE VOTING AND CLAIMS AGENT AT THE NUMBER SET FORTH BELOW TO RECEIVE A REPLACEMENT BALLOT. ANY BALLOT THAT IS EXECUTED AND RETURNED BUT WHICH DOES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INDICATE A VOTE FOR ACCEPTANCE OR REJECTION OF THE PLAN WILL NOT BE COUNTED.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VOTING PROCEDURES, YOU MAY CONTACT THE VOTING AND CLAIMS AGENT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 Balloting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Prime Clerk LLC</w:t>
      </w:r>
    </w:p>
    <w:p>
      <w:pPr>
        <w:ind w:left="1960"/>
        <w:spacing w:after="0" w:line="205" w:lineRule="auto"/>
        <w:rPr>
          <w:sz w:val="20"/>
          <w:szCs w:val="20"/>
          <w:color w:val="auto"/>
        </w:rPr>
      </w:pPr>
      <w:r>
        <w:rPr>
          <w:rFonts w:ascii="Arial" w:cs="Arial" w:eastAsia="Arial" w:hAnsi="Arial"/>
          <w:sz w:val="18"/>
          <w:szCs w:val="18"/>
          <w:color w:val="auto"/>
        </w:rPr>
        <w:t>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10165</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Weatherford International plc Ballot Processing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 844-233-5155 (domestic) or 917-942-6392 (international)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Questions (but not documents) may be directed to weatherfordballots@PrimeClerk.com (please reference “Weatherford” in the subject line).</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Additional copies of this Disclosure Statement are available upon request made to the Voting and Claims Agent, at the telephone numbers or e-mail address set forth immediately above.</w:t>
      </w:r>
    </w:p>
    <w:p>
      <w:pPr>
        <w:spacing w:after="0" w:line="166"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Voting Instructions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Under the Plan, Eligible Holders of Claims and Holders Equity Interests in the Voting Classes are entitled to vote to accept or reject the Plan. Those Holders may so vote by completing a Ballot or a Beneficial Holder Ballot as applicable, and returning it to the Voting and Claims Agent prior to the Voting Deadline. Each Ballot will also allow Holders of Claims and Equity Interests in the Voting Classes to opt-out of the Third Party Release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Any Holder of Claims or Equity Interests in the Voting Classes that opts out of the Third Party Release will not receive a Debtor Release or a Third Party Release from the Releasing Parties.</w:t>
      </w:r>
    </w:p>
    <w:p>
      <w:pPr>
        <w:spacing w:after="0" w:line="184" w:lineRule="exact"/>
        <w:rPr>
          <w:sz w:val="20"/>
          <w:szCs w:val="20"/>
          <w:color w:val="auto"/>
        </w:rPr>
      </w:pPr>
    </w:p>
    <w:p>
      <w:pPr>
        <w:jc w:val="center"/>
        <w:ind w:left="300" w:right="220"/>
        <w:spacing w:after="0" w:line="266" w:lineRule="auto"/>
        <w:rPr>
          <w:sz w:val="20"/>
          <w:szCs w:val="20"/>
          <w:color w:val="auto"/>
        </w:rPr>
      </w:pPr>
      <w:r>
        <w:rPr>
          <w:rFonts w:ascii="Arial" w:cs="Arial" w:eastAsia="Arial" w:hAnsi="Arial"/>
          <w:sz w:val="18"/>
          <w:szCs w:val="18"/>
          <w:b w:val="1"/>
          <w:bCs w:val="1"/>
          <w:color w:val="auto"/>
        </w:rPr>
        <w:t>PLEASE REFER TO THE INSTRUCTIONS ATTACHED TO THE BALLOTS OR BENEFICIAL HOLDER BALLOTS THAT YOU HAVE RECEIVED FOR MORE DETAILED INFORMATION REGARDING THE VOTING REQUIREMENTS, RULES AND PROCEDURES APPLICABLE TO VOTING YOUR CLAIM.</w:t>
      </w:r>
    </w:p>
    <w:p>
      <w:pPr>
        <w:spacing w:after="0" w:line="18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To be counted as votes to accept or reject the Plan,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Ballots, pre-validated Beneficial Holder Ballots and Master Ballots, as applicable, (all of which will clearly indicate the appropriate return address) must be properly executed, completed, dated and delivered according to the instructions contained thereon, so that they are </w:t>
      </w:r>
      <w:r>
        <w:rPr>
          <w:rFonts w:ascii="Arial" w:cs="Arial" w:eastAsia="Arial" w:hAnsi="Arial"/>
          <w:sz w:val="17"/>
          <w:szCs w:val="17"/>
          <w:b w:val="1"/>
          <w:bCs w:val="1"/>
          <w:u w:val="single" w:color="auto"/>
          <w:color w:val="auto"/>
        </w:rPr>
        <w:t>actually received</w:t>
      </w:r>
      <w:r>
        <w:rPr>
          <w:rFonts w:ascii="Arial" w:cs="Arial" w:eastAsia="Arial" w:hAnsi="Arial"/>
          <w:sz w:val="17"/>
          <w:szCs w:val="17"/>
          <w:color w:val="auto"/>
        </w:rPr>
        <w:t xml:space="preserve"> on or before the Voting Deadline by the Voting and Claims Agent at the following address: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Balloting Center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Grand Central Place</w:t>
      </w:r>
    </w:p>
    <w:p>
      <w:pPr>
        <w:jc w:val="center"/>
        <w:ind w:right="-59"/>
        <w:spacing w:after="0" w:line="205" w:lineRule="auto"/>
        <w:rPr>
          <w:sz w:val="20"/>
          <w:szCs w:val="20"/>
          <w:color w:val="auto"/>
        </w:rPr>
      </w:pPr>
      <w:r>
        <w:rPr>
          <w:rFonts w:ascii="Arial" w:cs="Arial" w:eastAsia="Arial" w:hAnsi="Arial"/>
          <w:sz w:val="18"/>
          <w:szCs w:val="18"/>
          <w:color w:val="auto"/>
        </w:rPr>
        <w:t>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Suite 1440</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10165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7" w:name="page238"/>
    <w:bookmarkEnd w:id="237"/>
    <w:p>
      <w:pPr>
        <w:ind w:left="1960"/>
        <w:spacing w:after="0" w:line="277" w:lineRule="auto"/>
        <w:rPr>
          <w:sz w:val="20"/>
          <w:szCs w:val="20"/>
          <w:color w:val="auto"/>
        </w:rPr>
      </w:pPr>
      <w:r>
        <w:rPr>
          <w:rFonts w:ascii="Arial" w:cs="Arial" w:eastAsia="Arial" w:hAnsi="Arial"/>
          <w:sz w:val="18"/>
          <w:szCs w:val="18"/>
          <w:color w:val="auto"/>
        </w:rPr>
        <w:t>If you have any questions on the procedures for voting on the Plan, please call the Voting and Claims Agent at: 844-233-5155 (Toll Free) 917-942-6392 (International)</w:t>
      </w:r>
    </w:p>
    <w:p>
      <w:pPr>
        <w:spacing w:after="0" w:line="166" w:lineRule="exact"/>
        <w:rPr>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are providing the Solicitation Packages to eligible holders of the Prepetition Notes Claims, which are defined as Holders who certified that they are (i) located inside the United States and are (a) “qualified institutional buyers” (as defined in Rule 144A under the Securities Act) or</w:t>
      </w:r>
    </w:p>
    <w:p>
      <w:pPr>
        <w:ind w:right="140" w:firstLine="8"/>
        <w:spacing w:after="0" w:line="292" w:lineRule="auto"/>
        <w:tabs>
          <w:tab w:leader="none" w:pos="25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“accredited investors” (as defined in Rule 501(a) of Regulation D under the Securities Act) or (ii) located outside the United States and are persons other than “U.S. persons” (as defined in Rule 902 under the Securities Act), and record holders of the Existing Common Stock. Record holders may include Nominees. If such entities do not hold Prepetition Notes Claims or Existing Common Stock for their own account, they must provide copies of the Solicitation Package to their customers that are the Eligible Holders thereof as of the Record Date. Any Eligible Holder of Prepetition Notes Claims or Existing Common Stock who has not received a Ballot should contact his, her, or its Nominee, or the Voting and Claims Agent.</w:t>
      </w:r>
    </w:p>
    <w:p>
      <w:pPr>
        <w:spacing w:after="0" w:line="16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Holders of Prepetition Notes Claims and Existing Common Stock should provide all of the information requested by the Ballot. Holders of Prepetition Notes Claims and Existing Common Stock should complete and return all Ballots received in the enclosed, self-addressed, postage-paid envelope provided with each such Ballot either to the Voting and Claims Agent or their Nominee, as applicable.</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applicable indenture trustee under the Prepetition Notes Claims will not vote on behalf of its respective holders. Holders of the Prepetition Notes Claims must submit their own Ballot.</w:t>
      </w:r>
    </w:p>
    <w:p>
      <w:pPr>
        <w:spacing w:after="0" w:line="166"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Parties Entitled to Vote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the Bankruptcy Code, only holders of claims or interests in “impaired” classes are entitled to vote on a plan. Under section 1124 of the Bankruptcy Code, a class of claims or interests is deemed to be “impaired” under a plan unless: (i) the plan leaves unaltered the legal, equitable, and contractual rights to which such claim or interest entitles the holder thereof; or (ii) notwithstanding any legal right to an accelerated payment of such claim or interest, the plan cures all existing defaults (other than defaults resulting from the occurrence of events of bankruptcy) and reinstates the maturity of such claim or interest as it existed before the default.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however, the holder of an impaired claim or interest will not receive or retain any distribution under the plan on account of such claim or interest, the Bankruptcy Code deems such holder to have rejected the plan, and, accordingly, holders of such claims and interests do not actually vote on the plan. If a claim or interest is not impaired by the plan, the Bankruptcy Code deems the holder of such claim or interest to have accepted the plan and, accordingly, holders of such claims and interests are not entitled to vote on the Plan.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vote may be disregarded if the Bankruptcy Court determines, pursuant to section 1126(e) of the Bankruptcy Code, that it was not solicited or procured in good faith or in accordance with the provisions of the Bankruptcy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38" w:name="page239"/>
    <w:bookmarkEnd w:id="238"/>
    <w:p>
      <w:pPr>
        <w:ind w:firstLine="648"/>
        <w:spacing w:after="0" w:line="277" w:lineRule="auto"/>
        <w:rPr>
          <w:sz w:val="20"/>
          <w:szCs w:val="20"/>
          <w:color w:val="auto"/>
        </w:rPr>
      </w:pPr>
      <w:r>
        <w:rPr>
          <w:rFonts w:ascii="Arial" w:cs="Arial" w:eastAsia="Arial" w:hAnsi="Arial"/>
          <w:sz w:val="18"/>
          <w:szCs w:val="18"/>
          <w:color w:val="auto"/>
        </w:rPr>
        <w:t>The Bankruptcy Code defines “acceptance” of a plan by a class of claims as acceptance by creditors in that class that hold at least two-thirds (2/3) in dollar amount and more than one-half (1/2) in number of the claims that cast ballots for acceptance or rejection of the plan.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a plan if the holders of at least two-thirds (2/3) in amount of the allowed equity interests in such class actually have voted to accept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claims and equity interests in the following classes are impaired under the Plan and entitled to vote to accept or reject the Plan:</w:t>
      </w:r>
    </w:p>
    <w:p>
      <w:pPr>
        <w:spacing w:after="0" w:line="225" w:lineRule="exact"/>
        <w:rPr>
          <w:sz w:val="20"/>
          <w:szCs w:val="20"/>
          <w:color w:val="auto"/>
        </w:rPr>
      </w:pPr>
    </w:p>
    <w:p>
      <w:pPr>
        <w:ind w:left="940" w:hanging="284"/>
        <w:spacing w:after="0"/>
        <w:tabs>
          <w:tab w:leader="none" w:pos="9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Beneficial Holders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An Eligible Holder who holds Prepetition Notes Claims as a record holder in its own name should vote on the Plan by completing and signing a Ballot (a “</w:t>
      </w:r>
      <w:r>
        <w:rPr>
          <w:rFonts w:ascii="Arial" w:cs="Arial" w:eastAsia="Arial" w:hAnsi="Arial"/>
          <w:sz w:val="18"/>
          <w:szCs w:val="18"/>
          <w:b w:val="1"/>
          <w:bCs w:val="1"/>
          <w:u w:val="single" w:color="auto"/>
          <w:color w:val="auto"/>
        </w:rPr>
        <w:t>Beneficial Holder Ballot</w:t>
      </w:r>
      <w:r>
        <w:rPr>
          <w:rFonts w:ascii="Arial" w:cs="Arial" w:eastAsia="Arial" w:hAnsi="Arial"/>
          <w:sz w:val="18"/>
          <w:szCs w:val="18"/>
          <w:color w:val="auto"/>
        </w:rPr>
        <w:t>”) and returning it directly to the Voting and Claims Agent on or before the Voting Deadline using the enclosed self-addressed, postage paid envelope.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 Eligible Holder holding the Unsecured Notes Claims in “street name” through a Nominee may vote on the Plan by one of the following two methods (as selected by such Eligible Holder’s Nominee):</w:t>
      </w:r>
    </w:p>
    <w:p>
      <w:pPr>
        <w:spacing w:after="0" w:line="170" w:lineRule="exact"/>
        <w:rPr>
          <w:sz w:val="20"/>
          <w:szCs w:val="20"/>
          <w:color w:val="auto"/>
        </w:rPr>
      </w:pPr>
    </w:p>
    <w:p>
      <w:pPr>
        <w:ind w:left="980" w:right="60" w:hanging="324"/>
        <w:spacing w:after="0" w:line="259" w:lineRule="auto"/>
        <w:tabs>
          <w:tab w:leader="none" w:pos="9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Complete and sign the enclosed Beneficial Holder Ballot. Return the Beneficial Holder Ballot to your Nominee as promptly as possible and in sufficient time to allow such Nominee to process your instructions and return a completed Master Ballot to the Voting and Claims Agent by the Voting Deadline. If no self-addressed, postage-paid envelope was enclosed for this purpose, contact the Voting and Claims Agent for instructions; or</w:t>
      </w:r>
    </w:p>
    <w:p>
      <w:pPr>
        <w:spacing w:after="0" w:line="186"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Complete and sign the pre-validated Beneficial Holder Ballot (as described below) provided to you by your Nominee. Return the pre-validated Beneficial Holder Ballot to the Voting and Claims Agent by the Voting Deadline using the return envelope provided in the Solicitation Package.</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Beneficial Holder Ballot returned to a Nominee by an Eligible Holder will not be counted for purposes of acceptance or rejection of the Prepackaged Plan until such Nominee properly completes and delivers to the Voting and Claims Agent that Beneficial Holder Ballot (properly validated) or a Master Ballot casting the vote of such Eligible Holder.</w:t>
      </w:r>
    </w:p>
    <w:p>
      <w:pPr>
        <w:spacing w:after="0" w:line="18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If any Eligible Holder owns the Prepetition Notes Claims through more than one Nominee, such Eligible Holder may receive multiple mailings containing the Beneficial Holder Ballots. The Eligible Holder should execute a separate Beneficial Holder Ballot for each block of the Prepetition Notes Claims that it holds through any particular Nominee and return each Beneficial Holder Ballot to the respective Nominee in the return envelope provided therewith. Eligible Holders who</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9" w:name="page240"/>
    <w:bookmarkEnd w:id="239"/>
    <w:p>
      <w:pPr>
        <w:ind w:right="80"/>
        <w:spacing w:after="0" w:line="342" w:lineRule="auto"/>
        <w:rPr>
          <w:sz w:val="20"/>
          <w:szCs w:val="20"/>
          <w:color w:val="auto"/>
        </w:rPr>
      </w:pPr>
      <w:r>
        <w:rPr>
          <w:rFonts w:ascii="Arial" w:cs="Arial" w:eastAsia="Arial" w:hAnsi="Arial"/>
          <w:sz w:val="16"/>
          <w:szCs w:val="16"/>
          <w:color w:val="auto"/>
        </w:rPr>
        <w:t>execute multiple Beneficial Holder Ballots with respect to the Prepetition Notes Claims in a single class held through more than one Nominee must indicate on each Beneficial Holder Ballot the names of all such other Nominees and the additional amounts of such Prepetition Notes Claims so held and voted.</w:t>
      </w:r>
    </w:p>
    <w:p>
      <w:pPr>
        <w:spacing w:after="0" w:line="124" w:lineRule="exact"/>
        <w:rPr>
          <w:sz w:val="20"/>
          <w:szCs w:val="20"/>
          <w:color w:val="auto"/>
        </w:rPr>
      </w:pPr>
    </w:p>
    <w:p>
      <w:pPr>
        <w:ind w:left="1960" w:hanging="655"/>
        <w:spacing w:after="0"/>
        <w:tabs>
          <w:tab w:leader="none" w:pos="19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Nominees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 Nominee that, on the Record Date, is the record holder of the Prepetition Notes Claims for one or more Eligible Holders can obtain the votes of the Eligible Holders of such Prepetition Notes Claims, consistent with customary practices for obtaining the votes of securities held in “street name,” in one of the following two ways:</w:t>
      </w:r>
    </w:p>
    <w:p>
      <w:pPr>
        <w:spacing w:after="0" w:line="181" w:lineRule="exact"/>
        <w:rPr>
          <w:sz w:val="20"/>
          <w:szCs w:val="20"/>
          <w:color w:val="auto"/>
        </w:rPr>
      </w:pPr>
    </w:p>
    <w:p>
      <w:pPr>
        <w:ind w:left="940" w:hanging="284"/>
        <w:spacing w:after="0"/>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Pre-Validated Ballots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Nominee may “pre-validate” a Beneficial Holder Ballot by: (i) signing the Beneficial Holder Ballot and indicating on the Beneficial Holder Ballot the name of the Nominee and DTC Participant Number; (ii) the amount and the account number of the Prepetition Notes Claims held by the Nominee for the Eligible Holder; and (iii) forwarding such Beneficial Holder Ballot, together with this Disclosure Statement, a pre-addressed, postage-paid return envelope addressed to, and provided by, the Voting and Claims Agent, and other materials requested to be forwarded, to the Eligible Holder for voting.</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Eligible Holder must then complete the information requested in Item 2 and Item 3 of the Beneficial Holder Ballot, and return the Beneficial Holder Ballot directly to the Voting and Claims Agent in the pre-addressed, postage paid return envelope so that it is RECEIVED by the Voting and Claims Agent on or before the Voting Deadline. A list of the Eligible Holders to whom “pre-validated” Beneficial Holder Ballots were delivered should be maintained by Nominees for inspection for at least one year from the Voting Deadline.</w:t>
      </w:r>
    </w:p>
    <w:p>
      <w:pPr>
        <w:spacing w:after="0" w:line="187" w:lineRule="exact"/>
        <w:rPr>
          <w:sz w:val="20"/>
          <w:szCs w:val="20"/>
          <w:color w:val="auto"/>
        </w:rPr>
      </w:pPr>
    </w:p>
    <w:p>
      <w:pPr>
        <w:ind w:left="940" w:hanging="284"/>
        <w:spacing w:after="0"/>
        <w:tabs>
          <w:tab w:leader="none" w:pos="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Master Ballots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Nominee elects not to pre-validate Beneficial Holder Ballots, the Nominee may obtain the votes of Eligible Holders by forwarding to the Eligible Holders the unsigned Beneficial Holder Ballots, together with this Disclosure Statement, a pre-addressed, postage-paid return envelope provided by, and addressed to, the Nominee, and other materials requested to be forwarded. Each such Eligible Holder must then indicate his, her, or its vote on the Beneficial Holder Ballot, complete the information requested on the Beneficial Holder Ballot, review the certifications contained on the Beneficial Holder Ballot, execute the Beneficial Holder Ballot, and return the Beneficial Holder Ballot to the Nominee. After collecting the Beneficial Holder Ballots, the Nominee should, in turn, complete a Master Ballot compiling the votes and other information from the Beneficial Holder Ballots, execute the Master Ballot, and deliver the Master Ballot to the Voting and Claims Agent so that it is RECEIVED by the Voting and Claims Agent on or before the Voting Deadline. All Beneficial Holder Ballots returned by Eligible Holders should either be forwarded to the Voting and Claims Agent (along with the Master Ballot) or retained by Nominees for inspection for at least one year from the Voting Deadline.</w:t>
      </w:r>
    </w:p>
    <w:p>
      <w:pPr>
        <w:spacing w:after="0" w:line="182"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EACH NOMINEE SHOULD ADVISE ITS ELIGIBLE HOLDERS TO RETURN THEIR BENEFICIAL HOLDER BALLOTS TO THE NOMINEE BY A DATE CALCULATED BY THE NOMINEE TO ALLOW IT TO PREPARE AND RETURN THE MASTER BALLOT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40" w:name="page241"/>
    <w:bookmarkEnd w:id="240"/>
    <w:p>
      <w:pPr>
        <w:ind w:right="680"/>
        <w:spacing w:after="0" w:line="277" w:lineRule="auto"/>
        <w:rPr>
          <w:sz w:val="20"/>
          <w:szCs w:val="20"/>
          <w:color w:val="auto"/>
        </w:rPr>
      </w:pPr>
      <w:r>
        <w:rPr>
          <w:rFonts w:ascii="Arial" w:cs="Arial" w:eastAsia="Arial" w:hAnsi="Arial"/>
          <w:sz w:val="18"/>
          <w:szCs w:val="18"/>
          <w:color w:val="auto"/>
        </w:rPr>
        <w:t>THE VOTING AND CLAIMS AGENT SO THAT IT IS RECEIVED BY THE VOTING AND CLAIMS AGENT ON OR BEFORE THE VOTING DEADLINE.</w:t>
      </w:r>
    </w:p>
    <w:p>
      <w:pPr>
        <w:spacing w:after="0" w:line="166" w:lineRule="exact"/>
        <w:rPr>
          <w:sz w:val="20"/>
          <w:szCs w:val="20"/>
          <w:color w:val="auto"/>
        </w:rPr>
      </w:pPr>
    </w:p>
    <w:p>
      <w:pPr>
        <w:ind w:left="1300" w:hanging="644"/>
        <w:spacing w:after="0"/>
        <w:tabs>
          <w:tab w:leader="none" w:pos="13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Ballots must be signed by the holder of record of the Prepetition Notes Claims or the Existing Common Stock, as applicable, or any person who has obtained a properly completed Ballot proxy from the record holder of the Prepetition Notes Claims or the Existing Common Stock, as applicable, on such date. For purposes of voting to accept or reject the Plan, the Eligible Holders of the Prepetition Notes Claims and Existing Common Stock will be deemed to be the “holders” of the claims represented by such Prepetition Notes or Existing Common Stock. Unless otherwise ordered by the Bankruptcy Court, Ballots that are signed, dated, and timely received, but on which a vote to accept or reject the Plan has not been indicated, will not be counted. The Debtors, in their sole discretion, may request that the Voting and Claims Agent attempt to contact such voters to cure any such defects in the Ballots. Any ballot marked to both accept and reject the Plan will not be counted. If you return more than one Ballot voting different Prepetition Notes Claims or Existing Common Stock, the Ballots are not voted in the same manner, and you do not correct this before the Voting Deadline, those Ballots will not be counted. An otherwise properly executed Ballot (other than a Master Ballot) that attempts to partially accept and partially reject the Plan will likewise not be counted.</w:t>
      </w:r>
    </w:p>
    <w:p>
      <w:pPr>
        <w:spacing w:after="0" w:line="1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Ballots provided to Eligible Holders will reflect the principal amount of such Eligible Holder’s Claim; however, when tabulating votes, the Voting and Claims Agent may adjust the amount of such Eligible Holder’s Claim by multiplying the principal amount by a factor that reflects all amounts accrued between the Record Date and the Petition Date including, without limitation, interest.</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Nominees are authorized to collect votes to accept or to reject the Plan from Beneficial Holders in accordance with their customary practices, including the use of a “voting instruction form” in lieu of (or in addition to) a Beneficial Owner Ballot, as well as collecting votes from Beneficial Holders through online voting, by phone, facsimile, or other electronic means.</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Under the Bankruptcy Code, for purposes of determining whether the requisite votes for acceptance have been received, only holders of the Prepetition Notes Claims or Existing Common Stock, as applicable, who actually vote will be counted. The failure of a holder to deliver a duly executed Ballot to the Voting and Claims Agent or its Nominee will be deemed to constitute an abstention by such holder with respect to voting on the Plan and such abstentions will not be counted as votes for or against the Plan.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Except as provided below, unless the Ballot is timely submitted to the Voting and Claims Agent before the Voting Deadline together with any other documents required by such Ballot, the Debtors may, in their sole discretion, reject such Ballot as invalid, and therefore decline to utilize it in connection with seeking confirmation of the Plan.</w:t>
      </w:r>
    </w:p>
    <w:p>
      <w:pPr>
        <w:spacing w:after="0" w:line="177" w:lineRule="exact"/>
        <w:rPr>
          <w:sz w:val="20"/>
          <w:szCs w:val="20"/>
          <w:color w:val="auto"/>
        </w:rPr>
      </w:pPr>
    </w:p>
    <w:p>
      <w:pPr>
        <w:ind w:left="1300" w:hanging="644"/>
        <w:spacing w:after="0"/>
        <w:tabs>
          <w:tab w:leader="none" w:pos="130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Fiduciaries and Other Representatives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 Beneficial Holder Ballot is signed by a trustee, executor, administrator, guardian, attorney-in-fact, officer of a corporation, or another, acting in a fiduciary or representative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1" w:name="page242"/>
    <w:bookmarkEnd w:id="241"/>
    <w:p>
      <w:pPr>
        <w:ind w:right="80"/>
        <w:spacing w:after="0" w:line="308" w:lineRule="auto"/>
        <w:rPr>
          <w:sz w:val="20"/>
          <w:szCs w:val="20"/>
          <w:color w:val="auto"/>
        </w:rPr>
      </w:pPr>
      <w:r>
        <w:rPr>
          <w:rFonts w:ascii="Arial" w:cs="Arial" w:eastAsia="Arial" w:hAnsi="Arial"/>
          <w:sz w:val="17"/>
          <w:szCs w:val="17"/>
          <w:color w:val="auto"/>
        </w:rPr>
        <w:t>capacity, such person should indicate such capacity when signing and, if requested, must submit proper evidence satisfactory to the Debtors of authority to so act. Authorized signatories should submit the separate Beneficial Holder Ballot of each Eligible Holder for whom they are voting.</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UNLESS THE BALLOT OR THE MASTER BALLOT IS SUBMITTED TO THE VOTING AND CLAIMS AGENT ON OR PRIOR TO THE APPLICABLE VOTING DEADLINE, SUCH BALLOT WILL BE REJECTED AS INVALID AND WILL NOT BE COUNTED AS AN ACCEPTANCE OR REJECTION OF THE PLAN; PROVIDED, HOWEVER, THAT THE DEBTORS RESERVE THE RIGHT, IN THEIR SOLE DISCRETION, TO REQUEST THE BANKRUPTCY COURT TO ALLOW SUCH BALLOT TO BE COUNTED.</w:t>
      </w:r>
    </w:p>
    <w:p>
      <w:pPr>
        <w:spacing w:after="0" w:line="183"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Upon Furnishing Ballots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delivery of an accepting Ballot pursuant to one of the procedures set forth above will constitute the agreement of the creditor with respect to such Ballot to accept: (i) all of the terms of, and conditions to, this Solicitation; and (ii) the terms of the Plan including the injunction, releases, and exculpations set forth in sections 10.5, 10.6, 10.7, 10.8, and 10.9 therein. All parties in interest retain their rights under the Bankruptcy Code and the Plan, including, but not limited to the right to object to confirmation of the Plan pursuant to section 1128 of the Bankruptcy Code, subject to any applicable terms of the Restructuring Support Agreement.</w:t>
      </w:r>
    </w:p>
    <w:p>
      <w:pPr>
        <w:spacing w:after="0" w:line="184" w:lineRule="exact"/>
        <w:rPr>
          <w:sz w:val="20"/>
          <w:szCs w:val="20"/>
          <w:color w:val="auto"/>
        </w:rPr>
      </w:pPr>
    </w:p>
    <w:p>
      <w:pPr>
        <w:ind w:left="1300" w:hanging="644"/>
        <w:spacing w:after="0"/>
        <w:tabs>
          <w:tab w:leader="none" w:pos="13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Vote</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Any party who has previously submitted to the Voting and Claims Agent prior to the applicable Voting Deadline a properly completed Ballot may revoke such Ballot and change its vote by submitting to the Voting and Claims Agent prior to the applicable Voting Deadline a subsequent, properly completed Ballot voting for acceptance or rejection of the Plan.</w:t>
      </w:r>
    </w:p>
    <w:p>
      <w:pPr>
        <w:spacing w:after="0" w:line="177"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Waivers of Defects, Irregularities, etc.</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Unless otherwise directed by the Bankruptcy Court, all questions as to the validity, form, eligibility (including time of receipt), acceptance, and revocation or withdrawals of Ballots will be determined by the Voting and Claims Agent and/or the Debtors, as applicable, in their sole discretion, which determination will be final and binding. The Debtors reserve the right, in consultation with the Required Consenting Noteholders, to reject any and all Ballots submitted by any of their respective creditors not in proper form, the acceptance of which would, in the opinion of the Debtors or their counsel, as applicable, be unlawful. The Debtors further reserve their respective rights, in consultation with the Required Consenting Noteholders, to waive any defects or irregularities or conditions of delivery as to any particular Ballot by any of their creditors. The interpretation (including the Ballot and the respective instructions thereto) by the applicable Debtor, unless otherwise directed by the Bankruptcy Court, will be final and binding on all parties. Unless waived, any defects or irregularities in connection with deliveries of Ballots must be cured within such time as the Debtors (or the Bankruptcy Court) determines. Neither the Debtors nor any other person will be under any duty to provide notification of defects or irregularities with respect to deliveries of Ballots nor will any of them incur any liabilities for failure to provide such notification. Unless otherwise directed by the Bankruptcy Court, delivery of such Ballots will not be deemed to have been made until such irregularities have been cured or waived. Ballots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previously furnished (and as to which any irregularities have not theretofore been cured or waived) will be invalidated.</w:t>
      </w:r>
    </w:p>
    <w:p>
      <w:pPr>
        <w:spacing w:after="0" w:line="221"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Additional Copies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you have any questions or require further information about the voting procedures for voting your Prepetition Notes Claims and/or Existing Common Stock as applicable, or about the packet of material you received, or if you wish to obtain an additional copy of the Plan, this Disclosure Statement, or any exhibits to such documents, please contact the Voting and Claims Agent.</w:t>
      </w:r>
    </w:p>
    <w:p>
      <w:pPr>
        <w:spacing w:after="0" w:line="177" w:lineRule="exact"/>
        <w:rPr>
          <w:sz w:val="20"/>
          <w:szCs w:val="20"/>
          <w:color w:val="auto"/>
        </w:rPr>
      </w:pPr>
    </w:p>
    <w:p>
      <w:pPr>
        <w:ind w:left="1300" w:hanging="644"/>
        <w:spacing w:after="0"/>
        <w:tabs>
          <w:tab w:leader="none" w:pos="130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the Plan Supplement</w:t>
      </w:r>
    </w:p>
    <w:p>
      <w:pPr>
        <w:spacing w:after="0" w:line="229"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Debtors will file the Plan Supplement no later than seven (7) days prior to the Confirmation Hearing. The Debtors will transmit a copy of the Plan Supplement to the Distribution List, as defined herein. Additionally, parties may request (and obtain at the Debtors’ expense) a copy of the Plan Supplement by: (a) calling the Voting and Claims Agent at 844-233-5155 (Toll Free) 917-942-6392 (International); (b) writing to Weatherford International plc Balloting Center, c/o Prime Clerk LLC, 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 New York, NY 10165; and/or (c) visiting the Debtors’ restructuring website at: http://www.primeclerk.com/Weatherford. Parties may also obtain any documents filed in the Chapter 11 Cases </w:t>
      </w:r>
      <w:r>
        <w:rPr>
          <w:rFonts w:ascii="Arial" w:cs="Arial" w:eastAsia="Arial" w:hAnsi="Arial"/>
          <w:sz w:val="18"/>
          <w:szCs w:val="18"/>
          <w:u w:val="single" w:color="auto"/>
          <w:color w:val="auto"/>
        </w:rPr>
        <w:t>for a fee</w:t>
      </w:r>
      <w:r>
        <w:rPr>
          <w:rFonts w:ascii="Arial" w:cs="Arial" w:eastAsia="Arial" w:hAnsi="Arial"/>
          <w:sz w:val="18"/>
          <w:szCs w:val="18"/>
          <w:color w:val="auto"/>
        </w:rPr>
        <w:t xml:space="preserve"> via PACER at https://www.txs.uscourts.gov/bankruptcy.</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Plan Supplement will include all Exhibits and Plan Schedules that were not already filed as exhibits to the Plan or this Disclosure Statement, all of which are incorporated by reference into, and are an integral part of, the Plan, as all of the same may be amended, supplemented, or modified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b w:val="1"/>
          <w:bCs w:val="1"/>
          <w:u w:val="single" w:color="auto"/>
          <w:color w:val="auto"/>
        </w:rPr>
        <w:t>Distribution List</w:t>
      </w:r>
      <w:r>
        <w:rPr>
          <w:rFonts w:ascii="Arial" w:cs="Arial" w:eastAsia="Arial" w:hAnsi="Arial"/>
          <w:sz w:val="16"/>
          <w:szCs w:val="16"/>
          <w:color w:val="auto"/>
        </w:rPr>
        <w:t>” means (a) the Office of the United States Trustee, (b) counsel to the Ad Hoc Noteholders Committee,</w:t>
      </w:r>
    </w:p>
    <w:p>
      <w:pPr>
        <w:spacing w:after="0" w:line="50" w:lineRule="exact"/>
        <w:rPr>
          <w:sz w:val="20"/>
          <w:szCs w:val="20"/>
          <w:color w:val="auto"/>
        </w:rPr>
      </w:pPr>
    </w:p>
    <w:p>
      <w:pPr>
        <w:ind w:right="260" w:firstLine="8"/>
        <w:spacing w:after="0" w:line="323" w:lineRule="auto"/>
        <w:tabs>
          <w:tab w:leader="none" w:pos="24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counsel to the Prepetition Notes Indenture Trustee, (d) Depository Trust Company (the “</w:t>
      </w:r>
      <w:r>
        <w:rPr>
          <w:rFonts w:ascii="Arial" w:cs="Arial" w:eastAsia="Arial" w:hAnsi="Arial"/>
          <w:sz w:val="16"/>
          <w:szCs w:val="16"/>
          <w:b w:val="1"/>
          <w:bCs w:val="1"/>
          <w:u w:val="single" w:color="auto"/>
          <w:color w:val="auto"/>
        </w:rPr>
        <w:t>Transfer Agent</w:t>
      </w:r>
      <w:r>
        <w:rPr>
          <w:rFonts w:ascii="Arial" w:cs="Arial" w:eastAsia="Arial" w:hAnsi="Arial"/>
          <w:sz w:val="16"/>
          <w:szCs w:val="16"/>
          <w:color w:val="auto"/>
        </w:rPr>
        <w:t>”), (e) the Internal Revenue Service, and (f) all parties that, as of the applicable date of determination, have filed requests for notice in this Chapter 11 Cases pursuant to Bankruptcy Rule 2002.</w:t>
      </w:r>
    </w:p>
    <w:p>
      <w:pPr>
        <w:spacing w:after="0" w:line="134" w:lineRule="exact"/>
        <w:rPr>
          <w:rFonts w:ascii="Arial" w:cs="Arial" w:eastAsia="Arial" w:hAnsi="Arial"/>
          <w:sz w:val="16"/>
          <w:szCs w:val="16"/>
          <w:color w:val="auto"/>
        </w:rPr>
      </w:pPr>
    </w:p>
    <w:p>
      <w:pPr>
        <w:ind w:left="1300" w:hanging="644"/>
        <w:spacing w:after="0"/>
        <w:tabs>
          <w:tab w:leader="none" w:pos="1300"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Tabulation of Votes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FOLLOWING IS IMPORTANT INFORMATION REGARDING VOTING THAT SHOULD BE READ CAREFULLY BY ALL HOLDERS OF CLAIMS AND EQUITY INTERESTS IN THE VOTING CLASSES.</w:t>
      </w:r>
    </w:p>
    <w:p>
      <w:pPr>
        <w:spacing w:after="0" w:line="166" w:lineRule="exact"/>
        <w:rPr>
          <w:sz w:val="20"/>
          <w:szCs w:val="20"/>
          <w:color w:val="auto"/>
        </w:rPr>
      </w:pPr>
    </w:p>
    <w:p>
      <w:pPr>
        <w:ind w:left="980" w:hanging="324"/>
        <w:spacing w:after="0" w:line="264" w:lineRule="auto"/>
        <w:tabs>
          <w:tab w:leader="none" w:pos="9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FOR YOUR VOTE TO BE COUNTED, YOUR BALLOT, PRE-VALIDATED BENEFICIAL HOLDER BALLOT OR MASTER BALLOT, AS APPLICABLE, MUST BE PROPERLY EXECUTED, COMPLETED, DATED AND DELIVERED SUCH THAT IT IS </w:t>
      </w:r>
      <w:r>
        <w:rPr>
          <w:rFonts w:ascii="Arial" w:cs="Arial" w:eastAsia="Arial" w:hAnsi="Arial"/>
          <w:sz w:val="18"/>
          <w:szCs w:val="18"/>
          <w:b w:val="1"/>
          <w:bCs w:val="1"/>
          <w:u w:val="single" w:color="auto"/>
          <w:color w:val="auto"/>
        </w:rPr>
        <w:t>ACTUALLY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APPLICABLE VOTING DEADLINE BY THE VOTING AND CLAIMS AGENT.</w:t>
      </w:r>
    </w:p>
    <w:p>
      <w:pPr>
        <w:spacing w:after="0" w:line="181"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HOLDER OF A CLAIM OR EQUITY INTEREST MAY CAST ONLY ONE VOTE PER EACH CLAIM OR EQUITY INTEREST SO HELD. BY SIGNING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3" w:name="page244"/>
    <w:bookmarkEnd w:id="243"/>
    <w:p>
      <w:pPr>
        <w:ind w:left="324" w:right="180"/>
        <w:spacing w:after="0" w:line="255" w:lineRule="auto"/>
        <w:rPr>
          <w:sz w:val="20"/>
          <w:szCs w:val="20"/>
          <w:color w:val="auto"/>
        </w:rPr>
      </w:pPr>
      <w:r>
        <w:rPr>
          <w:rFonts w:ascii="Arial" w:cs="Arial" w:eastAsia="Arial" w:hAnsi="Arial"/>
          <w:sz w:val="18"/>
          <w:szCs w:val="18"/>
          <w:color w:val="auto"/>
        </w:rPr>
        <w:t>RETURNING A BALLOT, BENEFICIAL HOLDER BALLOT OR MASTER BALLOT, EACH HOLDER OF A CLAIM OR EQUITY INTEREST WILL CERTIFY TO THE BANKRUPTCY COURT AND THE DEBTORS THAT NO OTHER BALLOTS, BENEFICIAL HOLDER BALLOTS OR MASTER BALLOTS WITH RESPECT TO SUCH CLAIM OR EQUITY INTEREST HAS BEEN CAST OR, IF ANY OTHER BALLOT, BENEFICIAL HOLDER BALLOTS OR MASTER BALLOTS HAVE BEEN CAST WITH RESPECT TO SUCH CLAIM OR EQUITY INTEREST, SUCH EARLIER BALLOT, BENEFICIAL HOLDER BALLOTS OR MASTER BALLOTS ARE THEREBY SUPERSEDED AND REVOKED.</w:t>
      </w:r>
    </w:p>
    <w:p>
      <w:pPr>
        <w:spacing w:after="0" w:line="189" w:lineRule="exact"/>
        <w:rPr>
          <w:sz w:val="20"/>
          <w:szCs w:val="20"/>
          <w:color w:val="auto"/>
        </w:rPr>
      </w:pPr>
    </w:p>
    <w:p>
      <w:pPr>
        <w:ind w:left="324" w:right="140" w:hanging="324"/>
        <w:spacing w:after="0" w:line="261" w:lineRule="auto"/>
        <w:tabs>
          <w:tab w:leader="none" w:pos="288"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ANY BALLOT, BENEFICIAL HOLDER BALLOT OR MASTER BALLOT THAT IS RECEIVED </w:t>
      </w:r>
      <w:r>
        <w:rPr>
          <w:rFonts w:ascii="Arial" w:cs="Arial" w:eastAsia="Arial" w:hAnsi="Arial"/>
          <w:sz w:val="18"/>
          <w:szCs w:val="18"/>
          <w:b w:val="1"/>
          <w:bCs w:val="1"/>
          <w:u w:val="single" w:color="auto"/>
          <w:color w:val="auto"/>
        </w:rPr>
        <w:t>AFTER</w:t>
      </w:r>
      <w:r>
        <w:rPr>
          <w:rFonts w:ascii="Arial" w:cs="Arial" w:eastAsia="Arial" w:hAnsi="Arial"/>
          <w:sz w:val="18"/>
          <w:szCs w:val="18"/>
          <w:b w:val="1"/>
          <w:bCs w:val="1"/>
          <w:color w:val="auto"/>
        </w:rPr>
        <w:t xml:space="preserve"> THE APPLICABLE VOTING DEADLINE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 TOWARD CONFIRMATION OF THE PLAN UNLESS THE DEBTORS HAVE GRANTED AN EXTENSION OF THE VOTING DEADLINE IN WRITING WITH RESPECT TO SUCH BALLOT, BENEFICIAL HOLDER BALLOT OR MASTER BALLOT.</w:t>
      </w:r>
    </w:p>
    <w:p>
      <w:pPr>
        <w:spacing w:after="0" w:line="180" w:lineRule="exact"/>
        <w:rPr>
          <w:rFonts w:ascii="Arial" w:cs="Arial" w:eastAsia="Arial" w:hAnsi="Arial"/>
          <w:sz w:val="18"/>
          <w:szCs w:val="18"/>
          <w:color w:val="auto"/>
        </w:rPr>
      </w:pPr>
    </w:p>
    <w:p>
      <w:pPr>
        <w:ind w:left="324" w:right="100" w:hanging="324"/>
        <w:spacing w:after="0" w:line="282" w:lineRule="auto"/>
        <w:tabs>
          <w:tab w:leader="none" w:pos="288"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ADDITIONALLY, THE FOLLOWING BALLOTS, BENEFICIAL HOLDER BALLOTS AND MASTER BALLOTS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w:t>
      </w:r>
    </w:p>
    <w:p>
      <w:pPr>
        <w:spacing w:after="0" w:line="165"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is illegible or contains insufficient information to permit the identification of the Holder of the Claim or Equity Interest;</w:t>
      </w:r>
    </w:p>
    <w:p>
      <w:pPr>
        <w:spacing w:after="0" w:line="170" w:lineRule="exact"/>
        <w:rPr>
          <w:rFonts w:ascii="Arial" w:cs="Arial" w:eastAsia="Arial" w:hAnsi="Arial"/>
          <w:sz w:val="18"/>
          <w:szCs w:val="18"/>
          <w:color w:val="auto"/>
        </w:rPr>
      </w:pPr>
    </w:p>
    <w:p>
      <w:pPr>
        <w:ind w:left="1104"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by or on behalf of an entity that does not hold a Claim or Equity Interest in one of the Voting Classes;</w:t>
      </w:r>
    </w:p>
    <w:p>
      <w:pPr>
        <w:spacing w:after="0" w:line="170"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listed in the Schedules as contingent, unliquidated or disputed for which the applicable bar date has passed and no proof of claim was timely filed;</w:t>
      </w:r>
    </w:p>
    <w:p>
      <w:pPr>
        <w:spacing w:after="0" w:line="170" w:lineRule="exact"/>
        <w:rPr>
          <w:rFonts w:ascii="Arial" w:cs="Arial" w:eastAsia="Arial" w:hAnsi="Arial"/>
          <w:sz w:val="18"/>
          <w:szCs w:val="18"/>
          <w:color w:val="auto"/>
        </w:rPr>
      </w:pPr>
    </w:p>
    <w:p>
      <w:pPr>
        <w:ind w:left="1104" w:right="100" w:hanging="455"/>
        <w:spacing w:after="0" w:line="264"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(a) is properly completed, executed and timely filed, but does not indicate an acceptance or rejection of the Plan, or (b) indicates both an acceptance and rejection of the Plan, or (c) partially accepts and partially rejects the Plan;</w:t>
      </w:r>
    </w:p>
    <w:p>
      <w:pPr>
        <w:spacing w:after="0" w:line="181" w:lineRule="exact"/>
        <w:rPr>
          <w:rFonts w:ascii="Arial" w:cs="Arial" w:eastAsia="Arial" w:hAnsi="Arial"/>
          <w:sz w:val="18"/>
          <w:szCs w:val="18"/>
          <w:color w:val="auto"/>
        </w:rPr>
      </w:pPr>
    </w:p>
    <w:p>
      <w:pPr>
        <w:ind w:left="1104" w:right="6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that is subject to an objection pending as of the Voting Record Date (except as otherwise provided herein);</w:t>
      </w:r>
    </w:p>
    <w:p>
      <w:pPr>
        <w:spacing w:after="0" w:line="170" w:lineRule="exact"/>
        <w:rPr>
          <w:rFonts w:ascii="Arial" w:cs="Arial" w:eastAsia="Arial" w:hAnsi="Arial"/>
          <w:sz w:val="18"/>
          <w:szCs w:val="18"/>
          <w:color w:val="auto"/>
        </w:rPr>
      </w:pPr>
    </w:p>
    <w:p>
      <w:pPr>
        <w:ind w:left="1104" w:right="12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sent to the Debtors, the Debtors’ agents/representatives (other than the Voting and Claims Agent), any indenture trustee or the Debtors’ financial or legal advisors;</w:t>
      </w:r>
    </w:p>
    <w:p>
      <w:pPr>
        <w:spacing w:after="0" w:line="170" w:lineRule="exact"/>
        <w:rPr>
          <w:rFonts w:ascii="Arial" w:cs="Arial" w:eastAsia="Arial" w:hAnsi="Arial"/>
          <w:sz w:val="18"/>
          <w:szCs w:val="18"/>
          <w:color w:val="auto"/>
        </w:rPr>
      </w:pPr>
    </w:p>
    <w:p>
      <w:pPr>
        <w:ind w:left="1064" w:hanging="415"/>
        <w:spacing w:after="0"/>
        <w:tabs>
          <w:tab w:leader="none" w:pos="10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transmitted by facsimile, telecopy or electronic mail;</w:t>
      </w:r>
    </w:p>
    <w:p>
      <w:pPr>
        <w:spacing w:after="0" w:line="225" w:lineRule="exact"/>
        <w:rPr>
          <w:rFonts w:ascii="Arial" w:cs="Arial" w:eastAsia="Arial" w:hAnsi="Arial"/>
          <w:sz w:val="18"/>
          <w:szCs w:val="18"/>
          <w:color w:val="auto"/>
        </w:rPr>
      </w:pPr>
    </w:p>
    <w:p>
      <w:pPr>
        <w:ind w:left="1064" w:hanging="415"/>
        <w:spacing w:after="0"/>
        <w:tabs>
          <w:tab w:leader="none" w:pos="10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unsigned Ballot, Beneficial Holder Ballot or Master Ballot; or</w:t>
      </w:r>
    </w:p>
    <w:p>
      <w:pPr>
        <w:spacing w:after="0" w:line="225"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4"/>
          </w:cols>
          <w:pgMar w:left="896" w:top="341" w:right="339" w:bottom="1440" w:gutter="0" w:footer="0" w:header="0"/>
        </w:sectPr>
      </w:pPr>
    </w:p>
    <w:bookmarkStart w:id="244" w:name="page245"/>
    <w:bookmarkEnd w:id="244"/>
    <w:p>
      <w:pPr>
        <w:ind w:left="1720" w:hanging="415"/>
        <w:spacing w:after="0"/>
        <w:tabs>
          <w:tab w:leader="none" w:pos="17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not cast in accordance with the procedures described herein.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CONFIRMATION OF THE PLAN</w:t>
      </w:r>
    </w:p>
    <w:p>
      <w:pPr>
        <w:spacing w:after="0" w:line="207"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THE CONFIRMATION HEARING</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intend to file voluntary petitions to commence the Chapter 11 Cases and to request that the Bankruptcy Court schedule a hearing to consider approval of the Disclosure Statement and confirmation of the Plan (the “</w:t>
      </w:r>
      <w:r>
        <w:rPr>
          <w:rFonts w:ascii="Arial" w:cs="Arial" w:eastAsia="Arial" w:hAnsi="Arial"/>
          <w:sz w:val="18"/>
          <w:szCs w:val="18"/>
          <w:b w:val="1"/>
          <w:bCs w:val="1"/>
          <w:u w:val="single" w:color="auto"/>
          <w:color w:val="auto"/>
        </w:rPr>
        <w:t>Confirmation Hearing</w:t>
      </w:r>
      <w:r>
        <w:rPr>
          <w:rFonts w:ascii="Arial" w:cs="Arial" w:eastAsia="Arial" w:hAnsi="Arial"/>
          <w:sz w:val="18"/>
          <w:szCs w:val="18"/>
          <w:color w:val="auto"/>
        </w:rPr>
        <w:t>”) as soon as possible, at the United States Bankruptcy Court for the Southern District of Texas. Further information regarding the Confirmation Hearing, including the exact date and time on which it will be held and the timing and procedures for objecting to this Disclosure Statement or the Plan, will be included in the order scheduling the Confirmation Hearing.</w:t>
      </w:r>
    </w:p>
    <w:p>
      <w:pPr>
        <w:spacing w:after="0" w:line="184"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OBJECTIONS TO CONFIRMATION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1128(b) of the Bankruptcy Code provides that any party in interest may object to the confirmation of a plan of reorganization. Any objection to confirmation of the Plan must be in writing, must conform to the Bankruptcy Rules and the Local Rules, must set forth the name of the objector, the nature and amount of Claims or Equity Interests held or asserted by the objector against the Debtors’ estates or properties, the basis for the objection and the specific grounds therefore, and must be filed with the Bankruptcy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AN OBJECTION TO CONFIRMATION IS TIMELY FILED, IT MAY NOT BE CONSIDERED BY THE BANKRUPTCY COURT.</w:t>
      </w:r>
    </w:p>
    <w:p>
      <w:pPr>
        <w:spacing w:after="0" w:line="225"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CONFIRMATION OF THE PLAN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contains certain provisions relating to (a) the compromise and settlement of Claims, (b) the release of the Released Parties by the Debtors and certain Holders of Claims and Equity Interests, and each of their respective Related Persons, and (c) exculpation of certain parties. </w:t>
      </w:r>
      <w:r>
        <w:rPr>
          <w:rFonts w:ascii="Arial" w:cs="Arial" w:eastAsia="Arial" w:hAnsi="Arial"/>
          <w:sz w:val="18"/>
          <w:szCs w:val="18"/>
          <w:b w:val="1"/>
          <w:bCs w:val="1"/>
          <w:color w:val="auto"/>
        </w:rPr>
        <w:t>It is</w:t>
      </w:r>
      <w:r>
        <w:rPr>
          <w:rFonts w:ascii="Arial" w:cs="Arial" w:eastAsia="Arial" w:hAnsi="Arial"/>
          <w:sz w:val="18"/>
          <w:szCs w:val="18"/>
          <w:color w:val="auto"/>
        </w:rPr>
        <w:t xml:space="preserve"> </w:t>
      </w:r>
      <w:r>
        <w:rPr>
          <w:rFonts w:ascii="Arial" w:cs="Arial" w:eastAsia="Arial" w:hAnsi="Arial"/>
          <w:sz w:val="18"/>
          <w:szCs w:val="18"/>
          <w:b w:val="1"/>
          <w:bCs w:val="1"/>
          <w:color w:val="auto"/>
        </w:rPr>
        <w:t>important to read such provisions carefully so that you understand the implications of these provisions with respect to your Claim or Equity Interest such that you may cast your vote accordingly</w:t>
      </w:r>
      <w:r>
        <w:rPr>
          <w:rFonts w:ascii="Arial" w:cs="Arial" w:eastAsia="Arial" w:hAnsi="Arial"/>
          <w:sz w:val="18"/>
          <w:szCs w:val="18"/>
          <w:color w:val="auto"/>
        </w:rPr>
        <w:t>.</w:t>
      </w:r>
    </w:p>
    <w:p>
      <w:pPr>
        <w:spacing w:after="0" w:line="183" w:lineRule="exact"/>
        <w:rPr>
          <w:sz w:val="20"/>
          <w:szCs w:val="20"/>
          <w:color w:val="auto"/>
        </w:rPr>
      </w:pPr>
    </w:p>
    <w:p>
      <w:pPr>
        <w:jc w:val="center"/>
        <w:ind w:left="280" w:right="120"/>
        <w:spacing w:after="0" w:line="258" w:lineRule="auto"/>
        <w:rPr>
          <w:sz w:val="20"/>
          <w:szCs w:val="20"/>
          <w:color w:val="auto"/>
        </w:rPr>
      </w:pPr>
      <w:r>
        <w:rPr>
          <w:rFonts w:ascii="Arial" w:cs="Arial" w:eastAsia="Arial" w:hAnsi="Arial"/>
          <w:sz w:val="18"/>
          <w:szCs w:val="18"/>
          <w:b w:val="1"/>
          <w:bCs w:val="1"/>
          <w:color w:val="auto"/>
        </w:rPr>
        <w:t>THE PLAN SHALL BIND ALL HOLDERS OF CLAIMS AGAINST AND EQUITY INTERESTS IN THE DEBTORS TO THE MAXIMUM EXTENT PERMITTED BY APPLICABLE LAW, NOTWITHSTANDING WHETHER OR NOT SUCH HOLDER (A) WILL RECEIVE OR RETAIN ANY PROPERTY OR INTEREST IN PROPERTY UNDER THE PLAN, (B) HAS FILED A PROOF OF CLAIM OR EQUITY INTEREST IN THE CHAPTER 11 CASES OR (C) FAILED TO VOTE TO ACCEPT OR REJECT THE PLAN OR VOTED TO REJECT THE PLAN.</w:t>
      </w:r>
    </w:p>
    <w:p>
      <w:pPr>
        <w:spacing w:after="0" w:line="184"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It will be a condition to Confirmation of the Plan that all provisions, terms and conditions of the Plan are approved in the Confirmation Order unless otherwise satisfied or waived pursuant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 xml:space="preserve">to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Plan. Following Confirmation, the Plan will be consummated on the Effective Date.</w:t>
      </w:r>
    </w:p>
    <w:p>
      <w:pPr>
        <w:spacing w:after="0" w:line="221"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PROCEDURES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1128(a) of the Bankruptcy Code requires the Bankruptcy Court, after appropriate notice, to hold a hearing on confirmation of a plan of reorganization. On the first day of the Debtors’ Chapter 11 Cases, the Debtors will request that the Bankruptcy Court schedule the Confirmation Hearing on shortened notice. Notice of the Confirmation Hearing will be provided to all known creditors and equity holders or their representatives. The Confirmation Hearing may be adjourned from time to time by the Bankruptcy Court without further notice except for an announcement of the adjourned or continued date made at the Confirmation Hearing or any subsequent adjourned Confirmation Hearing.</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Section 1128(b) of the Bankruptcy Code provides that any party in interest may object to confirmation of a plan. Any objection to confirmation of the Plan must be in writing, must conform to the Bankruptcy Rules, must set forth the name of the objecting party, the nature and amount of Claims or Equity Interests held or asserted by the objecting party against the Debtors’ Estates, the basis for the objection and the specific grounds therefor, and must be filed with the Bankruptcy Court so as to be actually received no later than the date and time designated in the notice of the Confirmation Hearing.</w:t>
      </w:r>
    </w:p>
    <w:p>
      <w:pPr>
        <w:spacing w:after="0" w:line="150" w:lineRule="exact"/>
        <w:rPr>
          <w:sz w:val="20"/>
          <w:szCs w:val="20"/>
          <w:color w:val="auto"/>
        </w:rPr>
      </w:pPr>
    </w:p>
    <w:p>
      <w:pPr>
        <w:ind w:left="640" w:hanging="632"/>
        <w:spacing w:after="0"/>
        <w:tabs>
          <w:tab w:leader="none" w:pos="6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REQUIREMENTS FOR CONFIRMATION OF THE PLAN</w:t>
      </w:r>
    </w:p>
    <w:p>
      <w:pPr>
        <w:spacing w:after="0" w:line="22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At the Confirmation Hearing, the Bankruptcy Court will determine whether the Plan satisfies the requirements of section 1129 of the Bankruptcy Code. The Debtors believe that: (i) the Plan satisfies or will satisfy all of the statutory requirements of chapter 11 of the Bankruptcy Code; (ii) the Debtors have complied or will have complied with all of the requirements of chapter 11 of the Bankruptcy Code; and (iii) the Plan has been proposed in good faith. Specifically, the Debtors believe that the Plan satisfies or will satisfy the applicable confirmation requirements of section 1129 of the Bankruptcy Code set forth below:</w:t>
      </w:r>
    </w:p>
    <w:p>
      <w:pPr>
        <w:spacing w:after="0" w:line="188" w:lineRule="exact"/>
        <w:rPr>
          <w:sz w:val="20"/>
          <w:szCs w:val="20"/>
          <w:color w:val="auto"/>
        </w:rPr>
      </w:pPr>
    </w:p>
    <w:p>
      <w:pPr>
        <w:ind w:left="940" w:hanging="284"/>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Plan complies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Debtors complied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Plan has been proposed in good faith and not by any means forbidden by law;</w:t>
      </w:r>
    </w:p>
    <w:p>
      <w:pPr>
        <w:spacing w:after="0" w:line="225" w:lineRule="exact"/>
        <w:rPr>
          <w:rFonts w:ascii="Arial" w:cs="Arial" w:eastAsia="Arial" w:hAnsi="Arial"/>
          <w:sz w:val="18"/>
          <w:szCs w:val="18"/>
          <w:color w:val="auto"/>
        </w:rPr>
      </w:pPr>
    </w:p>
    <w:p>
      <w:pPr>
        <w:ind w:left="980" w:right="360" w:hanging="324"/>
        <w:spacing w:after="0" w:line="259" w:lineRule="auto"/>
        <w:tabs>
          <w:tab w:leader="none" w:pos="94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payment made or promised under the Plan for services or for costs and expenses in, or in connection with, the Chapter 11 Cases, or in connection with the Plan and incident to the cases, has been or will be disclosed to the Bankruptcy Court, and any such payment: (a) made before the confirmation of the Plan is reasonable; or (b) if it is to be fixed after confirmation of the Plan, is subject to the approval of the Bankruptcy Court for the determination of reasonableness;</w:t>
      </w:r>
    </w:p>
    <w:p>
      <w:pPr>
        <w:spacing w:after="0" w:line="186"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Debtors have disclosed the identity and affiliations of any individual proposed to serve, after confirmation of the Plan, as a director, officer, or voting trustee of the Debtors, an affiliate of the Debtors participating in the Plan with the Debtors, or a successor to the Debtors under the Plan. The appointment to, or continuance in,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46" w:name="page247"/>
    <w:bookmarkEnd w:id="246"/>
    <w:p>
      <w:pPr>
        <w:ind w:left="980" w:right="140"/>
        <w:spacing w:after="0" w:line="264" w:lineRule="auto"/>
        <w:rPr>
          <w:sz w:val="20"/>
          <w:szCs w:val="20"/>
          <w:color w:val="auto"/>
        </w:rPr>
      </w:pPr>
      <w:r>
        <w:rPr>
          <w:rFonts w:ascii="Arial" w:cs="Arial" w:eastAsia="Arial" w:hAnsi="Arial"/>
          <w:sz w:val="18"/>
          <w:szCs w:val="18"/>
          <w:color w:val="auto"/>
        </w:rPr>
        <w:t>office by such individual, will be consistent with the interests of creditors and equity security holders and with public policy and the Debtors will have disclosed the identity of any insider that the Reorganized Debtors will employ or retain, and the nature of any compensation for such insider;</w:t>
      </w:r>
    </w:p>
    <w:p>
      <w:pPr>
        <w:spacing w:after="0" w:line="181" w:lineRule="exact"/>
        <w:rPr>
          <w:sz w:val="20"/>
          <w:szCs w:val="20"/>
          <w:color w:val="auto"/>
        </w:rPr>
      </w:pPr>
    </w:p>
    <w:p>
      <w:pPr>
        <w:ind w:left="980" w:right="100" w:hanging="324"/>
        <w:spacing w:after="0" w:line="264"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Either each Holder of an Impaired Claim or Equity Interest will have accepted the Plan, or will receive or retain under the Plan on account of such Claim, property of a value, as of the Effective Date of the Plan, that is not less than the amount that such Holder would receive or retain if the Debtors were liquidated on that date under chapter 7 of the Bankruptcy Code;</w:t>
      </w:r>
    </w:p>
    <w:p>
      <w:pPr>
        <w:spacing w:after="0" w:line="181" w:lineRule="exact"/>
        <w:rPr>
          <w:rFonts w:ascii="Arial" w:cs="Arial" w:eastAsia="Arial" w:hAnsi="Arial"/>
          <w:sz w:val="18"/>
          <w:szCs w:val="18"/>
          <w:color w:val="auto"/>
        </w:rPr>
      </w:pPr>
    </w:p>
    <w:p>
      <w:pPr>
        <w:ind w:left="980" w:right="180" w:hanging="324"/>
        <w:spacing w:after="0" w:line="342" w:lineRule="auto"/>
        <w:tabs>
          <w:tab w:leader="none" w:pos="9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Each Class of Claims or Equity Interests that is entitled to vote on the Plan will either have accepted the Plan or will not be impaired under the Plan, or the Plan can be confirmed without the approval of such Voting Class pursuant to section 1129(b) of the Bankruptcy Code;</w:t>
      </w:r>
    </w:p>
    <w:p>
      <w:pPr>
        <w:spacing w:after="0" w:line="123" w:lineRule="exact"/>
        <w:rPr>
          <w:rFonts w:ascii="Arial" w:cs="Arial" w:eastAsia="Arial" w:hAnsi="Arial"/>
          <w:sz w:val="16"/>
          <w:szCs w:val="16"/>
          <w:color w:val="auto"/>
        </w:rPr>
      </w:pPr>
    </w:p>
    <w:p>
      <w:pPr>
        <w:jc w:val="both"/>
        <w:ind w:left="980" w:right="200" w:hanging="324"/>
        <w:spacing w:after="0" w:line="286" w:lineRule="auto"/>
        <w:tabs>
          <w:tab w:leader="none" w:pos="94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Except to the extent that the Holder of a particular Claim will agree to a different treatment of its Claim, the Plan provides that Administrative Claims and Other Priority Claims will be paid in full in Cash on the Effective Date, or as soon thereafter as is reasonably practicable, and that Priority Tax Claims will be paid in accordance with section 1129(a)(9)(C) of the Bankruptcy Code;</w:t>
      </w:r>
    </w:p>
    <w:p>
      <w:pPr>
        <w:spacing w:after="0" w:line="165"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At least one Class of Impaired Claims or Equity Interests will accept the Plan, determined without including any acceptance of the Plan by any insider holding a Claim or Equity Interest in that Class;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Confirmation of the Plan will not likely be followed by the liquidation or the need for further financial reorganization of the Debtors or any successor thereto under the Plan;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outstanding fees payable pursuant to section 1930 of title 28 of the United States Code will be paid when due.</w:t>
      </w:r>
    </w:p>
    <w:p>
      <w:pPr>
        <w:spacing w:after="0" w:line="221" w:lineRule="exact"/>
        <w:rPr>
          <w:sz w:val="20"/>
          <w:szCs w:val="20"/>
          <w:color w:val="auto"/>
        </w:rPr>
      </w:pPr>
    </w:p>
    <w:p>
      <w:pPr>
        <w:ind w:left="1300" w:hanging="644"/>
        <w:spacing w:after="0"/>
        <w:tabs>
          <w:tab w:leader="none" w:pos="130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Best Interests of Creditors Test/Liquidation Analysis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Often called the “best interests” test, section 1129(a)(7) of the Bankruptcy Code requires that a bankruptcy court find, as a condition to confirmation, that a chapter 11 plan provide, with respect to each class, that each holder of a claim or an equity interest in such class either (a) has accepted the plan or</w:t>
      </w:r>
    </w:p>
    <w:p>
      <w:pPr>
        <w:ind w:firstLine="8"/>
        <w:spacing w:after="0" w:line="270" w:lineRule="auto"/>
        <w:tabs>
          <w:tab w:leader="none" w:pos="25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will receive or retain under the plan property of a value, as of the effective date of the plan, that is not less than the amount that such holder would receive or retain if the debtor or debtors are liquidated under chapter 7 of the Bankruptcy Code. To make these findings, the Bankruptcy Court must: (a) estimate the cash liquidation proceeds that a chapter 7 trustee would generate if the chapter 11 cases were converted to a chapter 7 case and the assets of the particular debtors’ estate were liquidated; (b) determine the liquidation distribution that each non-accepting holder of a claim or an equity interest would receive from such liquidation proceeds under the priority scheme dictated in chapter 7; and (c) compare such holder’s liquidation distribution to the distribution under the chapter 11 plan that such holder would receive if the chapter 11 plan were confirmed.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7" w:name="page248"/>
    <w:bookmarkEnd w:id="247"/>
    <w:p>
      <w:pPr>
        <w:ind w:right="480" w:firstLine="648"/>
        <w:spacing w:after="0" w:line="259" w:lineRule="auto"/>
        <w:rPr>
          <w:sz w:val="20"/>
          <w:szCs w:val="20"/>
          <w:color w:val="auto"/>
        </w:rPr>
      </w:pPr>
      <w:r>
        <w:rPr>
          <w:rFonts w:ascii="Arial" w:cs="Arial" w:eastAsia="Arial" w:hAnsi="Arial"/>
          <w:sz w:val="18"/>
          <w:szCs w:val="18"/>
          <w:color w:val="auto"/>
        </w:rPr>
        <w:t>In chapter 7 cases, creditors and interest holders of a debtor are paid from available assets generally in the following order, with no junior class receiving any payments until all amounts due to senior classes have been paid in full: (a) holders of secured claims (to the extent of the value of their collateral); (b) holders of priority claims; (c) holders of unsecured claims; (d) holders of debt expressly subordinated by its terms or by order of the bankruptcy court; and (e) holders of equity interests.</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Accordingly, the Cash amount that would be available for satisfaction of claims (other than secured claims) would consist of the proceeds resulting from the disposition of the unencumbered assets of the debtors, augmented by the unencumbered Cash held by the debtors at the time of the commencement of the liquidation. Such Cash would be reduced by the amount of the costs and expenses of the liquidation and by such additional administrative and priority claims that may result from termination of the debtor’s business and the use of chapter 7 for purposes of a liquidation.</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As described in more detail in the liquidation analysis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Liquidation Analysis</w:t>
      </w:r>
      <w:r>
        <w:rPr>
          <w:rFonts w:ascii="Arial" w:cs="Arial" w:eastAsia="Arial" w:hAnsi="Arial"/>
          <w:sz w:val="17"/>
          <w:szCs w:val="17"/>
          <w:color w:val="auto"/>
        </w:rPr>
        <w:t>”), the Debtors believe that confirmation of the Plan will provide each Holder of an Allowed Claim or Equity Interest in each Class with a recovery greater than or equal to the value of any distributions if the Chapter 11 Cases were converted to a case under chapter 7 of the Bankruptcy Code because, among other reasons, proceeds received in a chapter 7 liquidation are likely to be significantly discounted due to the distressed nature of the sale of the Debtors’ assets and the fees and expenses of a chapter 7 trustee would likely further reduce Cash available for distribution. In addition, distributions in a chapter 7 case may not occur for a longer period of time than distributions under the Plan, thereby reducing the present value of such distributions. In this regard, it is possible that distribution of the proceeds of a liquidation could be delayed for a significant period while the chapter 7 trustee and its advisors become knowledgeable about, among other things, the Chapter 11 Cases and the Claims against the Debtors.</w:t>
      </w:r>
    </w:p>
    <w:p>
      <w:pPr>
        <w:spacing w:after="0" w:line="172"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Feasibility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1129(a)(11) of the Bankruptcy Code requires that the bankruptcy court find that confirmation is not likely to be followed by the liquidation of the Reorganized Debtors or the need for further financial reorganization, unless the plan contemplates such liquidation. For purposes of demonstrating that the Plan meets this “feasibility” standard, the Debtors have analyzed the ability of the Reorganized Debtors to meet their obligations under the Plan and to retain sufficient liquidity and capital resources to conduct their businesses.</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Debtors believe that the Plan meets the feasibility requirement set forth in section 1129(a)(11) of the Bankruptcy Code. In connection with the development of the Plan and for the purposes of determining whether the Plan satisfies this feasibility standard, the Debtors analyzed the ability of the Reorganized Debtors to satisfy their financial obligations while maintaining sufficient liquidity and capital resources. Financial projections of the Reorganized Debtors for the years ending 2019, 2020, 2021, and 2022 (the “</w:t>
      </w:r>
      <w:r>
        <w:rPr>
          <w:rFonts w:ascii="Arial" w:cs="Arial" w:eastAsia="Arial" w:hAnsi="Arial"/>
          <w:sz w:val="17"/>
          <w:szCs w:val="17"/>
          <w:b w:val="1"/>
          <w:bCs w:val="1"/>
          <w:u w:val="single" w:color="auto"/>
          <w:color w:val="auto"/>
        </w:rPr>
        <w:t>Financial Projections</w:t>
      </w:r>
      <w:r>
        <w:rPr>
          <w:rFonts w:ascii="Arial" w:cs="Arial" w:eastAsia="Arial" w:hAnsi="Arial"/>
          <w:sz w:val="17"/>
          <w:szCs w:val="17"/>
          <w:color w:val="auto"/>
        </w:rPr>
        <w:t xml:space="preserve">”) are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general, as illustrated by the Financial Projections, the Debtors believe that as a result of the transactions contemplated by the Plan, including the Exit Facility Credit Agreement, the Rights Offerings, and the Backstop Commitment, the Reorganized Debtors should have sufficient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8" w:name="page249"/>
    <w:bookmarkEnd w:id="248"/>
    <w:p>
      <w:pPr>
        <w:ind w:right="80"/>
        <w:spacing w:after="0" w:line="286" w:lineRule="auto"/>
        <w:rPr>
          <w:sz w:val="20"/>
          <w:szCs w:val="20"/>
          <w:color w:val="auto"/>
        </w:rPr>
      </w:pPr>
      <w:r>
        <w:rPr>
          <w:rFonts w:ascii="Arial" w:cs="Arial" w:eastAsia="Arial" w:hAnsi="Arial"/>
          <w:sz w:val="17"/>
          <w:szCs w:val="17"/>
          <w:color w:val="auto"/>
        </w:rPr>
        <w:t>cash flow and availability to make all payments required pursuant to the Plan while conducting ongoing business operations. The Debtors believe that confirmation and consummation is, therefore, not likely to be followed by the liquidation or further reorganization of the Reorganized Debtors. Accordingly, the Debtors believe that the Plan satisfies the feasibility requirement of section 1129(a)(11) of the Bankruptcy Code.</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FINANCIAL PROJECTIONS, INCLUDING THE UNDERLYING ASSUMPTIONS, SHOULD BE CAREFULLY REVIEWED IN EVALUATING THE PLAN. WHILE MANAGEMENT BELIEVES THE ASSUMPTIONS UNDERLYING THE FINANCIAL PROJECTIONS, WHEN CONSIDERED ON AN OVERALL BASIS, ARE REASONABLE IN LIGHT OF CURRENT CIRCUMSTANCES AND EXPECTATIONS, NO ASSURANCE CAN BE GIVEN THAT THE FINANCIAL PROJECTIONS WILL BE REALIZED.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FINANCIAL PROJECTIONS HAVE NOT BEEN EXAMINED OR COMPILED BY INDEPENDENT ACCOUNTANTS. THE DEBTORS MAKE NO REPRESENTATION OR WARRANTY AS TO THE ACCURACY OF THE FINANCIAL PROJECTIONS OR THEIR ABILITY TO ACHIEVE THE PROJECTED RESULTS. MANY OF THE ASSUMPTIONS ON WHICH THE PROJECTIONS ARE BASED ARE INHERENTLY SUBJECT TO SIGNIFICANT ECONOMIC AND COMPETITIVE UNCERTAINTIES AND CONTINGENCIES WHICH ARE BEYOND THE CONTROL OF THE DEBTORS. INEVITABLY, SOME ASSUMPTIONS WILL NOT MATERIALIZE AND UNANTICIPATED EVENTS AND CIRCUMSTANCES MAY AFFECT THE ACTUAL FINANCIAL RESULTS. THEREFORE, THE ACTUAL RESULTS ACHIEVED THROUGHOUT THE PERIOD OF THE FINANCIAL PROJECTIONS MAY VARY FROM THE PROJECTED RESULTS AND THE VARIATIONS MAY BE MATERIAL. ALL HOLDERS OF CLAIMS THAT ARE ENTITLED TO VOTE TO ACCEPT OR REJECT THE PLAN ARE URGED TO EXAMINE CAREFULLY ALL OF THE ASSUMPTIONS ON WHICH THE FINANCIAL PROJECTIONS ARE BASED IN CONNECTION WITH THEIR EVALUATION OF THE PLAN.</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BASED ON THE FINANCIAL PROJECTIONS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DEBTORS BELIEVE THAT THEY WILL BE ABLE TO MAKE ALL DISTRIBUTIONS AND PAYMENTS UNDER THE PLAN AND THAT CONFIRMATION OF THE PLAN IS NOT LIKELY TO BE FOLLOWED BY LIQUIDATION OF THE REORGANIZED DEBTORS OR THE NEED FOR FURTHER FINANCIAL REORGANIZATION OF THE REORGANIZED DEBTORS.</w:t>
      </w:r>
    </w:p>
    <w:p>
      <w:pPr>
        <w:spacing w:after="0" w:line="183"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Bankruptcy Code requires, as a condition to confirmation, that, except as described in the following section, each class of claims or equity interests that is impaired under a plan, accept the plan. A class that is not “impaired” under a plan is deemed to have accepted the plan and, therefore, solicitation of acceptances with respect to such class is not required. A class is “impaired” unless the plan: (a) leaves unaltered the legal, equitable and contractual rights to which the claim or the equity interest entitles the holder of such claim or equity interest; (b) cures any default and reinstates the original terms of such obligation; or (c) provides that, on the consummation date, the holder of such claim or equity interest receives Cash equal to the allowed amount of that claim or, with respect to any equity interest, any fixed liquidation preference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which the holder of such equity interest is entitled to any fixed price at which the debtor may redeem the security.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Bankruptcy Code defines “acceptance” of a plan by a class of (i) Claims as acceptance by creditors in that class that hold at least two-thirds (2/3) in dollar amount and more than one-half (1/2) in number of the Claims that cast ballots for acceptance or rejection of the Plan and (ii) Equity Interests as acceptance by interest holders in that class that hold at least two-thirds (2/3) in amount of the Equity Interests that cast ballots for acceptance or rejection of the Plan. Holders of Claims or Equity Interests that fail to vote are not counted in determining the thresholds for acceptance of the Plan.</w:t>
      </w:r>
    </w:p>
    <w:p>
      <w:pPr>
        <w:spacing w:after="0" w:line="154"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Claims in Classes 1, 2, 3, 4, 5, 6, 8, and 9 and Equity Interests in Class 11 are not Impaired under the Plan, and, as a result, the Holders of such Claims and Equity Interests are deemed to have accepted the Plan. Accordingly, the Debtors are not required to solicit their vote.</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Claims in Class 7 and Equity Interests in Class 10 are Impaired under the Plan, and as a result, the Holders of Claims in Class 7 and Equity Interests in Class 10 are entitled to vote on the Plan. Pursuant to section 1129 of the Bankruptcy Code, the Holders of Claims and Equity Interests in the Voting Classes must accept the Plan for the Plan to be confirmed without application of the “fair and equitable test” to Classes 7 and 10 and without considering whether the Plan “discriminates unfairly” with respect to Classes 7 and 10 as both standards are described herein. As explained above, Class 7 will have accepted the Plan if the Plan is accepted by at least two-thirds (2/3) in amount and a majority in number of the Claims of Class 7 (other than any Claims of creditors designated under section 1126(e) of the Bankruptcy Code) that will have voted to accept or reject the Plan, and Class 10 will have accepted the Plan if the Plan is accepted by Holders of Equity Interests holding at least two-thirds (2/3) in amount of such interests that have voted to accept or reject the Plan.</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Unexercised Equity Interests in Class 12 are Impaired and deemed to have rejected the Plan. The Debtors, therefore, will request confirmation of the Plan, as it may be modified from time to time, under section 1129(b) of the Bankruptcy Code as more fully described below.</w:t>
      </w:r>
    </w:p>
    <w:p>
      <w:pPr>
        <w:spacing w:after="0" w:line="166" w:lineRule="exact"/>
        <w:rPr>
          <w:sz w:val="20"/>
          <w:szCs w:val="20"/>
          <w:color w:val="auto"/>
        </w:rPr>
      </w:pPr>
    </w:p>
    <w:p>
      <w:pPr>
        <w:ind w:left="1300" w:hanging="644"/>
        <w:spacing w:after="0"/>
        <w:tabs>
          <w:tab w:leader="none" w:pos="130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Without Acceptance by All Impaired Classes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1129(b) of the Bankruptcy Code allows a bankruptcy court to confirm a plan even if less than all impaired classes entitled to vote on the plan have accepted it, provided that the plan has been accepted by at least one impaired class of claims. Pursuant to section 1129(b) of the Bankruptcy Code, notwithstanding an impaired Class’s rejection or deemed rejection of the Plan, the Plan will be confirmed, at the Debtors’ request, in a procedure commonly known as “cram down,” so long as the Plan does not “discriminate unfairly” and is “fair and equitable” with respect to each Class of Claims or Equity Interests that is impaired under, and has not accepted, the Plan.</w:t>
      </w:r>
    </w:p>
    <w:p>
      <w:pPr>
        <w:spacing w:after="0" w:line="184" w:lineRule="exact"/>
        <w:rPr>
          <w:sz w:val="20"/>
          <w:szCs w:val="20"/>
          <w:color w:val="auto"/>
        </w:rPr>
      </w:pPr>
    </w:p>
    <w:p>
      <w:pPr>
        <w:ind w:left="1300" w:hanging="644"/>
        <w:spacing w:after="0"/>
        <w:tabs>
          <w:tab w:leader="none" w:pos="130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No Unfair Discrimination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test applies to classes of claims or equity interests that are of equal priority and are receiving different treatment under the Plan. The test does not require that the treatment be the same or equivalent, but that such treatment be “fair.” In general, bankruptcy courts consider whether a plan discriminates unfairly in its treatment of classes of claims of equal rank (e.g.,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0" w:name="page251"/>
    <w:bookmarkEnd w:id="250"/>
    <w:p>
      <w:pPr>
        <w:ind w:right="160"/>
        <w:spacing w:after="0" w:line="277" w:lineRule="auto"/>
        <w:rPr>
          <w:sz w:val="20"/>
          <w:szCs w:val="20"/>
          <w:color w:val="auto"/>
        </w:rPr>
      </w:pPr>
      <w:r>
        <w:rPr>
          <w:rFonts w:ascii="Arial" w:cs="Arial" w:eastAsia="Arial" w:hAnsi="Arial"/>
          <w:sz w:val="18"/>
          <w:szCs w:val="18"/>
          <w:color w:val="auto"/>
        </w:rPr>
        <w:t>classes of the same legal character). Bankruptcy courts will take into account a number of factors in determining whether a plan discriminates unfairly, and, accordingly, a plan could treat two classes of unsecured creditors differently without unfairly discriminating against either class.</w:t>
      </w:r>
    </w:p>
    <w:p>
      <w:pPr>
        <w:spacing w:after="0" w:line="166" w:lineRule="exact"/>
        <w:rPr>
          <w:sz w:val="20"/>
          <w:szCs w:val="20"/>
          <w:color w:val="auto"/>
        </w:rPr>
      </w:pPr>
    </w:p>
    <w:p>
      <w:pPr>
        <w:ind w:left="1300" w:hanging="644"/>
        <w:spacing w:after="0"/>
        <w:tabs>
          <w:tab w:leader="none" w:pos="13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Fair and Equitable Test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test applies to classes of different priority and status (</w:t>
      </w:r>
      <w:r>
        <w:rPr>
          <w:rFonts w:ascii="Arial" w:cs="Arial" w:eastAsia="Arial" w:hAnsi="Arial"/>
          <w:sz w:val="18"/>
          <w:szCs w:val="18"/>
          <w:i w:val="1"/>
          <w:iCs w:val="1"/>
          <w:color w:val="auto"/>
        </w:rPr>
        <w:t>e.g.</w:t>
      </w:r>
      <w:r>
        <w:rPr>
          <w:rFonts w:ascii="Arial" w:cs="Arial" w:eastAsia="Arial" w:hAnsi="Arial"/>
          <w:sz w:val="18"/>
          <w:szCs w:val="18"/>
          <w:color w:val="auto"/>
        </w:rPr>
        <w:t>, secured versus unsecured) and includes the general requirement that no class of claims receive more than 100% of the amount of the allowed claims in such class. As to the dissenting class, the test sets different standards depending on the type of claims or equity interests in such class:</w:t>
      </w:r>
    </w:p>
    <w:p>
      <w:pPr>
        <w:spacing w:after="0" w:line="181" w:lineRule="exact"/>
        <w:rPr>
          <w:sz w:val="20"/>
          <w:szCs w:val="20"/>
          <w:color w:val="auto"/>
        </w:rPr>
      </w:pPr>
    </w:p>
    <w:p>
      <w:pPr>
        <w:ind w:left="940" w:hanging="284"/>
        <w:spacing w:after="0"/>
        <w:tabs>
          <w:tab w:leader="none" w:pos="940"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Secured Claims</w:t>
      </w:r>
      <w:r>
        <w:rPr>
          <w:rFonts w:ascii="Arial" w:cs="Arial" w:eastAsia="Arial" w:hAnsi="Arial"/>
          <w:sz w:val="17"/>
          <w:szCs w:val="17"/>
          <w:color w:val="auto"/>
        </w:rPr>
        <w:t>. The condition that a plan be “fair and equitable” to a non-accepting class of secured claims includes the requirements that:</w:t>
      </w:r>
    </w:p>
    <w:p>
      <w:pPr>
        <w:spacing w:after="0" w:line="34" w:lineRule="exact"/>
        <w:rPr>
          <w:rFonts w:ascii="Arial" w:cs="Arial" w:eastAsia="Arial" w:hAnsi="Arial"/>
          <w:sz w:val="17"/>
          <w:szCs w:val="17"/>
          <w:color w:val="auto"/>
        </w:rPr>
      </w:pPr>
    </w:p>
    <w:p>
      <w:pPr>
        <w:ind w:left="980" w:right="40"/>
        <w:spacing w:after="0" w:line="273" w:lineRule="auto"/>
        <w:rPr>
          <w:rFonts w:ascii="Arial" w:cs="Arial" w:eastAsia="Arial" w:hAnsi="Arial"/>
          <w:sz w:val="17"/>
          <w:szCs w:val="17"/>
          <w:color w:val="auto"/>
        </w:rPr>
      </w:pPr>
      <w:r>
        <w:rPr>
          <w:rFonts w:ascii="Arial" w:cs="Arial" w:eastAsia="Arial" w:hAnsi="Arial"/>
          <w:sz w:val="17"/>
          <w:szCs w:val="17"/>
          <w:color w:val="auto"/>
        </w:rPr>
        <w:t>(a) the holders of such secured claims retain the liens securing such claims to the extent of the allowed amount of the claims, whether the property subject to the liens is retained by the debtor or transferred to another entity under the plan; and (b) each holder of a secured claim in the class receives deferred Cash payments totaling at least the allowed amount of such claim with a present value, as of the effective date of the plan, at least equivalent to the value of the secured claimant’s interest in the debtor’s property subject to the liens.</w:t>
      </w:r>
    </w:p>
    <w:p>
      <w:pPr>
        <w:spacing w:after="0" w:line="176" w:lineRule="exact"/>
        <w:rPr>
          <w:rFonts w:ascii="Arial" w:cs="Arial" w:eastAsia="Arial" w:hAnsi="Arial"/>
          <w:sz w:val="17"/>
          <w:szCs w:val="17"/>
          <w:color w:val="auto"/>
        </w:rPr>
      </w:pPr>
    </w:p>
    <w:p>
      <w:pPr>
        <w:ind w:left="980" w:right="120" w:hanging="324"/>
        <w:spacing w:after="0" w:line="302" w:lineRule="auto"/>
        <w:tabs>
          <w:tab w:leader="none" w:pos="944"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Unsecured Claims</w:t>
      </w:r>
      <w:r>
        <w:rPr>
          <w:rFonts w:ascii="Arial" w:cs="Arial" w:eastAsia="Arial" w:hAnsi="Arial"/>
          <w:sz w:val="16"/>
          <w:szCs w:val="16"/>
          <w:color w:val="auto"/>
        </w:rPr>
        <w:t>. The condition that a plan be “fair and equitable” to a non-accepting class of unsecured claims includes the following requirement that either: (a) the plan provides that each holder of a claim of such class receive or retain on account of such claim property of a value, as of the effective date of the plan, equal to the allowed amount of such claim; or (b) the holder of any claim or any equity interest that is junior to the claims of such class will not receive or retain under the plan on account of such junior claim or junior equity interest any property.</w:t>
      </w:r>
    </w:p>
    <w:p>
      <w:pPr>
        <w:spacing w:after="0" w:line="154" w:lineRule="exact"/>
        <w:rPr>
          <w:rFonts w:ascii="Arial" w:cs="Arial" w:eastAsia="Arial" w:hAnsi="Arial"/>
          <w:sz w:val="16"/>
          <w:szCs w:val="16"/>
          <w:color w:val="auto"/>
        </w:rPr>
      </w:pPr>
    </w:p>
    <w:p>
      <w:pPr>
        <w:ind w:left="980" w:right="420" w:hanging="324"/>
        <w:spacing w:after="0" w:line="277" w:lineRule="auto"/>
        <w:tabs>
          <w:tab w:leader="none" w:pos="94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The condition that a plan be “fair and equitable” to a non-accepting class of equity interests includes the requirements that either:</w:t>
      </w:r>
    </w:p>
    <w:p>
      <w:pPr>
        <w:spacing w:after="0" w:line="170" w:lineRule="exact"/>
        <w:rPr>
          <w:sz w:val="20"/>
          <w:szCs w:val="20"/>
          <w:color w:val="auto"/>
        </w:rPr>
      </w:pPr>
    </w:p>
    <w:p>
      <w:pPr>
        <w:ind w:left="1440" w:right="80" w:hanging="460"/>
        <w:spacing w:after="0" w:line="312" w:lineRule="auto"/>
        <w:tabs>
          <w:tab w:leader="none" w:pos="144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the plan provides that each holder of an equity interest in that class receives or retains under the plan on account of that equity interest property of a value, as of the effective date of the plan, equal to the greater of: (a) the allowed amount of any fixed liquidation preference to which such holder is entitled; (b) any fixed redemption price to which such holder is entitled; or (c) the value of such interest; </w:t>
      </w:r>
      <w:r>
        <w:rPr>
          <w:rFonts w:ascii="Arial" w:cs="Arial" w:eastAsia="Arial" w:hAnsi="Arial"/>
          <w:sz w:val="16"/>
          <w:szCs w:val="16"/>
          <w:u w:val="single" w:color="auto"/>
          <w:color w:val="auto"/>
        </w:rPr>
        <w:t>or</w:t>
      </w:r>
    </w:p>
    <w:p>
      <w:pPr>
        <w:spacing w:after="0" w:line="146" w:lineRule="exact"/>
        <w:rPr>
          <w:rFonts w:ascii="Arial" w:cs="Arial" w:eastAsia="Arial" w:hAnsi="Arial"/>
          <w:sz w:val="16"/>
          <w:szCs w:val="16"/>
          <w:color w:val="auto"/>
        </w:rPr>
      </w:pPr>
    </w:p>
    <w:p>
      <w:pPr>
        <w:ind w:left="1440" w:right="240" w:hanging="460"/>
        <w:spacing w:after="0" w:line="277" w:lineRule="auto"/>
        <w:tabs>
          <w:tab w:leader="none" w:pos="144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the class does not receive the amount required in the paragraph directly above, no class of equity interests junior to the non-accepting class may receive a distribution under the plan.</w:t>
      </w:r>
    </w:p>
    <w:p>
      <w:pPr>
        <w:spacing w:after="0" w:line="166"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b w:val="1"/>
          <w:bCs w:val="1"/>
          <w:color w:val="auto"/>
        </w:rPr>
        <w:t>As noted above, the Debtors will seek confirmation of the Plan under section 1129(b) of the Bankruptcy Code, to the extent applicable, in view of the deemed rejection by Class 12</w:t>
      </w:r>
      <w:r>
        <w:rPr>
          <w:rFonts w:ascii="Arial" w:cs="Arial" w:eastAsia="Arial" w:hAnsi="Arial"/>
          <w:sz w:val="16"/>
          <w:szCs w:val="16"/>
          <w:color w:val="auto"/>
        </w:rPr>
        <w:t>. To the extent that any of the Voting Classes votes to reject the Plan, the Debtors reserve the right to seek</w:t>
      </w:r>
    </w:p>
    <w:p>
      <w:pPr>
        <w:spacing w:after="0" w:line="1" w:lineRule="exact"/>
        <w:rPr>
          <w:sz w:val="20"/>
          <w:szCs w:val="20"/>
          <w:color w:val="auto"/>
        </w:rPr>
      </w:pPr>
    </w:p>
    <w:p>
      <w:pPr>
        <w:ind w:left="5580" w:right="960" w:hanging="5572"/>
        <w:spacing w:after="0" w:line="511" w:lineRule="auto"/>
        <w:tabs>
          <w:tab w:leader="none" w:pos="25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confirmation of the Plan under section 1129(b) of the Bankruptcy Code and/or (b) modify the Plan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Plan.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1" w:name="page252"/>
    <w:bookmarkEnd w:id="251"/>
    <w:p>
      <w:pPr>
        <w:ind w:right="320" w:firstLine="648"/>
        <w:spacing w:after="0" w:line="264" w:lineRule="auto"/>
        <w:rPr>
          <w:sz w:val="20"/>
          <w:szCs w:val="20"/>
          <w:color w:val="auto"/>
        </w:rPr>
      </w:pPr>
      <w:r>
        <w:rPr>
          <w:rFonts w:ascii="Arial" w:cs="Arial" w:eastAsia="Arial" w:hAnsi="Arial"/>
          <w:sz w:val="18"/>
          <w:szCs w:val="18"/>
          <w:color w:val="auto"/>
        </w:rPr>
        <w:t xml:space="preserve">The votes of Holders of Unexercised Equity Interests in Class 12 are not being solicited because,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there will be no distribution to such Holders and, therefore, such Holders are conclusively deemed to have rejected the Plan pursuant to section 1126(g) of the Bankruptcy Code.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Notwithstanding the deemed rejection by Class 12, the Debtors do not believe that the Plan discriminates unfairly against any Impaired Class of Claims or Equity Interests. The Debtors believe that the Plan and the treatment of all Classes of Claims and Equity Interests under the Plan satisfy the foregoing requirements for non-consensual confirmation of the Plan.</w:t>
      </w:r>
    </w:p>
    <w:p>
      <w:pPr>
        <w:spacing w:after="0" w:line="177"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Plan will be consummated on the Effective Date. For a more detailed discussion of the conditions precedent to the consummation of the Plan and the impact of failure to meet such conditions, see </w:t>
      </w:r>
      <w:r>
        <w:rPr>
          <w:rFonts w:ascii="Arial" w:cs="Arial" w:eastAsia="Arial" w:hAnsi="Arial"/>
          <w:sz w:val="18"/>
          <w:szCs w:val="18"/>
          <w:u w:val="single" w:color="auto"/>
          <w:color w:val="auto"/>
        </w:rPr>
        <w:t>Article IX.B</w:t>
      </w:r>
      <w:r>
        <w:rPr>
          <w:rFonts w:ascii="Arial" w:cs="Arial" w:eastAsia="Arial" w:hAnsi="Arial"/>
          <w:sz w:val="18"/>
          <w:szCs w:val="18"/>
          <w:color w:val="auto"/>
        </w:rPr>
        <w:t xml:space="preserve">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VALUATION ANALYSIS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 a valuation analysis of the Reorganized Debtors, which was performed and prepared by Lazard and is incorporated by reference herein.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EXEMPTIONS FROM SECURITIES ACT REGISTRATION</w:t>
      </w:r>
    </w:p>
    <w:p>
      <w:pPr>
        <w:spacing w:after="0" w:line="21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Solicitation is being made before the Petition Date only to Eligible Holders of Prepetition Notes Claims who are (i) located inside the United States and are (a) “qualified institutional buyers” (as defined in Rule 144A under the Securities Act) or (b) “accredited investors” (as defined in</w:t>
      </w:r>
    </w:p>
    <w:p>
      <w:pPr>
        <w:ind w:right="540"/>
        <w:spacing w:after="0" w:line="261" w:lineRule="auto"/>
        <w:rPr>
          <w:sz w:val="20"/>
          <w:szCs w:val="20"/>
          <w:color w:val="auto"/>
        </w:rPr>
      </w:pPr>
      <w:r>
        <w:rPr>
          <w:rFonts w:ascii="Arial" w:cs="Arial" w:eastAsia="Arial" w:hAnsi="Arial"/>
          <w:sz w:val="18"/>
          <w:szCs w:val="18"/>
          <w:color w:val="auto"/>
        </w:rPr>
        <w:t>Rule 501(a) of Regulation D under the Securities Act) or (ii) located outside the United States and are persons other than “U.S. persons” (as defined in Rule 902 under the Securities Act).</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issuance of and the distribution under the Plan of the New Common Stock, the New Warrants (and the New Common Shares issuable upon exercise thereof), the Subscription Rights, the New Tranche B Senior Unsecured Notes (and the New Common Shares issuable upon conversion thereof), and the New Tranche A Senior Unsecured Notes issued pursuant to the Rights Offering will be exempt from registration under the Securities Act and any other applicable securities laws pursuant to section 1145 of the Bankruptcy Code. No offer of securities to the public is made, or will be made, in any member state of the European Economic Area that requires the publication of a prospectus within the meaning of the EU Prospectus Directive (Directive 2003/71/EC), as amended, or the EU Prospectus Regulation (Regulation (EU) 2017/1129).</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Section 1145 of the Bankruptcy Code generally exempts from registration under the Securities Act the offer or sale under a chapter 11 plan of a security of the debtor, of an affiliate participating in a joint plan with the debtor, or of a successor to the debtor under a plan, if such securities are offered or sold in exchange for a claim against, or an interest in, the debtor or such affiliate, or principally in such exchange and partly for cash. Section 1145 of the Bankruptcy Code also exempts from registration the offer of a security through any right to subscribe sold in the manner provided in the prior sentence, and the sale of a security upon the exercise of such right.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2" w:name="page253"/>
    <w:bookmarkEnd w:id="252"/>
    <w:p>
      <w:pPr>
        <w:ind w:right="20"/>
        <w:spacing w:after="0" w:line="272" w:lineRule="auto"/>
        <w:rPr>
          <w:sz w:val="20"/>
          <w:szCs w:val="20"/>
          <w:color w:val="auto"/>
        </w:rPr>
      </w:pPr>
      <w:r>
        <w:rPr>
          <w:rFonts w:ascii="Arial" w:cs="Arial" w:eastAsia="Arial" w:hAnsi="Arial"/>
          <w:sz w:val="17"/>
          <w:szCs w:val="17"/>
          <w:color w:val="auto"/>
        </w:rPr>
        <w:t>In reliance upon this exemption, the New Common Stock, the New Warrants (and the New Common Stock issuable upon exercise thereof), the Subscription Rights, the New Tranche B Senior Unsecured Notes (and the New Common Stock issuable upon conversion thereof), and the New Tranche A Senior Unsecured Notes issued pursuant to the Rights Offering will be exempt from the registration requirements of the Securities Act, and state and local securities laws. These securities may be resold without registration under the Securities Act or other federal or state securities laws pursuant to the exemption provided by section 4(a)(1) of the Securities Act, unless the holder is an “underwriter” with respect to such securities, as that term is defined in section 1145(b) of the Bankruptcy Code. In addition, such section 1145 exempt securities generally may be resold without registration under state securities laws pursuant to various exemptions provided by the respective laws of the several states.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issuance and sale, as applicable, of the New Tranche A Unsecured Notes to the Backstop Parties under the Backstop Commitment Agreement is being made in reliance on the exemption from registration set forth in section 4(a)(2) of the Securities Act and Regulation D thereunder. Such securities will be considered “restricted securities” and may not be transferred except pursuant to an effective registration statement or under an available exemption from the registration requirements of the Securities Act, such as, under certain conditions, the resale provisions of Rule 144 of the Securities Act.</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persons deemed to be affiliates of the Reorganized company may be able to sell securities without registration pursuant to the resale limitations of Rule 144 of the Securities Act which, in effect, permit the resale of securities received by such underwriters pursuant to a chapter 11 plan, subject to applicable volume limitations, notice and manner of sale requirements, and certain other conditions. Parties who believe they may be statutory underwriters as defined in section 1145 of the Bankruptcy Code are advised to consult with their own legal advisers as to the availability of the exemption provided by Rule 144. In any case, recipients of new securities issued under the prepackaged Plan are advised to consult with their own legal advisers as to the availability of any such exemption from registration under state law in any given instance and as to any applicable requirements or conditions to such availability.</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Reorganized Parent will use its commercially reasonable efforts to have the New Common Stock listed on a nationally recognized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acceptable to the Required Consenting Noteholders as soon as practicable after the Effective Date of the Plan, subject to meeting applicable listing requirements. No assurance can be given that a holder of such securities will be able to sell such securities in the future or as to the price at which any sale may occur.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CERTAIN TAX CONSEQUENCES OF THE PLAN</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following discussions summarize certain U.S., Irish, Swiss and Bermudian tax consequences expected to result from the implementation of the Plan. These discussions are only for general information purposes and describe only certain tax consequences applicable to the Debtors and to certain Holders of Prepetition Notes Claims and Existing Common Stock. They are not a complete analysis of all tax consequences and, in particular, do not address any tax consequences relating to the Backstop Commitment Agreement, the New Tranche A Senior Unsecured Notes to be acquired pursuant to the exercise of the Subscription Rights or the receipt of property by Holders of Prepetition Notes Claims and Existing Common Stock other than in their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3" w:name="page254"/>
    <w:bookmarkEnd w:id="253"/>
    <w:p>
      <w:pPr>
        <w:ind w:right="60"/>
        <w:spacing w:after="0" w:line="302" w:lineRule="auto"/>
        <w:rPr>
          <w:sz w:val="20"/>
          <w:szCs w:val="20"/>
          <w:color w:val="auto"/>
        </w:rPr>
      </w:pPr>
      <w:r>
        <w:rPr>
          <w:rFonts w:ascii="Arial" w:cs="Arial" w:eastAsia="Arial" w:hAnsi="Arial"/>
          <w:sz w:val="16"/>
          <w:szCs w:val="16"/>
          <w:color w:val="auto"/>
        </w:rPr>
        <w:t>capacity as such pursuant to the Plan (</w:t>
      </w:r>
      <w:r>
        <w:rPr>
          <w:rFonts w:ascii="Arial" w:cs="Arial" w:eastAsia="Arial" w:hAnsi="Arial"/>
          <w:sz w:val="16"/>
          <w:szCs w:val="16"/>
          <w:i w:val="1"/>
          <w:iCs w:val="1"/>
          <w:color w:val="auto"/>
        </w:rPr>
        <w:t>e.g.</w:t>
      </w:r>
      <w:r>
        <w:rPr>
          <w:rFonts w:ascii="Arial" w:cs="Arial" w:eastAsia="Arial" w:hAnsi="Arial"/>
          <w:sz w:val="16"/>
          <w:szCs w:val="16"/>
          <w:color w:val="auto"/>
        </w:rPr>
        <w:t>, these discussions do not discuss the treatment of any commitment fee or similar arrangement or the treatment of consideration received in respect of any new money investment when the right to participate in such new money investment does not itself constitute consideration received by Holders of Prepetition Notes Claims or Existing Common Stock pursuant to the Plan). In addition, these discussions do not address tax consequences that may be relevant to Holders of Claims other than Prepetition Notes Claims or of Equity Interests other than Existing Common Stock.</w:t>
      </w:r>
    </w:p>
    <w:p>
      <w:pPr>
        <w:spacing w:after="0" w:line="154"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The following discussions assume that the Internal Reorganizations will occur prior to or on the Effective Date and in accordance with the Description of Reorganization Steps and that Weatherford Parent will continue as the parent of the group following the Effective Date. If any of these assumptions is incorrect or incomplete, or if there is any variation in the implementation of the Restructuring Transactions, including the Internal Reorganizations, or the Plan, the actual tax consequences could differ, perhaps substantially, from those described below.</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TAX CONSEQUENCES OF THE RESTRUCTURING TRANSACTIONS, INCLUDING THE INTERNAL REORGANIZATIONS, AND THE IMPLEMENTATION OF THE PLAN ARE COMPLEX AND THE FOLLOWING DISCUSSIONS DO NOT ADDRESS ALL ASPECTS OF TAXATION THAT MAY BE RELEVANT TO A PARTICULAR HOLDER IN LIGHT OF SUCH HOLDER’S INDIVIDUAL CIRCUMSTANCES. ALL HOLDERS SHOULD CONSULT THEIR TAX ADVISORS REGARDING THE PARTICULAR TAX CONSEQUENCES TO THEM OF THE RESTRUCTURING TRANSACTIONS, INCLUDING THE INTERNAL REORGANIZATIONS, THE IMPLEMENTATION OF THE PLAN AND THE RECEIPT, OWNERSHIP AND DISPOSITION OF PROPERTY AND RIGHTS RECEIVED PURSUANT TO THE PLAN.</w:t>
      </w:r>
    </w:p>
    <w:p>
      <w:pPr>
        <w:spacing w:after="0" w:line="189"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CERTAIN U.S. FEDERAL INCOME TAX CONSEQUENCES OF THE PLAN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following discussion summarizes certain U.S. federal income tax consequences of the Internal Reorganizations and the implementation of the Plan to the Debtors and to U.S. Holders (as defined below) and, to a limited extent, Non-U.S. Holders (as defined below) of Prepetition Notes Claims and Existing Common Stock. This summary is based upon the provisions of the IRC, proposed, temporary and final Treasury regulations (the “</w:t>
      </w:r>
      <w:r>
        <w:rPr>
          <w:rFonts w:ascii="Arial" w:cs="Arial" w:eastAsia="Arial" w:hAnsi="Arial"/>
          <w:sz w:val="17"/>
          <w:szCs w:val="17"/>
          <w:b w:val="1"/>
          <w:bCs w:val="1"/>
          <w:u w:val="single" w:color="auto"/>
          <w:color w:val="auto"/>
        </w:rPr>
        <w:t>Treasury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Regulations</w:t>
      </w:r>
      <w:r>
        <w:rPr>
          <w:rFonts w:ascii="Arial" w:cs="Arial" w:eastAsia="Arial" w:hAnsi="Arial"/>
          <w:sz w:val="17"/>
          <w:szCs w:val="17"/>
          <w:color w:val="auto"/>
        </w:rPr>
        <w:t>”) promulgated under the IRC, judicial decisions, and published administrative rules and pronouncements of the IRS, all as in effect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These authorities are subject to differing interpretations and may be changed, perhaps retroactively, resulting in U.S. federal income tax consequences that differ, perhaps substantially, from those discussed below. Due to the lack of definitive judicial and administrative authority in a number of areas, substantial uncertainty may exist with respect to some of the tax consequences described below. We may seek a private letter ruling from the IRS regarding the application of IRC Section 382(l)(5) (and other matters), which is discussed below, but no assurance can be given that we will request such ruling or, if we do, that the IRS will issue it. We have not obtained, nor do we intend to obtain, any other ruling from the IRS, and no legal opinion of counsel will be rendered, with respect to the statements made in the following summary. No assurance can be given that the IRS will not assert, or that a court would not sustain, a different position than discussed 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4" w:name="page255"/>
    <w:bookmarkEnd w:id="254"/>
    <w:p>
      <w:pPr>
        <w:ind w:firstLine="648"/>
        <w:spacing w:after="0" w:line="285" w:lineRule="auto"/>
        <w:rPr>
          <w:sz w:val="20"/>
          <w:szCs w:val="20"/>
          <w:color w:val="auto"/>
        </w:rPr>
      </w:pPr>
      <w:r>
        <w:rPr>
          <w:rFonts w:ascii="Arial" w:cs="Arial" w:eastAsia="Arial" w:hAnsi="Arial"/>
          <w:sz w:val="16"/>
          <w:szCs w:val="16"/>
          <w:color w:val="auto"/>
        </w:rPr>
        <w:t>This summary does not address state, local or non-income tax consequences of the Restructuring Transactions, including the Internal Reorganizations, or the implementation of the Plan, nor does it purport to address all aspects of U.S. federal income taxation that may be relevant to a Holder in light of its individual circumstances or to a Holder that may be subject to special tax rules (such as persons who are related to the Debtors within the meaning of the IRC, persons who actually or constructively own or will own 10% or more (by vote or value) of the equity interests of any Debtor (and any person that is related to such an owner), persons who own or will own 5% or more (by vote or value) of the Equity Interests in Weatherford Parent, persons liable for alternative minimum tax, U.S. Holders whose functional currency is not the U.S. dollar, U.S. expatriates, broker-dealers, banks, mutual funds, insurance companies, financial institutions, small business investment companies, regulated investment companies, tax-exempt organizations, controlled foreign corporations, passive foreign investment companies, partnerships (or other entities or arrangements treated as partnerships or pass-throughs), beneficial owners of partnerships (or other entities or arrangements treated as partnerships or pass-throughs), subchapter S corporations, persons who hold Claims or Equity Interests other than Prepetition Notes Claims or Existing Common Stock, persons who hold Prepetition Notes or Existing Common Stock or will hold consideration received pursuant to the Plan as part of a straddle, hedge, conversion transaction, or other integrated investment, persons subject to special tax accounting rules as a result of any item of gross income with respect to the Prepetition Notes or Existing Common Stock being taken into account in an applicable financial statement, persons using a mark-to-market method of accounting, and Holders of Prepetition Notes Claims or Existing Common Stock who are themselves in bankruptcy). Furthermore, this summary assumes that the Prepetition Notes, Existing Common Stock, and any consideration received pursuant to the Plan, are, or will be (as applicable), held as capital assets within the meaning of Section 1221 of the IRC (generally, property held for investment). This summary also assumes that Prepetition Notes will be respected as debt and Existing Common Stock will be respected as equity for U.S. federal income tax purposes in accordance with their form.</w:t>
      </w:r>
    </w:p>
    <w:p>
      <w:pPr>
        <w:spacing w:after="0" w:line="171" w:lineRule="exact"/>
        <w:rPr>
          <w:sz w:val="20"/>
          <w:szCs w:val="20"/>
          <w:color w:val="auto"/>
        </w:rPr>
      </w:pPr>
    </w:p>
    <w:p>
      <w:pPr>
        <w:ind w:left="1300" w:hanging="644"/>
        <w:spacing w:after="0"/>
        <w:tabs>
          <w:tab w:leader="none" w:pos="130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24"/>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Weatherford Parent is an Irish public limited company that is a Swiss tax resident. As part of the Internal Reorganizations, Weatherford Parent intends to change its tax residency from Switzerland to Ireland (the “</w:t>
      </w:r>
      <w:r>
        <w:rPr>
          <w:rFonts w:ascii="Arial" w:cs="Arial" w:eastAsia="Arial" w:hAnsi="Arial"/>
          <w:sz w:val="18"/>
          <w:szCs w:val="18"/>
          <w:b w:val="1"/>
          <w:bCs w:val="1"/>
          <w:u w:val="single" w:color="auto"/>
          <w:color w:val="auto"/>
        </w:rPr>
        <w:t>Irish Migration</w:t>
      </w:r>
      <w:r>
        <w:rPr>
          <w:rFonts w:ascii="Arial" w:cs="Arial" w:eastAsia="Arial" w:hAnsi="Arial"/>
          <w:sz w:val="18"/>
          <w:szCs w:val="18"/>
          <w:color w:val="auto"/>
        </w:rPr>
        <w:t>”). The Debtors do not expect to recognize any material gain or loss for U.S. federal income tax purposes as a result of the Irish Migration.</w:t>
      </w:r>
    </w:p>
    <w:p>
      <w:pPr>
        <w:spacing w:after="0" w:line="181" w:lineRule="exact"/>
        <w:rPr>
          <w:sz w:val="20"/>
          <w:szCs w:val="20"/>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The U.S. Group Reorganization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U.S. federal income tax purposes, Weatherford Holdings U.S. LLC has elected to be classified as an association taxable as a corporation and is the parent of a group filing consolidated returns (the “</w:t>
      </w:r>
      <w:r>
        <w:rPr>
          <w:rFonts w:ascii="Arial" w:cs="Arial" w:eastAsia="Arial" w:hAnsi="Arial"/>
          <w:sz w:val="17"/>
          <w:szCs w:val="17"/>
          <w:b w:val="1"/>
          <w:bCs w:val="1"/>
          <w:u w:val="single" w:color="auto"/>
          <w:color w:val="auto"/>
        </w:rPr>
        <w:t>U.S. Group</w:t>
      </w:r>
      <w:r>
        <w:rPr>
          <w:rFonts w:ascii="Arial" w:cs="Arial" w:eastAsia="Arial" w:hAnsi="Arial"/>
          <w:sz w:val="17"/>
          <w:szCs w:val="17"/>
          <w:color w:val="auto"/>
        </w:rPr>
        <w:t>”). Weatherford U.S. Holdings, L.L.C. has also elected to be classified as an association taxable as a corporation for U.S. federal income tax purposes and is a direct, wholly-owned subsidiary of Weatherford Holdings U.S. LLC and a member of the U.S. Group. For U.S. federal income tax purposes, Weatherford Delaware is disregarded as an entity separate from Weatherford U.S. Holdings, L.L.C. Prior to the Effective Date and as part of the Internal Reorganizations, Weatherford Holdings U.S. LLC will merge with and into Weatherford U.S. Holdings, L.L.C. in accordance with Delaware law with Weatherford U.S. Holdings, L.L.C. as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5" w:name="page256"/>
    <w:bookmarkEnd w:id="255"/>
    <w:p>
      <w:pPr>
        <w:ind w:right="120"/>
        <w:spacing w:after="0" w:line="256" w:lineRule="auto"/>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b w:val="1"/>
          <w:bCs w:val="1"/>
          <w:u w:val="single" w:color="auto"/>
          <w:color w:val="auto"/>
        </w:rPr>
        <w:t>First U.S. Merger</w:t>
      </w:r>
      <w:r>
        <w:rPr>
          <w:rFonts w:ascii="Arial" w:cs="Arial" w:eastAsia="Arial" w:hAnsi="Arial"/>
          <w:sz w:val="18"/>
          <w:szCs w:val="18"/>
          <w:color w:val="auto"/>
        </w:rPr>
        <w:t>”). Following the First U.S. Merger, Weatherford U.S. Holdings, L.L.C. will merge with and into Weatherford Delaware in accordance with Delaware law with Weatherford Delaware as the surviving entity (the “</w:t>
      </w:r>
      <w:r>
        <w:rPr>
          <w:rFonts w:ascii="Arial" w:cs="Arial" w:eastAsia="Arial" w:hAnsi="Arial"/>
          <w:sz w:val="18"/>
          <w:szCs w:val="18"/>
          <w:b w:val="1"/>
          <w:bCs w:val="1"/>
          <w:u w:val="single" w:color="auto"/>
          <w:color w:val="auto"/>
        </w:rPr>
        <w:t>Second U.S. Merger</w:t>
      </w:r>
      <w:r>
        <w:rPr>
          <w:rFonts w:ascii="Arial" w:cs="Arial" w:eastAsia="Arial" w:hAnsi="Arial"/>
          <w:sz w:val="18"/>
          <w:szCs w:val="18"/>
          <w:color w:val="auto"/>
        </w:rPr>
        <w:t>”). In connection with the Second U.S. Merger, Weatherford Delaware will elect to be classified as an association taxable as a corporation for U.S. federal income tax purposes. The First U.S. Merger and the Second U.S. Merger, together with certain related transactions comprise the “</w:t>
      </w:r>
      <w:r>
        <w:rPr>
          <w:rFonts w:ascii="Arial" w:cs="Arial" w:eastAsia="Arial" w:hAnsi="Arial"/>
          <w:sz w:val="18"/>
          <w:szCs w:val="18"/>
          <w:b w:val="1"/>
          <w:bCs w:val="1"/>
          <w:u w:val="single" w:color="auto"/>
          <w:color w:val="auto"/>
        </w:rPr>
        <w:t>U.S. Group Reorganization</w:t>
      </w:r>
      <w:r>
        <w:rPr>
          <w:rFonts w:ascii="Arial" w:cs="Arial" w:eastAsia="Arial" w:hAnsi="Arial"/>
          <w:sz w:val="18"/>
          <w:szCs w:val="18"/>
          <w:color w:val="auto"/>
        </w:rPr>
        <w:t>.” The Debtors do not expect to recognize any material gain or loss for U.S. federal income tax purposes as a result of the U.S. Group Reorganization or the U.S. Group Reorganization to cause a termination of the existing U.S. Group.</w:t>
      </w:r>
    </w:p>
    <w:p>
      <w:pPr>
        <w:spacing w:after="0" w:line="192" w:lineRule="exact"/>
        <w:rPr>
          <w:sz w:val="20"/>
          <w:szCs w:val="20"/>
          <w:color w:val="auto"/>
        </w:rPr>
      </w:pPr>
    </w:p>
    <w:p>
      <w:pPr>
        <w:ind w:left="1960" w:hanging="655"/>
        <w:spacing w:after="0"/>
        <w:tabs>
          <w:tab w:leader="none" w:pos="19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Application of IRC Section 7874 to Weatherford Parent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Following the Effective Date, the Reorganized Debtors intend to continue to operate under Weatherford Parent, which is expected to be an Irish tax resident following the Irish Migration described above.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IRS may, however, assert that Weatherford Parent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w:t>
      </w:r>
    </w:p>
    <w:p>
      <w:pPr>
        <w:spacing w:after="0" w:line="18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if the Third Country Rule, as defined below, applies) of the shares of the foreign acquiring corporation after the acquisition by reason of holding shares in the U.S. acquired corporation (the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Section 7874 Percentage</w:t>
      </w:r>
      <w:r>
        <w:rPr>
          <w:rFonts w:ascii="Arial" w:cs="Arial" w:eastAsia="Arial" w:hAnsi="Arial"/>
          <w:sz w:val="17"/>
          <w:szCs w:val="17"/>
          <w:color w:val="auto"/>
        </w:rPr>
        <w:t>”), and (iii) the foreign corporation’s “expanded affiliated group” does not have substantial business activities in the foreign corporation’s country of organization or incorporation relative to such expanded affiliated group’s worldwide activities. The Treasury Regulations promulgated under IRC Section 7874 (the “</w:t>
      </w:r>
      <w:r>
        <w:rPr>
          <w:rFonts w:ascii="Arial" w:cs="Arial" w:eastAsia="Arial" w:hAnsi="Arial"/>
          <w:sz w:val="17"/>
          <w:szCs w:val="17"/>
          <w:b w:val="1"/>
          <w:bCs w:val="1"/>
          <w:u w:val="single" w:color="auto"/>
          <w:color w:val="auto"/>
        </w:rPr>
        <w:t>Section 7874 Regulations</w:t>
      </w:r>
      <w:r>
        <w:rPr>
          <w:rFonts w:ascii="Arial" w:cs="Arial" w:eastAsia="Arial" w:hAnsi="Arial"/>
          <w:sz w:val="17"/>
          <w:szCs w:val="17"/>
          <w:color w:val="auto"/>
        </w:rPr>
        <w:t>”) generally provide that if (i) there is an acquisition of substantially all of the assets held directly or indirectly by a U.S. corporation after which the shareholders of the acquired U.S. corporation hold, by vote or value, at least 60% of the shares of the foreign acquiring corporation by reason of holding shares in the U.S. acquired corporation, and (ii) in a related acquisition, such foreign acquiring corporation acquires another foreign corporation exceeding a certain threshold value, and the foreign acquiring corporation is not tax resident in the foreign country in which the acquired foreign corporation was tax resident prior to the transactions, then the foreign acquiring corporation will be treated as a domestic corporation for U.S. federal income tax purposes (the “</w:t>
      </w:r>
      <w:r>
        <w:rPr>
          <w:rFonts w:ascii="Arial" w:cs="Arial" w:eastAsia="Arial" w:hAnsi="Arial"/>
          <w:sz w:val="17"/>
          <w:szCs w:val="17"/>
          <w:b w:val="1"/>
          <w:bCs w:val="1"/>
          <w:u w:val="single" w:color="auto"/>
          <w:color w:val="auto"/>
        </w:rPr>
        <w:t>Third Country Rule</w:t>
      </w:r>
      <w:r>
        <w:rPr>
          <w:rFonts w:ascii="Arial" w:cs="Arial" w:eastAsia="Arial" w:hAnsi="Arial"/>
          <w:sz w:val="17"/>
          <w:szCs w:val="17"/>
          <w:color w:val="auto"/>
        </w:rPr>
        <w:t>”). For purposes of IRC Section 7874, multiple acquisitions of U.S. corporations by a foreign corporation, if treated as part of a plan or series of related transactions, may be treated as a single acquisition. If multiple acquisitions of U.S. corporations are treated as a single acquisition, all shareholders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6" w:name="page257"/>
    <w:bookmarkEnd w:id="256"/>
    <w:p>
      <w:pPr>
        <w:ind w:right="140"/>
        <w:spacing w:after="0" w:line="264" w:lineRule="auto"/>
        <w:rPr>
          <w:sz w:val="20"/>
          <w:szCs w:val="20"/>
          <w:color w:val="auto"/>
        </w:rPr>
      </w:pPr>
      <w:r>
        <w:rPr>
          <w:rFonts w:ascii="Arial" w:cs="Arial" w:eastAsia="Arial" w:hAnsi="Arial"/>
          <w:sz w:val="18"/>
          <w:szCs w:val="18"/>
          <w:color w:val="auto"/>
        </w:rPr>
        <w:t>the acquired U.S. corporations would be aggregated for purposes of calculating the Section 7874 Percentage. Moreover, certain acquisitions of U.S. corporations over a 36-month period will impact the Section 7874 Percentage, making it more likely that IRC Section 7874 will apply to a foreign acquiring corporation.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Section 7874 Percentage is at least 60% but less than 80% and the Third Country Rule does not apply, the acquiring foreign corporation and its affiliates may be subject to adverse tax consequences including, but not limited to, restrictions on the use of tax attributes with respect to “inversion gain” recognized over a 10-year period following the Effective Date and disqualification of dividends paid from preferential “qualified dividend income” rates. Furthermore, certain “disqualified individuals” (including officers and directors of a U.S. corporation) may be subject to an excise tax on certain stock-based compensation.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Section 7874 Regulations treat certain creditor claims against a U.S. corporation in a case under Chapter 11 of the Bankruptcy Code as stock for purposes of IRC Section 7874. The Section 7874 Regulations also exclude “disqualified stock” from the calculation of the Section 7874 Percentage. “Disqualified stock” is stock issued by a foreign acquiring corporation in exchange for “nonqualified property,” which includes certain obligations issued by a member of an “expanded affiliated group”, along with certain other property. The Section 7874 Regulations are complex and include other rules that could impact the calculation of the Section 7874 Percentage.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Weatherford Parent and its “expanded affiliated group” are not expected to have substantial business activities in Ireland relative to the expanded affiliated group’s worldwide activities for purposes of IRC Section 7874. It is expected that the New Common Stock issued in exchange for Prepetition Notes Claims with respect to Prepetition Notes issued by Weatherford Bermuda may constitute “disqualified stock.”</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Although it is not free from doubt, based upon the existing capital structure of Weatherford Delaware, which is owned by Weatherford Parent and its affiliates, the Debtors believe that as a result of the implementation of the Plan and the Restructuring Transactions, Weatherford Parent should not be treated as acquiring directly or indirectly substantially all of the properties of a U.S. corporation and, as a result, Weatherford Parent is not expected to be treated as a U.S. corporation or otherwise subject to the adverse tax consequences of IRC Section 7874. If it is determined that Weatherford Parent has acquired directly or indirectly substantially all of the properties of Weatherford Delaware and certain Holders of Allowed Claims of Weatherford Delaware and its direct or indirect subsidiaries own 80% (or 60% if the Third Country Rule applies) or more by vote of value of Weatherford Parent, as determined under IRC Section 7874, by reason of holding Claims against Weatherford Delaware and its direct or indirect subsidiaries prior to the Restructuring Transactions, Weatherford Parent would be treated as a U.S. corporation for U.S. federal income tax purposes. If Weatherford Parent is treated as a U.S. corporation for U.S. federal income tax purposes, the taxable year of Weatherford Delaware’s consolidated group could end on or prior to the Effective Date, which could result in additional adverse tax consequences. In addition, although Weatherford Parent would be treated as a U.S. corporation for U.S. federal income tax purposes, it would generally also be considered an Irish tax resident for Irish tax and other non-U.S. tax purposes. If it is determined that Weatherford Parent has acquired directly or indirectly substantially all of the properties of Weatherford Delaware and certain Holders of Allowed Claims of Weatherford Delaware and its direct or indirect subsidiaries own 60% or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7" w:name="page258"/>
    <w:bookmarkEnd w:id="257"/>
    <w:p>
      <w:pPr>
        <w:jc w:val="both"/>
        <w:ind w:right="240"/>
        <w:spacing w:after="0" w:line="264" w:lineRule="auto"/>
        <w:rPr>
          <w:sz w:val="20"/>
          <w:szCs w:val="20"/>
          <w:color w:val="auto"/>
        </w:rPr>
      </w:pPr>
      <w:r>
        <w:rPr>
          <w:rFonts w:ascii="Arial" w:cs="Arial" w:eastAsia="Arial" w:hAnsi="Arial"/>
          <w:sz w:val="18"/>
          <w:szCs w:val="18"/>
          <w:color w:val="auto"/>
        </w:rPr>
        <w:t>but less than 80%, by vote or value of Weatherford Parent by reason of holding Claims against Weatherford Delaware and its direct or indirect subsidiaries prior to the Restructuring Transactions (and the Third Country Rule does not apply), Weatherford Parent would be respected as a non-U.S. corporation but IRC Section 7874 would apply to cause certain adverse U.S. federal income tax consequences.</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IRC Section 7874 could also apply to treat Weatherford Parent as a U.S. corporation, or otherwise impose adverse tax consequences to Weatherford Parent and its affiliates, if Weatherford Parent is treated as acquiring, as a result of the Internal Reorganizations, substantially all of the assets held directly or indirectly by a U.S. corporation, notwithstanding that such U.S. corporation was already a direct or indirect affiliate of Weatherford Parent during the period before the Internal Reorganizations.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Although it is not free from doubt, the Debtors believe that as a result of the Internal Reorganizations, Weatherford Parent should not be treated as an acquiring directly or indirectly substantially all of the properties of a U.S. corporation and, as a result, Weatherford Parent is not expected to be treated as a U.S. corporation or otherwise subject to the adverse tax consequences of IRC Section 7874.</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above determinations, however, are subject to detailed regulations and administrative guidance, the application of which is uncertain in numerous respects (and would be impacted by changes in such regulations) and are subject to factual uncertainties. No assurance can be given that the IRS would not take a contrary position regarding IRC Section 7874’s application to Weatherford Parent or that such position, if asserted, would not be sustained. Accordingly, holders of Allowed Claims and New Common Stock should contact their own tax advisors regarding IRC Section 7874’s potential application of the transactions contemplated by the Plan, the Restructuring and the Internal Reorganizations.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discussion of certain U.S. federal income tax consequences assumes that the transactions discussed in this Disclosure Statement do not cause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Weatherford Parent to be treated as a U.S. corporation pursuant to IRC Section 7874 or otherwise subject to adverse tax consequences under IRC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7874. The law and the Treasury Regulations promulgated under IRC Section 7874 are, however, unclear and there can be no assurance that the 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agree with this conclusion.</w:t>
      </w:r>
    </w:p>
    <w:p>
      <w:pPr>
        <w:spacing w:after="0" w:line="211" w:lineRule="exact"/>
        <w:rPr>
          <w:sz w:val="20"/>
          <w:szCs w:val="20"/>
          <w:color w:val="auto"/>
        </w:rPr>
      </w:pPr>
    </w:p>
    <w:p>
      <w:pPr>
        <w:ind w:left="1960" w:hanging="655"/>
        <w:spacing w:after="0"/>
        <w:tabs>
          <w:tab w:leader="none" w:pos="196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Cancellation of Indebtedness Income and Reduction of Tax Attributes</w:t>
      </w:r>
    </w:p>
    <w:p>
      <w:pPr>
        <w:spacing w:after="0" w:line="2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Weatherford Delaware will realize cancellation of indebtedness (“</w:t>
      </w:r>
      <w:r>
        <w:rPr>
          <w:rFonts w:ascii="Arial" w:cs="Arial" w:eastAsia="Arial" w:hAnsi="Arial"/>
          <w:sz w:val="18"/>
          <w:szCs w:val="18"/>
          <w:b w:val="1"/>
          <w:bCs w:val="1"/>
          <w:u w:val="single" w:color="auto"/>
          <w:color w:val="auto"/>
        </w:rPr>
        <w:t>COD</w:t>
      </w:r>
      <w:r>
        <w:rPr>
          <w:rFonts w:ascii="Arial" w:cs="Arial" w:eastAsia="Arial" w:hAnsi="Arial"/>
          <w:sz w:val="18"/>
          <w:szCs w:val="18"/>
          <w:color w:val="auto"/>
        </w:rPr>
        <w:t>”) income when the Plan is consummated. Although not entirely clear, Weatherford Delaware believes that the amount of COD income it realizes should equal the excess of the adjusted issue price of the Prepetition Notes issued by Weatherford Delaware over the sum of (i) the issue price of the New Tranche B Senior Unsecured Notes issued by Weatherford Delaware (the “</w:t>
      </w:r>
      <w:r>
        <w:rPr>
          <w:rFonts w:ascii="Arial" w:cs="Arial" w:eastAsia="Arial" w:hAnsi="Arial"/>
          <w:sz w:val="18"/>
          <w:szCs w:val="18"/>
          <w:b w:val="1"/>
          <w:bCs w:val="1"/>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Delaware Notes</w:t>
      </w:r>
      <w:r>
        <w:rPr>
          <w:rFonts w:ascii="Arial" w:cs="Arial" w:eastAsia="Arial" w:hAnsi="Arial"/>
          <w:sz w:val="18"/>
          <w:szCs w:val="18"/>
          <w:color w:val="auto"/>
        </w:rPr>
        <w:t>”) and (ii) the fair market value of the New Common Stock, in each case, received by Holders on account of their Allowed Prepetition Notes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in respect of the Prepetition Notes issued by Weatherford Delaware. The amount of COD income that will be realized by Weatherford Delaware is uncertain because, among other things, it will depend in part on the fair market value of the New Common Stock and the issue price of the New Delaware Notes distributed under the Plan on the Effective Date.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8" w:name="page259"/>
    <w:bookmarkEnd w:id="258"/>
    <w:p>
      <w:pPr>
        <w:ind w:right="40" w:firstLine="648"/>
        <w:spacing w:after="0" w:line="257" w:lineRule="auto"/>
        <w:rPr>
          <w:sz w:val="20"/>
          <w:szCs w:val="20"/>
          <w:color w:val="auto"/>
        </w:rPr>
      </w:pPr>
      <w:r>
        <w:rPr>
          <w:rFonts w:ascii="Arial" w:cs="Arial" w:eastAsia="Arial" w:hAnsi="Arial"/>
          <w:sz w:val="18"/>
          <w:szCs w:val="18"/>
          <w:color w:val="auto"/>
        </w:rPr>
        <w:t>Under IRC Section 108, COD income realized by a debtor will be excluded from gross income if the discharge of debt occurs in a case brought under the Bankruptcy Code, the debtor is under the court’s jurisdiction in such case and the discharge is granted by the court or is pursuant to a plan approved by the court (the “</w:t>
      </w:r>
      <w:r>
        <w:rPr>
          <w:rFonts w:ascii="Arial" w:cs="Arial" w:eastAsia="Arial" w:hAnsi="Arial"/>
          <w:sz w:val="18"/>
          <w:szCs w:val="18"/>
          <w:b w:val="1"/>
          <w:bCs w:val="1"/>
          <w:u w:val="single" w:color="auto"/>
          <w:color w:val="auto"/>
        </w:rPr>
        <w:t>Bankruptcy Exception</w:t>
      </w:r>
      <w:r>
        <w:rPr>
          <w:rFonts w:ascii="Arial" w:cs="Arial" w:eastAsia="Arial" w:hAnsi="Arial"/>
          <w:sz w:val="18"/>
          <w:szCs w:val="18"/>
          <w:color w:val="auto"/>
        </w:rPr>
        <w:t>”). Because Weatherford Delaware is in bankruptcy although it is not free from doubt, the Debtors believe that the Bankruptcy Exception should apply and, as a result, that Weatherford Delaware should be entitled to exclude from gross income any COD income realized as a result of the implementation of the Plan.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IRC Section 108(b), a debtor that excludes COD income from gross income under the Bankruptcy Exception generally must reduce certain tax attributes by the amount of the excluded COD income. Attributes subject to reduction include net operating losses (“</w:t>
      </w:r>
      <w:r>
        <w:rPr>
          <w:rFonts w:ascii="Arial" w:cs="Arial" w:eastAsia="Arial" w:hAnsi="Arial"/>
          <w:sz w:val="16"/>
          <w:szCs w:val="16"/>
          <w:b w:val="1"/>
          <w:bCs w:val="1"/>
          <w:u w:val="single" w:color="auto"/>
          <w:color w:val="auto"/>
        </w:rPr>
        <w:t>NOLs</w:t>
      </w:r>
      <w:r>
        <w:rPr>
          <w:rFonts w:ascii="Arial" w:cs="Arial" w:eastAsia="Arial" w:hAnsi="Arial"/>
          <w:sz w:val="16"/>
          <w:szCs w:val="16"/>
          <w:color w:val="auto"/>
        </w:rPr>
        <w:t>”), NOL carryforwards and certain other losses, credits and carryforwards, and the debtor’s tax basis in its assets (including stock of subsidiaries). In the case of a group of corporations filing a consolidated return, such as the U.S. Group, the attribute reduction rules apply first to the separate attributes of or attributable to the particular corporation whose debt is being discharged, and then, if necessary, to certain attributes of other members of the group. Accordingly, COD income of a debtor would result first in the reduction of any NOLs and other attributes, including asset basis, of or attributable to such debtor, and then, potentially, of consolidated NOLs and/or basis of or attributable to other members of the group. The reduction in a debtor’s tax basis in its assets generally does not have to exceed the excess of (i) its tax basis in assets held immediately after the discharge of indebtedness over (ii) the amount of liabilities remaining immediately after the discharge of indebtedness (the “</w:t>
      </w:r>
      <w:r>
        <w:rPr>
          <w:rFonts w:ascii="Arial" w:cs="Arial" w:eastAsia="Arial" w:hAnsi="Arial"/>
          <w:sz w:val="16"/>
          <w:szCs w:val="16"/>
          <w:b w:val="1"/>
          <w:bCs w:val="1"/>
          <w:u w:val="single" w:color="auto"/>
          <w:color w:val="auto"/>
        </w:rPr>
        <w:t>Liability Floor</w:t>
      </w:r>
      <w:r>
        <w:rPr>
          <w:rFonts w:ascii="Arial" w:cs="Arial" w:eastAsia="Arial" w:hAnsi="Arial"/>
          <w:sz w:val="16"/>
          <w:szCs w:val="16"/>
          <w:color w:val="auto"/>
        </w:rPr>
        <w:t>”). NOLs for the taxable year of the discharge and NOL carryovers to such year generally are the first attributes subject to reduction. However, a debtor may elect under IRC Section 108(b)(5) (the “</w:t>
      </w:r>
      <w:r>
        <w:rPr>
          <w:rFonts w:ascii="Arial" w:cs="Arial" w:eastAsia="Arial" w:hAnsi="Arial"/>
          <w:sz w:val="16"/>
          <w:szCs w:val="16"/>
          <w:b w:val="1"/>
          <w:bCs w:val="1"/>
          <w:u w:val="single" w:color="auto"/>
          <w:color w:val="auto"/>
        </w:rPr>
        <w:t>Section 108(b)(5) Election</w:t>
      </w:r>
      <w:r>
        <w:rPr>
          <w:rFonts w:ascii="Arial" w:cs="Arial" w:eastAsia="Arial" w:hAnsi="Arial"/>
          <w:sz w:val="16"/>
          <w:szCs w:val="16"/>
          <w:color w:val="auto"/>
        </w:rPr>
        <w:t>”) to reduce its basis in its depreciable property first. If a debtor makes a Section 108(b)(5) Election, the Liability Floor does not apply to the reduction in basis of depreciable property.</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tax periods through the tax year ending December 31, 2017, the U.S. Group reported on its consolidated federal income tax return approximately $2 billion of consolidated NOLs and NOL carryforwards, of which approximately 85% will be allocable to Weatherford Delaware. The U.S. Group likely generated additional NOLs for the tax year ending December 31, 2018. However, the amount of the U.S. Group’s 2018 and 2019 NOLs, if any, will not be determined until it prepares its federal income tax return for such period. Moreover, the U.S. Group’s NOLs are subject to audit and possible challenge by the IRS. Accordingly, the amount of the U.S. Group’s NOLs ultimately may vary from the amount set forth above.</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Current estimates indicate that the application of IRC Section 108(b) (assuming no Section 108(b)(5) Election is made) will result in the reduction of a portion of the U.S. Group’s consolidated NOLs that are allocable to Weatherford Delaware, but will not result in a reduction in the U.S. Group’s consolidated NOLs that are allocable to other members or the members’ basis in their assets. However, the ultimate effect of the attribute reduction rules is uncertain because, among other things, it will depend on the amount of COD income realized by Weatherford Delaware.</w:t>
      </w:r>
    </w:p>
    <w:p>
      <w:pPr>
        <w:spacing w:after="0" w:line="171" w:lineRule="exact"/>
        <w:rPr>
          <w:sz w:val="20"/>
          <w:szCs w:val="20"/>
          <w:color w:val="auto"/>
        </w:rPr>
      </w:pPr>
    </w:p>
    <w:p>
      <w:pPr>
        <w:ind w:left="1960" w:hanging="655"/>
        <w:spacing w:after="0"/>
        <w:tabs>
          <w:tab w:leader="none" w:pos="196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Section 382 Limitation on Net Operating Losses and Built-In Losses</w:t>
      </w:r>
    </w:p>
    <w:p>
      <w:pPr>
        <w:spacing w:after="0" w:line="225"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Under IRC Section 382, if a corporation or a consolidated group of corporations with NOLs, interest deductions suspended under IRC Section 163(j) (collectively with NOLs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59" w:name="page260"/>
    <w:bookmarkEnd w:id="259"/>
    <w:p>
      <w:pPr>
        <w:spacing w:after="0" w:line="274" w:lineRule="auto"/>
        <w:rPr>
          <w:sz w:val="20"/>
          <w:szCs w:val="20"/>
          <w:color w:val="auto"/>
        </w:rPr>
      </w:pPr>
      <w:r>
        <w:rPr>
          <w:rFonts w:ascii="Arial" w:cs="Arial" w:eastAsia="Arial" w:hAnsi="Arial"/>
          <w:sz w:val="17"/>
          <w:szCs w:val="17"/>
          <w:color w:val="auto"/>
        </w:rPr>
        <w:t>certain other tax attributes, the “</w:t>
      </w:r>
      <w:r>
        <w:rPr>
          <w:rFonts w:ascii="Arial" w:cs="Arial" w:eastAsia="Arial" w:hAnsi="Arial"/>
          <w:sz w:val="17"/>
          <w:szCs w:val="17"/>
          <w:b w:val="1"/>
          <w:bCs w:val="1"/>
          <w:u w:val="single" w:color="auto"/>
          <w:color w:val="auto"/>
        </w:rPr>
        <w:t>Pre-Change Tax Attributes</w:t>
      </w:r>
      <w:r>
        <w:rPr>
          <w:rFonts w:ascii="Arial" w:cs="Arial" w:eastAsia="Arial" w:hAnsi="Arial"/>
          <w:sz w:val="17"/>
          <w:szCs w:val="17"/>
          <w:color w:val="auto"/>
        </w:rPr>
        <w:t>”) or built-in losses (a “</w:t>
      </w:r>
      <w:r>
        <w:rPr>
          <w:rFonts w:ascii="Arial" w:cs="Arial" w:eastAsia="Arial" w:hAnsi="Arial"/>
          <w:sz w:val="17"/>
          <w:szCs w:val="17"/>
          <w:b w:val="1"/>
          <w:bCs w:val="1"/>
          <w:u w:val="single" w:color="auto"/>
          <w:color w:val="auto"/>
        </w:rPr>
        <w:t>loss corporation</w:t>
      </w:r>
      <w:r>
        <w:rPr>
          <w:rFonts w:ascii="Arial" w:cs="Arial" w:eastAsia="Arial" w:hAnsi="Arial"/>
          <w:sz w:val="17"/>
          <w:szCs w:val="17"/>
          <w:color w:val="auto"/>
        </w:rPr>
        <w:t>”) undergoes an “ownership change,” the loss corporation’s use of its Pre-Change Tax Attributes and recognized built-in losses (“</w:t>
      </w:r>
      <w:r>
        <w:rPr>
          <w:rFonts w:ascii="Arial" w:cs="Arial" w:eastAsia="Arial" w:hAnsi="Arial"/>
          <w:sz w:val="17"/>
          <w:szCs w:val="17"/>
          <w:b w:val="1"/>
          <w:bCs w:val="1"/>
          <w:u w:val="single" w:color="auto"/>
          <w:color w:val="auto"/>
        </w:rPr>
        <w:t>RBILs</w:t>
      </w:r>
      <w:r>
        <w:rPr>
          <w:rFonts w:ascii="Arial" w:cs="Arial" w:eastAsia="Arial" w:hAnsi="Arial"/>
          <w:sz w:val="17"/>
          <w:szCs w:val="17"/>
          <w:color w:val="auto"/>
        </w:rPr>
        <w:t>”) generally will be subject to an annual limitation in the post-change period. In general, an “ownership change” occurs if the percentage of the value of the loss corporation’s stock owned by one or more direct or indirect “five percent shareholders” increases by more than fifty percentage points over the lowest percentage of value owned by the five percent shareholders at any time during the applicable testing period (an “</w:t>
      </w:r>
      <w:r>
        <w:rPr>
          <w:rFonts w:ascii="Arial" w:cs="Arial" w:eastAsia="Arial" w:hAnsi="Arial"/>
          <w:sz w:val="17"/>
          <w:szCs w:val="17"/>
          <w:b w:val="1"/>
          <w:bCs w:val="1"/>
          <w:u w:val="single" w:color="auto"/>
          <w:color w:val="auto"/>
        </w:rPr>
        <w:t>Ownership Change</w:t>
      </w:r>
      <w:r>
        <w:rPr>
          <w:rFonts w:ascii="Arial" w:cs="Arial" w:eastAsia="Arial" w:hAnsi="Arial"/>
          <w:sz w:val="17"/>
          <w:szCs w:val="17"/>
          <w:color w:val="auto"/>
        </w:rPr>
        <w:t>”). The testing period generally is the shorter of (i) the three-year period preceding the testing date or (ii) the period of time since the most recent Ownership Change of the corporation.</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Subject to the special bankruptcy rules discussed below, the amount of the annual limitation on a loss corporation’s use of its Pre-Change Tax Attributes and RBILs is generally equal to the product of the applicable long-term tax-exempt rate (as published by the IRS for the month in which the Ownership Change occurs) and the value of the loss corporation’s outstanding stock immediately before the Ownership Change (excluding certain capital contributions). If a loss corporation has a net unrealized built-in gain (a “</w:t>
      </w:r>
      <w:r>
        <w:rPr>
          <w:rFonts w:ascii="Arial" w:cs="Arial" w:eastAsia="Arial" w:hAnsi="Arial"/>
          <w:sz w:val="18"/>
          <w:szCs w:val="18"/>
          <w:b w:val="1"/>
          <w:bCs w:val="1"/>
          <w:u w:val="single" w:color="auto"/>
          <w:color w:val="auto"/>
        </w:rPr>
        <w:t>NUBIG</w:t>
      </w:r>
      <w:r>
        <w:rPr>
          <w:rFonts w:ascii="Arial" w:cs="Arial" w:eastAsia="Arial" w:hAnsi="Arial"/>
          <w:sz w:val="18"/>
          <w:szCs w:val="18"/>
          <w:color w:val="auto"/>
        </w:rPr>
        <w:t>”) immediately prior to the Ownership Change, the annual limitation may be increased as certain gains are recognized during the five-year period beginning on the date of the Ownership Change (the “</w:t>
      </w:r>
      <w:r>
        <w:rPr>
          <w:rFonts w:ascii="Arial" w:cs="Arial" w:eastAsia="Arial" w:hAnsi="Arial"/>
          <w:sz w:val="18"/>
          <w:szCs w:val="18"/>
          <w:b w:val="1"/>
          <w:bCs w:val="1"/>
          <w:u w:val="single" w:color="auto"/>
          <w:color w:val="auto"/>
        </w:rPr>
        <w:t>Recognition Period</w:t>
      </w:r>
      <w:r>
        <w:rPr>
          <w:rFonts w:ascii="Arial" w:cs="Arial" w:eastAsia="Arial" w:hAnsi="Arial"/>
          <w:sz w:val="18"/>
          <w:szCs w:val="18"/>
          <w:color w:val="auto"/>
        </w:rPr>
        <w:t>”). If a loss corporation has a net unrealized built-in loss (a “</w:t>
      </w:r>
      <w:r>
        <w:rPr>
          <w:rFonts w:ascii="Arial" w:cs="Arial" w:eastAsia="Arial" w:hAnsi="Arial"/>
          <w:sz w:val="18"/>
          <w:szCs w:val="18"/>
          <w:b w:val="1"/>
          <w:bCs w:val="1"/>
          <w:u w:val="single" w:color="auto"/>
          <w:color w:val="auto"/>
        </w:rPr>
        <w:t>NUBIL</w:t>
      </w:r>
      <w:r>
        <w:rPr>
          <w:rFonts w:ascii="Arial" w:cs="Arial" w:eastAsia="Arial" w:hAnsi="Arial"/>
          <w:sz w:val="18"/>
          <w:szCs w:val="18"/>
          <w:color w:val="auto"/>
        </w:rPr>
        <w:t>”) immediately prior to the Ownership Change, certain losses recognized during the Recognition Period also would be subject to the annual limitation and thus may reduce the amount of Pre-Change Tax Attributes that could be used by the loss corporation during the Recognition Period.</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NUBIG or NUBIL is generally the difference immediately prior to the Ownership Change between the fair market value of a loss corporation’s assets (or, if greater, the relevant amount of a loss corporation’s relevant liabilities) and its tax basis in the assets, subject to a statutorily-defined threshold amount. The amount of a loss corporation’s NUBIG or NUBIL must be adjusted for built-in items of income or deduction that would be attributable to a pre-change period if recognized during the Recognition Period. The NUBIG or NUBIL of a consolidated group generally is calculated on a consolidated basis, subject to special rules.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 loss corporation has a NUBIG immediately prior to an Ownership Change, any recognized built-in gains (“</w:t>
      </w:r>
      <w:r>
        <w:rPr>
          <w:rFonts w:ascii="Arial" w:cs="Arial" w:eastAsia="Arial" w:hAnsi="Arial"/>
          <w:sz w:val="17"/>
          <w:szCs w:val="17"/>
          <w:b w:val="1"/>
          <w:bCs w:val="1"/>
          <w:u w:val="single" w:color="auto"/>
          <w:color w:val="auto"/>
        </w:rPr>
        <w:t>RBIGs</w:t>
      </w:r>
      <w:r>
        <w:rPr>
          <w:rFonts w:ascii="Arial" w:cs="Arial" w:eastAsia="Arial" w:hAnsi="Arial"/>
          <w:sz w:val="17"/>
          <w:szCs w:val="17"/>
          <w:color w:val="auto"/>
        </w:rPr>
        <w:t>”) will increase the annual limitation in the taxable year the RBIGs are recognized. An RBIG generally is any gain (and certain income) with respect to an asset held immediately before the date of the Ownership Change that is recognized during the Recognition Period to the extent of the fair market value of the asset over its tax basis immediately prior to the Ownership Change. The annual limitation, however, will not be increased to the extent that the aggregate amount of all RBIGs that are recognized during the Recognition Period exceed the NUBIG. On the other hand, if a loss corporation has a NUBIL immediately prior to an Ownership Change, any RBILs will be subject to the annual limitation in the same manner as Pre-Change Tax Attributes. An RBIL generally is any loss (and certain deductions) with respect to an asset held immediately before the date of the Ownership Change that is recognized during the Recognition Period to the extent of the excess of the tax basis of the asset over its fair market value immediately prior to the Ownership Change. Once the aggregate amount of all RBILs that are recognized during the Recognition Period exceeds the NUBIL, such excess RBILs are not subject to the annual limitation. RBIGs and RBILs may be recognized during the Recognition Period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0" w:name="page261"/>
    <w:bookmarkEnd w:id="260"/>
    <w:p>
      <w:pPr>
        <w:spacing w:after="0" w:line="277" w:lineRule="auto"/>
        <w:rPr>
          <w:sz w:val="20"/>
          <w:szCs w:val="20"/>
          <w:color w:val="auto"/>
        </w:rPr>
      </w:pPr>
      <w:r>
        <w:rPr>
          <w:rFonts w:ascii="Arial" w:cs="Arial" w:eastAsia="Arial" w:hAnsi="Arial"/>
          <w:sz w:val="18"/>
          <w:szCs w:val="18"/>
          <w:color w:val="auto"/>
        </w:rPr>
        <w:t>depreciable and amortizable assets that are not actually disposed of by the loss corporation. It is uncertain whether Weatherford Delaware will have a NUBIG or NUBIL on the Effective Date.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consummation of the Plan is expected to result in an Ownership Change of Weatherford Delaware and all other members of the U.S. Group. With respect to Weatherford Delaware, because the Ownership Change will occur in a case brought under the Bankruptcy Code, although it is not free from doubt, the Debtors believe that one of the following two special rules should apply in determining Weatherford Delaware’s ability to utilize in post-Effective Date tax periods Pre-Change Tax Attributes and RBILs attributable to tax periods preceding the Effective Date.</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Under IRC Section 382(l)(5), an Ownership Change in bankruptcy will not result in any annual limitation on the debtor’s Pre-Change Tax Attributes and RBILs arising during the Recognition Period if the stockholders and qualified creditors of the debtor receive at least 50% of the stock (by vote and value) of the reorganized debtor (or of a controlling corporation if also in bankruptcy) in the bankruptcy reorganization as a result of being shareholders or creditors of the debtor. Instead, the debtor’s pre-change NOLs are reduced by the amount of any interest deductions with respect to debt converted into stock in the bankruptcy reorganization that were allowed in the three full taxable years preceding the taxable year in which the Ownership Change occurs and in the part of the taxable year prior to and including the date of the Ownership Change attributable to the bankruptcy reorganization (the “</w:t>
      </w:r>
      <w:r>
        <w:rPr>
          <w:rFonts w:ascii="Arial" w:cs="Arial" w:eastAsia="Arial" w:hAnsi="Arial"/>
          <w:sz w:val="18"/>
          <w:szCs w:val="18"/>
          <w:b w:val="1"/>
          <w:bCs w:val="1"/>
          <w:u w:val="single" w:color="auto"/>
          <w:color w:val="auto"/>
        </w:rPr>
        <w:t>Plan Ownership Change</w:t>
      </w:r>
      <w:r>
        <w:rPr>
          <w:rFonts w:ascii="Arial" w:cs="Arial" w:eastAsia="Arial" w:hAnsi="Arial"/>
          <w:sz w:val="18"/>
          <w:szCs w:val="18"/>
          <w:color w:val="auto"/>
        </w:rPr>
        <w:t>”). If any Pre-Change Tax Attributes and built-in losses of the debtor already are subject to an annual usage limitation under IRC Section 382 at the time of an Ownership Change, subject to IRC Section 382(l)(5), those Pre-Change Tax Attributes and built-in losses generally will continue to be subject to such limitation.</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qualified creditor is any creditor who has held the debt of the debtor for at least eighteen months prior to the petition date or who has held “ordinary course indebtedness” that has been owned at all times by such creditor. A creditor who does not become a direct or indirect five percent shareholder of the reorganized debtor (or of a controlling corporation if also in bankruptcy) generally may be treated by the debtor as having always held any debt owned immediately before the Ownership Change, unless the creditor’s participation in formulating the plan of reorganization makes evident to the debtor that the creditor has not owned the debt for the requisite period.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debtor may elect not to apply IRC Section 382(l)(5) to an Ownership Change that otherwise satisfies its requirements. This election must be made on the debtor’s federal income tax return for the taxable year in which the Ownership Change occurs. If IRC Section 382(l)(5) applies to an Ownership Change (and the debtor does not elect out), any subsequent Ownership Change of the debtor within the two-year period following the date of the Plan Ownership Change will result in the debtor being unable to use any pre-change losses in any taxable year ending after such subsequent Ownership Change to offset future taxable income.</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an Ownership Change pursuant to a bankruptcy plan does not satisfy the requirements of IRC Section 382(l)(5), or if a debtor elects not to apply IRC Section 382(l)(5), the debtor’s use of its Pre-Change Tax Attributes and RBILs arising during the Recognition Period will be subject to an annual limitation as determined under IRC Section 382(l)(6). In such case, the amount of the annual limitation generally will be equal to the product of the applicable long-term tax-exempt rate (2.19% for June 2019) and the value of the debtor’s outstanding stock immediately after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1" w:name="page262"/>
    <w:bookmarkEnd w:id="261"/>
    <w:p>
      <w:pPr>
        <w:spacing w:after="0" w:line="259" w:lineRule="auto"/>
        <w:rPr>
          <w:sz w:val="20"/>
          <w:szCs w:val="20"/>
          <w:color w:val="auto"/>
        </w:rPr>
      </w:pPr>
      <w:r>
        <w:rPr>
          <w:rFonts w:ascii="Arial" w:cs="Arial" w:eastAsia="Arial" w:hAnsi="Arial"/>
          <w:sz w:val="18"/>
          <w:szCs w:val="18"/>
          <w:color w:val="auto"/>
        </w:rPr>
        <w:t>bankruptcy reorganization, provided such value may not exceed the value of the debtor’s gross assets immediately before the Ownership Change, subject to certain adjustments. If any Pre-Change Tax Attributes and built-in losses of the debtor already are subject to an annual limitation at the time of an Ownership Change subject to IRC Section 382(l)(6), those Pre-Change Tax Attributes and built-in losses will generally be subject to the lower of the two annual limitations.</w:t>
      </w:r>
    </w:p>
    <w:p>
      <w:pPr>
        <w:spacing w:after="0" w:line="18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Debtors believe that the application of IRC Section 382(l)(5) could result in significant future savings and are seeking to protect the continued existence of their significant tax attributes (including net operating losses ranging from $1.5 billion to $2 billion that are expected to remain after taking into account the impact of the Restructuring Transactions) without annual limitations on the use of its net operating losses and NUBIL pursuant to IRC Section 382(l)(5). Accordingly, the Debtors will file a First Day Motion to seek an order establishing a record date and sell-down procedures for trading claims. However, it is uncertain whether the Ownership Change expected to result from the consummation of the Plan may satisfy all of the requirements of IRC Section 382(l)(5), as such determination will depend on several factors, including the extent to which Holders of the Prepetition Notes immediately prior to consummation of the Plan may be treated as qualified creditors of Weatherford Delaware for purposes of IRC Section 382(l)(5) and whether the stockholders and qualified creditors of Weatherford Delaware will be treated as receiving at least 50% of the stock (by vote and value) of Weatherford Delaware (or Weatherford Parent) as a result of being creditors or direct or indirect shareholders of Weatherford Delaware. The Debtors may seek a private letter ruling from the IRS regarding the application of IRC Section 382(l)(5), but no assurance can be given that we will request such ruling or, if we do, that the IRS will issue it. Furthermore, even if the Plan satisfies the requirements of IRC Section 382(l)(5), Weatherford Delaware may elect not to apply IRC Section 382(l)(5), in which case, the U.S. Group’s Pre-Change Tax Attributes remaining after reduction for excluded COD income arising during the Recognition Period may be subject to an annual limitation generally equal to the product of the long-term tax-exempt rate for the month in which the Plan Ownership Change occurs and the value of Weatherford Delaware’s outstanding stock immediately after consummation of the Plan pursuant to IRC Section 382(l)(6). Pre-Change Tax Attributes not utilized in a given year due to the annual limitation may be carried forward for use in future years. To the extent that the annual limitation of the reorganized U.S. Group exceeds its taxable income (for purposes of IRC Section 382) in a given year, the excess will increase the annual limitation in future taxable years.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is uncertainty as to whether the U.S. Group’s Pre-Change Tax Attributes allocable to members of the U.S. Group other than Weatherford Delaware would qualify for the benefits of IRC 382(l)(5) or 382(l)(6). As a result, the utilization of those Tax Attributes following the Ownership Change upon the consummation of the Plan may be significantly restricted.</w:t>
      </w:r>
    </w:p>
    <w:p>
      <w:pPr>
        <w:spacing w:after="0" w:line="177" w:lineRule="exact"/>
        <w:rPr>
          <w:sz w:val="20"/>
          <w:szCs w:val="20"/>
          <w:color w:val="auto"/>
        </w:rPr>
      </w:pPr>
    </w:p>
    <w:p>
      <w:pPr>
        <w:ind w:left="1300" w:hanging="644"/>
        <w:spacing w:after="0"/>
        <w:tabs>
          <w:tab w:leader="none" w:pos="130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U.S. Holders</w:t>
      </w:r>
    </w:p>
    <w:p>
      <w:pPr>
        <w:spacing w:after="0" w:line="229" w:lineRule="exact"/>
        <w:rPr>
          <w:sz w:val="20"/>
          <w:szCs w:val="20"/>
          <w:color w:val="auto"/>
        </w:rPr>
      </w:pPr>
    </w:p>
    <w:p>
      <w:pPr>
        <w:ind w:left="1940" w:hanging="635"/>
        <w:spacing w:after="0"/>
        <w:tabs>
          <w:tab w:leader="none" w:pos="194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Definition of U.S. Holder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U.S. Holder</w:t>
      </w:r>
      <w:r>
        <w:rPr>
          <w:rFonts w:ascii="Arial" w:cs="Arial" w:eastAsia="Arial" w:hAnsi="Arial"/>
          <w:sz w:val="16"/>
          <w:szCs w:val="16"/>
          <w:color w:val="auto"/>
        </w:rPr>
        <w:t>” is a beneficial owner of the Prepetition Notes or Existing Common Stock that, for U.S. federal income tax purposes, is or is treated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211" w:lineRule="exact"/>
        <w:rPr>
          <w:sz w:val="20"/>
          <w:szCs w:val="20"/>
          <w:color w:val="auto"/>
        </w:rPr>
      </w:pPr>
    </w:p>
    <w:p>
      <w:pPr>
        <w:ind w:left="940" w:hanging="284"/>
        <w:spacing w:after="0"/>
        <w:tabs>
          <w:tab w:leader="none" w:pos="9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2" w:name="page263"/>
    <w:bookmarkEnd w:id="262"/>
    <w:p>
      <w:pPr>
        <w:ind w:left="940" w:hanging="284"/>
        <w:spacing w:after="0"/>
        <w:tabs>
          <w:tab w:leader="none" w:pos="9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hanging="324"/>
        <w:spacing w:after="0" w:line="342" w:lineRule="auto"/>
        <w:tabs>
          <w:tab w:leader="none" w:pos="94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IRC Section 7701(a)(30)), or (2) has a valid election in effect to be treated as a United States person for U.S. federal income tax purposes.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left="1960" w:hanging="655"/>
        <w:spacing w:after="0"/>
        <w:tabs>
          <w:tab w:leader="none" w:pos="196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Internal Reorganizations</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Irish Migration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Irish Migration, nor is the Irish Migration expected to alter U.S. Holders’ U.S. federal income tax bases or holding periods in their Prepetition Notes or Existing Common Stock.</w:t>
      </w:r>
    </w:p>
    <w:p>
      <w:pPr>
        <w:spacing w:after="0" w:line="181" w:lineRule="exact"/>
        <w:rPr>
          <w:sz w:val="20"/>
          <w:szCs w:val="20"/>
          <w:color w:val="auto"/>
        </w:rPr>
      </w:pPr>
    </w:p>
    <w:p>
      <w:pPr>
        <w:ind w:left="3260" w:hanging="659"/>
        <w:spacing w:after="0"/>
        <w:tabs>
          <w:tab w:leader="none" w:pos="3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U.S. Group Reorganization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U.S. Group Reorganization, nor is the U.S. Group Reorganization expected to alter U.S. Holders’ U.S. federal income tax bases or holding periods in their Prepetition Notes or Existing Common Stock.</w:t>
      </w:r>
    </w:p>
    <w:p>
      <w:pPr>
        <w:spacing w:after="0" w:line="181" w:lineRule="exact"/>
        <w:rPr>
          <w:sz w:val="20"/>
          <w:szCs w:val="20"/>
          <w:color w:val="auto"/>
        </w:rPr>
      </w:pPr>
    </w:p>
    <w:p>
      <w:pPr>
        <w:ind w:left="1960" w:hanging="655"/>
        <w:spacing w:after="0"/>
        <w:tabs>
          <w:tab w:leader="none" w:pos="19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Exchanges of Prepetition Notes Claims and Existing Common Stock Pursuant to the Plan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Exchange of Prepetition Notes Claims for New Tranche B Senior Unsecured Notes and New Common Stock</w:t>
      </w:r>
    </w:p>
    <w:p>
      <w:pPr>
        <w:spacing w:after="0" w:line="24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Debtors intend to take the position (and this discussion of certain U.S. federal income tax consequences of the Plan assumes) that the receipt of New Common Stock in respect of Prepetition Notes Claims will not be treated as a contribution of the Prepetition Notes to Weatherford Parent for U.S. federal income tax purposes. Instead, the Debtors intend to take the position for U.S. federal income tax purposes that the Holders of Prepetition Notes Claims receive the New Common Stock from the respective issuer of such Prepetition Notes in partial exchange for such Prepetition Notes. To the extent a Holder of Prepetition Notes Claims receives New Tranche B Senior Unsecured Notes in respect of such Prepetition Notes Claims, the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3" w:name="page264"/>
    <w:bookmarkEnd w:id="263"/>
    <w:p>
      <w:pPr>
        <w:ind w:right="340"/>
        <w:spacing w:after="0" w:line="277" w:lineRule="auto"/>
        <w:rPr>
          <w:sz w:val="20"/>
          <w:szCs w:val="20"/>
          <w:color w:val="auto"/>
        </w:rPr>
      </w:pPr>
      <w:r>
        <w:rPr>
          <w:rFonts w:ascii="Arial" w:cs="Arial" w:eastAsia="Arial" w:hAnsi="Arial"/>
          <w:sz w:val="18"/>
          <w:szCs w:val="18"/>
          <w:color w:val="auto"/>
        </w:rPr>
        <w:t>will be treated as an “exchange” of such Prepetition Notes for New Tranche B Senior Unsecured Notes if it results in a “significant modification” of such Prepetition Notes.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applicable Treasury Regulations, the modification of the terms of a debt instrument (including pursuant to an exchange of a new debt instrument for the existing debt instrument) generally is a significant modification if, based on all of the facts and circumstances and taking into account all modifications of the debt instrument, the legal rights or obligations that are altered and the degree to which they are altered is “economically significant.” A modification that adds, deletes, or alters customary accounting or financial covenants is not a significant modification. A modification that changes the timing of payments due under a debt instrument is a significant modification if it results in a material deferral of scheduled payments. However, a deferral of one or more scheduled payments is not a material deferral if it is within a safe-harbor period beginning on the original due date of the first scheduled payment that is deferred and extending for a period equal to the lesser of five years or 50% of the original term of the instrument. A change in the yield of a debt instrument is a significant modification if the yield of the modified instrument (as computed under the applicable Treasury Regulations) varies from the annual yield of the unmodified instrument (determined as of the date of the modification) by more than the greater of (i) 25 basis points or (ii) 5% of the annual yield of the unmodified instrument.</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Based on such applicable Treasury Regulations and the Debtors’ expectations of the terms of the New Tranche B Senior Unsecured Notes, the Debtors anticipate, and the remainder of this discussion assumes, that an exchange of Prepetition Notes for New Tranche B Senior Unsecured Notes will be treated as a significant modification of the Prepetition Notes and thus as an “exchange” of such Prepetition Notes for new debt instruments for U.S. federal income tax purposes.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 exchange of Prepetition Notes for New Tranche B Senior Unsecured Notes and New Common Stock will be a fully taxable transaction unless the exchange constitutes, or is a part of, a “reorganization” within the meaning of IRC Section 368(a) or other tax-free transaction. Although it is not free from doubt, the Debtors believe that the exchange of Prepetition Notes for New Common Stock does not qualify as a tax-free transaction. With respect to the exchange of Prepetition Notes for New Tranche B Senior Unsecured Notes, the Debtors believe such exchange should qualify as a tax-free reorganization within the meaning of IRC Section 368(a) if both the Prepetition Notes and the New Tranche B Senior Unsecured Notes are treated as “securities” under the relevant provisions of the IRC. Neither the IRC nor the Treasury Regulations define the term “security,” and it has not been clearly defined by judicial decisions. Whether a debt instrument is a security is determined based on all of the facts and circumstances. Factors evaluated include whether the holder of such debt instrument is subject to a material level of entrepreneurial risk and the holder’s degree of participation and continuing interest in the debtor’s business, but most authorities conclude that the term to maturity of the debt instrument is one of the most significant factors. In this regard, debt instruments with a term of ten years or more generally have qualified as securities, whereas debt instruments with a term of less than five years generally have not qualified as securities. Although it is not free from doubt, the Debtors intend to take the position, and the remainder of this discussion assumes, that the Prepetition Notes and the New Tranche B Senior Unsecured Notes are properly treated as “securities” for U.S. federal income tax purposes and that the exchanges of such Prepetition Notes for New Tranche B Senior Unsecured Notes either constitute, or are a part of, “reorganizations” within the meaning of IRC Section 368(a).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64" w:name="page265"/>
    <w:bookmarkEnd w:id="264"/>
    <w:p>
      <w:pPr>
        <w:ind w:right="20" w:firstLine="648"/>
        <w:spacing w:after="0" w:line="288" w:lineRule="auto"/>
        <w:rPr>
          <w:sz w:val="20"/>
          <w:szCs w:val="20"/>
          <w:color w:val="auto"/>
        </w:rPr>
      </w:pPr>
      <w:r>
        <w:rPr>
          <w:rFonts w:ascii="Arial" w:cs="Arial" w:eastAsia="Arial" w:hAnsi="Arial"/>
          <w:sz w:val="16"/>
          <w:szCs w:val="16"/>
          <w:color w:val="auto"/>
        </w:rPr>
        <w:t>Based on the position that the Prepetition Notes and the New Tranche B Senior Unsecured Notes are properly treated as “securities” for U.S. federal income tax purposes, a U.S. Holder will not recognize any loss on an exchange of the principal portion of Prepetition Notes for New Tranche B Senior Unsecured Notes and New Common Stock and will generally recognize gain equal to the lesser of (i) the fair market value of the New Common Stock and</w:t>
      </w:r>
    </w:p>
    <w:p>
      <w:pPr>
        <w:ind w:firstLine="8"/>
        <w:spacing w:after="0" w:line="267" w:lineRule="auto"/>
        <w:tabs>
          <w:tab w:leader="none" w:pos="26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amount of gain, if any, realized on the exchange. A U.S. Holder would also recognize income in respect of any amount attributable to unpaid interest (that accrued during the U.S. Holder’s holding period) on the exchanged Prepetition Notes, to the extent such amounts were not previously taxed (which would be taxable as interest to the extent not previously included in income). Whether any amount is attributable to such unpaid interest is further discussed below under “Certain U.S. Federal Income Tax Consequences of the Plan—Accrued Interest.” A U.S. Holder will generally have an initial tax basis in the New Tranche B Senior Unsecured Notes equal to the U.S. Holder’s adjusted tax basis in the Prepetition Notes exchanged pursuant to the Plan, increased by any gain recognized on the exchange and decreased by the fair market value of the New Common Stock received in the exchange. A U.S. Holder will generally have an initial tax basis in the New Common Stock equal to the fair market value of such New Common Stock as of the Effective Date. A U.S. Holder’s holding period in the New Tranche B Senior Unsecured Notes will generally include the holding period of the Prepetition Notes exchanged therefor, and the U.S. Holder’s holding period in the New Common Stock will generally begin on the day following the Effective Date. See below under the caption under the caption “Accrued Interest” for a discussion of the tax basis and holding period of New Tranche B Senior Unsecured Notes or New Common Stock, if any, received for accrued and unpaid interest on the Prepetition Notes.</w:t>
      </w:r>
    </w:p>
    <w:p>
      <w:pPr>
        <w:spacing w:after="0" w:line="187"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Any gain recognized will be capital gain and generally long-term capital gain if the U.S. Holder has held the Prepetition Notes for more than one year as of the Effective Date, provided that such gain will be treated as ordinary income to the extent of any accrued market discount (unless an election to include market discount in income currently as it accrues was made by the U.S. Holder). If any accrued market discount on Prepetition Notes remains, the New Tranche B Senior Unsecured Notes will generally be treated as having accrued market discount to such extent, as further discussed below.</w:t>
      </w:r>
    </w:p>
    <w:p>
      <w:pPr>
        <w:spacing w:after="0" w:line="154" w:lineRule="exact"/>
        <w:rPr>
          <w:sz w:val="20"/>
          <w:szCs w:val="20"/>
          <w:color w:val="auto"/>
        </w:rPr>
      </w:pPr>
    </w:p>
    <w:p>
      <w:pPr>
        <w:ind w:left="3260" w:hanging="659"/>
        <w:spacing w:after="0"/>
        <w:tabs>
          <w:tab w:leader="none" w:pos="3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Exchange of Existing Common Stock for New Common Stock and New Warrants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It is intended that the exchange of Existing Common Stock for New Common Stock and New Warrants as a “recapitalization” within the meaning of IRC Section 368(a)(1)(E). As such, a U.S. Holder will not recognize any gain or loss on an exchange of Existing Common Stock for New Common Stock and New Warrants. A U.S. Holder will generally have an aggregate initial tax basis in the New Common Stock and New Warrants equal to the U.S. Holder’s adjusted tax basis in the Existing Common Stock exchanged pursuant to the Plan. Such basis will be allocated between the New Common Stock and New Warrants in proportion to their relative fair market values. A U.S. Holder’s holding period in the New Common Stock and New Warrants will generally include the holding period of the Existing Common Stock exchanged therefor.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5" w:name="page266"/>
    <w:bookmarkEnd w:id="265"/>
    <w:p>
      <w:pPr>
        <w:ind w:left="1960" w:right="180" w:hanging="655"/>
        <w:spacing w:after="0" w:line="277" w:lineRule="auto"/>
        <w:tabs>
          <w:tab w:leader="none" w:pos="1967"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Delaware Notes, New Bermuda Notes, New Common Stock and New Warrants Received Pursuant to the Plan</w:t>
      </w:r>
    </w:p>
    <w:p>
      <w:pPr>
        <w:spacing w:after="0" w:line="170" w:lineRule="exact"/>
        <w:rPr>
          <w:sz w:val="20"/>
          <w:szCs w:val="20"/>
          <w:color w:val="auto"/>
        </w:rPr>
      </w:pPr>
    </w:p>
    <w:p>
      <w:pPr>
        <w:ind w:left="3260" w:hanging="659"/>
        <w:spacing w:after="0"/>
        <w:tabs>
          <w:tab w:leader="none" w:pos="32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New Delaware Notes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Issue Price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issue price of a debt instrument issued in exchange for another debt instrument depends on whether either debt instrument is considered “traded on an established market” (“</w:t>
      </w:r>
      <w:r>
        <w:rPr>
          <w:rFonts w:ascii="Arial" w:cs="Arial" w:eastAsia="Arial" w:hAnsi="Arial"/>
          <w:sz w:val="16"/>
          <w:szCs w:val="16"/>
          <w:b w:val="1"/>
          <w:bCs w:val="1"/>
          <w:u w:val="single" w:color="auto"/>
          <w:color w:val="auto"/>
        </w:rPr>
        <w:t>publicly traded</w:t>
      </w:r>
      <w:r>
        <w:rPr>
          <w:rFonts w:ascii="Arial" w:cs="Arial" w:eastAsia="Arial" w:hAnsi="Arial"/>
          <w:sz w:val="16"/>
          <w:szCs w:val="16"/>
          <w:color w:val="auto"/>
        </w:rPr>
        <w:t>”). If the New Delaware Notes are treated as publicly traded for U.S. federal income tax purposes, the “issue price” of such New Delaware Notes will be their fair market value as of their issue date. If the Prepetition Notes issued by Weatherford Delaware are, but the New Delaware Notes are not, treated as publicly traded for U.S. federal income tax purposes, then the issue price of such New Delaware Notes received in exchange for Prepetition Notes issued by Weatherford Delaware will be the fair market value of such Prepetition Notes exchanged for New Delaware Notes, as determined on the issue date of the New Delaware Notes. If neither the Prepetition Notes issued by Weatherford Delaware nor the New Delaware Notes are treated as publicly traded, then the issue price of such New Delaware Notes will be their principal amount.</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New Delaware Notes will be considered to be publicly traded if, at any time during the 31-day period ending 15 days after their issue date, such New Delaware Notes are traded on an “established market.” The New Delaware Notes will be considered to trade on an established market if (i) there is a price for an executed purchase or sale of such New Delaware Notes that is reasonably available within a reasonable period of time after the sale; (ii) there is at least one price quote for such New Delaware Notes from at least one reasonably identifiable broker, dealer or pricing service, which price quote is substantially the same as the price for which the person receiving the quoted price could purchase or sell such New Delaware Notes (a “</w:t>
      </w:r>
      <w:r>
        <w:rPr>
          <w:rFonts w:ascii="Arial" w:cs="Arial" w:eastAsia="Arial" w:hAnsi="Arial"/>
          <w:sz w:val="16"/>
          <w:szCs w:val="16"/>
          <w:b w:val="1"/>
          <w:bCs w:val="1"/>
          <w:u w:val="single" w:color="auto"/>
          <w:color w:val="auto"/>
        </w:rPr>
        <w:t>firm quote</w:t>
      </w:r>
      <w:r>
        <w:rPr>
          <w:rFonts w:ascii="Arial" w:cs="Arial" w:eastAsia="Arial" w:hAnsi="Arial"/>
          <w:sz w:val="16"/>
          <w:szCs w:val="16"/>
          <w:color w:val="auto"/>
        </w:rPr>
        <w:t>”); or</w:t>
      </w:r>
    </w:p>
    <w:p>
      <w:pPr>
        <w:spacing w:after="0" w:line="2" w:lineRule="exact"/>
        <w:rPr>
          <w:sz w:val="20"/>
          <w:szCs w:val="20"/>
          <w:color w:val="auto"/>
        </w:rPr>
      </w:pPr>
    </w:p>
    <w:p>
      <w:pPr>
        <w:ind w:right="180" w:firstLine="8"/>
        <w:spacing w:after="0" w:line="255" w:lineRule="auto"/>
        <w:tabs>
          <w:tab w:leader="none" w:pos="31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there is at least one price quote for such New Delaware Notes other than a firm quote, available from at least one such broker, dealer, or pricing service. The Prepetition Notes issued by Weatherford Delaware will be considered publicly traded for this purpose if they meet any of the prongs described above during the same period.</w:t>
      </w:r>
    </w:p>
    <w:p>
      <w:pPr>
        <w:spacing w:after="0" w:line="19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Treasury Regulations require Weatherford Delaware to make a determination as to whether the Prepetition Notes or New Delaware Notes issued by it are publicly traded, and if Weatherford Delaware determines that either are publicly traded, to determine the fair market value of the New Delaware Notes on their issue date which will establish their “issue price.” The Treasury Regulations require Weatherford Delaware to make such determinations available to U.S. Holders in a commercially reasonable fashion, including by electronic publication, within 90 days of the issue date of the New Delaware Notes issued by it. The Treasury Regulations provide that each of these determinations is binding on a Holder unless the Holder satisfies certain conditions. Certain</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rules apply as to whether a sales price or quote may establish the fair market value of the New Delaware Notes and under what conditions Weatherford Delaware may otherwise establish the fair market value of such New Delaware Notes.</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Because the relevant trading period for determining whether the Prepetition Notes and New Delaware Notes issued by Weatherford Delaware are publicly traded has not yet occurred, Weatherford Delaware is unable to determine the issue price of such New Delaware Notes at this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6" w:name="page267"/>
    <w:bookmarkEnd w:id="266"/>
    <w:p>
      <w:pPr>
        <w:ind w:right="60"/>
        <w:spacing w:after="0" w:line="259" w:lineRule="auto"/>
        <w:rPr>
          <w:sz w:val="20"/>
          <w:szCs w:val="20"/>
          <w:color w:val="auto"/>
        </w:rPr>
      </w:pPr>
      <w:r>
        <w:rPr>
          <w:rFonts w:ascii="Arial" w:cs="Arial" w:eastAsia="Arial" w:hAnsi="Arial"/>
          <w:sz w:val="18"/>
          <w:szCs w:val="18"/>
          <w:color w:val="auto"/>
        </w:rPr>
        <w:t>time. It does appear likely that either the New Delaware Notes, the Prepetition Notes issued by Weatherford Delaware or both will be publicly traded during the relevant period, in which case the issue price of such New Delaware Notes will be their fair market value as of their issue date or, if such New Delaware Notes are not publicly traded during the relevant period, the fair market value of the Prepetition Notes issued by Weatherford Delaware and exchanged for New Delaware Notes as of such date.</w:t>
      </w:r>
    </w:p>
    <w:p>
      <w:pPr>
        <w:spacing w:after="0" w:line="187" w:lineRule="exact"/>
        <w:rPr>
          <w:sz w:val="20"/>
          <w:szCs w:val="20"/>
          <w:color w:val="auto"/>
        </w:rPr>
      </w:pPr>
    </w:p>
    <w:p>
      <w:pPr>
        <w:ind w:left="3900" w:hanging="651"/>
        <w:spacing w:after="0"/>
        <w:tabs>
          <w:tab w:leader="none" w:pos="39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Payments of Qualified Stated Interest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Payments of qualified stated interest on New Delaware Notes generally will be taxable to a U.S. Holder as ordinary income at the time such interest is received or accrued, in accordance with such U.S. Holder’s method of tax accounting for U.S. federal income tax purposes. Qualified stated interest generally means stated interest that is unconditionally payable in cash or in property (other than debt instruments of the issuer) at least annually at a single fixed rate or a single qualified floating rate. The stated interest on the New Delaware Notes is expected to be treated as qualified stated interest.</w:t>
      </w:r>
    </w:p>
    <w:p>
      <w:pPr>
        <w:spacing w:after="0" w:line="154" w:lineRule="exact"/>
        <w:rPr>
          <w:sz w:val="20"/>
          <w:szCs w:val="20"/>
          <w:color w:val="auto"/>
        </w:rPr>
      </w:pPr>
    </w:p>
    <w:p>
      <w:pPr>
        <w:ind w:left="3900" w:hanging="651"/>
        <w:spacing w:after="0"/>
        <w:tabs>
          <w:tab w:leader="none" w:pos="3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New Delaware Notes will be treated as issued with original issue discount (“</w:t>
      </w:r>
      <w:r>
        <w:rPr>
          <w:rFonts w:ascii="Arial" w:cs="Arial" w:eastAsia="Arial" w:hAnsi="Arial"/>
          <w:sz w:val="18"/>
          <w:szCs w:val="18"/>
          <w:b w:val="1"/>
          <w:bCs w:val="1"/>
          <w:u w:val="single" w:color="auto"/>
          <w:color w:val="auto"/>
        </w:rPr>
        <w:t>OID</w:t>
      </w:r>
      <w:r>
        <w:rPr>
          <w:rFonts w:ascii="Arial" w:cs="Arial" w:eastAsia="Arial" w:hAnsi="Arial"/>
          <w:sz w:val="18"/>
          <w:szCs w:val="18"/>
          <w:color w:val="auto"/>
        </w:rPr>
        <w:t>”) for U.S. federal income tax purposes if their “stated redemption price at maturity” exceeds their “issue price” by at least a statutorily defined de minimis amount (generally, 0.0025 multiplied by the product of the stated redemption price at maturity and the number of complete years to maturity, or the weighted average maturity as defined under the OID rules in the case of certain self-amortizing obligations). The “stated redemption price at maturity” of the New Delaware Notes is the total of all payments to be made under such New Delaware Notes other than qualified stated interest.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New Delaware Notes were treated as having been issued with more than de minimis OID, U.S. Holders would be required to include the OID in ordinary income on an annual basis under a constant yield accrual method regardless of such U.S. Holder’s regular method of accounting for U.S. federal income tax purposes, subject to reduction in the case of any premium, as discussed below. A U.S. Holder must include in income in each taxable year the sum of the daily portions of OID for each day on which it held New Delaware Notes during the taxable year. To determine the daily portions of OID, the amount of OID allocable to an accrual period is determined, and a ratable portion of such OID is allocated to each day in the accrual period. An accrual period may be of any length and the length of the accrual periods may vary over the life of the New Delaware Notes, provided that no accrual period may be longer than one year and each scheduled payment of interest or principal on such New Delaware Notes must occur on either the first day or last day of an accrual period. The amount of OID allocable to an accrual period will equal (A) the product of (i) the New Delaware Notes’ adjusted issue price at the beginning of the accrual period and (ii) the New Delaware Notes’ yield to maturity (adjusted to reflect the length of the accrual period), less (B) any qualified stated interest allocable to the accrual period.</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New Delaware Notes adjusted issue price at any time generally will be their original issue price, increased by the amount of OID on such New Delaware Notes accrued for each prior accrual period and decreased by the amount of payments on such New Delaware Notes other than payments of qualified stated interest. The New Delaware Notes’ yield to maturity is the discount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7" w:name="page268"/>
    <w:bookmarkEnd w:id="267"/>
    <w:p>
      <w:pPr>
        <w:ind w:right="100"/>
        <w:spacing w:after="0" w:line="277" w:lineRule="auto"/>
        <w:rPr>
          <w:sz w:val="20"/>
          <w:szCs w:val="20"/>
          <w:color w:val="auto"/>
        </w:rPr>
      </w:pPr>
      <w:r>
        <w:rPr>
          <w:rFonts w:ascii="Arial" w:cs="Arial" w:eastAsia="Arial" w:hAnsi="Arial"/>
          <w:sz w:val="18"/>
          <w:szCs w:val="18"/>
          <w:color w:val="auto"/>
        </w:rPr>
        <w:t>rate that, when used in computing the present value of all principal and interest payments to be made on the New Delaware Notes, produces an amount equal to the New Delaware Notes’ original issue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Stated interest and OID (if any) on the New Delaware Notes are expected to be treated as U.S. source for foreign tax credit limitation purposes.</w:t>
      </w:r>
    </w:p>
    <w:p>
      <w:pPr>
        <w:spacing w:after="0" w:line="248" w:lineRule="exact"/>
        <w:rPr>
          <w:sz w:val="20"/>
          <w:szCs w:val="20"/>
          <w:color w:val="auto"/>
        </w:rPr>
      </w:pPr>
    </w:p>
    <w:p>
      <w:pPr>
        <w:ind w:left="3900" w:hanging="651"/>
        <w:spacing w:after="0"/>
        <w:tabs>
          <w:tab w:leader="none" w:pos="39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Market Discount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discussed above, a U.S. Holder that acquired a Prepetition Note issued by Weatherford Delaware at any time other than at its original issuance at a market discount would generally be required to treat any gain recognized on the exchange of such Prepetition Note on the Effective Date as ordinary income to the extent of accrued market discount, unless an election to include market discount in income currently as it accrues was made by the U.S. Holder.</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any accrued market discount remains, the New Delaware Notes would be treated as having accrued market discount to the extent of such remaining market discount accrued on the Prepetition Notes that was not previously included in income by the U.S. Holder. In addition, if the U.S. Holder’s initial tax basis in New Delaware Notes is less than the New Delaware Notes’ issue price, such difference would be treated as market discount, unless the difference is less than 0.25% of the New Delaware Notes’ stated redemption price at maturity multiplied by the number of complete years from the Effective Date to maturity (in which case, the difference is de minimis market discount).</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Market discount generally will be treated as accruing on a straight-line basis over the term of the New Delaware Notes or, at the U.S. Holder’s election, under a constant yield method. If a constant yield election is made, it will apply only to the Delaware Notes held by the U.S. Holder and may not be revoked. A U.S. Holder may elect to include market discount in income as it accrues over the remaining term of the Delaware Notes.</w:t>
      </w:r>
    </w:p>
    <w:p>
      <w:pPr>
        <w:spacing w:after="0" w:line="166" w:lineRule="exact"/>
        <w:rPr>
          <w:sz w:val="20"/>
          <w:szCs w:val="20"/>
          <w:color w:val="auto"/>
        </w:rPr>
      </w:pPr>
    </w:p>
    <w:p>
      <w:pPr>
        <w:ind w:left="3900" w:hanging="651"/>
        <w:spacing w:after="0"/>
        <w:tabs>
          <w:tab w:leader="none" w:pos="39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Amortizable Bond Premium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the extent a U.S. Holder’s initial tax basis in New Delaware Notes is greater than the stated redemption price at maturity of the New Delaware Notes, the U.S. Holder generally will be considered to have acquired the New Delaware Notes with amortizable bond premium (and the New Delaware Notes would not have any OID with respect to such U.S. Holder). Generally, a U.S. Holder that acquires a debt obligation at a premium may elect to amortize bond premium from the acquisition date to the debt’s maturity date under a constant yield method. Once made, this election applies to all debt obligations held or subsequently acquired by the U.S. Holder on or after the first day of the first taxable year to which the election applies and may not be revoked without the consent of the IRS. The amount amortized in any taxable year generally is treated as an offset to payments of qualified stated interest on the related debt obligation.</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U.S. Holder’s initial adjusted tax basis in New Delaware Notes is less than the stated redemption price at maturity of the New Delaware Notes but greater than their issue price, the U.S. Holder generally will be considered to have acquisition premium with respect to the New Delaware Notes. In such case, the U.S. Holder may reduce the accrual of OID on the New Delaware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8" w:name="page269"/>
    <w:bookmarkEnd w:id="268"/>
    <w:p>
      <w:pPr>
        <w:ind w:right="260"/>
        <w:spacing w:after="0" w:line="277" w:lineRule="auto"/>
        <w:rPr>
          <w:sz w:val="20"/>
          <w:szCs w:val="20"/>
          <w:color w:val="auto"/>
        </w:rPr>
      </w:pPr>
      <w:r>
        <w:rPr>
          <w:rFonts w:ascii="Arial" w:cs="Arial" w:eastAsia="Arial" w:hAnsi="Arial"/>
          <w:sz w:val="18"/>
          <w:szCs w:val="18"/>
          <w:color w:val="auto"/>
        </w:rPr>
        <w:t>by a fraction the numerator of which is the excess of the U.S. Holder’s initial adjusted basis over the issue price and the denominator of which is the stated redemption price over such issue price.</w:t>
      </w:r>
    </w:p>
    <w:p>
      <w:pPr>
        <w:spacing w:after="0" w:line="170" w:lineRule="exact"/>
        <w:rPr>
          <w:sz w:val="20"/>
          <w:szCs w:val="20"/>
          <w:color w:val="auto"/>
        </w:rPr>
      </w:pPr>
    </w:p>
    <w:p>
      <w:pPr>
        <w:ind w:left="3900" w:hanging="651"/>
        <w:spacing w:after="0"/>
        <w:tabs>
          <w:tab w:leader="none" w:pos="39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U.S. Holder of New Delaware Notes will recognize gain or loss upon the sale, redemption, retirement or other taxable disposition of the New Delaware Notes equal to the difference between the amount realized upon the disposition (less a portion allocable to any accrued interest that has not yet been included in income by the U.S. Holder, which generally will be taxable as ordinary income) and the U.S. Holder’s adjusted tax basis in the New Delaware Notes. In general, a U.S. Holder’s adjusted tax basis in New Delaware Notes will be its initial tax basis in such New Delaware Notes, increased by any accrued OID previously included in the U.S. Holder’s income with respect to the New Delaware Notes and by market discount, if any, previously included in the U.S. Holder’s income with respect to the New Delaware Notes (pursuant to an election to include market discount in income currently as it accrues), and reduced (but not below zero) by any amortizable bond premium with respect to the New Delaware Notes that the U.S. Holder has previously amortized. Any gain or loss on the sale, redemption, retirement or other taxable disposition of the New Delaware Notes generally will be capital gain or loss, and generally will be long-term capital gain or loss if the U.S. Holder has held the New Delaware Notes for more than one year as of the date of disposition, except that any such gain will be treated as ordinary income to the extent of any accrued market discount carried over from the Prepetition Notes and any market discount accrued on the New Delaware Notes. As discussed below, the deductibility of capital losses is subject to significant limitations. Any such gain or loss will generally be U.S. source for foreign tax credit limitation purposes.</w:t>
      </w:r>
    </w:p>
    <w:p>
      <w:pPr>
        <w:spacing w:after="0" w:line="180" w:lineRule="exact"/>
        <w:rPr>
          <w:sz w:val="20"/>
          <w:szCs w:val="20"/>
          <w:color w:val="auto"/>
        </w:rPr>
      </w:pPr>
    </w:p>
    <w:p>
      <w:pPr>
        <w:ind w:left="3260" w:hanging="659"/>
        <w:spacing w:after="0"/>
        <w:tabs>
          <w:tab w:leader="none" w:pos="3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New Bermuda Notes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general, the U.S. federal income tax consequences to a U.S. Holder of owning and disposing of New Tranche B Unsecured Senior Notes issued by Weatherford Bermuda (“</w:t>
      </w:r>
      <w:r>
        <w:rPr>
          <w:rFonts w:ascii="Arial" w:cs="Arial" w:eastAsia="Arial" w:hAnsi="Arial"/>
          <w:sz w:val="17"/>
          <w:szCs w:val="17"/>
          <w:b w:val="1"/>
          <w:bCs w:val="1"/>
          <w:u w:val="single" w:color="auto"/>
          <w:color w:val="auto"/>
        </w:rPr>
        <w:t>New Bermuda Notes</w:t>
      </w:r>
      <w:r>
        <w:rPr>
          <w:rFonts w:ascii="Arial" w:cs="Arial" w:eastAsia="Arial" w:hAnsi="Arial"/>
          <w:sz w:val="17"/>
          <w:szCs w:val="17"/>
          <w:color w:val="auto"/>
        </w:rPr>
        <w:t>”) should be determined in the same manner as set forth above with regard to the ownership and disposition of New Delaware Notes except as set forth below. If any taxes are withheld and additional amounts are paid, such withholding tax and additional amounts will be included in the gross income of a U.S. Holder as additional interest income. In addition, qualified stated interest paid and OID, if any, accrued with respect to New Bermuda Notes will constitute foreign source income for foreign tax credit limitation purposes. The limitation on foreign taxes eligible for credit is calculated separately with respect to specific classes of income. For this purpose, interest paid by Weatherford Bermuda with respect to the New Bermuda Notes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79" w:lineRule="exact"/>
        <w:rPr>
          <w:sz w:val="20"/>
          <w:szCs w:val="20"/>
          <w:color w:val="auto"/>
        </w:rPr>
      </w:pPr>
    </w:p>
    <w:p>
      <w:pPr>
        <w:ind w:left="3260" w:hanging="659"/>
        <w:spacing w:after="0"/>
        <w:tabs>
          <w:tab w:leader="none" w:pos="32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Passive Foreign Investment Company Rules</w:t>
      </w:r>
    </w:p>
    <w:p>
      <w:pPr>
        <w:spacing w:after="0" w:line="221"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color w:val="auto"/>
        </w:rPr>
        <w:t>Weatherford Parent would be classified as a passive foreign investment company (a “</w:t>
      </w:r>
      <w:r>
        <w:rPr>
          <w:rFonts w:ascii="Arial" w:cs="Arial" w:eastAsia="Arial" w:hAnsi="Arial"/>
          <w:sz w:val="17"/>
          <w:szCs w:val="17"/>
          <w:b w:val="1"/>
          <w:bCs w:val="1"/>
          <w:u w:val="single" w:color="auto"/>
          <w:color w:val="auto"/>
        </w:rPr>
        <w:t>PFIC</w:t>
      </w:r>
      <w:r>
        <w:rPr>
          <w:rFonts w:ascii="Arial" w:cs="Arial" w:eastAsia="Arial" w:hAnsi="Arial"/>
          <w:sz w:val="17"/>
          <w:szCs w:val="17"/>
          <w:color w:val="auto"/>
        </w:rPr>
        <w:t>”), for any taxable year if either: (i) at least 75% of its gross income is “passive income” for purposes of the PFIC rules or (ii) at least 50% of the value of its assets (determined on the basis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69" w:name="page270"/>
    <w:bookmarkEnd w:id="269"/>
    <w:p>
      <w:pPr>
        <w:ind w:right="20"/>
        <w:spacing w:after="0" w:line="257" w:lineRule="auto"/>
        <w:rPr>
          <w:sz w:val="20"/>
          <w:szCs w:val="20"/>
          <w:color w:val="auto"/>
        </w:rPr>
      </w:pPr>
      <w:r>
        <w:rPr>
          <w:rFonts w:ascii="Arial" w:cs="Arial" w:eastAsia="Arial" w:hAnsi="Arial"/>
          <w:sz w:val="18"/>
          <w:szCs w:val="18"/>
          <w:color w:val="auto"/>
        </w:rPr>
        <w:t>a quarterly average) produce or are held for the production of passive income. For this purpose, Weatherford Parent is treated as owning its proportionate share of the assets and earning its proportionate share of the income of any other corporation in which it owns, directly or indirectly, 25% or more of the stock (by value). Under the PFIC rules, if Weatherford Parent were considered a PFIC at any time that a U.S. holder holds New Common Stock or New Warrants, Weatherford Ireland would continue to be treated as a PFIC with respect to such holder’s investment unless (a) it ceases to be a PFIC and (b) the U.S. holder made a “deemed sale” election under the PFIC rules.</w:t>
      </w:r>
    </w:p>
    <w:p>
      <w:pPr>
        <w:spacing w:after="0" w:line="18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Weatherford Parent believes it has not been a PFIC in prior taxable years, including its 2018 taxable year, and based on its current and projected methods of operation, does not expect to be treated as a PFIC for U.S. federal income tax purposes for the current taxable year or in the foreseeable future. This is a factual determination, however, that must be made annually after the close of each taxable year. Therefore, there can be no assurance that Weatherford Parent will not be classified as a PFIC for the current taxable year or for any future taxable year.</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Weatherford Parent is treated as a PFIC with respect to a U.S. Holder of New Common Stock or New Warrants for any taxable year, such holder generally would suffer adverse tax consequences, that may include having gains realized on the disposition of the New Common Stock or New Warrants treated as ordinary income rather than capital gain and being subject to punitive interest charges on the receipt of certain distributions and on the proceeds of the sale or other disposition of the New Common Stock or New Warrants. In addition, the U.S. Holder would be deemed to own shares in any of Weatherford Parent’s subsidiaries that are also PFICs and generally would be subject to the treatment described above with respect to any distribution on or disposition of such shares. If Weatherford Parent is considered a PFIC, a U.S. Holder of New Common Stock or New Warrants will also be subject to information reporting requirements on an annual basis. U.S. Holders should consult their tax advisors about the potential application of the PFIC rules to them. This discussion of certain U.S. federal income tax consequences of the Plan assumes that Weatherford Parent has never been and will not become a PFIC.</w:t>
      </w:r>
    </w:p>
    <w:p>
      <w:pPr>
        <w:spacing w:after="0" w:line="166" w:lineRule="exact"/>
        <w:rPr>
          <w:sz w:val="20"/>
          <w:szCs w:val="20"/>
          <w:color w:val="auto"/>
        </w:rPr>
      </w:pPr>
    </w:p>
    <w:p>
      <w:pPr>
        <w:ind w:left="3900" w:hanging="651"/>
        <w:spacing w:after="0"/>
        <w:tabs>
          <w:tab w:leader="none" w:pos="39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gross amount of any distributions Weatherford Parent makes to U.S. Holders (including the amount of any tax withheld) with respect to New Common Stock generally will be includible in such holder’s gross income as dividend income on the date of receipt by the holder, but only to the extent the distribution is paid out of Weatherford Parent’s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Weatherford Parent’s current and accumulated earnings and profits (as determined under U.S. federal income tax principles), such excess amount will be treated first as a tax-free return of the U.S. Holder’s tax basis in its New Common Stock, and then, to the extent such excess amount exceeds its tax basis in its New Common Stock, as capital gain.</w:t>
      </w:r>
    </w:p>
    <w:p>
      <w:pPr>
        <w:spacing w:after="0" w:line="17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With respect to certain non-corporate U.S. Holders, including individual U.S. Holders, dividends may be taxed at the lower capital gain rates applicable to “qualified dividend income,” provided (i) the New Common Stock is readily tradable on an established securities market in the United States,</w:t>
      </w:r>
    </w:p>
    <w:p>
      <w:pPr>
        <w:ind w:left="5580" w:right="5300" w:hanging="5572"/>
        <w:spacing w:after="0" w:line="605" w:lineRule="auto"/>
        <w:tabs>
          <w:tab w:leader="none" w:pos="27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certain holding period requirements are met and (iii) the U.S. Holder is not under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an obligation to make related payments with respect to positions in substantially similar or related property.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dividends distributed by us with respect to New Common Stock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89" w:lineRule="exact"/>
        <w:rPr>
          <w:sz w:val="20"/>
          <w:szCs w:val="20"/>
          <w:color w:val="auto"/>
        </w:rPr>
      </w:pPr>
    </w:p>
    <w:p>
      <w:pPr>
        <w:ind w:left="3900" w:hanging="651"/>
        <w:spacing w:after="0"/>
        <w:tabs>
          <w:tab w:leader="none" w:pos="3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a sale or other taxable disposition of New Common Stock, a U.S. Holder will recognize a capital gain or loss for U.S. federal income tax purposes in an amount equal to the difference between the amount realized (generally, the sum of cash and the fair market value of other property received) and the U.S. Holder’s tax basis in such New Common Stock. Any such gain or loss generally will be U.S. source gain or loss and will be treated as long-term capital gain or loss if the U.S. Holder’s holding period in the New Common Stock exceeds one year at the time of the disposition. Non-corporate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92" w:lineRule="exact"/>
        <w:rPr>
          <w:sz w:val="20"/>
          <w:szCs w:val="20"/>
          <w:color w:val="auto"/>
        </w:rPr>
      </w:pPr>
    </w:p>
    <w:p>
      <w:pPr>
        <w:ind w:left="3260" w:hanging="659"/>
        <w:spacing w:after="0"/>
        <w:tabs>
          <w:tab w:leader="none" w:pos="32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Exercise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U.S. Holders generally will not recognize gain or loss for U.S. federal income tax purposes on the exercise of New Warrants. Shares of New Common Stock received by a U.S. Holder upon exercise of New Warrants will generally have a tax basis equal to the New Warrant’s exercise price plus the U.S. Holder’s basis in the exercised New Warrants. A U.S. Holder’s holding period in shares of New Common Stock received upon exercise of New Warrants generally will begin on the exercise date.</w:t>
      </w:r>
    </w:p>
    <w:p>
      <w:pPr>
        <w:spacing w:after="0" w:line="187" w:lineRule="exact"/>
        <w:rPr>
          <w:sz w:val="20"/>
          <w:szCs w:val="20"/>
          <w:color w:val="auto"/>
        </w:rPr>
      </w:pPr>
    </w:p>
    <w:p>
      <w:pPr>
        <w:ind w:left="3900" w:hanging="651"/>
        <w:spacing w:after="0"/>
        <w:tabs>
          <w:tab w:leader="none" w:pos="3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a sale or other taxable disposition of New Warrants, a U.S. Holder will recognize a capital gain or loss for U.S. federal income tax purposes in an amount equal to the difference between the amount realized (generally, the sum of cash and the fair market value of other property received) and the U.S. Holder’s tax basis in such New Warrants. Any such gain or loss generally will be U.S. source gain or loss and will be treated as long-term capital gain or loss if the U.S. Holder’s holding period in the New Warrants exceeds one year at the time of the disposition. Non-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1" w:name="page272"/>
    <w:bookmarkEnd w:id="271"/>
    <w:p>
      <w:pPr>
        <w:ind w:right="40"/>
        <w:spacing w:after="0" w:line="259" w:lineRule="auto"/>
        <w:rPr>
          <w:sz w:val="20"/>
          <w:szCs w:val="20"/>
          <w:color w:val="auto"/>
        </w:rPr>
      </w:pPr>
      <w:r>
        <w:rPr>
          <w:rFonts w:ascii="Arial" w:cs="Arial" w:eastAsia="Arial" w:hAnsi="Arial"/>
          <w:sz w:val="18"/>
          <w:szCs w:val="18"/>
          <w:color w:val="auto"/>
        </w:rPr>
        <w:t>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87" w:lineRule="exact"/>
        <w:rPr>
          <w:sz w:val="20"/>
          <w:szCs w:val="20"/>
          <w:color w:val="auto"/>
        </w:rPr>
      </w:pPr>
    </w:p>
    <w:p>
      <w:pPr>
        <w:ind w:left="3260" w:hanging="659"/>
        <w:spacing w:after="0"/>
        <w:tabs>
          <w:tab w:leader="none" w:pos="32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Limitation on Use of Capital Losses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U.S. Holder who recognizes capital losses will be subject to limits on its use of capital losses. For a non-corporate U.S. Holder, capital losses may be used to offset any capital gains (without regard to holding periods) plus ordinary income to the extent of the lesser of (i) $3,000 ($1,500 for married individuals filing separate returns) or (ii) the excess of the capital losses over the capital gains. A non-corporate U.S. Holder may carry over unused capital losses and apply them to capital gains and a portion of their ordinary income for an unlimited number of years. For corporate U.S. Holders, losses from the sale or exchange of capital assets may only be used to offset capital gains. A corporate U.S. Holder that has more capital losses than can be used in a tax year may be allowed to carry over the excess capital losses for use in other tax years. Corporate U.S. Holders may only carry over unused capital losses for the five years following the capital loss year, but are allowed to carry back unused capital losses to the three years preceding the capital loss year.</w:t>
      </w:r>
    </w:p>
    <w:p>
      <w:pPr>
        <w:spacing w:after="0" w:line="163" w:lineRule="exact"/>
        <w:rPr>
          <w:sz w:val="20"/>
          <w:szCs w:val="20"/>
          <w:color w:val="auto"/>
        </w:rPr>
      </w:pPr>
    </w:p>
    <w:p>
      <w:pPr>
        <w:ind w:left="1300" w:hanging="644"/>
        <w:spacing w:after="0"/>
        <w:tabs>
          <w:tab w:leader="none" w:pos="130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Non-U.S. Holders</w:t>
      </w:r>
    </w:p>
    <w:p>
      <w:pPr>
        <w:spacing w:after="0" w:line="229" w:lineRule="exact"/>
        <w:rPr>
          <w:sz w:val="20"/>
          <w:szCs w:val="20"/>
          <w:color w:val="auto"/>
        </w:rPr>
      </w:pPr>
    </w:p>
    <w:p>
      <w:pPr>
        <w:ind w:left="1940" w:hanging="635"/>
        <w:spacing w:after="0"/>
        <w:tabs>
          <w:tab w:leader="none" w:pos="194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Definition of Non-U.S. Holder</w:t>
      </w:r>
    </w:p>
    <w:p>
      <w:pPr>
        <w:spacing w:after="0" w:line="221"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Non-U.S. Holder</w:t>
      </w:r>
      <w:r>
        <w:rPr>
          <w:rFonts w:ascii="Arial" w:cs="Arial" w:eastAsia="Arial" w:hAnsi="Arial"/>
          <w:sz w:val="16"/>
          <w:szCs w:val="16"/>
          <w:color w:val="auto"/>
        </w:rPr>
        <w:t>” means a beneficial owner of Prepetition Notes or Existing Common Stock that is not a U.S. Holder and is, for U.S. federal income tax purposes, an individual, corporation (or other entity classified as a corporation for U.S. federal income tax purposes), estate or trust.</w:t>
      </w:r>
    </w:p>
    <w:p>
      <w:pPr>
        <w:spacing w:after="0" w:line="12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 than those described below.</w:t>
      </w:r>
    </w:p>
    <w:p>
      <w:pPr>
        <w:spacing w:after="0" w:line="170" w:lineRule="exact"/>
        <w:rPr>
          <w:sz w:val="20"/>
          <w:szCs w:val="20"/>
          <w:color w:val="auto"/>
        </w:rPr>
      </w:pPr>
    </w:p>
    <w:p>
      <w:pPr>
        <w:ind w:left="1960" w:hanging="655"/>
        <w:spacing w:after="0"/>
        <w:tabs>
          <w:tab w:leader="none" w:pos="196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Gain Recognition</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Whether a Non-U.S. Holder realizes gain or loss on the exchange of Prepetition Notes issued by Weatherford Delaware for New Delaware Notes and New Common Stock, or upon the sale or other taxable disposition of the New Delaware Notes, New Common Stock or New Warrants received in the exchange, and the amount of such gain or loss should generally be determined in the same manner as set forth above in connection with U.S. Holders.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2" w:name="page273"/>
    <w:bookmarkEnd w:id="272"/>
    <w:p>
      <w:pPr>
        <w:jc w:val="both"/>
        <w:ind w:right="620" w:firstLine="648"/>
        <w:spacing w:after="0" w:line="286" w:lineRule="auto"/>
        <w:rPr>
          <w:sz w:val="20"/>
          <w:szCs w:val="20"/>
          <w:color w:val="auto"/>
        </w:rPr>
      </w:pPr>
      <w:r>
        <w:rPr>
          <w:rFonts w:ascii="Arial" w:cs="Arial" w:eastAsia="Arial" w:hAnsi="Arial"/>
          <w:sz w:val="17"/>
          <w:szCs w:val="17"/>
          <w:color w:val="auto"/>
        </w:rPr>
        <w:t>In the event any gain is recognized on the exchange of Prepetition Notes issued by Weatherford Delaware for New Delaware Notes and New Common Stock or upon the subsequent sale or other taxable disposition of New Delaware Notes, New Bermuda Notes, New Common Stock or New Warrants received in the exchange, a Non-U.S. Holder will generally not be subject to U.S. federal income tax unless:</w:t>
      </w:r>
    </w:p>
    <w:p>
      <w:pPr>
        <w:spacing w:after="0" w:line="166" w:lineRule="exact"/>
        <w:rPr>
          <w:sz w:val="20"/>
          <w:szCs w:val="20"/>
          <w:color w:val="auto"/>
        </w:rPr>
      </w:pPr>
    </w:p>
    <w:p>
      <w:pPr>
        <w:ind w:left="980" w:right="120" w:hanging="324"/>
        <w:spacing w:after="0" w:line="264" w:lineRule="auto"/>
        <w:tabs>
          <w:tab w:leader="none" w:pos="9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such United States to which gain is attributable); or</w:t>
      </w:r>
    </w:p>
    <w:p>
      <w:pPr>
        <w:spacing w:after="0" w:line="181"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Gain described in the first bullet point above generally will generally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Gain recognized by a Non-U.S. Holder described in the second bullet point above will generally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960" w:hanging="655"/>
        <w:spacing w:after="0"/>
        <w:tabs>
          <w:tab w:leader="none" w:pos="196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Payments of Qualified Stated Interest on New Delaware Notes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Interest paid on New Delaware Notes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181" w:lineRule="exact"/>
        <w:rPr>
          <w:sz w:val="20"/>
          <w:szCs w:val="20"/>
          <w:color w:val="auto"/>
        </w:rPr>
      </w:pPr>
    </w:p>
    <w:p>
      <w:pPr>
        <w:ind w:left="980" w:right="360" w:hanging="324"/>
        <w:spacing w:after="0" w:line="277" w:lineRule="auto"/>
        <w:tabs>
          <w:tab w:leader="none" w:pos="9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Weatherford Delaware voting stock;</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Non-U.S. Holder is not a controlled foreign corporation related to Weatherford Delaware through actual or constructive stock ownership; and</w:t>
      </w:r>
    </w:p>
    <w:p>
      <w:pPr>
        <w:spacing w:after="0" w:line="248" w:lineRule="exact"/>
        <w:rPr>
          <w:rFonts w:ascii="Arial" w:cs="Arial" w:eastAsia="Arial" w:hAnsi="Arial"/>
          <w:sz w:val="16"/>
          <w:szCs w:val="16"/>
          <w:color w:val="auto"/>
        </w:rPr>
      </w:pPr>
    </w:p>
    <w:p>
      <w:pPr>
        <w:ind w:left="980" w:hanging="324"/>
        <w:spacing w:after="0" w:line="255" w:lineRule="auto"/>
        <w:tabs>
          <w:tab w:leader="none" w:pos="9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New Delaware Notes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3" w:name="page274"/>
    <w:bookmarkEnd w:id="273"/>
    <w:p>
      <w:pPr>
        <w:ind w:left="980" w:right="100"/>
        <w:spacing w:after="0" w:line="277" w:lineRule="auto"/>
        <w:rPr>
          <w:sz w:val="20"/>
          <w:szCs w:val="20"/>
          <w:color w:val="auto"/>
        </w:rPr>
      </w:pPr>
      <w:r>
        <w:rPr>
          <w:rFonts w:ascii="Arial" w:cs="Arial" w:eastAsia="Arial" w:hAnsi="Arial"/>
          <w:sz w:val="18"/>
          <w:szCs w:val="18"/>
          <w:color w:val="auto"/>
        </w:rPr>
        <w:t>agent; or (3) the Non-U.S. Holder holds the New Delaware Notes directly through a “qualified intermediary” (within the meaning of applicable Treasury Regulations) and certain conditions are satisfied.</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the New Delaware Notes is not subject to withholding tax because it is effectively connected with the conduct by the Non-U.S. Holder of a trade or business within the United States.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67" w:lineRule="exact"/>
        <w:rPr>
          <w:sz w:val="20"/>
          <w:szCs w:val="20"/>
          <w:color w:val="auto"/>
        </w:rPr>
      </w:pPr>
    </w:p>
    <w:p>
      <w:pPr>
        <w:ind w:left="1300" w:hanging="644"/>
        <w:spacing w:after="0"/>
        <w:tabs>
          <w:tab w:leader="none" w:pos="13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Accrued Interest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To the extent that a Holder of a Claim receives consideration that is attributable to unpaid accrued interest on the Claim, the Holder may be required to treat such consideration as a payment of interest. There is general uncertainty regarding the extent to which the receipt of cash or other property should be treated as attributable to unpaid accrued interest in the case of an exchange of debt claims with accrued interest in bankruptcy. While not free from doubt, for U.S. federal income tax purposes, the Debtors intend to take the position that distributions in full or partial satisfaction of Allowed Claims are allocated first to unpaid and accrued interest (as determined for U.S. federal income tax purposes) of Allowed Claims, with any excess allocated to the principal amount of such Claims. To the extent any property received pursuant to the Plan is considered attributable to unpaid accrued interest, a Holder will recognize ordinary income to the extent the value of the property exceeds the amount of unpaid accrued interest previously included in gross income by the Holder. A Holder’s tax basis in such property (other than cash) should be equal to the amount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right="60"/>
        <w:spacing w:after="0" w:line="264" w:lineRule="auto"/>
        <w:rPr>
          <w:sz w:val="20"/>
          <w:szCs w:val="20"/>
          <w:color w:val="auto"/>
        </w:rPr>
      </w:pPr>
      <w:r>
        <w:rPr>
          <w:rFonts w:ascii="Arial" w:cs="Arial" w:eastAsia="Arial" w:hAnsi="Arial"/>
          <w:sz w:val="18"/>
          <w:szCs w:val="18"/>
          <w:color w:val="auto"/>
        </w:rPr>
        <w:t>of interest income treated as satisfied by the receipt of the property, and its holding period in the property should begin on the day after the Effective Date. A Holder generally will be entitled to recognize a loss to the extent any accrued interest previously included in its gross income for U.S. federal income tax purposes is not paid in full.</w:t>
      </w:r>
    </w:p>
    <w:p>
      <w:pPr>
        <w:spacing w:after="0" w:line="177"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Debtors and applicable withholding agents will withhold all amounts required by law to be withheld from payments of interest and dividends, whether in connection with distributions under the Plan or in connection with payments made on account of consideration received pursuant to the Plan, and will comply with all applicable information reporting requirements. The IRS may make the information returns reporting such interest and dividends and withholding available to the tax authorities in the country in which a Non-U.S. Holder is resident. In general, information reporting requirements may apply to certain distributions or payments under the Plan. Additionally, under the backup withholding rules, a Holder may be subject to backup withholding with respect to distributions or payments made pursuant to the Plan unless that Holder: (a) comes within certain exempt categories (which generally include corporations) and, when required, demonstrates that fact; or (b) timely provides a correct taxpayer identification number and certifies under penalty of perjury that the taxpayer identification number is correct and that the Holder is not subject to backup withholding (generally in the form of a properly executed IRS Form W-9 for a U.S. Holder, and, for a Non-U.S. Holder, in the form of a properly executed applicable IRS Form W-8 (or otherwise establishes such Non-U.S. Holder’s eligibility for an exemption). Backup withholding is not an additional tax but is, instead, an advance payment that may be refunded to the extent it results in an overpayment of tax; provided that the required information is timely provided to the IRS.</w:t>
      </w:r>
    </w:p>
    <w:p>
      <w:pPr>
        <w:spacing w:after="0" w:line="173"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In addition, from an information reporting perspective, Treasury Regulations generally require disclosure by a taxpayer on its U.S. federal income tax return of certain types of transactions in which the taxpayer participated, including, among other types of transactions, certain transactions that result in the taxpayer’s claiming a loss in excess of specified thresholds. Holders are urged to consult their tax advisors regarding these regulations and whether the transactions contemplated by the Plan would be subject to these regulations and require disclosure on the Holders’ tax returns.</w:t>
      </w:r>
    </w:p>
    <w:p>
      <w:pPr>
        <w:spacing w:after="0" w:line="150" w:lineRule="exact"/>
        <w:rPr>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Withholding taxes may be imposed under IRC Sections 1471 to 1474 (such Sections commonly referred to as the Foreign Account Tax Compliance Act, or “</w:t>
      </w:r>
      <w:r>
        <w:rPr>
          <w:rFonts w:ascii="Arial" w:cs="Arial" w:eastAsia="Arial" w:hAnsi="Arial"/>
          <w:sz w:val="17"/>
          <w:szCs w:val="17"/>
          <w:b w:val="1"/>
          <w:bCs w:val="1"/>
          <w:u w:val="single" w:color="auto"/>
          <w:color w:val="auto"/>
        </w:rPr>
        <w:t>FATCA</w:t>
      </w:r>
      <w:r>
        <w:rPr>
          <w:rFonts w:ascii="Arial" w:cs="Arial" w:eastAsia="Arial" w:hAnsi="Arial"/>
          <w:sz w:val="17"/>
          <w:szCs w:val="17"/>
          <w:color w:val="auto"/>
        </w:rPr>
        <w:t>”) on certain types of U.S. source payments, including dividends, interest and certain foreign “passthru payments” made to a “foreign financial institution” or a “non-financial foreign entity” (each as defined in the IRC), unless (1) the foreign financial institution undertakes certain diligence, reporting and withholding obligations, (2) the non-financial foreign entity either certifies it does not have any “substantial United States owners” (as defined in the IRC)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5" w:name="page276"/>
    <w:bookmarkEnd w:id="275"/>
    <w:p>
      <w:pPr>
        <w:ind w:right="100"/>
        <w:spacing w:after="0" w:line="286" w:lineRule="auto"/>
        <w:rPr>
          <w:sz w:val="20"/>
          <w:szCs w:val="20"/>
          <w:color w:val="auto"/>
        </w:rPr>
      </w:pPr>
      <w:r>
        <w:rPr>
          <w:rFonts w:ascii="Arial" w:cs="Arial" w:eastAsia="Arial" w:hAnsi="Arial"/>
          <w:sz w:val="17"/>
          <w:szCs w:val="17"/>
          <w:color w:val="auto"/>
        </w:rPr>
        <w:t>persons” or “United States-owned foreign entities” (each as defined in the IRC),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Prior to the issuance of recently proposed Treasury Regulations, withholding under FATCA would have also applied to payments of gross proceeds from the sale or other disposition of property on or after January 1, 2019. However, the proposed Treasury Regulations eliminate FATCA withholding on payments of gross proceeds entirely. Taxpayers generally may rely on these proposed Treasury Regulations until final Treasury Regulations are issued.</w:t>
      </w:r>
    </w:p>
    <w:p>
      <w:pPr>
        <w:spacing w:after="0" w:line="14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THE FOREGOING DISCUSSION OF U.S. FEDERAL INCOME TAX CONSIDERATIONS IS FOR GENERAL INFORMATION PURPOSES ONLY AND IS NOT TAX ADVICE. EACH HOLDER SHOULD CONSULT ITS OWN TAX ADVISOR REGARDING THE FEDERAL, STATE, LOCAL AND FOREIGN TAX CONSEQUENCES OF THE PLAN DESCRIBED HEREIN. NEITHER THE DEBTORS NOR THEIR ADVISORS WILL HAVE ANY LIABILITY TO ANY PERSON OR HOLDER ARISING FROM OR RELATED TO THE FEDERAL, STATE, LOCAL AND FOREIGN TAX CONSEQUENCES OF THE PLAN OR THE FOREGOING DISCUSSION.</w:t>
      </w:r>
    </w:p>
    <w:p>
      <w:pPr>
        <w:spacing w:after="0" w:line="184" w:lineRule="exact"/>
        <w:rPr>
          <w:sz w:val="20"/>
          <w:szCs w:val="20"/>
          <w:color w:val="auto"/>
        </w:rPr>
      </w:pPr>
    </w:p>
    <w:p>
      <w:pPr>
        <w:ind w:left="660" w:hanging="652"/>
        <w:spacing w:after="0"/>
        <w:tabs>
          <w:tab w:leader="none" w:pos="6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IRISH TAX CONSEQUENCES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Introduction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is a summary of certain material Irish tax considerations for the Debtors and for the Non-Irish Holders (as defined below) as a result of the implementation of the Plan. The summary does not purport to be a comprehensive description of all of the tax considerations that may be relevant to the Debtors and each of the Non-Irish Holders. The summary relates only to the position of persons who are the absolute beneficial owners of the Prepetition Debt or the Existing Common Stock and may not apply to certain other classes of persons such as dealers in securities or shares.</w:t>
      </w:r>
    </w:p>
    <w:p>
      <w:pPr>
        <w:spacing w:after="0" w:line="17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summary is based upon Irish tax laws and the practice of the Irish Revenue Commissioners as at the date of the Plan and correspondence with the Irish Revenue Commissioners. Changes in law and/or administrative practice may result in alteration of the tax considerations described below.</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summary does not constitute tax advice and is intended only as a general guide. The summary is not exhaustive and Non-Irish Holders should consult their own tax advisors about the Irish tax consequences (and tax consequences under the laws of other relevant jurisdictions) of the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6" w:name="page277"/>
    <w:bookmarkEnd w:id="276"/>
    <w:p>
      <w:pPr>
        <w:ind w:left="1300" w:hanging="644"/>
        <w:spacing w:after="0"/>
        <w:tabs>
          <w:tab w:leader="none" w:pos="130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 result of the Irish Migration, Weatherford Parent will cease to be tax resident in Switzerland and will become Irish tax resident. The change of residence from Switzerland to Ireland does not trigger any Irish tax charge. A summary of some of the material Irish tax considerations for Weatherford Parent operating as an Irish resident company are set out below.</w:t>
      </w:r>
    </w:p>
    <w:p>
      <w:pPr>
        <w:spacing w:after="0" w:line="181" w:lineRule="exact"/>
        <w:rPr>
          <w:sz w:val="20"/>
          <w:szCs w:val="20"/>
          <w:color w:val="auto"/>
        </w:rPr>
      </w:pPr>
    </w:p>
    <w:p>
      <w:pPr>
        <w:ind w:left="3260" w:hanging="659"/>
        <w:spacing w:after="0"/>
        <w:tabs>
          <w:tab w:leader="none" w:pos="32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Taxation of Income and Capital Gains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Weatherford Parent will be liable to Irish corporation tax on trading profits at a rate of 12.5%. Dividends received will typically be exempt where received from an Irish resident subsidiary or taxable at 25% where received from subsidiaries outside Ireland. A tax credit is available for any foreign tax paid on the underlying profits out of which the dividend has been paid and any withholding tax that was incurred when the dividend was paid. Any interest income received by Weatherford Parent is subject to tax at 25%.</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Weatherford Parent will be liable to Irish capital gains tax at a rate of 33% on any chargeable gains accruing on the disposal of assets by Weatherford Parent. There is a capital gains tax exemption for companies on the disposal of substantial shareholdings in trading subsidiaries resident in the EU or double tax treaty partner jurisdictions provided certain conditions are met.</w:t>
      </w:r>
    </w:p>
    <w:p>
      <w:pPr>
        <w:spacing w:after="0" w:line="181" w:lineRule="exact"/>
        <w:rPr>
          <w:sz w:val="20"/>
          <w:szCs w:val="20"/>
          <w:color w:val="auto"/>
        </w:rPr>
      </w:pPr>
    </w:p>
    <w:p>
      <w:pPr>
        <w:ind w:left="3260" w:hanging="659"/>
        <w:spacing w:after="0"/>
        <w:tabs>
          <w:tab w:leader="none" w:pos="32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Withholding Taxes on Outbound Payments</w:t>
      </w:r>
    </w:p>
    <w:p>
      <w:pPr>
        <w:spacing w:after="0" w:line="22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Dividends paid by Weatherford Parent may be subject to Irish dividend withholding tax (“</w:t>
      </w:r>
      <w:r>
        <w:rPr>
          <w:rFonts w:ascii="Arial" w:cs="Arial" w:eastAsia="Arial" w:hAnsi="Arial"/>
          <w:sz w:val="18"/>
          <w:szCs w:val="18"/>
          <w:b w:val="1"/>
          <w:bCs w:val="1"/>
          <w:u w:val="single" w:color="auto"/>
          <w:color w:val="auto"/>
        </w:rPr>
        <w:t>DWT</w:t>
      </w:r>
      <w:r>
        <w:rPr>
          <w:rFonts w:ascii="Arial" w:cs="Arial" w:eastAsia="Arial" w:hAnsi="Arial"/>
          <w:sz w:val="18"/>
          <w:szCs w:val="18"/>
          <w:color w:val="auto"/>
        </w:rPr>
        <w:t>”). DWT is applied at a rate of 20%. There are a number of exemptions that allow dividends to be paid without the deduction of DWT. See further details below under the caption “Consequences to Non-Irish Holders—Consequences of Owning and Disposing of New Tranche B Unsecured Notes, New Common Stock and New Warrants Received Pursuant to the Plan— New Common Stock—Dividend Withholding Tax.”</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Interest payments by Weatherford Parent may be subject to Irish interest withholding tax (“</w:t>
      </w:r>
      <w:r>
        <w:rPr>
          <w:rFonts w:ascii="Arial" w:cs="Arial" w:eastAsia="Arial" w:hAnsi="Arial"/>
          <w:sz w:val="18"/>
          <w:szCs w:val="18"/>
          <w:b w:val="1"/>
          <w:bCs w:val="1"/>
          <w:u w:val="single" w:color="auto"/>
          <w:color w:val="auto"/>
        </w:rPr>
        <w:t>IWT</w:t>
      </w:r>
      <w:r>
        <w:rPr>
          <w:rFonts w:ascii="Arial" w:cs="Arial" w:eastAsia="Arial" w:hAnsi="Arial"/>
          <w:sz w:val="18"/>
          <w:szCs w:val="18"/>
          <w:color w:val="auto"/>
        </w:rPr>
        <w:t>”). There are several exemptions to IWT that may apply on interest payments to lenders resident in double tax treaty partner countries.</w:t>
      </w:r>
    </w:p>
    <w:p>
      <w:pPr>
        <w:spacing w:after="0" w:line="166" w:lineRule="exact"/>
        <w:rPr>
          <w:sz w:val="20"/>
          <w:szCs w:val="20"/>
          <w:color w:val="auto"/>
        </w:rPr>
      </w:pPr>
    </w:p>
    <w:p>
      <w:pPr>
        <w:ind w:left="1960" w:hanging="655"/>
        <w:spacing w:after="0"/>
        <w:tabs>
          <w:tab w:leader="none" w:pos="196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Other Internal Reorganizations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other transactions occurring as part of the Internal Reorganizations are intended to be carried out in a manner such that they will not be subject to Irish corporation tax or capital gains tax.</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particular, Weatherford Parent is not subject to Irish capital gains tax on the disposal of shares while it remains tax resident in Switzerland (a country with which Ireland has a double tax treaty) and the shares transferred by Weatherford Parent as part of the Internal Reorganizations do not derive their value from Irish land, buildings, exploration or mineral rights.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Internal Reorganizations involve the issuance of shares in an Irish company. While there is no stamp duty or capital duty on the issuance of Irish shares, Irish stamp duty may arise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7" w:name="page278"/>
    <w:bookmarkEnd w:id="277"/>
    <w:p>
      <w:pPr>
        <w:ind w:right="360"/>
        <w:spacing w:after="0" w:line="277" w:lineRule="auto"/>
        <w:rPr>
          <w:sz w:val="20"/>
          <w:szCs w:val="20"/>
          <w:color w:val="auto"/>
        </w:rPr>
      </w:pPr>
      <w:r>
        <w:rPr>
          <w:rFonts w:ascii="Arial" w:cs="Arial" w:eastAsia="Arial" w:hAnsi="Arial"/>
          <w:sz w:val="18"/>
          <w:szCs w:val="18"/>
          <w:color w:val="auto"/>
        </w:rPr>
        <w:t>on the transfer of assets where the consideration for the transfer comprises the issuance of Irish shares. However, stamp duty reorganization relief should apply to the Internal Reorganizations to ensure no stamp duty arises.</w:t>
      </w:r>
    </w:p>
    <w:p>
      <w:pPr>
        <w:spacing w:after="0" w:line="166" w:lineRule="exact"/>
        <w:rPr>
          <w:sz w:val="20"/>
          <w:szCs w:val="20"/>
          <w:color w:val="auto"/>
        </w:rPr>
      </w:pPr>
    </w:p>
    <w:p>
      <w:pPr>
        <w:ind w:left="1300" w:hanging="644"/>
        <w:spacing w:after="0"/>
        <w:tabs>
          <w:tab w:leader="none" w:pos="130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Non-Irish Holders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Definition of Non-Irish Holder</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Non-Irish Holder means any Holder of Prepetition Notes Claim or Existing Common Stock that is not resident or ordinarily resident in Ireland for tax purposes and who does not hold their Prepetition Notes Claim or Existing Common Stock in connection with a trade or business carried on in Ireland.</w:t>
      </w:r>
    </w:p>
    <w:p>
      <w:pPr>
        <w:spacing w:after="0" w:line="124" w:lineRule="exact"/>
        <w:rPr>
          <w:sz w:val="20"/>
          <w:szCs w:val="20"/>
          <w:color w:val="auto"/>
        </w:rPr>
      </w:pPr>
    </w:p>
    <w:p>
      <w:pPr>
        <w:ind w:left="1960" w:hanging="655"/>
        <w:spacing w:after="0"/>
        <w:tabs>
          <w:tab w:leader="none" w:pos="196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There are no material Irish tax consequences to Non-Irish Holders of Prepetition Notes Claims arising from the Irish Migration. Once Weatherford Parent becomes an Irish tax resident company, Non-Irish Holders of Existing Common Stock will have the same Irish tax considerations as those described below under the caption “—Consequences of Owning and Disposing of New Common Stock.”</w:t>
      </w:r>
    </w:p>
    <w:p>
      <w:pPr>
        <w:spacing w:after="0" w:line="181" w:lineRule="exact"/>
        <w:rPr>
          <w:sz w:val="20"/>
          <w:szCs w:val="20"/>
          <w:color w:val="auto"/>
        </w:rPr>
      </w:pPr>
    </w:p>
    <w:p>
      <w:pPr>
        <w:ind w:left="1960" w:hanging="655"/>
        <w:spacing w:after="0"/>
        <w:tabs>
          <w:tab w:leader="none" w:pos="19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Satisfaction of Prepetition Notes Claims and Exchange of Existing Common Stock Pursuant to the Plan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There should be no material Irish tax consequences to Non-Irish Holders arising from either the satisfaction of Prepetition Notes Claims by the issuance of New Tranche B Senior Unsecured Notes and New Common Stock or the issuance of New Common Stock and New Warrants in exchange for Existing Common Stock.</w:t>
      </w:r>
    </w:p>
    <w:p>
      <w:pPr>
        <w:spacing w:after="0" w:line="181" w:lineRule="exact"/>
        <w:rPr>
          <w:sz w:val="20"/>
          <w:szCs w:val="20"/>
          <w:color w:val="auto"/>
        </w:rPr>
      </w:pPr>
    </w:p>
    <w:p>
      <w:pPr>
        <w:ind w:left="1960" w:right="360" w:hanging="655"/>
        <w:spacing w:after="0" w:line="277" w:lineRule="auto"/>
        <w:tabs>
          <w:tab w:leader="none" w:pos="1967"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Tranche B Senior Unsecured Notes, New Common Stock and New Warrants Received Pursuant to the Plan</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New Tranche B Senior Unsecured Notes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2"/>
          <w:numId w:val="371"/>
        </w:numPr>
        <w:rPr>
          <w:rFonts w:ascii="Arial" w:cs="Arial" w:eastAsia="Arial" w:hAnsi="Arial"/>
          <w:sz w:val="18"/>
          <w:szCs w:val="18"/>
          <w:color w:val="auto"/>
        </w:rPr>
      </w:pPr>
      <w:r>
        <w:rPr>
          <w:rFonts w:ascii="Arial" w:cs="Arial" w:eastAsia="Arial" w:hAnsi="Arial"/>
          <w:sz w:val="18"/>
          <w:szCs w:val="18"/>
          <w:color w:val="auto"/>
        </w:rPr>
        <w:t>Interest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Payments of interest by Weatherford Bermuda or Weatherford Delaware on New Tranche B Senior Unsecured Notes to Non-Irish Holders should not be subject to IWT.</w:t>
      </w:r>
    </w:p>
    <w:p>
      <w:pPr>
        <w:spacing w:after="0" w:line="170" w:lineRule="exact"/>
        <w:rPr>
          <w:sz w:val="20"/>
          <w:szCs w:val="20"/>
          <w:color w:val="auto"/>
        </w:rPr>
      </w:pPr>
    </w:p>
    <w:p>
      <w:pPr>
        <w:ind w:left="3900" w:hanging="651"/>
        <w:spacing w:after="0"/>
        <w:tabs>
          <w:tab w:leader="none" w:pos="3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Disposition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Dispositions of New Tranche B Senior Unsecured Notes by Non-Irish Holders should not be subject to Irish tax.</w:t>
      </w:r>
    </w:p>
    <w:p>
      <w:pPr>
        <w:spacing w:after="0" w:line="225" w:lineRule="exact"/>
        <w:rPr>
          <w:sz w:val="20"/>
          <w:szCs w:val="20"/>
          <w:color w:val="auto"/>
        </w:rPr>
      </w:pPr>
    </w:p>
    <w:p>
      <w:pPr>
        <w:ind w:left="3900" w:hanging="651"/>
        <w:spacing w:after="0"/>
        <w:tabs>
          <w:tab w:leader="none" w:pos="3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Encashment Tax</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Irish encashment tax may be required to be withheld at the standard rate (currently 20%) from any interest paid in respect of the New Tranche B Senior Unsecured Notes where such interest is paid or collected by a person in Ireland on behalf of any holder of the New Tranche B Senior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78" w:name="page279"/>
    <w:bookmarkEnd w:id="278"/>
    <w:p>
      <w:pPr>
        <w:ind w:right="40"/>
        <w:spacing w:after="0" w:line="259" w:lineRule="auto"/>
        <w:rPr>
          <w:sz w:val="20"/>
          <w:szCs w:val="20"/>
          <w:color w:val="auto"/>
        </w:rPr>
      </w:pPr>
      <w:r>
        <w:rPr>
          <w:rFonts w:ascii="Arial" w:cs="Arial" w:eastAsia="Arial" w:hAnsi="Arial"/>
          <w:sz w:val="18"/>
          <w:szCs w:val="18"/>
          <w:color w:val="auto"/>
        </w:rPr>
        <w:t>Unsecured Notes. Non-Irish Holders of the notes should therefore note that the appointment of an Irish collection agent or an Irish paying agent could result in the deduction of 20% encashment tax by such agent from interest payments on the New Tranche B Senior Unsecured Notes. A Non-Irish Holder of New Tranche B Senior Unsecured Notes that is not resident in Ireland for tax purposes may claim an exemption from this withholding tax by submitting an appropriate declaration of non-Irish tax residency to the Irish agent.</w:t>
      </w:r>
    </w:p>
    <w:p>
      <w:pPr>
        <w:spacing w:after="0" w:line="187" w:lineRule="exact"/>
        <w:rPr>
          <w:sz w:val="20"/>
          <w:szCs w:val="20"/>
          <w:color w:val="auto"/>
        </w:rPr>
      </w:pPr>
    </w:p>
    <w:p>
      <w:pPr>
        <w:ind w:left="3260" w:hanging="659"/>
        <w:spacing w:after="0"/>
        <w:tabs>
          <w:tab w:leader="none" w:pos="32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Capital Gains Tax</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Non-Irish Holders of New Common Stock should not be liable for Irish capital gains tax on gains realized on a subsequent disposal of their New Common Stock. The rate of capital gains tax in Ireland (where applicable) is typically 33%.</w:t>
      </w:r>
    </w:p>
    <w:p>
      <w:pPr>
        <w:spacing w:after="0" w:line="170" w:lineRule="exact"/>
        <w:rPr>
          <w:sz w:val="20"/>
          <w:szCs w:val="20"/>
          <w:color w:val="auto"/>
        </w:rPr>
      </w:pPr>
    </w:p>
    <w:p>
      <w:pPr>
        <w:ind w:left="3900" w:hanging="651"/>
        <w:spacing w:after="0"/>
        <w:tabs>
          <w:tab w:leader="none" w:pos="39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 Irish stamp duty may be payable in respect of transfers of New Common Stock depending on the manner in which the New Common Stock is held.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New Common Stock effected by means of the transfer of book-entry interests in DTC should not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Irish stamp duty. On the basis that most New Common Stock will be held through DTC most transfers of New Common Stock should be exempt from Irish stamp duty.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New Common Stock where any party to the transfer holds such New</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outside of DTC may be subject to Irish stamp duty. Shareholders wishing to transfer their New Common Stock into (or out of) DTC may do so without giving rise to Irish stamp duty provided that:</w:t>
      </w:r>
    </w:p>
    <w:p>
      <w:pPr>
        <w:spacing w:after="0" w:line="181" w:lineRule="exact"/>
        <w:rPr>
          <w:sz w:val="20"/>
          <w:szCs w:val="20"/>
          <w:color w:val="auto"/>
        </w:rPr>
      </w:pPr>
    </w:p>
    <w:p>
      <w:pPr>
        <w:ind w:left="620" w:hanging="288"/>
        <w:spacing w:after="0"/>
        <w:tabs>
          <w:tab w:leader="none" w:pos="6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New Common Stock as a result of the transfer;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sale of such New Common Stock by a beneficial owner to a third party.</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registered New Common Stock holder may transfer New Common Stock into his or her own broker account (or vice versa) without giving rise to Irish stamp duty, provided that there is no change in the beneficial ownership of the New Common Stock as a result of the transfer and the transfer is not made in contemplation of a subsequent sale of the New Common Stock to a third party.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transfer of New Common Stock that is subject to Irish stamp duty will not be registered in the name of the transferee unless an instrument of transfer is duly stamped and provided to the transfer agent. Weatherford Parent, in its absolute discretion and insofar as the Irish Companies Act or any other applicable law permits, may, or may provide that a subsidiary of Weatherford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9" w:name="page280"/>
    <w:bookmarkEnd w:id="279"/>
    <w:p>
      <w:pPr>
        <w:spacing w:after="0" w:line="271" w:lineRule="auto"/>
        <w:rPr>
          <w:sz w:val="20"/>
          <w:szCs w:val="20"/>
          <w:color w:val="auto"/>
        </w:rPr>
      </w:pPr>
      <w:r>
        <w:rPr>
          <w:rFonts w:ascii="Arial" w:cs="Arial" w:eastAsia="Arial" w:hAnsi="Arial"/>
          <w:sz w:val="17"/>
          <w:szCs w:val="17"/>
          <w:color w:val="auto"/>
        </w:rPr>
        <w:t>Parent will, pay Irish stamp duty arising on a transfer of New Common Stock on behalf of the transferee of such New Common Stock. If stamp duty resulting from the transfer of New Common Stock that would otherwise be payable by the transferee is paid by Weatherford Parent or any of its subsidiaries on behalf of the transferee, then in those circumstances, Weatherford Parent will, on its behalf or on behalf of its subsidiary (as the case may be), be entitled to (i) seek reimbursement of the stamp duty from the transferee or the transferor (at its discretion), (ii) set-off the stamp duty against any dividends payable to the transferee of that New Common Stock and (iii) claim a first and permanent lien on the New Common Stock on which stamp duty has been paid by Weatherford Parent or its subsidiary for the amount of stamp duty paid. Weatherford Parent’s lien shall extend to all dividends paid on that New Common Stock. Parties to a share transfer may assume that any Irish stamp duty arising in respect of a transaction in Weatherford Parent’s New Common Stock has been paid unless one or both of such parties is otherwise notified by Weatherford Parent.</w:t>
      </w:r>
    </w:p>
    <w:p>
      <w:pPr>
        <w:spacing w:after="0" w:line="17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Due to the potential Irish stamp duty charge on transfers of New Common Stock held outside DTC, it is strongly recommended that shareholders who do not hold their shares through DTC (or through a broker who in turn holds such New Common Stock through DTC) should, upon the Plan being implemented, consider holding the New Common Stock received by them through DTC.</w:t>
      </w:r>
    </w:p>
    <w:p>
      <w:pPr>
        <w:spacing w:after="0" w:line="181" w:lineRule="exact"/>
        <w:rPr>
          <w:sz w:val="20"/>
          <w:szCs w:val="20"/>
          <w:color w:val="auto"/>
        </w:rPr>
      </w:pPr>
    </w:p>
    <w:p>
      <w:pPr>
        <w:ind w:left="3900" w:hanging="651"/>
        <w:spacing w:after="0"/>
        <w:tabs>
          <w:tab w:leader="none" w:pos="3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Dividend Withholding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Distributions made by Weatherford Parent should, in the absence of one of many exemptions, be subject to DWT at the rate of 20%.</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DWT purposes, a distribution includes any distribution that may be made by Weatherford Parent to its shareholders including cash dividends, non-cash dividends and additional stock taken in lieu of a cash dividend. Where an exemption does not apply in respect of a distribution made to a particular shareholder, Weatherford Parent is responsible for withholding DWT prior to making such distribution.</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Irish domestic law provides that a non-Irish resident shareholder should not be subject to DWT on dividends received from Weatherford Parent if such shareholder is beneficially entitled to the dividend and is either:</w:t>
      </w:r>
    </w:p>
    <w:p>
      <w:pPr>
        <w:spacing w:after="0" w:line="166" w:lineRule="exact"/>
        <w:rPr>
          <w:sz w:val="20"/>
          <w:szCs w:val="20"/>
          <w:color w:val="auto"/>
        </w:rPr>
      </w:pPr>
    </w:p>
    <w:p>
      <w:pPr>
        <w:ind w:left="660" w:right="60" w:hanging="328"/>
        <w:spacing w:after="0" w:line="266" w:lineRule="auto"/>
        <w:tabs>
          <w:tab w:leader="none" w:pos="6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territory with which Ireland has signed a double taxation agreement (a “</w:t>
      </w:r>
      <w:r>
        <w:rPr>
          <w:rFonts w:ascii="Arial" w:cs="Arial" w:eastAsia="Arial" w:hAnsi="Arial"/>
          <w:sz w:val="18"/>
          <w:szCs w:val="18"/>
          <w:b w:val="1"/>
          <w:bCs w:val="1"/>
          <w:u w:val="single" w:color="auto"/>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see https://www.revenue.ie/en/tax-professionals/tax-agreements/double-taxation-treaties/index.aspx) (including the United States)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resident nor ordinarily resident in Ireland;</w:t>
      </w:r>
    </w:p>
    <w:p>
      <w:pPr>
        <w:spacing w:after="0" w:line="18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company resident for tax purposes in a Relevant Territory, provided such company is not under the control, whether directly or indirectly, of a person or persons who is or are resident in Ireland;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0" w:name="page281"/>
    <w:bookmarkEnd w:id="280"/>
    <w:p>
      <w:pPr>
        <w:ind w:left="660" w:right="160" w:hanging="328"/>
        <w:spacing w:after="0" w:line="342" w:lineRule="auto"/>
        <w:tabs>
          <w:tab w:leader="none" w:pos="62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123" w:lineRule="exact"/>
        <w:rPr>
          <w:rFonts w:ascii="Arial" w:cs="Arial" w:eastAsia="Arial" w:hAnsi="Arial"/>
          <w:sz w:val="16"/>
          <w:szCs w:val="16"/>
          <w:color w:val="auto"/>
        </w:rPr>
      </w:pPr>
    </w:p>
    <w:p>
      <w:pPr>
        <w:ind w:left="660" w:right="240" w:hanging="328"/>
        <w:spacing w:after="0" w:line="264" w:lineRule="auto"/>
        <w:tabs>
          <w:tab w:leader="none" w:pos="62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provided, in all cases noted above (but subject to the discussion under the caption “—Shares held by U.S. resident shareholders” below), Weatherford Parent or, in respect of shares held through DTC, any qualifying intermediary appointed by Weatherford Parent, has received from the shareholder, where required, the relevant DWT Forms prior to the payment of the dividend. In practice, in order to ensure sufficient time to process the receipt of relevant DWT Forms, the shareholder where required should furnish the relevant DWT Forms to:</w:t>
      </w:r>
    </w:p>
    <w:p>
      <w:pPr>
        <w:spacing w:after="0" w:line="187" w:lineRule="exact"/>
        <w:rPr>
          <w:sz w:val="20"/>
          <w:szCs w:val="20"/>
          <w:color w:val="auto"/>
        </w:rPr>
      </w:pPr>
    </w:p>
    <w:p>
      <w:pPr>
        <w:ind w:left="660" w:right="40" w:hanging="328"/>
        <w:spacing w:after="0" w:line="264" w:lineRule="auto"/>
        <w:tabs>
          <w:tab w:leader="none" w:pos="6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its broker (and the relevant information is further transmitted to any qualifying intermediary appointed by Weatherford Parent) before the record date for the dividend (or such later date before the dividend payment date as may be notified to the shareholder by the broker) if its shares are held through DTC, or</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Weatherford Parent’s transfer agent at least seven business days before the record date for the dividend if its shares are held outside of DTC.</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Shareholders that are required to file DWT Forms in order to receive dividends free of DWT should note that such forms are generally valid, subject to a change in circumstances, until 31st December of the fifth year after the year in which such forms were completed.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Non-Irish Holders that cannot avail themselves of one of Ireland’s domestic law exemptions from DWT, it may be possible for such shareholders to rely on the provisions of a double tax treaty to which Ireland is party to reduce the rate of DWT.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list of the various DWT Forms can be found at https://www.revenue.ie/en/companies-and-charities/dividend-withholding-tax/exemptions-for-non-residents.aspx.</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U.S. Resident Shareholders</w:t>
      </w:r>
      <w:r>
        <w:rPr>
          <w:rFonts w:ascii="Arial" w:cs="Arial" w:eastAsia="Arial" w:hAnsi="Arial"/>
          <w:sz w:val="17"/>
          <w:szCs w:val="17"/>
          <w:color w:val="auto"/>
        </w:rPr>
        <w:t>. Dividends paid in respect of New Common Stock that are owned by a U.S. resident and held through DTC should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DWT provided the address of the beneficial owner of such New Common Stock in the records of the broker holding such New Common Stock is in the United States (and such broker has further transmitted the relevant information to a qualifying intermediary appointed by Weatherford Parent). It is strongly recommended that such shareholders ensure that their information is properly recorded by their brokers (so that such brokers can further transmit the relevant information to a qualifying intermediary appointed by Weatherford Parent).</w:t>
      </w:r>
    </w:p>
    <w:p>
      <w:pPr>
        <w:spacing w:after="0" w:line="173"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Dividends paid in respect of New Common Stock that are held outside of DTC should not be subject to DWT if the shareholder satisfies the conditions of one of the exemptions referred to above including the requirement to provide a valid DWT Form (together with a completed IRS issued Form 6166) to Weatherford Parent’s transfer agent at least seven business days before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1" w:name="page282"/>
    <w:bookmarkEnd w:id="281"/>
    <w:p>
      <w:pPr>
        <w:jc w:val="both"/>
        <w:spacing w:after="0" w:line="264" w:lineRule="auto"/>
        <w:rPr>
          <w:sz w:val="20"/>
          <w:szCs w:val="20"/>
          <w:color w:val="auto"/>
        </w:rPr>
      </w:pPr>
      <w:r>
        <w:rPr>
          <w:rFonts w:ascii="Arial" w:cs="Arial" w:eastAsia="Arial" w:hAnsi="Arial"/>
          <w:sz w:val="18"/>
          <w:szCs w:val="18"/>
          <w:color w:val="auto"/>
        </w:rPr>
        <w:t>record date for the dividend to confirm its U.S. residence and claim an exemption. It is strongly recommended that Non-Irish Holders of New Common Stock who are U.S. residents and who wish to hold their New Common Stock outside of DTC complete the appropriate DWT Form and IRS Form 6166 and provide them to Weatherford Parent’s transfer agent.</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If any Non-Irish Holder of New Common Stock that is resident in the United States receives a dividend from which DWT has been withheld, the Non-Irish Holder should generally be entitled to apply for a refund of such DWT from the Irish Revenue Commissioners, provided the Non-Irish Holder is beneficially entitled to the dividend.</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Residents of Other Relevant Territories</w:t>
      </w:r>
      <w:r>
        <w:rPr>
          <w:rFonts w:ascii="Arial" w:cs="Arial" w:eastAsia="Arial" w:hAnsi="Arial"/>
          <w:sz w:val="18"/>
          <w:szCs w:val="18"/>
          <w:color w:val="auto"/>
        </w:rPr>
        <w:t>. Non-Irish Holders of New Common Stock who are residents of Relevant Territories, other than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must satisfy the conditions of one of the exemptions referred to above including the requirement to furnish valid DWT Forms, in order to receive dividends without suffering DWT.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such Non-Irish Holders of New Common Stock hold their shares through DTC, they must provide the appropriate DWT Forms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such Non-Irish Holders of New Common Stock hold their New Common Stock outside of DTC, they must provide the appropriate DWT Forms to Weatherford Parent’s transfer agent at least seven business days before the record date for the dividend. It is strongly recommended that Non-Irish Holders who are residents of Relevant Territories other than the United States and receive New Common Stock pursuant to the Plan complete the appropriate DWT Forms and provide them to their brokers or Weatherford Parent’s transfer agent, as the case may be, as soon as possible after receiving their New Common Stock.</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Partnerships</w:t>
      </w:r>
      <w:r>
        <w:rPr>
          <w:rFonts w:ascii="Arial" w:cs="Arial" w:eastAsia="Arial" w:hAnsi="Arial"/>
          <w:sz w:val="16"/>
          <w:szCs w:val="16"/>
          <w:color w:val="auto"/>
        </w:rPr>
        <w:t>. Dividends paid in respect of New Common Stock held through DTC that are owned by a partnership formed under the laws of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Territory and where all the underlying partners are residents in a Relevant Territory should be entitled to exemption from DWT if all of the partners complete the appropriate DWT Forms and provide them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 If any partner is not a resident of a Relevant Territory, no partner is entitled to exemption from DWT.</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Other Shareholders</w:t>
      </w:r>
      <w:r>
        <w:rPr>
          <w:rFonts w:ascii="Arial" w:cs="Arial" w:eastAsia="Arial" w:hAnsi="Arial"/>
          <w:sz w:val="18"/>
          <w:szCs w:val="18"/>
          <w:color w:val="auto"/>
        </w:rPr>
        <w:t>. Non-Irish Holders of New Common Stock that do not fall within any of the categories specifically referred to above may</w:t>
      </w:r>
      <w:r>
        <w:rPr>
          <w:rFonts w:ascii="Arial" w:cs="Arial" w:eastAsia="Arial" w:hAnsi="Arial"/>
          <w:sz w:val="18"/>
          <w:szCs w:val="18"/>
          <w:i w:val="1"/>
          <w:iCs w:val="1"/>
          <w:color w:val="auto"/>
        </w:rPr>
        <w:t xml:space="preserve"> </w:t>
      </w:r>
      <w:r>
        <w:rPr>
          <w:rFonts w:ascii="Arial" w:cs="Arial" w:eastAsia="Arial" w:hAnsi="Arial"/>
          <w:sz w:val="18"/>
          <w:szCs w:val="18"/>
          <w:color w:val="auto"/>
        </w:rPr>
        <w:t>nonetheless fall within other exemptions from DWT. If any Non-Irish Holders are exempt from DWT, but receive dividends subject to DWT, such Non-Irish Holders may apply for refunds of such DWT from the Irish Revenue Commissioners.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Weatherford Parent intends to put in place an agreement with an entity that is recognized by the Irish Revenue Commissioners as a “qualifying intermediary,” which will provide for certain arrangements relating to distributions in respect of shares of New Common Stock that are held through DTC, which are referred to as the “</w:t>
      </w:r>
      <w:r>
        <w:rPr>
          <w:rFonts w:ascii="Arial" w:cs="Arial" w:eastAsia="Arial" w:hAnsi="Arial"/>
          <w:sz w:val="18"/>
          <w:szCs w:val="18"/>
          <w:b w:val="1"/>
          <w:bCs w:val="1"/>
          <w:u w:val="single" w:color="auto"/>
          <w:color w:val="auto"/>
        </w:rPr>
        <w:t>Deposited Securities</w:t>
      </w:r>
      <w:r>
        <w:rPr>
          <w:rFonts w:ascii="Arial" w:cs="Arial" w:eastAsia="Arial" w:hAnsi="Arial"/>
          <w:sz w:val="18"/>
          <w:szCs w:val="18"/>
          <w:color w:val="auto"/>
        </w:rPr>
        <w:t>.” The agreement is expected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2" w:name="page283"/>
    <w:bookmarkEnd w:id="282"/>
    <w:p>
      <w:pPr>
        <w:ind w:right="160"/>
        <w:spacing w:after="0" w:line="264" w:lineRule="auto"/>
        <w:rPr>
          <w:sz w:val="20"/>
          <w:szCs w:val="20"/>
          <w:color w:val="auto"/>
        </w:rPr>
      </w:pPr>
      <w:r>
        <w:rPr>
          <w:rFonts w:ascii="Arial" w:cs="Arial" w:eastAsia="Arial" w:hAnsi="Arial"/>
          <w:sz w:val="18"/>
          <w:szCs w:val="18"/>
          <w:color w:val="auto"/>
        </w:rPr>
        <w:t>provide that the qualifying intermediary will distribute or otherwise make available to Cede &amp; Co., as nominee for DTC, any cash dividend or other cash distribution with respect to the Deposited Securities after Weatherford Parent delivers or causes to be delivered to the qualifying intermediary the cash to be distributed.</w:t>
      </w:r>
    </w:p>
    <w:p>
      <w:pPr>
        <w:spacing w:after="0" w:line="181" w:lineRule="exact"/>
        <w:rPr>
          <w:sz w:val="20"/>
          <w:szCs w:val="20"/>
          <w:color w:val="auto"/>
        </w:rPr>
      </w:pPr>
    </w:p>
    <w:p>
      <w:pPr>
        <w:ind w:left="3900" w:hanging="651"/>
        <w:spacing w:after="0"/>
        <w:tabs>
          <w:tab w:leader="none" w:pos="3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Irish 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Irish income tax may arise for certain persons in respect of dividends received from Irish resident companies.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Non-Irish Holder of New Common Stock that is entitled to an exemption from DWT generally has no liability to Irish income tax on a dividend from Weatherford Parent. A Non-Irish Holder that is not entitled to an exemption from DWT generally has no additional Irish income tax liability. The DWT deducted by Weatherford Parent discharges the liability to income tax.</w:t>
      </w:r>
    </w:p>
    <w:p>
      <w:pPr>
        <w:spacing w:after="0" w:line="181" w:lineRule="exact"/>
        <w:rPr>
          <w:sz w:val="20"/>
          <w:szCs w:val="20"/>
          <w:color w:val="auto"/>
        </w:rPr>
      </w:pPr>
    </w:p>
    <w:p>
      <w:pPr>
        <w:ind w:left="3900" w:hanging="651"/>
        <w:spacing w:after="0"/>
        <w:tabs>
          <w:tab w:leader="none" w:pos="39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Capital Acquisitions Tax (“</w:t>
      </w:r>
      <w:r>
        <w:rPr>
          <w:rFonts w:ascii="Arial" w:cs="Arial" w:eastAsia="Arial" w:hAnsi="Arial"/>
          <w:sz w:val="18"/>
          <w:szCs w:val="18"/>
          <w:b w:val="1"/>
          <w:bCs w:val="1"/>
          <w:u w:val="single" w:color="auto"/>
          <w:color w:val="auto"/>
        </w:rPr>
        <w:t>CAT</w:t>
      </w:r>
      <w:r>
        <w:rPr>
          <w:rFonts w:ascii="Arial" w:cs="Arial" w:eastAsia="Arial" w:hAnsi="Arial"/>
          <w:sz w:val="18"/>
          <w:szCs w:val="18"/>
          <w:color w:val="auto"/>
        </w:rPr>
        <w:t>”) comprises principally gift tax and inheritance tax. CAT could apply to a gift or inheritance of New Common Stock irrespective of the place of residence, ordinary residence or domicile of the parties. This is because New Common Stock will be regarded as property situated in Ireland for Irish CAT purposes as the share register of Weatherford Parent must be held in Ireland. The person who receives the gift or inheritance has primary liability for CAT.</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Non-Irish Holders of New Common Stock should consult their own tax advisors as to whether CAT is creditable or deductible in computing any domestic tax liabilities.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124" w:lineRule="exact"/>
        <w:rPr>
          <w:sz w:val="20"/>
          <w:szCs w:val="20"/>
          <w:color w:val="auto"/>
        </w:rPr>
      </w:pPr>
    </w:p>
    <w:p>
      <w:pPr>
        <w:ind w:left="3260" w:hanging="659"/>
        <w:spacing w:after="0"/>
        <w:tabs>
          <w:tab w:leader="none" w:pos="32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should no Irish tax consequences for Non-Irish Holders on the ownership or exercise of New Warrants. A transfer or disposal of New Warrants by a Non-Irish Holder should not be subject to Irish income tax or capital gains tax.</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83" w:name="page284"/>
    <w:bookmarkEnd w:id="283"/>
    <w:p>
      <w:pPr>
        <w:ind w:left="3900" w:hanging="651"/>
        <w:spacing w:after="0"/>
        <w:tabs>
          <w:tab w:leader="none" w:pos="3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disposal or assignment of New Warrants will be subject to Irish stamp duty at 1% on the higher of the price paid or market value of the New Warrant at the time of transfer. Stamp duty is payable by the transferee within 44 days of transfer.</w:t>
      </w:r>
    </w:p>
    <w:p>
      <w:pPr>
        <w:spacing w:after="0" w:line="170" w:lineRule="exact"/>
        <w:rPr>
          <w:sz w:val="20"/>
          <w:szCs w:val="20"/>
          <w:color w:val="auto"/>
        </w:rPr>
      </w:pPr>
    </w:p>
    <w:p>
      <w:pPr>
        <w:ind w:left="3900" w:hanging="651"/>
        <w:spacing w:after="0"/>
        <w:tabs>
          <w:tab w:leader="none" w:pos="3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New Warrants may be regarded as Irish property for CAT purposes. The discussion above on CAT in respect of the New Common Stock applies equally to the New Warrants. See the discussion above under the caption “Consequences to Non-Irish Holders—Consequences of Owning and Disposing of New Common Stock—Capital Acquisitions Tax”).</w:t>
      </w:r>
    </w:p>
    <w:p>
      <w:pPr>
        <w:spacing w:after="0" w:line="177" w:lineRule="exact"/>
        <w:rPr>
          <w:sz w:val="20"/>
          <w:szCs w:val="20"/>
          <w:color w:val="auto"/>
        </w:rPr>
      </w:pPr>
    </w:p>
    <w:p>
      <w:pPr>
        <w:ind w:left="660" w:hanging="652"/>
        <w:spacing w:after="0"/>
        <w:tabs>
          <w:tab w:leader="none" w:pos="66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CERTAIN SWISS TAX CONSEQUENCES OF THE PLAN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is a summary of certain Swiss tax consequences of the Internal Reorganizations to the Debtors and to Holders of Prepetition Notes Claims or Existing Common Stock who are tax resident outside of Switzerland and have neither a taxable presence in Switzerland nor a registration as a Swiss Securities Dealer as defined in Art. 13 of the Swiss Stamp Duty Law (“</w:t>
      </w:r>
      <w:r>
        <w:rPr>
          <w:rFonts w:ascii="Arial" w:cs="Arial" w:eastAsia="Arial" w:hAnsi="Arial"/>
          <w:sz w:val="17"/>
          <w:szCs w:val="17"/>
          <w:b w:val="1"/>
          <w:bCs w:val="1"/>
          <w:u w:val="single" w:color="auto"/>
          <w:color w:val="auto"/>
        </w:rPr>
        <w:t>Non-Swiss Holders</w:t>
      </w:r>
      <w:r>
        <w:rPr>
          <w:rFonts w:ascii="Arial" w:cs="Arial" w:eastAsia="Arial" w:hAnsi="Arial"/>
          <w:sz w:val="17"/>
          <w:szCs w:val="17"/>
          <w:color w:val="auto"/>
        </w:rPr>
        <w:t>”). This summary is based upon current Swiss tax laws, applicable court decisions and practices of the relevant Swiss tax administrations, which are subject to prospective or retroactive change. The summary does not constitute tax or legal advice and the comments below are of a general nature only.</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not expected to be any material Swiss tax consequences to the Debtors or to Non-Swiss Holders as a result of the Internal Reorganizations, including the Irish Migration, other than that Weatherford Parent will generally no longer be subject to taxation in Switzerland.</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implementing the Plan, including the Internal Reorganizations, the Debtors intend to ensure that debt issuances by Swiss companies of the Weatherford group do not qualify as bond or bond-like instruments and/or that the proceeds of debt issuances by non-Swiss companies of the Weatherford group will be used in such a way that payments of interest, including periodic interest payments and other payments that are treated like interest payments for Swiss tax purposes, are not subject to Swiss withholding taxes. More specifically, the Debtors intend that none of such proceeds are used in a manner that would trigger a flow back of funds to Switzerland. Alternatively, the Debtors intend that such debt will not be treated as bonds or bond-like instruments under applicable Swiss tax law. The flow back of funds to Switzerland from the issuance of bonds or bond-like instruments by non-Swiss subsidiaries of Weatherford Parent would generally cause interest payments to be subject to Swiss withholding tax.</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Debtors intend to obtain rulings from Swiss tax authorities confirming, among other things, that no Swiss income or withholding tax or stamp duties will be due as a result of the Irish Migration, that following the Irish Migration Weatherford Parent will no longer being subject to taxation in Switzerland, and that either the Debtors’ intended use of proceeds from debt issued by Weatherford Parent’s non-Swiss Subsidiaries will not result in a flow back of funds to Switzerland or that the intended terms of such debt will not result in it being treated as bonds or bond-like instruments for Swiss tax purposes. No assurance can be given, however, that the Swiss tax authorities will provide such confirmations. Moreover, the Debtors have not obtained, nor do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4" w:name="page285"/>
    <w:bookmarkEnd w:id="284"/>
    <w:p>
      <w:pPr>
        <w:ind w:right="240"/>
        <w:spacing w:after="0" w:line="277" w:lineRule="auto"/>
        <w:rPr>
          <w:sz w:val="20"/>
          <w:szCs w:val="20"/>
          <w:color w:val="auto"/>
        </w:rPr>
      </w:pPr>
      <w:r>
        <w:rPr>
          <w:rFonts w:ascii="Arial" w:cs="Arial" w:eastAsia="Arial" w:hAnsi="Arial"/>
          <w:sz w:val="18"/>
          <w:szCs w:val="18"/>
          <w:color w:val="auto"/>
        </w:rPr>
        <w:t>Debtors intend to obtain, a legal opinion of counsel with respect to these conclusions. No assurance can be given that Swiss tax authorities will not assert different positions than those discussed herein.</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EXISTING AND PROSPECTIVE HOLDERS OF CLAIMS AND EQUITY INTERESTS ARE URGED TO CONSULT THEIR TAX ADVISORS ABOUT THE APPLICATION OF THE SWISS TAX RULES TO THEIR PARTICULAR CIRCUMSTANCES. THEY ARE IN PARTICULAR ADVISED TO REVIEW HOW THE SWISS FEDERAL AND CANTONAL/COMMUNAL TAX CONSEQUENCES OF THE RESTRUCTURING TRANSACTIONS AND THE IMPLEMENTATION OF THE PLAN APPLY TO THEM.</w:t>
      </w:r>
    </w:p>
    <w:p>
      <w:pPr>
        <w:spacing w:after="0" w:line="180"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CERTAIN BERMUDIAN TAX CONSEQUENCES OF THE PLAN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Holders of Prepetition Notes or New Tranche B Senior Unsecured Notes in respect of such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shares, debentures or other obligations except insofar as such tax applies to persons ordinarily resident in Bermuda or is payable by Weatherford Bermuda in respect of real property owned or leased by it in Bermuda.</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ALTERNATIVES TO CONFIRMATION AND CONSUMMATION OF THE PLAN</w:t>
      </w:r>
    </w:p>
    <w:p>
      <w:pPr>
        <w:spacing w:after="0" w:line="207"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UNDER CHAPTER 7 OF THE BANKRUPTCY CODE</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the Plan or an alternative chapter 11 plan of reorganization cannot be confirmed, the Chapter 11 Cases may be converted to cases under chapter 7 of the Bankruptcy Code in which case, a trustee would be elected or appointed to liquidate the Debtors’ assets. A discussion of the effect a chapter 7 liquidation would have on the recovery of Holders of Claims is set forth in Section VII.F herein, titled “Statutory Requirements for Confirmation of the Plan.” The Debtors believe that liquidation under chapter 7 would result in (i) smaller distributions being made to creditors entitled to a recovery than those provided for in the Plan based on the liquidation value of the Debtors’ assets and because of the additional administrative expenses involved in the appointment of a trustee and attorneys and other professionals to assist such trustee, (ii) additional expenses and claims, some of which would be entitled to priority, which would be generated during the liquidation and from the rejection of unexpired leases and executory contracts in connection with the cessation of the Debtors’ operations, and (iii) the failure to realize the greater, going-concern value of all of the Debtors’ assets.</w:t>
      </w:r>
    </w:p>
    <w:p>
      <w:pPr>
        <w:spacing w:after="0" w:line="162"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AN ALTERNATIVE PLAN OF REORGANIZATION</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the Plan is not confirmed, the Debtors or any other party in interest could attempt to formulate a different chapter 11 plan of reorganization. Such a plan might involve either a reorganization and continuation of the Debtors’ businesses or an orderly liquidation of the Debtors’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5" w:name="page286"/>
    <w:bookmarkEnd w:id="285"/>
    <w:p>
      <w:pPr>
        <w:ind w:right="120"/>
        <w:spacing w:after="0" w:line="277" w:lineRule="auto"/>
        <w:rPr>
          <w:sz w:val="20"/>
          <w:szCs w:val="20"/>
          <w:color w:val="auto"/>
        </w:rPr>
      </w:pPr>
      <w:r>
        <w:rPr>
          <w:rFonts w:ascii="Arial" w:cs="Arial" w:eastAsia="Arial" w:hAnsi="Arial"/>
          <w:sz w:val="18"/>
          <w:szCs w:val="18"/>
          <w:color w:val="auto"/>
        </w:rPr>
        <w:t>assets. As discussed above, during the negotiations prior to the filing of the Chapter 11 Cases and the Plan, the Debtors explored various alternatives to the Plan.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believe that the Plan, and the associated Exit Facility, Rights Offering, and Backstop Commitment Agreement enables the Debtors to emerge from chapter 11 successfully and expeditiously, preserving their businesses and allowing their creditors to realize the highest recoveries under the circumstances. In a liquidation under chapter 11 of the Bankruptcy Code, the assets of the Debtors would be sold in an orderly fashion over a more extended period of time than in a liquidation under chapter 7, and a trustee need not be appointed. Accordingly, creditors would receive greater recoveries than in a chapter 7 liquidation. Although a chapter 11 liquidation is preferable to a chapter 7 liquidation, the Debtors believe that a liquidation under chapter 11 is a much less attractive alternative to creditors than the Plan because the Plan provides for a greater return to creditors.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prolonged continuation of the Chapter 11 Cases is likely to adversely affect the Debtors’ businesses and operations. So long as the Chapter 11 Cases continue, senior management of the Debtors will be required to spend a significant amount of time and effort dealing with the Debtors’ reorganization instead of focusing exclusively on business operations. In addition, the longer the Chapter 11 Cases continue, the more likely it is that the Debtors’ vendors and service providers will lose confidence in the Debtors’ ability to reorganize their businesses successfully and will seek to establish alternative commercial relationships. Furthermore, so long as the Chapter 11 Cases continue, the Debtors will be required to incur substantial costs for professional fees and other expenses associated with the proceedings. The prolonged continuation of the Chapter 11 Cases may also result in the termination of the Restructuring Support Agreement which would be value destructive for all parties in interest. In addition, the Debtors may no longer be permitted to use cash collateral on a consensual basis. Under these circumstances, it is unlikely the Debtors could successfully reorganize without damage to their business operations and material decreases in recoveries for creditors.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u w:val="single" w:color="auto"/>
          <w:color w:val="auto"/>
        </w:rPr>
        <w:t>RECOMMENDATION</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the opinion of the Debtors, the Plan is preferable to the alternatives described in this Disclosure Statement because it provides for a larger distribution to the Debtors’ creditors than would otherwise result in a liquidation under chapter 7 of the Bankruptcy Code. In addition, any alternative other than confirmation of the Plan could result in extensive delays and increased administrative expenses resulting in smaller distributions to Holders of Allowed Claims and Equity Interests than that which is proposed under the Plan. Accordingly, the Debtors recommend that Holders of Claims and Equity Interests entitled to vote on the Plan support confirmation of the Plan and vote to accept the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Respectfully submitted,</w:t>
            </w:r>
          </w:p>
        </w:tc>
        <w:tc>
          <w:tcPr>
            <w:tcW w:w="570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Weatherford International plc</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Christoph Bausch</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Dated: June 28, 2019</w:t>
            </w:r>
          </w:p>
        </w:tc>
      </w:tr>
      <w:tr>
        <w:trPr>
          <w:trHeight w:val="432"/>
        </w:trPr>
        <w:tc>
          <w:tcPr>
            <w:tcW w:w="5720" w:type="dxa"/>
            <w:vAlign w:val="bottom"/>
          </w:tcPr>
          <w:p>
            <w:pPr>
              <w:ind w:left="660"/>
              <w:spacing w:after="0"/>
              <w:rPr>
                <w:sz w:val="20"/>
                <w:szCs w:val="20"/>
                <w:color w:val="auto"/>
              </w:rPr>
            </w:pPr>
            <w:r>
              <w:rPr>
                <w:rFonts w:ascii="Arial" w:cs="Arial" w:eastAsia="Arial" w:hAnsi="Arial"/>
                <w:sz w:val="18"/>
                <w:szCs w:val="18"/>
                <w:color w:val="auto"/>
              </w:rPr>
              <w:t>Prepared by:</w:t>
            </w:r>
          </w:p>
        </w:tc>
        <w:tc>
          <w:tcPr>
            <w:tcW w:w="5700" w:type="dxa"/>
            <w:vAlign w:val="bottom"/>
          </w:tcPr>
          <w:p>
            <w:pPr>
              <w:spacing w:after="0"/>
              <w:rPr>
                <w:sz w:val="24"/>
                <w:szCs w:val="24"/>
                <w:color w:val="auto"/>
              </w:rPr>
            </w:pPr>
          </w:p>
        </w:tc>
      </w:tr>
      <w:tr>
        <w:trPr>
          <w:trHeight w:val="43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rPr>
              <w:t>HUNTON ANDREWS KURTH LLP</w:t>
            </w:r>
          </w:p>
        </w:tc>
        <w:tc>
          <w:tcPr>
            <w:tcW w:w="5700" w:type="dxa"/>
            <w:vAlign w:val="bottom"/>
          </w:tcPr>
          <w:p>
            <w:pPr>
              <w:jc w:val="center"/>
              <w:ind w:left="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color w:val="auto"/>
                <w:w w:val="94"/>
              </w:rPr>
              <w:t>Timothy A. (“Tad”) Davidson II (No. 240112503)</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2"/>
              </w:rPr>
              <w:t>Ashley L. Harper (No. 24065272)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0"/>
              </w:rPr>
              <w:t>600 Travis Street, Suite 4200</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Houston, Texas 77002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Telephone: (713) 220-4200</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30"/>
        </w:trPr>
        <w:tc>
          <w:tcPr>
            <w:tcW w:w="5720" w:type="dxa"/>
            <w:vAlign w:val="bottom"/>
          </w:tcPr>
          <w:p>
            <w:pPr>
              <w:jc w:val="center"/>
              <w:spacing w:after="0"/>
              <w:rPr>
                <w:sz w:val="20"/>
                <w:szCs w:val="20"/>
                <w:color w:val="auto"/>
              </w:rPr>
            </w:pPr>
            <w:r>
              <w:rPr>
                <w:rFonts w:ascii="Arial" w:cs="Arial" w:eastAsia="Arial" w:hAnsi="Arial"/>
                <w:sz w:val="18"/>
                <w:szCs w:val="18"/>
                <w:color w:val="auto"/>
                <w:w w:val="91"/>
              </w:rPr>
              <w:t>Facsimile: (713) 220-4285</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1"/>
              </w:rPr>
              <w:t>885 Third Avenue</w:t>
            </w:r>
          </w:p>
        </w:tc>
      </w:tr>
    </w:tbl>
    <w:p>
      <w:pPr>
        <w:ind w:left="76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Telephone: (212) 906-1200</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Facsimile: (212) 751-4864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87" w:name="page288"/>
    <w:bookmarkEnd w:id="287"/>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u w:val="single" w:color="auto"/>
          <w:color w:val="auto"/>
        </w:rPr>
        <w:t>LIQUIDATION ANALYSIS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Often referred to as the “best interests of creditors” test, section 1129(a)(7) of the Bankruptcy Code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requires that a Bankruptcy Court find, as a condition to confirmation of a plan of reorganization, that each holder of a claim or interest in each impaired class either (i) has accepted the plan; or (ii) will receive or retain under the plan property of a value, as of the effective date of the confirmed plan, that is not less than the amount such holder would receive if the debtor was liquidated under chapter 7 of the Bankruptcy Code.</w:t>
      </w:r>
      <w:r>
        <w:rPr>
          <w:rFonts w:ascii="Arial" w:cs="Arial" w:eastAsia="Arial" w:hAnsi="Arial"/>
          <w:sz w:val="23"/>
          <w:szCs w:val="23"/>
          <w:color w:val="auto"/>
          <w:vertAlign w:val="superscript"/>
        </w:rPr>
        <w:t>(2)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conduct this Liquidation Analysis, the Debtors and their advisors have taken the following steps:</w:t>
      </w:r>
    </w:p>
    <w:p>
      <w:pPr>
        <w:spacing w:after="0" w:line="221" w:lineRule="exact"/>
        <w:rPr>
          <w:sz w:val="20"/>
          <w:szCs w:val="20"/>
          <w:color w:val="auto"/>
        </w:rPr>
      </w:pPr>
    </w:p>
    <w:p>
      <w:pPr>
        <w:ind w:left="720" w:right="20" w:hanging="334"/>
        <w:spacing w:after="0" w:line="282" w:lineRule="auto"/>
        <w:tabs>
          <w:tab w:leader="none" w:pos="73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estimated the cash proceeds that a chapter 7 trustee (a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would generate if each Debtor’s chapter 11 case was converted to a chapter 7 case on the Effective Date and the assets of such Debtor’s estate were liquidated (the “</w:t>
      </w:r>
      <w:r>
        <w:rPr>
          <w:rFonts w:ascii="Arial" w:cs="Arial" w:eastAsia="Arial" w:hAnsi="Arial"/>
          <w:sz w:val="18"/>
          <w:szCs w:val="18"/>
          <w:b w:val="1"/>
          <w:bCs w:val="1"/>
          <w:u w:val="single" w:color="auto"/>
          <w:color w:val="auto"/>
        </w:rPr>
        <w:t>Liquidation Proceeds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20" w:right="100" w:hanging="334"/>
        <w:spacing w:after="0" w:line="277" w:lineRule="auto"/>
        <w:tabs>
          <w:tab w:leader="none" w:pos="74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determined the distribution that each holder of a Claim or Interest would receive from the Liquidation Proceeds under the priority scheme set forth in chapter 7 (the “</w:t>
      </w:r>
      <w:r>
        <w:rPr>
          <w:rFonts w:ascii="Arial" w:cs="Arial" w:eastAsia="Arial" w:hAnsi="Arial"/>
          <w:sz w:val="18"/>
          <w:szCs w:val="18"/>
          <w:b w:val="1"/>
          <w:bCs w:val="1"/>
          <w:u w:val="single" w:color="auto"/>
          <w:color w:val="auto"/>
        </w:rPr>
        <w:t>Liquidation Distribution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20" w:right="140" w:hanging="334"/>
        <w:spacing w:after="0" w:line="277" w:lineRule="auto"/>
        <w:tabs>
          <w:tab w:leader="none" w:pos="75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compared each holder’s Liquidation Distribution to the distribution such holder would receive under the Debtors’ chapter 11 Plan if the Plan were confirmed and consummated (the “</w:t>
      </w:r>
      <w:r>
        <w:rPr>
          <w:rFonts w:ascii="Arial" w:cs="Arial" w:eastAsia="Arial" w:hAnsi="Arial"/>
          <w:sz w:val="18"/>
          <w:szCs w:val="18"/>
          <w:b w:val="1"/>
          <w:bCs w:val="1"/>
          <w:u w:val="single" w:color="auto"/>
          <w:color w:val="auto"/>
        </w:rPr>
        <w:t>Plan Distribution</w:t>
      </w:r>
      <w:r>
        <w:rPr>
          <w:rFonts w:ascii="Arial" w:cs="Arial" w:eastAsia="Arial" w:hAnsi="Arial"/>
          <w:sz w:val="18"/>
          <w:szCs w:val="18"/>
          <w:color w:val="auto"/>
        </w:rPr>
        <w: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Liquidation Analysis represents an estimate of cash distributions and recovery percentages based on a hypothetical chapter 7 liquidation of the Debtors’ assets. It is therefore a hypothetical analysis based on certain assumptions discussed herein and in the Disclosure Statement. As such, asset values and claims discussed herein may differ materially from amounts referred to in the Plan and Disclosure Statement. The Liquidation Analysis should be read in conjunction with the assumptions, qualifications, and explanations set forth in the Disclosure Statement and the Plan in their entirety, as well as the notes and assumptions set forth below.</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determination of the costs of, and proceeds from, the hypothetical liquidation of the Debtors’ assets in a chapter 7 case involves the use of estimates and assumptions that, although considered reasonable by the Debtors based on their business judgment and input from their advisors, are subject to significant business, economic, and competitive uncertainties and contingencies beyond the control of the Debtors, their management and their advisors. The Liquidation Analysis was prepared for the sole purpose of generating a reasonable, good faith estimate of the proceeds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3" w:lineRule="exact"/>
        <w:rPr>
          <w:sz w:val="20"/>
          <w:szCs w:val="20"/>
          <w:color w:val="auto"/>
        </w:rPr>
      </w:pPr>
    </w:p>
    <w:p>
      <w:pPr>
        <w:ind w:right="160" w:firstLine="8"/>
        <w:spacing w:after="0" w:line="242" w:lineRule="auto"/>
        <w:tabs>
          <w:tab w:leader="none" w:pos="141" w:val="left"/>
        </w:tabs>
        <w:numPr>
          <w:ilvl w:val="0"/>
          <w:numId w:val="391"/>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this Liquidation Analysis is attached as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w:t>
      </w:r>
    </w:p>
    <w:p>
      <w:pPr>
        <w:spacing w:after="0" w:line="113" w:lineRule="exact"/>
        <w:rPr>
          <w:rFonts w:ascii="Arial" w:cs="Arial" w:eastAsia="Arial" w:hAnsi="Arial"/>
          <w:sz w:val="16"/>
          <w:szCs w:val="16"/>
          <w:color w:val="auto"/>
          <w:vertAlign w:val="superscript"/>
        </w:rPr>
      </w:pPr>
    </w:p>
    <w:p>
      <w:pPr>
        <w:ind w:right="160" w:firstLine="8"/>
        <w:spacing w:after="0" w:line="263" w:lineRule="auto"/>
        <w:tabs>
          <w:tab w:leader="none" w:pos="133" w:val="left"/>
        </w:tabs>
        <w:numPr>
          <w:ilvl w:val="0"/>
          <w:numId w:val="391"/>
        </w:numPr>
        <w:rPr>
          <w:rFonts w:ascii="Arial" w:cs="Arial" w:eastAsia="Arial" w:hAnsi="Arial"/>
          <w:sz w:val="15"/>
          <w:szCs w:val="15"/>
          <w:color w:val="auto"/>
          <w:vertAlign w:val="superscript"/>
        </w:rPr>
      </w:pPr>
      <w:r>
        <w:rPr>
          <w:rFonts w:ascii="Arial" w:cs="Arial" w:eastAsia="Arial" w:hAnsi="Arial"/>
          <w:sz w:val="12"/>
          <w:szCs w:val="12"/>
          <w:color w:val="auto"/>
        </w:rPr>
        <w:t>Additional references to chapter 7 throughout this exhibit assumed to encompass similar insolvency proceedings in non-US jurisdictions. Local / jurisdictional laws and/or rules governing liquidation priorities outside the US are assumed to be generally consistent with those set forth in chapter 7 of the Bankruptcy Code. Any deviations of such laws and/or rules would not materially impact the conclusions of this analysis.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9" w:name="page290"/>
    <w:bookmarkEnd w:id="289"/>
    <w:p>
      <w:pPr>
        <w:ind w:right="280"/>
        <w:spacing w:after="0" w:line="277" w:lineRule="auto"/>
        <w:rPr>
          <w:sz w:val="20"/>
          <w:szCs w:val="20"/>
          <w:color w:val="auto"/>
        </w:rPr>
      </w:pPr>
      <w:r>
        <w:rPr>
          <w:rFonts w:ascii="Arial" w:cs="Arial" w:eastAsia="Arial" w:hAnsi="Arial"/>
          <w:sz w:val="18"/>
          <w:szCs w:val="18"/>
          <w:color w:val="auto"/>
        </w:rPr>
        <w:t>would be generated if the Debtors’ assets were liquidated in accordance with chapter 7 of the Bankruptcy Code. The Liquidation Analysis is not intended, and should not be used, for any other purpose.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the limitations and risk factors set forth in the Disclosure Statement are applicable to this Liquidation Analysis and are incorporated by reference herein. The underlying financial information in the Liquidation Analysis was prepared using policies that are generally consistent with those applied in historical financial statements but was not compiled or examined by independent accountants and was not prepared to comply with GAAP or SEC reporting requirements.</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DEBTORS AND THEIR ADVISORS MAKE NO REPRESENTATIONS OR WARRANTIES REGARDING THE ACCURACY OF THE ESTIMATES CONTAINED HEREIN OR A CHAPTER 7 TRUSTEE’S ABILITY TO ACHIEVE FORECASTED RESULTS. IN THE EVENT THESE CHAPTER 11 CASES ARE CONVERTED TO A CHAPTER 7 LIQUIDATION, ACTUAL RESULTS COULD VARY FROM THE ESTIMATES SET FORTH IN THIS LIQUIDATION ANALYSIS.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Liquidation Analysis has been prepared assuming that the Debtors’ chapter 7 liquidation commences on or about September 30, 2019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pro forma values referenced herein are projected as of the Liquidation Date and utilize the March 31, 2019 balance sheet and projected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cash flow over the projection period to the assumed Liquidation Date. The Debtors have assumed that the Liquidation Date is a reasonable proxy for the anticipated Effective Date. The Liquidation Analysis was prepared on a legal entity basis for each Debtor (and non-debtor) and, for presentation purposes, summarized into a consolidated report.</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preparing the Liquidation Analysis, the Debtors estimated Allowed Claims based on a review of the Debtors’ financial statements and projected results of operations and cash flow over the projection period to account for estimated liabilities, as necessary. The cessation of business in a liquidation is likely to trigger certain claims and funding requirements that would otherwise not exist under the Plan absent a liquidation. Such claims could include chapter 7 administrative expense claims, including, wind down costs, trustee fees, and professional fees, among other claims. Some of these claims and funding obligations could be significant and would be entitled to administrative or priority status in payment from liquidation proceeds. The Debtors’ estimates of Allowed Claims set forth in the Liquidation Analysis should not be relied on for the purpose of determining the value of any distribution to be made on account of Allowed Claims or Interests under the Plan.</w:t>
      </w:r>
    </w:p>
    <w:p>
      <w:pPr>
        <w:spacing w:after="0" w:line="18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NOTHING CONTAINED IN THE LIQUIDATION ANALYSIS IS INTENDED TO BE, OR CONSTITUTES, A CONCESSION, ADMISSION, OR ALLOWANCE OF ANY CLAIM BY THE DEBTORS. THE ACTUAL AMOUNT OR PRIORITY OF ALLOWED CLAIMS IN THE CHAPTER 11 CASES COULD MATERIALLY DIFFER FROM THE ESTIMATED AMOUNTS SET FORTH AND USED IN THE LIQUIDATION ANALYSIS. THE DEBTORS RESERVE ALL RIGHTS TO SUPPLEMENT, MODIFY, OR AMEND THE ANALYSIS SET FORTH 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0" w:name="page291"/>
    <w:bookmarkEnd w:id="290"/>
    <w:p>
      <w:pPr>
        <w:ind w:right="20"/>
        <w:spacing w:after="0" w:line="259" w:lineRule="auto"/>
        <w:rPr>
          <w:sz w:val="20"/>
          <w:szCs w:val="20"/>
          <w:color w:val="auto"/>
        </w:rPr>
      </w:pPr>
      <w:r>
        <w:rPr>
          <w:rFonts w:ascii="Arial" w:cs="Arial" w:eastAsia="Arial" w:hAnsi="Arial"/>
          <w:sz w:val="18"/>
          <w:szCs w:val="18"/>
          <w:color w:val="auto"/>
        </w:rPr>
        <w:t>Chapter 7 administrative expense claims that arise in a liquidation scenario would be paid in full from the Liquidation Proceeds prior to proceeds being made available for distribution to holders of Allowed Claims. Under the “absolute priority rule,” no junior creditor may receive any distributions until all senior creditors are paid in full, and no equity holder may receive any distribution until all creditors are paid in full. The assumed distributions to creditors as reflected in the Liquidation Analysis are estimated in accordance with the absolute priority rule.</w:t>
      </w:r>
    </w:p>
    <w:p>
      <w:pPr>
        <w:spacing w:after="0" w:line="1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Liquidation Analysis does not include any recoveries or related litigation costs resulting from any potential preference, fraudulent transfer, or other litigation or avoidance actions that may be available under the Bankruptcy Code because of the cost of such litigation, the uncertainty of the outcome, and potential disputes regarding these matters. In addition, the Liquidation Analysis assumes all customer contracts are terminated on the Liquidation Date. Rejection damages claims have not, however, been estimated for purposes of this analysis, though such claims could be material. Finally, the Liquidation Analysis does not include estimates for the tax consequences that may be triggered upon the liquidation and sale of assets in the manner described above. Such tax consequences could be material.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LIQUIDATION PROCESS</w:t>
      </w:r>
    </w:p>
    <w:p>
      <w:pPr>
        <w:spacing w:after="0" w:line="229" w:lineRule="exact"/>
        <w:rPr>
          <w:sz w:val="20"/>
          <w:szCs w:val="20"/>
          <w:color w:val="auto"/>
        </w:rPr>
      </w:pPr>
    </w:p>
    <w:p>
      <w:pPr>
        <w:jc w:val="both"/>
        <w:ind w:right="220"/>
        <w:spacing w:after="0" w:line="273" w:lineRule="auto"/>
        <w:rPr>
          <w:sz w:val="20"/>
          <w:szCs w:val="20"/>
          <w:color w:val="auto"/>
        </w:rPr>
      </w:pPr>
      <w:r>
        <w:rPr>
          <w:rFonts w:ascii="Arial" w:cs="Arial" w:eastAsia="Arial" w:hAnsi="Arial"/>
          <w:sz w:val="18"/>
          <w:szCs w:val="18"/>
          <w:color w:val="auto"/>
        </w:rPr>
        <w:t>The Debtors’ liquidation would be conducted pursuant to chapter 7 of the Bankruptcy Code. The Debtors have assumed that their liquidation would occur over approximately six months during which the Trustee would efficiently and effectively monetize substantially all the assets on the consolidated balance sheet and administer and wind-down the estates.</w:t>
      </w:r>
      <w:r>
        <w:rPr>
          <w:rFonts w:ascii="Arial" w:cs="Arial" w:eastAsia="Arial" w:hAnsi="Arial"/>
          <w:sz w:val="23"/>
          <w:szCs w:val="23"/>
          <w:color w:val="auto"/>
          <w:vertAlign w:val="superscript"/>
        </w:rPr>
        <w:t>(3)</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the Trustee’s liquidation process, the initial step would be to develop a liquidation plan designed to generate proceeds from the sale of assets that it would then distribute to creditors. This liquidation process would have three major components:</w:t>
      </w:r>
    </w:p>
    <w:p>
      <w:pPr>
        <w:spacing w:after="0" w:line="166" w:lineRule="exact"/>
        <w:rPr>
          <w:sz w:val="20"/>
          <w:szCs w:val="20"/>
          <w:color w:val="auto"/>
        </w:rPr>
      </w:pPr>
    </w:p>
    <w:p>
      <w:pPr>
        <w:ind w:left="720" w:hanging="334"/>
        <w:spacing w:after="0"/>
        <w:tabs>
          <w:tab w:leader="none" w:pos="7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Cash proceeds from asset sales (“</w:t>
      </w:r>
      <w:r>
        <w:rPr>
          <w:rFonts w:ascii="Arial" w:cs="Arial" w:eastAsia="Arial" w:hAnsi="Arial"/>
          <w:sz w:val="18"/>
          <w:szCs w:val="18"/>
          <w:b w:val="1"/>
          <w:bCs w:val="1"/>
          <w:u w:val="single" w:color="auto"/>
          <w:color w:val="auto"/>
        </w:rPr>
        <w:t>Gross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Costs to liquidate the business and administer the estates under chapter 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Liquidation Adjustments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Remaining proceeds available for distribution to claimants (“</w:t>
      </w:r>
      <w:r>
        <w:rPr>
          <w:rFonts w:ascii="Arial" w:cs="Arial" w:eastAsia="Arial" w:hAnsi="Arial"/>
          <w:sz w:val="18"/>
          <w:szCs w:val="18"/>
          <w:b w:val="1"/>
          <w:bCs w:val="1"/>
          <w:u w:val="single" w:color="auto"/>
          <w:color w:val="auto"/>
        </w:rPr>
        <w:t>Net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Gross Distribution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Gross Distribution Proceeds reflect the proceeds the Trustee would generate from a hypothetical chapter 7 liquidation. Under section 704 of the Bankruptcy Code, a Trustee must, among other duties, collect and convert property of the Estates as expeditiously as is compatible with the best interests of parties in interest, which could result in potentially distressed recoveries. This Liquidation Analysis assumes the Trustee will market the assets on an accelerated timeline and consummate the sale transactions within six months from the Liquidation Date. Asset values in the liquidation process will likely be materially reduced due to, among other things,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firstLine="8"/>
        <w:spacing w:after="0"/>
        <w:tabs>
          <w:tab w:leader="none" w:pos="133" w:val="left"/>
        </w:tabs>
        <w:numPr>
          <w:ilvl w:val="0"/>
          <w:numId w:val="394"/>
        </w:numPr>
        <w:rPr>
          <w:rFonts w:ascii="Arial" w:cs="Arial" w:eastAsia="Arial" w:hAnsi="Arial"/>
          <w:sz w:val="15"/>
          <w:szCs w:val="15"/>
          <w:color w:val="auto"/>
          <w:vertAlign w:val="superscript"/>
        </w:rPr>
      </w:pPr>
      <w:r>
        <w:rPr>
          <w:rFonts w:ascii="Arial" w:cs="Arial" w:eastAsia="Arial" w:hAnsi="Arial"/>
          <w:sz w:val="12"/>
          <w:szCs w:val="12"/>
          <w:color w:val="auto"/>
        </w:rPr>
        <w:t>Although the Liquidation Analysis assumes the liquidation process would occur over a six-month period, it is possible the disposition and recovery from certain assets could take shorter or longer to realize.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color w:val="auto"/>
        </w:rPr>
        <w:t>accelerated time frame in which the assets are marketed and sold; (ii) negative vendor / customer reaction; and (iii) the generally forced nature of the sale.</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Debtors have assumed the Trustee will retain lawyers, financial advisors, and investment bankers to support the sale and transition of assets over the six-month liquidation period.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The Liquidation Adjustments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Liquidation Adjustments reflect the costs the Trustee would incur to monetize the assets and wind down the estates in chapter 7 and include the following:</w:t>
      </w:r>
    </w:p>
    <w:p>
      <w:pPr>
        <w:spacing w:after="0" w:line="166" w:lineRule="exact"/>
        <w:rPr>
          <w:sz w:val="20"/>
          <w:szCs w:val="20"/>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Expenses necessary to efficiently and effectively monetize the assets (the “</w:t>
      </w:r>
      <w:r>
        <w:rPr>
          <w:rFonts w:ascii="Arial" w:cs="Arial" w:eastAsia="Arial" w:hAnsi="Arial"/>
          <w:sz w:val="18"/>
          <w:szCs w:val="18"/>
          <w:b w:val="1"/>
          <w:bCs w:val="1"/>
          <w:color w:val="auto"/>
        </w:rPr>
        <w:t>Wind Down Budget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Chapter 7 professional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Chapter 7 Trustee fees;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Employee severance paid pursuant to local laws.</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Net Distribution Proceeds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Distribution Proceeds reflect amounts available to Holders of Claims after the Liquidation Adjustments are netted against the Gross Distribution Proceeds. Under this analysis, the Liquidation Proceeds are distributed to Holders of Claims against, and Equity Interests in, the Debtors in accordance with the Bankruptcy Code’s priority scheme:</w:t>
      </w:r>
    </w:p>
    <w:p>
      <w:pPr>
        <w:spacing w:after="0" w:line="181" w:lineRule="exact"/>
        <w:rPr>
          <w:sz w:val="20"/>
          <w:szCs w:val="20"/>
          <w:color w:val="auto"/>
        </w:rPr>
      </w:pPr>
    </w:p>
    <w:p>
      <w:pPr>
        <w:ind w:left="980" w:right="220" w:hanging="324"/>
        <w:spacing w:after="0" w:line="277" w:lineRule="auto"/>
        <w:tabs>
          <w:tab w:leader="none" w:pos="94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Superpriority Carve-Out Claims</w:t>
      </w:r>
      <w:r>
        <w:rPr>
          <w:rFonts w:ascii="Arial" w:cs="Arial" w:eastAsia="Arial" w:hAnsi="Arial"/>
          <w:sz w:val="18"/>
          <w:szCs w:val="18"/>
          <w:color w:val="auto"/>
        </w:rPr>
        <w:t xml:space="preserve"> — Claims attributed to accrued and unpaid fees for the U.S. Trustee and Clerk of the Bankruptcy Court, and certain professionals;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Superpriority DIP Claims</w:t>
      </w:r>
      <w:r>
        <w:rPr>
          <w:rFonts w:ascii="Arial" w:cs="Arial" w:eastAsia="Arial" w:hAnsi="Arial"/>
          <w:sz w:val="18"/>
          <w:szCs w:val="18"/>
          <w:color w:val="auto"/>
        </w:rPr>
        <w:t xml:space="preserve"> — Claims attributed to the DIP Credit Agreement, including accrued and unpaid principal and interest as of the Liquidation Date;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r>
        <w:rPr>
          <w:rFonts w:ascii="Arial" w:cs="Arial" w:eastAsia="Arial" w:hAnsi="Arial"/>
          <w:sz w:val="18"/>
          <w:szCs w:val="18"/>
          <w:color w:val="auto"/>
        </w:rPr>
        <w:t xml:space="preserve"> — there are no assumed Other Priority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r>
        <w:rPr>
          <w:rFonts w:ascii="Arial" w:cs="Arial" w:eastAsia="Arial" w:hAnsi="Arial"/>
          <w:sz w:val="18"/>
          <w:szCs w:val="18"/>
          <w:color w:val="auto"/>
        </w:rPr>
        <w:t xml:space="preserve"> — there are no assumed Other Secured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r>
        <w:rPr>
          <w:rFonts w:ascii="Arial" w:cs="Arial" w:eastAsia="Arial" w:hAnsi="Arial"/>
          <w:sz w:val="18"/>
          <w:szCs w:val="18"/>
          <w:color w:val="auto"/>
        </w:rPr>
        <w:t xml:space="preserve"> — Claims attributed to accrued and unpaid income, sales and use, franchise, property, VAT and other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Prepetition Revolving Credit Claims</w:t>
      </w:r>
      <w:r>
        <w:rPr>
          <w:rFonts w:ascii="Arial" w:cs="Arial" w:eastAsia="Arial" w:hAnsi="Arial"/>
          <w:sz w:val="16"/>
          <w:szCs w:val="16"/>
          <w:color w:val="auto"/>
        </w:rPr>
        <w:t xml:space="preserve"> — There are no assumed Prepetition Revolving Credit Claims for purposes of the Liquidation Analysis;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r>
        <w:rPr>
          <w:rFonts w:ascii="Arial" w:cs="Arial" w:eastAsia="Arial" w:hAnsi="Arial"/>
          <w:sz w:val="18"/>
          <w:szCs w:val="18"/>
          <w:color w:val="auto"/>
        </w:rPr>
        <w:t xml:space="preserve"> — There are no assumed Prepetition Term Loan Claims for purposes of the Liquidation Analysis;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92" w:name="page293"/>
    <w:bookmarkEnd w:id="292"/>
    <w:p>
      <w:pPr>
        <w:ind w:left="980" w:right="240" w:hanging="324"/>
        <w:spacing w:after="0" w:line="264"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r>
        <w:rPr>
          <w:rFonts w:ascii="Arial" w:cs="Arial" w:eastAsia="Arial" w:hAnsi="Arial"/>
          <w:sz w:val="18"/>
          <w:szCs w:val="18"/>
          <w:color w:val="auto"/>
        </w:rPr>
        <w:t xml:space="preserve"> — Claims for post-petition accounts payable, post-petition intercompany claims, post-petition accrued expenses, claims arising under section 503(b)(9) of the Bankruptcy Code, and certain unsecured claims entitled to priority under section 507 of the Bankruptcy Code;</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r>
        <w:rPr>
          <w:rFonts w:ascii="Arial" w:cs="Arial" w:eastAsia="Arial" w:hAnsi="Arial"/>
          <w:sz w:val="18"/>
          <w:szCs w:val="18"/>
          <w:color w:val="auto"/>
        </w:rPr>
        <w:t xml:space="preserve"> — Claims arising from the unsecured senior revolving credit agreement;</w:t>
      </w:r>
    </w:p>
    <w:p>
      <w:pPr>
        <w:spacing w:after="0" w:line="221"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r>
        <w:rPr>
          <w:rFonts w:ascii="Arial" w:cs="Arial" w:eastAsia="Arial" w:hAnsi="Arial"/>
          <w:sz w:val="18"/>
          <w:szCs w:val="18"/>
          <w:color w:val="auto"/>
        </w:rPr>
        <w:t xml:space="preserve"> — Claims arising from unsecured senior notes, including (collectively, the “</w:t>
      </w:r>
      <w:r>
        <w:rPr>
          <w:rFonts w:ascii="Arial" w:cs="Arial" w:eastAsia="Arial" w:hAnsi="Arial"/>
          <w:sz w:val="18"/>
          <w:szCs w:val="18"/>
          <w:b w:val="1"/>
          <w:bCs w:val="1"/>
          <w:u w:val="single" w:color="auto"/>
          <w:color w:val="auto"/>
        </w:rPr>
        <w:t>Prepetition Notes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5.125% Senior Notes due 2020</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5.875%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7.75%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4.50% Senior Notes due 2022</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8.25% Senior Notes due 2023</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9.875% Senior Notes due 2024</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9.875% Senior Notes due 2025</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6.50% Senior Notes due 2036</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6.80% Senior Notes due 2037</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7.00% Senior Notes due 2038</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9.875% Senior Notes due 2039</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6.75% Senior Notes due 2040</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5.95% Senior Notes due 2042</w:t>
      </w:r>
    </w:p>
    <w:p>
      <w:pPr>
        <w:spacing w:after="0" w:line="21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r>
        <w:rPr>
          <w:rFonts w:ascii="Arial" w:cs="Arial" w:eastAsia="Arial" w:hAnsi="Arial"/>
          <w:sz w:val="18"/>
          <w:szCs w:val="18"/>
          <w:color w:val="auto"/>
        </w:rPr>
        <w:t xml:space="preserve"> — Claims arising from non-priority debt, including certain pre-petition liabilities not subject to first-day relief and various other unsecured liabilities;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r>
        <w:rPr>
          <w:rFonts w:ascii="Arial" w:cs="Arial" w:eastAsia="Arial" w:hAnsi="Arial"/>
          <w:sz w:val="18"/>
          <w:szCs w:val="18"/>
          <w:color w:val="auto"/>
        </w:rPr>
        <w:t xml:space="preserve"> — Claims arising from amounts the Debtors owe to other Debtors and/or non-debtor entities;</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r>
        <w:rPr>
          <w:rFonts w:ascii="Arial" w:cs="Arial" w:eastAsia="Arial" w:hAnsi="Arial"/>
          <w:sz w:val="18"/>
          <w:szCs w:val="18"/>
          <w:color w:val="auto"/>
        </w:rPr>
        <w:t xml:space="preserve"> — Claims arising from common equity interests in Weatherford International plc resulting from the issuance of common stock;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r>
        <w:rPr>
          <w:rFonts w:ascii="Arial" w:cs="Arial" w:eastAsia="Arial" w:hAnsi="Arial"/>
          <w:sz w:val="18"/>
          <w:szCs w:val="18"/>
          <w:color w:val="auto"/>
        </w:rPr>
        <w:t xml:space="preserve"> — Claims arising from equity interests in other Debtors and non-debtor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Debtors have determined, as summarized in the table below, on the Effective Date, that the Plan will provide all Holders of Allowed Claims and Interests with a recovery that is not less than what they would otherwise receive pursuant to a liquidation of the Debtors’ assets under chapter 7 of the Bankruptcy Code. Accordingly, the Plan satisfies the requirement of 1129(a)(7) of the Bankruptcy Code.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5351145" cy="19983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Liquidation Analysis should be reviewed with the accompanying “Specific Notes to the Liquidation Analysis” set forth on the following pages.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below tables reflect the consolidation of the standalone liquidation analyses for each Debtor and non-debtor.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94" w:name="page295"/>
    <w:bookmarkEnd w:id="2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5" w:name="page296"/>
    <w:bookmarkEnd w:id="2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6" w:name="page297"/>
    <w:bookmarkEnd w:id="296"/>
    <w:p>
      <w:pPr>
        <w:ind w:left="3500"/>
        <w:spacing w:after="0"/>
        <w:rPr>
          <w:sz w:val="20"/>
          <w:szCs w:val="20"/>
          <w:color w:val="auto"/>
        </w:rPr>
      </w:pPr>
      <w:r>
        <w:rPr>
          <w:rFonts w:ascii="Arial" w:cs="Arial" w:eastAsia="Arial" w:hAnsi="Arial"/>
          <w:sz w:val="18"/>
          <w:szCs w:val="18"/>
          <w:b w:val="1"/>
          <w:bCs w:val="1"/>
          <w:color w:val="auto"/>
        </w:rPr>
        <w:t>SPECIFIC NOTES TO THE LIQUIDATION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Gross Liquidation Proceeds from External Assets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below table summarizes asset recoverability percentages for the Debtors’ and non-debtors’ assets. Net Distribution Proceeds on the sale of non-debtor assets are recovered by the Debtors via settlement of intercompany receivables and/or equity distributions factoring the priority of claims that reside at each non-debtor (reference Value Redistribution section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20" w:type="dxa"/>
            <w:vAlign w:val="bottom"/>
            <w:vMerge w:val="restart"/>
          </w:tcPr>
          <w:p>
            <w:pPr>
              <w:jc w:val="center"/>
              <w:ind w:left="988"/>
              <w:spacing w:after="0"/>
              <w:rPr>
                <w:sz w:val="20"/>
                <w:szCs w:val="20"/>
                <w:color w:val="auto"/>
              </w:rPr>
            </w:pPr>
            <w:r>
              <w:rPr>
                <w:rFonts w:ascii="Arial" w:cs="Arial" w:eastAsia="Arial" w:hAnsi="Arial"/>
                <w:sz w:val="14"/>
                <w:szCs w:val="14"/>
                <w:b w:val="1"/>
                <w:bCs w:val="1"/>
                <w:color w:val="auto"/>
                <w:w w:val="95"/>
              </w:rPr>
              <w:t>Debtors’</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Note</w:t>
            </w:r>
          </w:p>
        </w:tc>
        <w:tc>
          <w:tcPr>
            <w:tcW w:w="496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Asset Type / Assumptions</w:t>
            </w:r>
          </w:p>
        </w:tc>
        <w:tc>
          <w:tcPr>
            <w:tcW w:w="2720" w:type="dxa"/>
            <w:vAlign w:val="bottom"/>
            <w:vMerge w:val="continue"/>
          </w:tcPr>
          <w:p>
            <w:pPr>
              <w:spacing w:after="0"/>
              <w:rPr>
                <w:sz w:val="12"/>
                <w:szCs w:val="12"/>
                <w:color w:val="auto"/>
              </w:rPr>
            </w:pPr>
          </w:p>
        </w:tc>
        <w:tc>
          <w:tcPr>
            <w:tcW w:w="110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4960" w:type="dxa"/>
            <w:vAlign w:val="bottom"/>
            <w:vMerge w:val="continue"/>
          </w:tcPr>
          <w:p>
            <w:pPr>
              <w:spacing w:after="0"/>
              <w:rPr>
                <w:sz w:val="16"/>
                <w:szCs w:val="16"/>
                <w:color w:val="auto"/>
              </w:rPr>
            </w:pPr>
          </w:p>
        </w:tc>
        <w:tc>
          <w:tcPr>
            <w:tcW w:w="2720" w:type="dxa"/>
            <w:vAlign w:val="bottom"/>
          </w:tcPr>
          <w:p>
            <w:pPr>
              <w:jc w:val="center"/>
              <w:ind w:left="988"/>
              <w:spacing w:after="0"/>
              <w:rPr>
                <w:sz w:val="20"/>
                <w:szCs w:val="20"/>
                <w:color w:val="auto"/>
              </w:rPr>
            </w:pPr>
            <w:r>
              <w:rPr>
                <w:rFonts w:ascii="Arial" w:cs="Arial" w:eastAsia="Arial" w:hAnsi="Arial"/>
                <w:sz w:val="14"/>
                <w:szCs w:val="14"/>
                <w:b w:val="1"/>
                <w:bCs w:val="1"/>
                <w:color w:val="auto"/>
                <w:w w:val="91"/>
              </w:rPr>
              <w:t>Recovery</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575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1360" w:right="3600" w:hanging="883"/>
        <w:spacing w:after="0" w:line="281" w:lineRule="auto"/>
        <w:tabs>
          <w:tab w:leader="none" w:pos="13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Unrestricted cash consist of all cash and liquid investments, if applicable, with maturities of three months or less in bank accounts, and restricted cash consist of cash collateralizing letters of credit. The Liquidation Analysis assumes cash collateralized letters of credit are</w:t>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drawn on the Liquidation Date and are not recoverable.</w:t>
            </w: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26%</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r>
      <w:tr>
        <w:trPr>
          <w:trHeight w:val="202"/>
        </w:trPr>
        <w:tc>
          <w:tcPr>
            <w:tcW w:w="98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B</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Accounts Receivable consist of trade amounts owed for equipment and services provided</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 oil &amp; natural gas exploration and production customers. The analysis assumes that</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customers would terminate contracts at the Liquidation Date and offset the costs associated</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with switching to a new provider against amounts owed. The interruption of business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caused by the liquidation could further impact the ability of the Trustee to collect on these</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C</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Inventory consist of a wide variety of raw materials as well as parts and components made</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by other manufacturers and suppliers used as part of manufacturing operations.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Additionally, Inventory includes items that are sold to outside customers, or used as spares,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consumables, or replacement parts to support oilfield services provided to customers on a</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contract service or rental basis.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D</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Current Assets consist of prepaid (1) customs and duties fees, insurance, rent, taxes</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other miscellaneous prepaid items; (2) supplier, customer and other miscellaneous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deposits; (3) deferred charges; and (4) deferred tax assets. Prepaid expenses are assumed to</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 recoverable to the extent such amounts can be refunded or used to offset expenses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included in the Wind Down</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r>
      <w:tr>
        <w:trPr>
          <w:trHeight w:val="648"/>
        </w:trPr>
        <w:tc>
          <w:tcPr>
            <w:tcW w:w="980" w:type="dxa"/>
            <w:vAlign w:val="bottom"/>
          </w:tcPr>
          <w:p>
            <w:pPr>
              <w:spacing w:after="0"/>
              <w:rPr>
                <w:sz w:val="24"/>
                <w:szCs w:val="24"/>
                <w:color w:val="auto"/>
              </w:rPr>
            </w:pPr>
          </w:p>
        </w:tc>
        <w:tc>
          <w:tcPr>
            <w:tcW w:w="7660" w:type="dxa"/>
            <w:vAlign w:val="bottom"/>
          </w:tcPr>
          <w:p>
            <w:pPr>
              <w:ind w:left="4640"/>
              <w:spacing w:after="0"/>
              <w:rPr>
                <w:sz w:val="20"/>
                <w:szCs w:val="20"/>
                <w:color w:val="auto"/>
              </w:rPr>
            </w:pPr>
            <w:r>
              <w:rPr>
                <w:rFonts w:ascii="Arial" w:cs="Arial" w:eastAsia="Arial" w:hAnsi="Arial"/>
                <w:sz w:val="18"/>
                <w:szCs w:val="18"/>
                <w:color w:val="auto"/>
              </w:rPr>
              <w:t>10</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Debtors’</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688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Asset Type / Assumptions</w:t>
            </w: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71"/>
        </w:trPr>
        <w:tc>
          <w:tcPr>
            <w:tcW w:w="1360" w:type="dxa"/>
            <w:vAlign w:val="bottom"/>
            <w:gridSpan w:val="2"/>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Recovery</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Budget. Additionally, Other Current Assets include rig assets currently marketed for sale.</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3460" w:hanging="874"/>
        <w:spacing w:after="0" w:line="285" w:lineRule="auto"/>
        <w:tabs>
          <w:tab w:leader="none" w:pos="136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Property, Plant &amp; Equipment (“PP&amp;E”) includes drilling tools, manufacturing equipment, service equipment and rental equipment used in providing services across four primary offerings: (1) Production, (2) Completions, (3) Drilling and Evaluation and (4) Well Construction. Additionally, PP&amp;E includes domestic and international owned real estate, as well as other miscellaneous assets (automobiles, FF&amp;E, leasehold improvements, etc.).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0979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980" w:type="dxa"/>
            <w:vAlign w:val="bottom"/>
          </w:tcPr>
          <w:p>
            <w:pPr>
              <w:spacing w:after="0"/>
              <w:rPr>
                <w:sz w:val="17"/>
                <w:szCs w:val="17"/>
                <w:color w:val="auto"/>
              </w:rPr>
            </w:pPr>
          </w:p>
        </w:tc>
        <w:tc>
          <w:tcPr>
            <w:tcW w:w="7700" w:type="dxa"/>
            <w:vAlign w:val="bottom"/>
          </w:tcPr>
          <w:p>
            <w:pPr>
              <w:ind w:left="380"/>
              <w:spacing w:after="0" w:line="204" w:lineRule="exact"/>
              <w:rPr>
                <w:sz w:val="20"/>
                <w:szCs w:val="20"/>
                <w:color w:val="auto"/>
              </w:rPr>
            </w:pPr>
            <w:r>
              <w:rPr>
                <w:rFonts w:ascii="Arial" w:cs="Arial" w:eastAsia="Arial" w:hAnsi="Arial"/>
                <w:sz w:val="18"/>
                <w:szCs w:val="18"/>
                <w:color w:val="auto"/>
              </w:rPr>
              <w:t>Liquidation Analysis assumes all active customer contracts are terminated upon conversion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to a chapter 7 but the Debtors have not quantified respective rejection damages claims for</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purposes of the Liquidation Analysis. Such claims could be material.</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15%</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F</w:t>
            </w:r>
          </w:p>
        </w:tc>
        <w:tc>
          <w:tcPr>
            <w:tcW w:w="77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Goodwill represents the excess of consideration paid over the fair value of net tangible and</w:t>
            </w:r>
          </w:p>
        </w:tc>
        <w:tc>
          <w:tcPr>
            <w:tcW w:w="1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980" w:type="dxa"/>
            <w:vAlign w:val="bottom"/>
            <w:shd w:val="clear" w:color="auto" w:fill="CCEEFF"/>
          </w:tcPr>
          <w:p>
            <w:pPr>
              <w:spacing w:after="0"/>
              <w:rPr>
                <w:sz w:val="20"/>
                <w:szCs w:val="20"/>
                <w:color w:val="auto"/>
              </w:rPr>
            </w:pPr>
          </w:p>
        </w:tc>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identifiable intangible assets acquired in business combinations.</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360" w:right="3740" w:hanging="883"/>
        <w:spacing w:after="0" w:line="291" w:lineRule="auto"/>
        <w:tabs>
          <w:tab w:leader="none" w:pos="13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Intangible Assets, excluding goodwill, consist of acquired technology, licenses, patents, customer relationships and other identifiable intangible assets. Intangible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685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980" w:type="dxa"/>
            <w:vAlign w:val="bottom"/>
          </w:tcPr>
          <w:p>
            <w:pPr>
              <w:spacing w:after="0"/>
              <w:rPr>
                <w:sz w:val="17"/>
                <w:szCs w:val="17"/>
                <w:color w:val="auto"/>
              </w:rPr>
            </w:pPr>
          </w:p>
        </w:tc>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amortized over their estimated economic lives generally ranging from two to 20 years,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except for intangible assets with indefinite lives, which are not amortized, but tested for</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H</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Long-Term Assets consist of (1) capitalized debt issuance costs; (2) deferred</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charges/deposits; and (3) deferred tax assets. Certain deposits are assumed to be</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recoverable to the extent such amounts can be refunded or used to offset expenses included</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 the Wind Down Budget.</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Liquidation Adjustments</w:t>
      </w:r>
    </w:p>
    <w:p>
      <w:pPr>
        <w:spacing w:after="0" w:line="225" w:lineRule="exact"/>
        <w:rPr>
          <w:sz w:val="20"/>
          <w:szCs w:val="20"/>
          <w:color w:val="auto"/>
        </w:rPr>
      </w:pPr>
    </w:p>
    <w:p>
      <w:pPr>
        <w:ind w:left="320" w:hanging="312"/>
        <w:spacing w:after="0"/>
        <w:tabs>
          <w:tab w:leader="none" w:pos="3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Wind Down Budget</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The Wind Down Budget includes the expenses the Trustee will incur to efficiently and effectively monetize the assets over the six-month liquidation period. These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98" w:name="page299"/>
    <w:bookmarkEnd w:id="298"/>
    <w:p>
      <w:pPr>
        <w:jc w:val="both"/>
        <w:ind w:left="980" w:right="160"/>
        <w:spacing w:after="0" w:line="264" w:lineRule="auto"/>
        <w:rPr>
          <w:sz w:val="20"/>
          <w:szCs w:val="20"/>
          <w:color w:val="auto"/>
        </w:rPr>
      </w:pPr>
      <w:r>
        <w:rPr>
          <w:rFonts w:ascii="Arial" w:cs="Arial" w:eastAsia="Arial" w:hAnsi="Arial"/>
          <w:sz w:val="18"/>
          <w:szCs w:val="18"/>
          <w:color w:val="auto"/>
        </w:rPr>
        <w:t>relate to labor, building rent, warehouses and facilities expenses, transportation expense, insurance, health and safety expenses, and taxes. The Liquidation Analysis assumes total wind down costs of approximately $47 million for the Debtors and non-debtors over the six-month period following the Liquidation Date.</w:t>
      </w:r>
    </w:p>
    <w:p>
      <w:pPr>
        <w:spacing w:after="0" w:line="181" w:lineRule="exact"/>
        <w:rPr>
          <w:sz w:val="20"/>
          <w:szCs w:val="20"/>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Professional Fees</w:t>
      </w:r>
    </w:p>
    <w:p>
      <w:pPr>
        <w:spacing w:after="0" w:line="225" w:lineRule="exact"/>
        <w:rPr>
          <w:rFonts w:ascii="Arial" w:cs="Arial" w:eastAsia="Arial" w:hAnsi="Arial"/>
          <w:sz w:val="18"/>
          <w:szCs w:val="18"/>
          <w:color w:val="auto"/>
        </w:rPr>
      </w:pPr>
    </w:p>
    <w:p>
      <w:pPr>
        <w:ind w:left="980" w:hanging="324"/>
        <w:spacing w:after="0" w:line="257" w:lineRule="auto"/>
        <w:tabs>
          <w:tab w:leader="none" w:pos="94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post-conversion Professional Fees include estimates for certain professionals that will provide assistance and services during the wind down period. The Liquidation Analysis assumes the Trustee will retain lawyers, financial advisors, and investment bankers to assist in the liquidation. These advisors will assist in marketing the Debtors’ assets, litigating claims and resolving tax litigation matters, and resolving other matters relating to the wind down of the Debtors’ estates. The Liquidation Analysis estimates Professional Fees at a range of 1% to 2% of Gross Liquidation Proceeds from External Assets.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Trustee Fees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Section 326(a) of the Bankruptcy Code provides that Trustee Fees may not exceed 3% of distributable proceeds </w:t>
      </w:r>
      <w:r>
        <w:rPr>
          <w:rFonts w:ascii="Arial" w:cs="Arial" w:eastAsia="Arial" w:hAnsi="Arial"/>
          <w:sz w:val="17"/>
          <w:szCs w:val="17"/>
          <w:i w:val="1"/>
          <w:iCs w:val="1"/>
          <w:color w:val="auto"/>
        </w:rPr>
        <w:t>in excess</w:t>
      </w:r>
      <w:r>
        <w:rPr>
          <w:rFonts w:ascii="Arial" w:cs="Arial" w:eastAsia="Arial" w:hAnsi="Arial"/>
          <w:sz w:val="17"/>
          <w:szCs w:val="17"/>
          <w:color w:val="auto"/>
        </w:rPr>
        <w:t xml:space="preserve"> of $1 million. The Liquidation Analysis assumes the Trustee Fees would be 1% of Gross Liquidation Proceeds from External Assets.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Severance Costs</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4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In certain locations, local laws require the accrual of eventual separation payments that will be due upon the termination of employees regardless of the reason for separation. The Liquidation Analysis assumes total severance payments for the Debtors and non-debtors of approximately $70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Value Redistribution</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For purposes of determining the recoverability of (i) intercompany receivables owed to the Debtors from non-debtor entities and (ii) the Debtors’ equity interests in non-debtor subsidiaries, individual liquidation analyses were performed on each Debtor and non-debtor entity on a standalone basis. The recoverability of the Debtors’ intercompany receivables and investments in subsidiaries was calculated prior to determining the proceeds available for distribution to the Debtors’ claimants.</w:t>
      </w:r>
    </w:p>
    <w:p>
      <w:pPr>
        <w:spacing w:after="0" w:line="187" w:lineRule="exact"/>
        <w:rPr>
          <w:sz w:val="20"/>
          <w:szCs w:val="20"/>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Intercompany Receivables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Historically, the Debtors and their subsidiaries created intercompany loans on an as-needed basis pursuant to various transactions related to intercompany trade debt, note agreements, overhead and expense allocations, and other intercompany charges. In addition, there are several entities that act as cash poolers for the organization. Intercompany loan agreements reflect arm’s length interest rates in effect at the commencement of the loans. The recoverability of Intercompany Receivables owed to the Debtors is assumed to be approximately 3%, or $404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9" w:name="page300"/>
    <w:bookmarkEnd w:id="299"/>
    <w:p>
      <w:pPr>
        <w:ind w:left="340" w:hanging="332"/>
        <w:spacing w:after="0"/>
        <w:tabs>
          <w:tab w:leader="none" w:pos="34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Investments in Subsidiaries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Debtors’ Investments in Subsidiaries include the Debtors’ equity interests in debtor and non-debtor subsidiaries. The Liquidation Analysis assumes de minimis recoveries on the Debtors’ equity interests in non-debtor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Liquidation Proceeds Available for Distribution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the Liquidation Analysis, the Net Liquidation Proceeds Available for Distribution to the Debtors’ claimants range from approximately $455 million to $654 million. As discussed below, these proceeds are divided between proceeds encumbered by secured claims and proceeds unencumbered by secured claims.</w:t>
      </w:r>
    </w:p>
    <w:p>
      <w:pPr>
        <w:spacing w:after="0" w:line="181" w:lineRule="exact"/>
        <w:rPr>
          <w:sz w:val="20"/>
          <w:szCs w:val="20"/>
          <w:color w:val="auto"/>
        </w:rPr>
      </w:pPr>
    </w:p>
    <w:p>
      <w:pPr>
        <w:ind w:left="340" w:hanging="332"/>
        <w:spacing w:after="0"/>
        <w:tabs>
          <w:tab w:leader="none" w:pos="34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Proceeds 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Liquidation Analysis assumes a range of approximately $455 million to $654 million in proceeds encumbered by secured claims at the Debtors.</w:t>
      </w:r>
    </w:p>
    <w:p>
      <w:pPr>
        <w:spacing w:after="0" w:line="237" w:lineRule="exact"/>
        <w:rPr>
          <w:sz w:val="20"/>
          <w:szCs w:val="20"/>
          <w:color w:val="auto"/>
        </w:rPr>
      </w:pPr>
    </w:p>
    <w:p>
      <w:pPr>
        <w:ind w:left="320" w:hanging="312"/>
        <w:spacing w:after="0"/>
        <w:tabs>
          <w:tab w:leader="none" w:pos="32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are no 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Claims</w:t>
      </w:r>
    </w:p>
    <w:p>
      <w:pPr>
        <w:spacing w:after="0" w:line="225" w:lineRule="exact"/>
        <w:rPr>
          <w:sz w:val="20"/>
          <w:szCs w:val="20"/>
          <w:color w:val="auto"/>
        </w:rPr>
      </w:pPr>
    </w:p>
    <w:p>
      <w:pPr>
        <w:ind w:left="340" w:hanging="332"/>
        <w:spacing w:after="0"/>
        <w:tabs>
          <w:tab w:leader="none" w:pos="34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DIP Claims and DIP Carveout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DIP Claims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Bankruptcy Code grants superpriority status to claims made pursuant to the Debtors’ DIP Credit Agreement. The Liquidation Analysis assumes DIP Claims outstanding as of the Liquidation Date include unpaid principal and interest in the amount of approximately $1,744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Carve-Out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proposed DIP Order grants superpriority status to chapter 11 Professional Persons for fees incurred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notice of conversion to a chapter 7 liquidation, allowed by the Bankruptcy Court, and payable under the Bankruptcy Code. Additionally, the proposed DIP Order provides for payment of fees to chapter 11 Professionals, subject to the Post Carve-Out Trigger Notice Cap (as defined in the proposed DIP Order), incurred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date the DIP Agent issues a default notice (assumed conversion to a chapter 7 liquidation thereafter).</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DIP Credit Agreement is guaranteed by certain non-debtor entities. Claims at guarantor non-debtor entities are treated as secured claims (classified as Other Secured Claims at non-debtors). The Liquidation Analysis assumes the Liquidation Proceeds (from Debtors and non-debtor guarantors, in the aggregate) would be sufficient to satisfy 100% of the DIP Claims and DIP Carve-Out Claims.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0" w:name="page301"/>
    <w:bookmarkEnd w:id="300"/>
    <w:p>
      <w:pPr>
        <w:ind w:left="340" w:hanging="332"/>
        <w:spacing w:after="0"/>
        <w:tabs>
          <w:tab w:leader="none" w:pos="34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Other Priority Claims as of the Liquidation Date.</w:t>
      </w:r>
    </w:p>
    <w:p>
      <w:pPr>
        <w:spacing w:after="0" w:line="225"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Liquidation Analysis assumes there will be no Other Secured Claims at the Debtors as of the Liquidation Date. Reference above treatment for claims arising from the DIP credit Agreement for non-debtor guarantors.</w:t>
      </w:r>
    </w:p>
    <w:p>
      <w:pPr>
        <w:spacing w:after="0" w:line="170" w:lineRule="exact"/>
        <w:rPr>
          <w:sz w:val="20"/>
          <w:szCs w:val="20"/>
          <w:color w:val="auto"/>
        </w:rPr>
      </w:pPr>
    </w:p>
    <w:p>
      <w:pPr>
        <w:ind w:left="320" w:hanging="312"/>
        <w:spacing w:after="0"/>
        <w:tabs>
          <w:tab w:leader="none" w:pos="32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Secured Tax Claims consist of accrued and unpaid income, sales and use, franchise, property, VAT and other taxes owed at the Debtors and non-debtors. The Liquidation Analysis assumes the Liquidation Proceeds would be sufficient to satisfy approximately 100% and 96% of the Secured Tax Claims at the Debtors and non-debtors, respectively.</w:t>
      </w:r>
    </w:p>
    <w:p>
      <w:pPr>
        <w:spacing w:after="0" w:line="181" w:lineRule="exact"/>
        <w:rPr>
          <w:sz w:val="20"/>
          <w:szCs w:val="20"/>
          <w:color w:val="auto"/>
        </w:rPr>
      </w:pPr>
    </w:p>
    <w:p>
      <w:pPr>
        <w:ind w:left="340" w:hanging="332"/>
        <w:spacing w:after="0"/>
        <w:tabs>
          <w:tab w:leader="none" w:pos="34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Prepetition Revolving Credit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Chapter 11 Administrative Expense &amp; Priority Claims consist of estimated post-petition accrued operating expenditures and other administrative and professional services. The Liquidation Analysis assumes approximately $1 million in Chapter 11 Administrative Expense &amp; Priority Claims at the Liquidation Date. The Liquidation Analysis further assumes the Liquidation Proceeds would be sufficient to satisfy approximately 100% of the Chapter 11 Administrative Expense &amp; Priority Claims.</w:t>
      </w:r>
    </w:p>
    <w:p>
      <w:pPr>
        <w:spacing w:after="0" w:line="187" w:lineRule="exact"/>
        <w:rPr>
          <w:sz w:val="20"/>
          <w:szCs w:val="20"/>
          <w:color w:val="auto"/>
        </w:rPr>
      </w:pPr>
    </w:p>
    <w:p>
      <w:pPr>
        <w:ind w:left="340" w:hanging="332"/>
        <w:spacing w:after="0"/>
        <w:tabs>
          <w:tab w:leader="none" w:pos="34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Prepetition A&amp;R Claims consist of claims arising from the unsecured senior revolving credit agreement for accrued and unpaid principal, interest and fees through June 30, 2019. The Prepetition A&amp;R Claims are guaranteed by certain non-debtor entities. The Liquidation Analysis assumes approximately $307 million in Prepetition A&amp;R Claims at the Liquidation Date. The Liquidation Analysis further assumes the Liquidation Proceeds (at the Debtors and non-debtor guarantors) would be sufficient to satisfy approximately 100% of the Prepetition A&amp;R Claims.</w:t>
      </w:r>
    </w:p>
    <w:p>
      <w:pPr>
        <w:spacing w:after="0" w:line="171" w:lineRule="exact"/>
        <w:rPr>
          <w:sz w:val="20"/>
          <w:szCs w:val="20"/>
          <w:color w:val="auto"/>
        </w:rPr>
      </w:pPr>
    </w:p>
    <w:p>
      <w:pPr>
        <w:ind w:left="320" w:hanging="312"/>
        <w:spacing w:after="0"/>
        <w:tabs>
          <w:tab w:leader="none" w:pos="32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Prepetition Note Claims consist of claims arising Claims arising from the Senior unsecured Notes for accrued and unpaid principal, interest and fees through June 30, 2019. The Liquidation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1" w:name="page302"/>
    <w:bookmarkEnd w:id="301"/>
    <w:p>
      <w:pPr>
        <w:spacing w:after="0" w:line="277" w:lineRule="auto"/>
        <w:rPr>
          <w:sz w:val="20"/>
          <w:szCs w:val="20"/>
          <w:color w:val="auto"/>
        </w:rPr>
      </w:pPr>
      <w:r>
        <w:rPr>
          <w:rFonts w:ascii="Arial" w:cs="Arial" w:eastAsia="Arial" w:hAnsi="Arial"/>
          <w:sz w:val="18"/>
          <w:szCs w:val="18"/>
          <w:color w:val="auto"/>
        </w:rPr>
        <w:t>Analysis assumes approximately $7,620 million in Prepetition Note Claims at the Liquidation Date. The Liquidation Analysis further assumes the Liquidation Proceeds would be sufficient to satisfy approximately 4% of the Prepetition Note Claims.</w:t>
      </w:r>
    </w:p>
    <w:p>
      <w:pPr>
        <w:spacing w:after="0" w:line="170" w:lineRule="exact"/>
        <w:rPr>
          <w:sz w:val="20"/>
          <w:szCs w:val="20"/>
          <w:color w:val="auto"/>
        </w:rPr>
      </w:pPr>
    </w:p>
    <w:p>
      <w:pPr>
        <w:ind w:left="340" w:hanging="332"/>
        <w:spacing w:after="0"/>
        <w:tabs>
          <w:tab w:leader="none" w:pos="34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 Unsecured Claims consist certain pre-petition liabilities not subject to first-day relief (applicable to Debtors), and other accrued and unpaid operating, administrative and professional services-related expenditures at non-debtors outstanding on the Liquidation Date. The actual amount of General Unsecured Claims could vary materially from these estimates. No order has been entered by the Bankruptcy Court estimating or otherwise fixing the amount of General Unsecured Claims at the Debtors. The Liquidation Analysis assumes approximately $7 million and $1,225 million in General Unsecured Claims at the Liquidation Date at the Debtors and non-debtors, respectively. The Liquidation Analysis further assumes the Liquidation Proceeds would be sufficient to satisfy approximately 2% and 32% of the General Unsecured Claims at the Debtors and non-debtors, respectively.</w:t>
      </w:r>
    </w:p>
    <w:p>
      <w:pPr>
        <w:spacing w:after="0" w:line="165" w:lineRule="exact"/>
        <w:rPr>
          <w:sz w:val="20"/>
          <w:szCs w:val="20"/>
          <w:color w:val="auto"/>
        </w:rPr>
      </w:pPr>
    </w:p>
    <w:p>
      <w:pPr>
        <w:ind w:left="360" w:hanging="352"/>
        <w:spacing w:after="0"/>
        <w:tabs>
          <w:tab w:leader="none" w:pos="36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Intercompany Claims consist of amounts owed by and between the Debtors and/or non-debtor entities for pre-petition intercompany activity. The Liquidation Analysis assumes approximately $19,274 million in Intercompany Claims owed by the Debtors to non-debtors at the Liquidation Date. The Liquidation Analysis further assumes there would be no recovery on these Claims. See Value Redistribution section above for further detail on recoverability of amounts owed by the non-debtors to the Debtors.</w:t>
      </w:r>
    </w:p>
    <w:p>
      <w:pPr>
        <w:spacing w:after="0" w:line="187" w:lineRule="exact"/>
        <w:rPr>
          <w:sz w:val="20"/>
          <w:szCs w:val="20"/>
          <w:color w:val="auto"/>
        </w:rPr>
      </w:pPr>
    </w:p>
    <w:p>
      <w:pPr>
        <w:ind w:left="340" w:hanging="332"/>
        <w:spacing w:after="0"/>
        <w:tabs>
          <w:tab w:leader="none" w:pos="34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Existing Common Stock consist of common equity interests in Weatherford International arising from the issuance of common stock. The Liquidation Analysis assumes there would be no recovery on these Interests.</w:t>
      </w:r>
    </w:p>
    <w:p>
      <w:pPr>
        <w:spacing w:after="0" w:line="170" w:lineRule="exact"/>
        <w:rPr>
          <w:sz w:val="20"/>
          <w:szCs w:val="20"/>
          <w:color w:val="auto"/>
        </w:rPr>
      </w:pPr>
    </w:p>
    <w:p>
      <w:pPr>
        <w:ind w:left="340" w:hanging="332"/>
        <w:spacing w:after="0"/>
        <w:tabs>
          <w:tab w:leader="none" w:pos="34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Intercompany Interests consist of the Debtors’ equity interests held by other Debtors and non-debtor subsidiaries. The Liquidation Analysis assumes there would be no recovery on these Interests. See Value Redistribution section above for further detail on the recoverability of the Debtors’ equity interests in non-debtor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b w:val="1"/>
          <w:bCs w:val="1"/>
          <w:u w:val="single" w:color="auto"/>
          <w:color w:val="auto"/>
        </w:rPr>
        <w:t>Financial Projections</w:t>
      </w:r>
    </w:p>
    <w:p>
      <w:pPr>
        <w:spacing w:after="0" w:line="229" w:lineRule="exact"/>
        <w:rPr>
          <w:sz w:val="20"/>
          <w:szCs w:val="20"/>
          <w:color w:val="auto"/>
        </w:rPr>
      </w:pPr>
    </w:p>
    <w:p>
      <w:pPr>
        <w:ind w:right="80" w:firstLine="662"/>
        <w:spacing w:after="0" w:line="254" w:lineRule="auto"/>
        <w:rPr>
          <w:sz w:val="20"/>
          <w:szCs w:val="20"/>
          <w:color w:val="auto"/>
        </w:rPr>
      </w:pPr>
      <w:r>
        <w:rPr>
          <w:rFonts w:ascii="Arial" w:cs="Arial" w:eastAsia="Arial" w:hAnsi="Arial"/>
          <w:sz w:val="17"/>
          <w:szCs w:val="17"/>
          <w:color w:val="auto"/>
        </w:rPr>
        <w:t>The Debtors believe that the Plan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meets the feasibility requirement set forth in section 1129(a)(11) of the Bankruptcy Code, as confirmation is not likely to be followed by liquidation or the need for further financial reorganization of the Debtors or any successor under the Plan. In connection with the planning and development of a plan of reorganization and for the purposes of determining whether such plan would satisfy this feasibility standard, the Debtors analyzed their ability to satisfy their financial obligations while maintaining sufficient liquidity and capital resources.</w:t>
      </w:r>
    </w:p>
    <w:p>
      <w:pPr>
        <w:spacing w:after="0" w:line="192" w:lineRule="exact"/>
        <w:rPr>
          <w:sz w:val="20"/>
          <w:szCs w:val="20"/>
          <w:color w:val="auto"/>
        </w:rPr>
      </w:pPr>
    </w:p>
    <w:p>
      <w:pPr>
        <w:jc w:val="both"/>
        <w:ind w:right="260" w:firstLine="662"/>
        <w:spacing w:after="0" w:line="279" w:lineRule="auto"/>
        <w:rPr>
          <w:sz w:val="20"/>
          <w:szCs w:val="20"/>
          <w:color w:val="auto"/>
        </w:rPr>
      </w:pPr>
      <w:r>
        <w:rPr>
          <w:rFonts w:ascii="Arial" w:cs="Arial" w:eastAsia="Arial" w:hAnsi="Arial"/>
          <w:sz w:val="17"/>
          <w:szCs w:val="17"/>
          <w:color w:val="auto"/>
        </w:rPr>
        <w:t>The Debtors do not, as a matter of course, publish their business plans or strategies, projections or anticipated financial position. Accordingly, the Debtors do not anticipate that they will, and disclaim any obligation to, furnish updated business plans or the Financial Projections to holders of Claims or other parties in interest going forward, or to include such information in documents required to be filed with the SEC or otherwise make such information public, unless required to do so by the SEC or other regulatory bodies pursuant to the provisions of the Plan.</w:t>
      </w:r>
    </w:p>
    <w:p>
      <w:pPr>
        <w:spacing w:after="0" w:line="167" w:lineRule="exact"/>
        <w:rPr>
          <w:sz w:val="20"/>
          <w:szCs w:val="20"/>
          <w:color w:val="auto"/>
        </w:rPr>
      </w:pPr>
    </w:p>
    <w:p>
      <w:pPr>
        <w:ind w:firstLine="662"/>
        <w:spacing w:after="0" w:line="266" w:lineRule="auto"/>
        <w:rPr>
          <w:sz w:val="20"/>
          <w:szCs w:val="20"/>
          <w:color w:val="auto"/>
        </w:rPr>
      </w:pPr>
      <w:r>
        <w:rPr>
          <w:rFonts w:ascii="Arial" w:cs="Arial" w:eastAsia="Arial" w:hAnsi="Arial"/>
          <w:sz w:val="18"/>
          <w:szCs w:val="18"/>
          <w:color w:val="auto"/>
        </w:rPr>
        <w:t>In connection with the Disclosure Statement, the Debtors’ management team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 prepared the Financial Projections for the years 2019 through 2022 (the “</w:t>
      </w:r>
      <w:r>
        <w:rPr>
          <w:rFonts w:ascii="Arial" w:cs="Arial" w:eastAsia="Arial" w:hAnsi="Arial"/>
          <w:sz w:val="18"/>
          <w:szCs w:val="18"/>
          <w:b w:val="1"/>
          <w:bCs w:val="1"/>
          <w:u w:val="single" w:color="auto"/>
          <w:color w:val="auto"/>
        </w:rPr>
        <w:t>Projection Period</w:t>
      </w:r>
      <w:r>
        <w:rPr>
          <w:rFonts w:ascii="Arial" w:cs="Arial" w:eastAsia="Arial" w:hAnsi="Arial"/>
          <w:sz w:val="18"/>
          <w:szCs w:val="18"/>
          <w:color w:val="auto"/>
        </w:rPr>
        <w:t>”). The Financial Projections were prepared by Management and are based on several assumptions made by Management with respect to the future performance of the Reorganized Debtors’ operations.</w:t>
      </w:r>
    </w:p>
    <w:p>
      <w:pPr>
        <w:spacing w:after="0" w:line="180"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The Debtors have prepared the Financial Projections based on information available to them, including information derived from public sources that have not been independently verified. No representation or warranty, expressed or implied, is provided in relation to fairness, accuracy, correctness, completeness, or reliability of the information, opinions, or conclusions expressed herein.</w:t>
      </w:r>
    </w:p>
    <w:p>
      <w:pPr>
        <w:spacing w:after="0" w:line="181" w:lineRule="exact"/>
        <w:rPr>
          <w:sz w:val="20"/>
          <w:szCs w:val="20"/>
          <w:color w:val="auto"/>
        </w:rPr>
      </w:pPr>
    </w:p>
    <w:p>
      <w:pPr>
        <w:jc w:val="both"/>
        <w:ind w:right="120" w:firstLine="662"/>
        <w:spacing w:after="0" w:line="264" w:lineRule="auto"/>
        <w:rPr>
          <w:sz w:val="20"/>
          <w:szCs w:val="20"/>
          <w:color w:val="auto"/>
        </w:rPr>
      </w:pPr>
      <w:r>
        <w:rPr>
          <w:rFonts w:ascii="Arial" w:cs="Arial" w:eastAsia="Arial" w:hAnsi="Arial"/>
          <w:sz w:val="18"/>
          <w:szCs w:val="18"/>
          <w:color w:val="auto"/>
        </w:rPr>
        <w:t>THESE FINANCIAL PROJECTIONS WERE NOT PREPARED WITH A VIEW TOWARD COMPLIANCE WITH PUBLISHED GUIDELINES OF THE SEC OR GUIDELINES ESTABLISHED BY THE AMERICAN INSTITUTE OF CERTIFIED PUBLIC ACCOUNTANTS FOR PREPARATION AND PRESENTATION OF PROSPECTIVE FINANCIAL INFORMATION.</w:t>
      </w:r>
    </w:p>
    <w:p>
      <w:pPr>
        <w:spacing w:after="0" w:line="181"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ALTHOUGH MANAGEMENT HAS PREPARED THE FINANCIAL PROJECTIONS IN GOOD FAITH AND BELIEVES THE ASSUMPTIONS TO BE REASONABLE, IT IS IMPORTANT TO NOTE THAT NEITHER THE DEBTORS NOR THE REORGANIZED DEBTORS CAN PROVIDE ANY ASSURANCE THAT SUCH ASSUMPTIONS WILL BE REALIZED. AS DESCRIBED IN DETAIL IN THE DISCLOSURE STATEMENT, A VARIETY OF RISK FACTORS COULD AFFECT THE REORGANIZED DEBTORS’ FINANCIAL RESULTS AND MUST BE CONSIDERED. ACCORDINGLY, THE FINANCIAL PROJECTIONS SHOULD BE REVIEWED IN CONJUNCTION WITH A REVIEW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right="20" w:firstLine="8"/>
        <w:spacing w:after="0" w:line="238" w:lineRule="auto"/>
        <w:tabs>
          <w:tab w:leader="none" w:pos="141" w:val="left"/>
        </w:tabs>
        <w:numPr>
          <w:ilvl w:val="0"/>
          <w:numId w:val="420"/>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these Financial Projections are attached as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04" w:name="page305"/>
    <w:bookmarkEnd w:id="304"/>
    <w:p>
      <w:pPr>
        <w:ind w:right="900"/>
        <w:spacing w:after="0" w:line="277" w:lineRule="auto"/>
        <w:rPr>
          <w:sz w:val="20"/>
          <w:szCs w:val="20"/>
          <w:color w:val="auto"/>
        </w:rPr>
      </w:pPr>
      <w:r>
        <w:rPr>
          <w:rFonts w:ascii="Arial" w:cs="Arial" w:eastAsia="Arial" w:hAnsi="Arial"/>
          <w:sz w:val="18"/>
          <w:szCs w:val="18"/>
          <w:color w:val="auto"/>
        </w:rPr>
        <w:t>DISCLOSURE STATEMENT AND THE ASSUMPTIONS DESCRIBED HEREIN, INCLUDING ALL RELEVANT QUALIFICATIONS AND FOOTNOTES.</w:t>
      </w:r>
    </w:p>
    <w:p>
      <w:pPr>
        <w:spacing w:after="0" w:line="170"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The Financial Projections contain certain forward-looking statements, all of which are based on various estimates and assumptions. Such forward looking statements are subject to inherent uncertainties and to a wide variety of significant business, economic, and competitive risks, including those summarized herein. When used in the Financial Projections, the words, “anticipate,” “believe,” “estimate,” “will,” “may,” “intend,” “expect,” and similar expressions should be generally identified as forward-looking statements. Although the Debtors believe that their plans, intentions, and expectations reflected in the forward-looking statements are reasonable, they cannot be sure that they will be achieved. These statements are only predictions and are not guarantees of future performance or results. Forward-looking statements are subject to risks and uncertainties that could cause actual results to differ materially from those contemplated by a forward-looking statement. All forward-looking statements attributable to the Debtors or Persons or Entities acting on their behalf are expressly qualified in their entirety by the cautionary statements set forth herein. Forward-looking statements speak only as of the date on which they are made. Except as required by law, the Debtors expressly disclaim any obligation to update any forward-looking statement, whether because of new information, future events, or otherwise.</w:t>
      </w:r>
    </w:p>
    <w:p>
      <w:pPr>
        <w:spacing w:after="0" w:line="178"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financial projections should be read in conjunction with the assumptions, qualifications, and explanations set forth in the Disclosure Statement and the Plan in their entirety as well as the notes and assumptions set forth below.</w:t>
      </w:r>
    </w:p>
    <w:p>
      <w:pPr>
        <w:spacing w:after="0" w:line="170"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The Financial Projections are subject to inherent risks and uncertainties, most of which are difficult to predict and many of which are beyond Management’s control. Although Management believes these assumptions are reasonable under the circumstances, such assumptions are subject to significant uncertainties, including, but not limited to, (a) changes in capital spending on oil field services in various end markets; (b) oil, natural gas, and other commodity pricing; (c) applicable laws and regulations; (d) interest rates and inflation; (e) business combinations among the Debtors’ competitors, suppliers and customers; (f) severe or unseasonable weather; and (g) availability and cost of steel, fuel and other raw materials. Additional information regarding these uncertainties are described in Article V of the Disclosure Statement. Should one or more of the risks or uncertainties referenced in the Disclosure Statement occur, or should underlying assumptions prove incorrect, actual results and plans could differ materially from those expressed in the Financial Projections. Further, new factors could cause actual results to differ materially from those described in the Financial Projections, and it is not possible to predict all such factors, or to the extent to which any such factor or combination of factors may cause actual results to differ from those contained in the Financial Projections. The Financial Projections herein are not, and must not be viewed as, a representation of fact, prediction or guaranty of the reorganized Debtors’ future performance.</w:t>
      </w:r>
    </w:p>
    <w:p>
      <w:pPr>
        <w:spacing w:after="0" w:line="179" w:lineRule="exact"/>
        <w:rPr>
          <w:sz w:val="20"/>
          <w:szCs w:val="20"/>
          <w:color w:val="auto"/>
        </w:rPr>
      </w:pPr>
    </w:p>
    <w:p>
      <w:pPr>
        <w:ind w:left="340" w:right="9420" w:hanging="332"/>
        <w:spacing w:after="0" w:line="604" w:lineRule="auto"/>
        <w:tabs>
          <w:tab w:leader="none" w:pos="341" w:val="left"/>
        </w:tabs>
        <w:numPr>
          <w:ilvl w:val="0"/>
          <w:numId w:val="421"/>
        </w:numPr>
        <w:rPr>
          <w:rFonts w:ascii="Arial" w:cs="Arial" w:eastAsia="Arial" w:hAnsi="Arial"/>
          <w:sz w:val="15"/>
          <w:szCs w:val="15"/>
          <w:b w:val="1"/>
          <w:bCs w:val="1"/>
          <w:color w:val="auto"/>
        </w:rPr>
      </w:pPr>
      <w:r>
        <w:rPr>
          <w:rFonts w:ascii="Arial" w:cs="Arial" w:eastAsia="Arial" w:hAnsi="Arial"/>
          <w:sz w:val="15"/>
          <w:szCs w:val="15"/>
          <w:b w:val="1"/>
          <w:bCs w:val="1"/>
          <w:color w:val="auto"/>
        </w:rPr>
        <w:t>General Assumptions A. Overview</w:t>
      </w:r>
    </w:p>
    <w:p>
      <w:pPr>
        <w:ind w:right="760" w:firstLine="662"/>
        <w:spacing w:after="0" w:line="342" w:lineRule="auto"/>
        <w:rPr>
          <w:sz w:val="20"/>
          <w:szCs w:val="20"/>
          <w:color w:val="auto"/>
        </w:rPr>
      </w:pPr>
      <w:r>
        <w:rPr>
          <w:rFonts w:ascii="Arial" w:cs="Arial" w:eastAsia="Arial" w:hAnsi="Arial"/>
          <w:sz w:val="16"/>
          <w:szCs w:val="16"/>
          <w:color w:val="auto"/>
        </w:rPr>
        <w:t>The Debtors and their consolidated subsidiaries are a leading provider of equipment and services to the oil and natural gas exploration and production industry. The Debtors principal business is to provide equipment and services to the oil and natural gas exploration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5" w:name="page306"/>
    <w:bookmarkEnd w:id="305"/>
    <w:p>
      <w:pPr>
        <w:spacing w:after="0" w:line="271" w:lineRule="auto"/>
        <w:rPr>
          <w:sz w:val="20"/>
          <w:szCs w:val="20"/>
          <w:color w:val="auto"/>
        </w:rPr>
      </w:pPr>
      <w:r>
        <w:rPr>
          <w:rFonts w:ascii="Arial" w:cs="Arial" w:eastAsia="Arial" w:hAnsi="Arial"/>
          <w:sz w:val="17"/>
          <w:szCs w:val="17"/>
          <w:color w:val="auto"/>
        </w:rPr>
        <w:t>industry, both onshore and offshore. Product and services include: (1) Production, (2) Completions, (3) Drilling and Evaluation and (4) Well Construction. Demand for the Debtors services and products depends upon commodity prices for oil and gas, the number of oil and natural gas wells drilled, the depth and drilling conditions of wells, the number of well completions, the depletion and age of existing wells and the level of workover activity worldwide. Technology is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The Debtors have invested a substantial amount of our time and resources into building our technology offerings, which helps us to provide our clients with more efficient tools to find and produce oil and natural gas. Products and services are provided worldwide and in a variety of distinct segments with various other competitors and suppliers.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The Financial Projections are presented on a basis of accounting consistent with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GAAP requires that majority-owned subsidiaries be reported under the consolidation method of accounting. As a result, the Company has shown the results of all consolidated entities within the Financial Projections presented herein.</w:t>
      </w:r>
    </w:p>
    <w:p>
      <w:pPr>
        <w:spacing w:after="0" w:line="1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Accounting Policies</w:t>
      </w:r>
    </w:p>
    <w:p>
      <w:pPr>
        <w:spacing w:after="0" w:line="229"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 xml:space="preserve">The Financial Projections have been prepared using accounting policies that are materially consistent with those applied in the Company’s historical financial statements. The Financial Projections do not reflect the formal implementation of reorganization accounting pursuant to FASB Accounting Standards Codification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852</w:t>
      </w:r>
      <w:r>
        <w:rPr>
          <w:rFonts w:ascii="Arial" w:cs="Arial" w:eastAsia="Arial" w:hAnsi="Arial"/>
          <w:sz w:val="18"/>
          <w:szCs w:val="18"/>
          <w:color w:val="auto"/>
        </w:rPr>
        <w:t>”). Overall, the implementation of ASC 852 is not anticipated to have a material impact on the underlying economics of the Plan.</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Methodology</w:t>
      </w:r>
    </w:p>
    <w:p>
      <w:pPr>
        <w:spacing w:after="0" w:line="229"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In developing the Financial Projections, Management reviewed current utilization of products and services by region and segment, as well as backlog of firm orders. Management evaluates customer activity in relevant markets and their capital spending outlook to assess whether contracts are likely to be renewed. Depending on the service line, customer and location, contracts vary in their terms and provisions.</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Market Forecast</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The Financial Projections were prepared based on the level of spending in the energy industry, which is heavily influenced by the current and expected future prices of oil and natural gas. Changes in expenditures result in an increased or decreased demand for products and services. Rig activity is an indicator of the level of spending for the exploration and production of oil and natural gas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6" w:name="page307"/>
    <w:bookmarkEnd w:id="306"/>
    <w:p>
      <w:pPr>
        <w:ind w:left="660" w:hanging="328"/>
        <w:spacing w:after="0"/>
        <w:tabs>
          <w:tab w:leader="none" w:pos="660"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Plan Consummation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Financial Projections assume that the Plan will be consummated on or around September 30, 2019.</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Cash Flow Statement</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projected results of operations and cash flows over the projected period to the assumed emergence date of September 30, 2019.</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Working capital assumptions are based on movements in accounts receivable, accounts payable, and other accrued current assets and liabilities. Projected balances are based on the historical cash conversion cycle of the Company’s specific business units. Prospective working capital assumptions were supplemented by Management as deemed appropriate.</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reorganized Company’s estimated post-emergence capital structure is assumed to be effective beginning October 1, 2019 or shortly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Projections assume the following key assumptions at emergence:</w:t>
      </w:r>
    </w:p>
    <w:p>
      <w:pPr>
        <w:spacing w:after="0" w:line="211" w:lineRule="exact"/>
        <w:rPr>
          <w:sz w:val="20"/>
          <w:szCs w:val="20"/>
          <w:color w:val="auto"/>
        </w:rPr>
      </w:pPr>
    </w:p>
    <w:p>
      <w:pPr>
        <w:ind w:left="720" w:right="80" w:hanging="334"/>
        <w:spacing w:after="0" w:line="279" w:lineRule="auto"/>
        <w:tabs>
          <w:tab w:leader="none" w:pos="684" w:val="left"/>
        </w:tabs>
        <w:numPr>
          <w:ilvl w:val="1"/>
          <w:numId w:val="424"/>
        </w:numPr>
        <w:rPr>
          <w:rFonts w:ascii="Arial" w:cs="Arial" w:eastAsia="Arial" w:hAnsi="Arial"/>
          <w:sz w:val="17"/>
          <w:szCs w:val="17"/>
          <w:color w:val="auto"/>
        </w:rPr>
      </w:pPr>
      <w:r>
        <w:rPr>
          <w:rFonts w:ascii="Arial" w:cs="Arial" w:eastAsia="Arial" w:hAnsi="Arial"/>
          <w:sz w:val="17"/>
          <w:szCs w:val="17"/>
          <w:color w:val="auto"/>
        </w:rPr>
        <w:t>A first lien secured Exit RCF Facility maturing 2024, with $1.0 billion in commitments and a $500 million LC Sub-Facility. The Exit Facility is assumed to have no amounts drawn as of the effective date and $415 million of letters of credit under the LC Sub-facility, reducing the Company’s availability by that amount as of the Effective Date. The Exit Facility bears cash interest at an annual rate of LIBOR plus 300 basis points, an unused commitment fee of 50 basis points, and fees on outstanding letters of credit at an annual rate of 200 basis points.</w:t>
      </w:r>
    </w:p>
    <w:p>
      <w:pPr>
        <w:spacing w:after="0" w:line="171" w:lineRule="exact"/>
        <w:rPr>
          <w:rFonts w:ascii="Arial" w:cs="Arial" w:eastAsia="Arial" w:hAnsi="Arial"/>
          <w:sz w:val="17"/>
          <w:szCs w:val="17"/>
          <w:color w:val="auto"/>
        </w:rPr>
      </w:pPr>
    </w:p>
    <w:p>
      <w:pPr>
        <w:ind w:left="720" w:right="380" w:hanging="334"/>
        <w:spacing w:after="0" w:line="342" w:lineRule="auto"/>
        <w:tabs>
          <w:tab w:leader="none" w:pos="684" w:val="left"/>
        </w:tabs>
        <w:numPr>
          <w:ilvl w:val="1"/>
          <w:numId w:val="424"/>
        </w:numPr>
        <w:rPr>
          <w:rFonts w:ascii="Arial" w:cs="Arial" w:eastAsia="Arial" w:hAnsi="Arial"/>
          <w:sz w:val="16"/>
          <w:szCs w:val="16"/>
          <w:color w:val="auto"/>
        </w:rPr>
      </w:pPr>
      <w:r>
        <w:rPr>
          <w:rFonts w:ascii="Arial" w:cs="Arial" w:eastAsia="Arial" w:hAnsi="Arial"/>
          <w:sz w:val="16"/>
          <w:szCs w:val="16"/>
          <w:color w:val="auto"/>
        </w:rPr>
        <w:t>$1.25 billion of Tranche A Exit Senior Notes maturing in 2024. $500 million of the Tranche A Exit Senior Notes are callable at the Company’s option prior to maturity at 103% of par. The Tranche A Exit Senior Notes accrue cash interest at an annual rate of 9%, payable semi-annually.</w:t>
      </w:r>
    </w:p>
    <w:p>
      <w:pPr>
        <w:spacing w:after="0" w:line="123" w:lineRule="exact"/>
        <w:rPr>
          <w:rFonts w:ascii="Arial" w:cs="Arial" w:eastAsia="Arial" w:hAnsi="Arial"/>
          <w:sz w:val="16"/>
          <w:szCs w:val="16"/>
          <w:color w:val="auto"/>
        </w:rPr>
      </w:pPr>
    </w:p>
    <w:p>
      <w:pPr>
        <w:ind w:left="720" w:hanging="334"/>
        <w:spacing w:after="0" w:line="264" w:lineRule="auto"/>
        <w:tabs>
          <w:tab w:leader="none" w:pos="68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$1.25 billion of Tranche B Exit Senior Notes maturing in 2026. $500 million of the Tranche B Exit Senior Notes can be converted into equity at the option of the Unsecured Noteholders prior to emergence at the midpoint of the Plan equity value. The Tranche B Exit Senior Notes accrue cash interest at an annual rate of 8%, payable semi-annually.</w:t>
      </w:r>
    </w:p>
    <w:p>
      <w:pPr>
        <w:spacing w:after="0" w:line="177" w:lineRule="exact"/>
        <w:rPr>
          <w:rFonts w:ascii="Arial" w:cs="Arial" w:eastAsia="Arial" w:hAnsi="Arial"/>
          <w:sz w:val="18"/>
          <w:szCs w:val="18"/>
          <w:color w:val="auto"/>
        </w:rPr>
      </w:pPr>
    </w:p>
    <w:p>
      <w:pPr>
        <w:ind w:left="340" w:hanging="332"/>
        <w:spacing w:after="0"/>
        <w:tabs>
          <w:tab w:leader="none" w:pos="3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Income Statement</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ind w:right="480" w:firstLine="662"/>
        <w:spacing w:after="0" w:line="342" w:lineRule="auto"/>
        <w:rPr>
          <w:sz w:val="20"/>
          <w:szCs w:val="20"/>
          <w:color w:val="auto"/>
        </w:rPr>
      </w:pPr>
      <w:r>
        <w:rPr>
          <w:rFonts w:ascii="Arial" w:cs="Arial" w:eastAsia="Arial" w:hAnsi="Arial"/>
          <w:sz w:val="16"/>
          <w:szCs w:val="16"/>
          <w:color w:val="auto"/>
        </w:rPr>
        <w:t>The Financial Projections include revenue generated by product and services sales, either separately or bundled together to provide integrated solutions up to, and including, integrated well construction where the Company is responsible for the entire process of drilling, constructing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307" w:name="page308"/>
    <w:bookmarkEnd w:id="307"/>
    <w:p>
      <w:pPr>
        <w:ind w:right="340"/>
        <w:spacing w:after="0" w:line="277" w:lineRule="auto"/>
        <w:rPr>
          <w:sz w:val="20"/>
          <w:szCs w:val="20"/>
          <w:color w:val="auto"/>
        </w:rPr>
      </w:pPr>
      <w:r>
        <w:rPr>
          <w:rFonts w:ascii="Arial" w:cs="Arial" w:eastAsia="Arial" w:hAnsi="Arial"/>
          <w:sz w:val="18"/>
          <w:szCs w:val="18"/>
          <w:color w:val="auto"/>
        </w:rPr>
        <w:t>completing a well. Higher or lower activity and productivity related to the increase in rig count, and utilization in the Company’s product lines, are major factors in revenue generation.</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Operating Expenses</w:t>
      </w:r>
    </w:p>
    <w:p>
      <w:pPr>
        <w:spacing w:after="0" w:line="225"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color w:val="auto"/>
        </w:rPr>
        <w:t>Operating costs (“</w:t>
      </w:r>
      <w:r>
        <w:rPr>
          <w:rFonts w:ascii="Arial" w:cs="Arial" w:eastAsia="Arial" w:hAnsi="Arial"/>
          <w:sz w:val="18"/>
          <w:szCs w:val="18"/>
          <w:b w:val="1"/>
          <w:bCs w:val="1"/>
          <w:u w:val="single" w:color="auto"/>
          <w:color w:val="auto"/>
        </w:rPr>
        <w:t>OpEx</w:t>
      </w:r>
      <w:r>
        <w:rPr>
          <w:rFonts w:ascii="Arial" w:cs="Arial" w:eastAsia="Arial" w:hAnsi="Arial"/>
          <w:sz w:val="18"/>
          <w:szCs w:val="18"/>
          <w:color w:val="auto"/>
        </w:rPr>
        <w:t>”) are based on the Company’s ability to manage the workforce, supply chain and business processes, information technology systems and technological innovation and commercialization, including the impact of restructuring, business enhancements, and transformation efforts. OpEx is projected based on historical operating costs and expected utilization of products and services currently under contract and expectations regarding future contracts. OpEx is projected by segment and region.</w:t>
      </w:r>
    </w:p>
    <w:p>
      <w:pPr>
        <w:spacing w:after="0" w:line="184" w:lineRule="exact"/>
        <w:rPr>
          <w:sz w:val="20"/>
          <w:szCs w:val="20"/>
          <w:color w:val="auto"/>
        </w:rPr>
      </w:pPr>
    </w:p>
    <w:p>
      <w:pPr>
        <w:ind w:right="20" w:firstLine="662"/>
        <w:spacing w:after="0" w:line="308" w:lineRule="auto"/>
        <w:rPr>
          <w:sz w:val="20"/>
          <w:szCs w:val="20"/>
          <w:color w:val="auto"/>
        </w:rPr>
      </w:pPr>
      <w:r>
        <w:rPr>
          <w:rFonts w:ascii="Arial" w:cs="Arial" w:eastAsia="Arial" w:hAnsi="Arial"/>
          <w:sz w:val="17"/>
          <w:szCs w:val="17"/>
          <w:color w:val="auto"/>
        </w:rPr>
        <w:t>Furthermore, through the Company’s transformation program, Management continue to see improvements in operating efficiency, ongoing lowering of non-productive time, improvements in collaboration with customers and continuing progress towards transformation targets.</w:t>
      </w:r>
    </w:p>
    <w:p>
      <w:pPr>
        <w:spacing w:after="0" w:line="14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General and Administrative Expenses</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General and Administrative Costs (“</w:t>
      </w:r>
      <w:r>
        <w:rPr>
          <w:rFonts w:ascii="Arial" w:cs="Arial" w:eastAsia="Arial" w:hAnsi="Arial"/>
          <w:sz w:val="18"/>
          <w:szCs w:val="18"/>
          <w:b w:val="1"/>
          <w:bCs w:val="1"/>
          <w:u w:val="single" w:color="auto"/>
          <w:color w:val="auto"/>
        </w:rPr>
        <w:t>G&amp;A</w:t>
      </w:r>
      <w:r>
        <w:rPr>
          <w:rFonts w:ascii="Arial" w:cs="Arial" w:eastAsia="Arial" w:hAnsi="Arial"/>
          <w:sz w:val="18"/>
          <w:szCs w:val="18"/>
          <w:color w:val="auto"/>
        </w:rPr>
        <w:t>”) are primarily comprised of labor costs, legal expenses, and other expenses associated with corporate overhead. Projected G&amp;A is based primarily on historical G&amp;A costs, adjusted for recent cost reduction efforts. Annual G&amp;A is projected to be approximately $30 million in 2019 with annual increases of 2% to 4% through the projection period.</w:t>
      </w:r>
    </w:p>
    <w:p>
      <w:pPr>
        <w:spacing w:after="0" w:line="176" w:lineRule="exact"/>
        <w:rPr>
          <w:sz w:val="20"/>
          <w:szCs w:val="20"/>
          <w:color w:val="auto"/>
        </w:rPr>
      </w:pPr>
    </w:p>
    <w:p>
      <w:pPr>
        <w:ind w:left="660" w:hanging="328"/>
        <w:spacing w:after="0"/>
        <w:tabs>
          <w:tab w:leader="none" w:pos="6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and Amortization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Depreciation and amortization reflects the anticipated book expenses based on the carrying asset values.</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Post-emergence interest expense is forecasted based on the Company’s pro forma capital structure as more fully described in the Capital Structure section included herein and the Plan and the exhibits thereto.</w:t>
      </w:r>
    </w:p>
    <w:p>
      <w:pPr>
        <w:spacing w:after="0" w:line="166"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 expenses are forecasted based on the projected earnings and tax rates by jurisdiction where the Company’s earnings are generated.</w:t>
      </w:r>
    </w:p>
    <w:p>
      <w:pPr>
        <w:spacing w:after="0" w:line="24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Capital Expenditures</w:t>
      </w:r>
    </w:p>
    <w:p>
      <w:pPr>
        <w:spacing w:after="0" w:line="229" w:lineRule="exact"/>
        <w:rPr>
          <w:sz w:val="20"/>
          <w:szCs w:val="20"/>
          <w:color w:val="auto"/>
        </w:rPr>
      </w:pPr>
    </w:p>
    <w:p>
      <w:pPr>
        <w:jc w:val="both"/>
        <w:ind w:firstLine="662"/>
        <w:spacing w:after="0" w:line="312" w:lineRule="auto"/>
        <w:rPr>
          <w:sz w:val="20"/>
          <w:szCs w:val="20"/>
          <w:color w:val="auto"/>
        </w:rPr>
      </w:pPr>
      <w:r>
        <w:rPr>
          <w:rFonts w:ascii="Arial" w:cs="Arial" w:eastAsia="Arial" w:hAnsi="Arial"/>
          <w:sz w:val="16"/>
          <w:szCs w:val="16"/>
          <w:color w:val="auto"/>
        </w:rPr>
        <w:t>Forecasted capital expenditures were prepared with consideration for the needs of the Company’s fixed assets. Capital expenditures primarily relate to maintaining and continuing to invest in the Company’s worldwide drill pipe and rental equipment inventory, sustaining its drilling rig fleet by keeping each rig in proper working condition, as well as capital outlays required for customer-related rig upgrades. Capital expenditures also include capitalized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t>expenditures, such as expenditures required to maintain the Company’s information technology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35693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356933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09" w:name="page310"/>
    <w:bookmarkEnd w:id="309"/>
    <w:p>
      <w:pPr>
        <w:jc w:val="center"/>
        <w:ind w:right="-2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Valuation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b w:val="1"/>
          <w:bCs w:val="1"/>
          <w:u w:val="single" w:color="auto"/>
          <w:color w:val="auto"/>
        </w:rPr>
        <w:t>Valuation Analysis of Reorganized Weatherford</w:t>
      </w:r>
    </w:p>
    <w:p>
      <w:pPr>
        <w:spacing w:after="0" w:line="22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THE INFORMATION CONTAINED HEREIN IS NOT A PREDICTION OR GUARANTEE OF THE ACTUAL MARKET VALUE THAT MAY BE REALIZED THROUGH THE SALE OF ANY SECURITIES TO BE ISSUED PURSUANT TO THE PLAN. THE INFORMATION IS PRESENTED SOLELY FOR THE PURPOSE OF PROVIDING ADEQUATE INFORMATION UNDER SECTION 1125 OF THE BANKRUPTCY CODE TO ENABLE THE HOLDERS OF CLAIMS ENTITLED TO VOTE TO ACCEPT OR REJECT THE PLAN TO MAKE AN INFORMED JUDGMENT ABOUT THE PLAN AND SHOULD NOT BE USED OR RELIED UPON FOR ANY OTHER PURPOSE, INCLUDING THE PURCHASE OR SALE OF CLAIMS AGAINST THE DEBTORS OR ANY OF THEIR AFFILIATES.</w:t>
      </w:r>
      <w:r>
        <w:rPr>
          <w:rFonts w:ascii="Arial" w:cs="Arial" w:eastAsia="Arial" w:hAnsi="Arial"/>
          <w:sz w:val="23"/>
          <w:szCs w:val="23"/>
          <w:color w:val="auto"/>
          <w:vertAlign w:val="superscript"/>
        </w:rPr>
        <w:t>(1)</w:t>
      </w:r>
    </w:p>
    <w:p>
      <w:pPr>
        <w:spacing w:after="0" w:line="101" w:lineRule="exact"/>
        <w:rPr>
          <w:sz w:val="20"/>
          <w:szCs w:val="20"/>
          <w:color w:val="auto"/>
        </w:rPr>
      </w:pPr>
    </w:p>
    <w:p>
      <w:pPr>
        <w:ind w:left="660" w:hanging="328"/>
        <w:spacing w:after="0"/>
        <w:tabs>
          <w:tab w:leader="none" w:pos="66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Estimated Valuation</w:t>
      </w:r>
    </w:p>
    <w:p>
      <w:pPr>
        <w:spacing w:after="0" w:line="225"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Solely for the purposes of the Plan and the Disclosure Statement, Lazard Frères &amp; Co. LLC (“</w:t>
      </w:r>
      <w:r>
        <w:rPr>
          <w:rFonts w:ascii="Arial" w:cs="Arial" w:eastAsia="Arial" w:hAnsi="Arial"/>
          <w:sz w:val="18"/>
          <w:szCs w:val="18"/>
          <w:b w:val="1"/>
          <w:bCs w:val="1"/>
          <w:u w:val="single" w:color="auto"/>
          <w:color w:val="auto"/>
        </w:rPr>
        <w:t>Lazard</w:t>
      </w:r>
      <w:r>
        <w:rPr>
          <w:rFonts w:ascii="Arial" w:cs="Arial" w:eastAsia="Arial" w:hAnsi="Arial"/>
          <w:sz w:val="18"/>
          <w:szCs w:val="18"/>
          <w:color w:val="auto"/>
        </w:rPr>
        <w:t>”), as investment banker to the Debtors, has estimated a range of total enterprise value (“</w:t>
      </w:r>
      <w:r>
        <w:rPr>
          <w:rFonts w:ascii="Arial" w:cs="Arial" w:eastAsia="Arial" w:hAnsi="Arial"/>
          <w:sz w:val="18"/>
          <w:szCs w:val="18"/>
          <w:b w:val="1"/>
          <w:bCs w:val="1"/>
          <w:u w:val="single" w:color="auto"/>
          <w:color w:val="auto"/>
        </w:rPr>
        <w:t>Enterprise Value</w:t>
      </w:r>
      <w:r>
        <w:rPr>
          <w:rFonts w:ascii="Arial" w:cs="Arial" w:eastAsia="Arial" w:hAnsi="Arial"/>
          <w:sz w:val="18"/>
          <w:szCs w:val="18"/>
          <w:color w:val="auto"/>
        </w:rPr>
        <w:t>”) for Reorganized Weatherford on a consolidated going-concern basis and pro forma for the transactions contemplated by the Plan (the “</w:t>
      </w:r>
      <w:r>
        <w:rPr>
          <w:rFonts w:ascii="Arial" w:cs="Arial" w:eastAsia="Arial" w:hAnsi="Arial"/>
          <w:sz w:val="18"/>
          <w:szCs w:val="18"/>
          <w:b w:val="1"/>
          <w:bCs w:val="1"/>
          <w:u w:val="single" w:color="auto"/>
          <w:color w:val="auto"/>
        </w:rPr>
        <w:t>Valuation Analysis</w:t>
      </w:r>
      <w:r>
        <w:rPr>
          <w:rFonts w:ascii="Arial" w:cs="Arial" w:eastAsia="Arial" w:hAnsi="Arial"/>
          <w:sz w:val="18"/>
          <w:szCs w:val="18"/>
          <w:color w:val="auto"/>
        </w:rPr>
        <w:t xml:space="preserve">”). The Valuation Analysis is based on financial information and projections provided by the Debtors’ management, including the Financial Projections attached to the Disclosure Statement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(collectively the “</w:t>
      </w:r>
      <w:r>
        <w:rPr>
          <w:rFonts w:ascii="Arial" w:cs="Arial" w:eastAsia="Arial" w:hAnsi="Arial"/>
          <w:sz w:val="18"/>
          <w:szCs w:val="18"/>
          <w:b w:val="1"/>
          <w:bCs w:val="1"/>
          <w:u w:val="single" w:color="auto"/>
          <w:color w:val="auto"/>
        </w:rPr>
        <w:t>Projections</w:t>
      </w:r>
      <w:r>
        <w:rPr>
          <w:rFonts w:ascii="Arial" w:cs="Arial" w:eastAsia="Arial" w:hAnsi="Arial"/>
          <w:sz w:val="18"/>
          <w:szCs w:val="18"/>
          <w:color w:val="auto"/>
        </w:rPr>
        <w:t>”), and information provided by other sources. The Valuation Analysis assumes that the Effective Date will occur on September 30, 2019. The valuation estimates set forth herein represent valuation analyses of Reorganized Weatherford generally based on the application of customary valuation techniques deemed appropriate by Lazard.</w:t>
      </w:r>
    </w:p>
    <w:p>
      <w:pPr>
        <w:spacing w:after="0" w:line="193"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Based on the Projections and solely for the purposes of the Plan, Lazard estimates that the potential range of Reorganized Weatherford’s operations on a going concern basis (the “</w:t>
      </w:r>
      <w:r>
        <w:rPr>
          <w:rFonts w:ascii="Arial" w:cs="Arial" w:eastAsia="Arial" w:hAnsi="Arial"/>
          <w:sz w:val="16"/>
          <w:szCs w:val="16"/>
          <w:b w:val="1"/>
          <w:bCs w:val="1"/>
          <w:u w:val="single" w:color="auto"/>
          <w:color w:val="auto"/>
        </w:rPr>
        <w:t>Enterprise Value</w:t>
      </w:r>
      <w:r>
        <w:rPr>
          <w:rFonts w:ascii="Arial" w:cs="Arial" w:eastAsia="Arial" w:hAnsi="Arial"/>
          <w:sz w:val="16"/>
          <w:szCs w:val="16"/>
          <w:color w:val="auto"/>
        </w:rPr>
        <w:t>”) is approximately $4.80 to $6.80 billion. Based on the potential range of Enterprise Value and assumed net cash of $320 million as of the Effective Date, Lazard estimates an imputed range of potential equity value of $2.62 to $4.62 billion, following the issuance of the $1.25 billion of Tranche A Exit Notes and $1.25 billion of Tranche B Exit Notes. For purposes of the Valuation Analysis, Lazard assumed that, between the date of filing of the Disclosure Statement and the assumed Effective Date, no material changes that would affect estimated valuation will occur. Reorganized Weatherford’s assumed net cash is the sum of (i) $1,158 million of balance sheet cash as of the Effective Date (including restricted cash) and</w:t>
      </w:r>
    </w:p>
    <w:p>
      <w:pPr>
        <w:spacing w:after="0" w:line="5" w:lineRule="exact"/>
        <w:rPr>
          <w:sz w:val="20"/>
          <w:szCs w:val="20"/>
          <w:color w:val="auto"/>
        </w:rPr>
      </w:pPr>
    </w:p>
    <w:p>
      <w:pPr>
        <w:ind w:left="280" w:hanging="272"/>
        <w:spacing w:after="0"/>
        <w:tabs>
          <w:tab w:leader="none" w:pos="28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$ 1.25 billion of Tranche A Exit Notes proceeds, less the sum of (i) $1.0 billion of DIP Term Loan repayment, (ii) $715 million of DIP RCF repayment,</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$307 million of Unsecured RCFs repayment, and (iv) $67 million of exit costs.</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value of the New Warrants has been estimated using a Black-Scholes valuation model and reflecting the estimated range of Reorganized Weatherford’s equity value above. Based on that analysis, the value of the New Warrants is estimated at $3.8 million to $38.9 million, with a midpoint of $15.5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right="120" w:firstLine="8"/>
        <w:spacing w:after="0" w:line="275" w:lineRule="auto"/>
        <w:tabs>
          <w:tab w:leader="none" w:pos="133" w:val="left"/>
        </w:tabs>
        <w:numPr>
          <w:ilvl w:val="0"/>
          <w:numId w:val="428"/>
        </w:numPr>
        <w:rPr>
          <w:rFonts w:ascii="Arial" w:cs="Arial" w:eastAsia="Arial" w:hAnsi="Arial"/>
          <w:sz w:val="15"/>
          <w:szCs w:val="15"/>
          <w:color w:val="auto"/>
          <w:vertAlign w:val="superscript"/>
        </w:rPr>
      </w:pPr>
      <w:r>
        <w:rPr>
          <w:rFonts w:ascii="Arial" w:cs="Arial" w:eastAsia="Arial" w:hAnsi="Arial"/>
          <w:sz w:val="12"/>
          <w:szCs w:val="12"/>
          <w:color w:val="auto"/>
        </w:rPr>
        <w:t xml:space="preserve">All capitalized terms used but not otherwise defined herein shall have the meanings ascribed to them in the </w:t>
      </w:r>
      <w:r>
        <w:rPr>
          <w:rFonts w:ascii="Arial" w:cs="Arial" w:eastAsia="Arial" w:hAnsi="Arial"/>
          <w:sz w:val="12"/>
          <w:szCs w:val="12"/>
          <w:i w:val="1"/>
          <w:iCs w:val="1"/>
          <w:color w:val="auto"/>
        </w:rPr>
        <w:t>Disclosure Statement for the Joint Chapter 11 Plan of Reorganization for Weatherford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Its Debtor Affiliates </w:t>
      </w:r>
      <w:r>
        <w:rPr>
          <w:rFonts w:ascii="Arial" w:cs="Arial" w:eastAsia="Arial" w:hAnsi="Arial"/>
          <w:sz w:val="12"/>
          <w:szCs w:val="12"/>
          <w:color w:val="auto"/>
        </w:rPr>
        <w:t>(the “</w:t>
      </w:r>
      <w:r>
        <w:rPr>
          <w:rFonts w:ascii="Arial" w:cs="Arial" w:eastAsia="Arial" w:hAnsi="Arial"/>
          <w:sz w:val="12"/>
          <w:szCs w:val="12"/>
          <w:b w:val="1"/>
          <w:bCs w:val="1"/>
          <w:u w:val="single" w:color="auto"/>
          <w:color w:val="auto"/>
        </w:rPr>
        <w:t>Disclosure Statement</w:t>
      </w:r>
      <w:r>
        <w:rPr>
          <w:rFonts w:ascii="Arial" w:cs="Arial" w:eastAsia="Arial" w:hAnsi="Arial"/>
          <w:sz w:val="12"/>
          <w:szCs w:val="12"/>
          <w:color w:val="auto"/>
        </w:rPr>
        <w:t>”), to which this Valuation Analysis is attached as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1" w:name="page312"/>
    <w:bookmarkEnd w:id="311"/>
    <w:p>
      <w:pPr>
        <w:ind w:right="240" w:firstLine="648"/>
        <w:spacing w:after="0" w:line="277" w:lineRule="auto"/>
        <w:rPr>
          <w:sz w:val="20"/>
          <w:szCs w:val="20"/>
          <w:color w:val="auto"/>
        </w:rPr>
      </w:pPr>
      <w:r>
        <w:rPr>
          <w:rFonts w:ascii="Arial" w:cs="Arial" w:eastAsia="Arial" w:hAnsi="Arial"/>
          <w:sz w:val="18"/>
          <w:szCs w:val="18"/>
          <w:color w:val="auto"/>
        </w:rPr>
        <w:t>Lazard’s Valuation Analysis does not constitute an opinion as to fairness from a financial point of view of the consideration to be received or paid under the Plan, of the terms and provisions of the Plan, or with respect to any other matters.</w:t>
      </w:r>
    </w:p>
    <w:p>
      <w:pPr>
        <w:spacing w:after="0" w:line="166" w:lineRule="exact"/>
        <w:rPr>
          <w:sz w:val="20"/>
          <w:szCs w:val="20"/>
          <w:color w:val="auto"/>
        </w:rPr>
      </w:pPr>
    </w:p>
    <w:p>
      <w:pPr>
        <w:ind w:left="660" w:hanging="328"/>
        <w:spacing w:after="0"/>
        <w:tabs>
          <w:tab w:leader="none" w:pos="660"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Valuation Methodology</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consolidated value of Reorganized Weatherford was estimated by primarily relying on two generally accepted valuation techniques:</w:t>
      </w:r>
    </w:p>
    <w:p>
      <w:pPr>
        <w:spacing w:after="0" w:line="34" w:lineRule="exact"/>
        <w:rPr>
          <w:rFonts w:ascii="Arial" w:cs="Arial" w:eastAsia="Arial" w:hAnsi="Arial"/>
          <w:sz w:val="18"/>
          <w:szCs w:val="18"/>
          <w:color w:val="auto"/>
        </w:rPr>
      </w:pPr>
    </w:p>
    <w:p>
      <w:pPr>
        <w:ind w:right="100" w:firstLine="8"/>
        <w:spacing w:after="0" w:line="255" w:lineRule="auto"/>
        <w:tabs>
          <w:tab w:leader="none" w:pos="21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Discounted Cash Flow (“</w:t>
      </w:r>
      <w:r>
        <w:rPr>
          <w:rFonts w:ascii="Arial" w:cs="Arial" w:eastAsia="Arial" w:hAnsi="Arial"/>
          <w:sz w:val="18"/>
          <w:szCs w:val="18"/>
          <w:b w:val="1"/>
          <w:bCs w:val="1"/>
          <w:u w:val="single" w:color="auto"/>
          <w:color w:val="auto"/>
        </w:rPr>
        <w:t>DCF</w:t>
      </w:r>
      <w:r>
        <w:rPr>
          <w:rFonts w:ascii="Arial" w:cs="Arial" w:eastAsia="Arial" w:hAnsi="Arial"/>
          <w:sz w:val="18"/>
          <w:szCs w:val="18"/>
          <w:color w:val="auto"/>
        </w:rPr>
        <w:t>”) Analysis and (ii) Comparable Company Analysis. While the precedent transaction methodology is sometimes used, it was believed that this methodology has less relevance when assessing the Enterprise Value of Reorganized Weatherford due to the lack of recent comparable transactions, among other factors.</w:t>
      </w:r>
    </w:p>
    <w:p>
      <w:pPr>
        <w:spacing w:after="0" w:line="190" w:lineRule="exact"/>
        <w:rPr>
          <w:sz w:val="20"/>
          <w:szCs w:val="20"/>
          <w:color w:val="auto"/>
        </w:rPr>
      </w:pPr>
    </w:p>
    <w:p>
      <w:pPr>
        <w:ind w:left="1000" w:hanging="668"/>
        <w:spacing w:after="0"/>
        <w:tabs>
          <w:tab w:leader="none" w:pos="100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Discounted Cash Flow Analysis:</w:t>
      </w:r>
    </w:p>
    <w:p>
      <w:pPr>
        <w:spacing w:after="0" w:line="225" w:lineRule="exact"/>
        <w:rPr>
          <w:sz w:val="20"/>
          <w:szCs w:val="20"/>
          <w:color w:val="auto"/>
        </w:rPr>
      </w:pPr>
    </w:p>
    <w:p>
      <w:pPr>
        <w:ind w:left="980" w:firstLine="486"/>
        <w:spacing w:after="0" w:line="270" w:lineRule="auto"/>
        <w:rPr>
          <w:sz w:val="20"/>
          <w:szCs w:val="20"/>
          <w:color w:val="auto"/>
        </w:rPr>
      </w:pPr>
      <w:r>
        <w:rPr>
          <w:rFonts w:ascii="Arial" w:cs="Arial" w:eastAsia="Arial" w:hAnsi="Arial"/>
          <w:sz w:val="17"/>
          <w:szCs w:val="17"/>
          <w:color w:val="auto"/>
        </w:rPr>
        <w:t>DCF analysis is a forward-looking enterprise valuation methodology that estimates the value of an asset or business by calculating the present value of expected future cash flows to be generated by that asset or business. Under this methodology, projected future cash flows are discounted by the business’ weighted average cost of capital (the “</w:t>
      </w:r>
      <w:r>
        <w:rPr>
          <w:rFonts w:ascii="Arial" w:cs="Arial" w:eastAsia="Arial" w:hAnsi="Arial"/>
          <w:sz w:val="17"/>
          <w:szCs w:val="17"/>
          <w:b w:val="1"/>
          <w:bCs w:val="1"/>
          <w:u w:val="single" w:color="auto"/>
          <w:color w:val="auto"/>
        </w:rPr>
        <w:t>Discount Rate</w:t>
      </w:r>
      <w:r>
        <w:rPr>
          <w:rFonts w:ascii="Arial" w:cs="Arial" w:eastAsia="Arial" w:hAnsi="Arial"/>
          <w:sz w:val="17"/>
          <w:szCs w:val="17"/>
          <w:color w:val="auto"/>
        </w:rPr>
        <w:t>”). The Discount Rate reflects the estimated rate of return that would be required by debt and equity investors to invest in the business based on its capital structure. The Enterprise Value of the firm is determined by calculating the present value of the unlevered after-tax free cash flows based on the Projections provided by management plus an estimate for the value of the firm beyond the Projection Period, known as the terminal value. The range of potential terminal values was calculated by applying a multiple to earnings before interest, taxes, depreciation and amortization (“</w:t>
      </w:r>
      <w:r>
        <w:rPr>
          <w:rFonts w:ascii="Arial" w:cs="Arial" w:eastAsia="Arial" w:hAnsi="Arial"/>
          <w:sz w:val="17"/>
          <w:szCs w:val="17"/>
          <w:b w:val="1"/>
          <w:bCs w:val="1"/>
          <w:u w:val="single" w:color="auto"/>
          <w:color w:val="auto"/>
        </w:rPr>
        <w:t>EBITDA</w:t>
      </w:r>
      <w:r>
        <w:rPr>
          <w:rFonts w:ascii="Arial" w:cs="Arial" w:eastAsia="Arial" w:hAnsi="Arial"/>
          <w:sz w:val="17"/>
          <w:szCs w:val="17"/>
          <w:color w:val="auto"/>
        </w:rPr>
        <w:t>”) and by deriving a value using an assumed perpetuity growth rate applied to the unlevered after-tax free cash flow in the final year of the Projection Period. The terminal value was then discounted back to the assumed Effective Date.</w:t>
      </w:r>
    </w:p>
    <w:p>
      <w:pPr>
        <w:spacing w:after="0" w:line="182" w:lineRule="exact"/>
        <w:rPr>
          <w:sz w:val="20"/>
          <w:szCs w:val="20"/>
          <w:color w:val="auto"/>
        </w:rPr>
      </w:pPr>
    </w:p>
    <w:p>
      <w:pPr>
        <w:ind w:left="1020" w:hanging="688"/>
        <w:spacing w:after="0"/>
        <w:tabs>
          <w:tab w:leader="none" w:pos="102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Comparable Public Company Analysis:</w:t>
      </w:r>
    </w:p>
    <w:p>
      <w:pPr>
        <w:spacing w:after="0" w:line="225" w:lineRule="exact"/>
        <w:rPr>
          <w:sz w:val="20"/>
          <w:szCs w:val="20"/>
          <w:color w:val="auto"/>
        </w:rPr>
      </w:pPr>
    </w:p>
    <w:p>
      <w:pPr>
        <w:ind w:left="980" w:right="100" w:firstLine="486"/>
        <w:spacing w:after="0" w:line="297" w:lineRule="auto"/>
        <w:rPr>
          <w:sz w:val="20"/>
          <w:szCs w:val="20"/>
          <w:color w:val="auto"/>
        </w:rPr>
      </w:pPr>
      <w:r>
        <w:rPr>
          <w:rFonts w:ascii="Arial" w:cs="Arial" w:eastAsia="Arial" w:hAnsi="Arial"/>
          <w:sz w:val="16"/>
          <w:szCs w:val="16"/>
          <w:color w:val="auto"/>
        </w:rPr>
        <w:t>Comparable Public Company Analysis estimates the value of a company relative to other publicly traded companies with similar operating and financial characteristics. A set of publicly traded companies was selected based on similar business and financial characteristics to Reorganized Weatherford. Criteria for the selected reference group included, among other relevant characteristics, similarity in business, business risks, growth prospects, product mix, customer base, margins, market presence, size and scale of operations. The selected reference group may not be comparable to Reorganized Weatherford in all aspects, and may differ materially in others.</w:t>
      </w:r>
    </w:p>
    <w:p>
      <w:pPr>
        <w:spacing w:after="0" w:line="158" w:lineRule="exact"/>
        <w:rPr>
          <w:sz w:val="20"/>
          <w:szCs w:val="20"/>
          <w:color w:val="auto"/>
        </w:rPr>
      </w:pPr>
    </w:p>
    <w:p>
      <w:pPr>
        <w:ind w:left="980" w:right="100" w:firstLine="486"/>
        <w:spacing w:after="0" w:line="312" w:lineRule="auto"/>
        <w:rPr>
          <w:sz w:val="20"/>
          <w:szCs w:val="20"/>
          <w:color w:val="auto"/>
        </w:rPr>
      </w:pPr>
      <w:r>
        <w:rPr>
          <w:rFonts w:ascii="Arial" w:cs="Arial" w:eastAsia="Arial" w:hAnsi="Arial"/>
          <w:sz w:val="16"/>
          <w:szCs w:val="16"/>
          <w:color w:val="auto"/>
        </w:rPr>
        <w:t>In deriving Enterprise Value ranges under the Comparable Public Company Analysis methodology, EBITDA multiples were the primary valuation metric. Based on 2016, 2017 and 2018 historical multiples of this reference group, 2019, 2020 and 2021 projected multiples of this reference group and certain qualitative judgments based on differences between the characteristics of Reorganized Weatherford and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ind w:left="980"/>
        <w:spacing w:after="0"/>
        <w:rPr>
          <w:sz w:val="20"/>
          <w:szCs w:val="20"/>
          <w:color w:val="auto"/>
        </w:rPr>
      </w:pPr>
      <w:r>
        <w:rPr>
          <w:rFonts w:ascii="Arial" w:cs="Arial" w:eastAsia="Arial" w:hAnsi="Arial"/>
          <w:sz w:val="17"/>
          <w:szCs w:val="17"/>
          <w:color w:val="auto"/>
        </w:rPr>
        <w:t>selected reference group, a range of multiples was then applied to Reorganized Weatherford’s implied 2019, 2020 and 2021 EBITDA.</w:t>
      </w:r>
    </w:p>
    <w:p>
      <w:pPr>
        <w:spacing w:after="0" w:line="237"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THE VALUATION ANALYSIS REFLECTS WORK PERFORMED BY LAZARD ON THE BASIS OF INFORMATION IN RESPECT OF THE BUSINESSES AND ASSETS OF THE DEBTORS AVAILABLE TO LAZARD AS OF JUNE 13, 2019. IT SHOULD BE UNDERSTOOD THAT, ALTHOUGH SUBSEQUENT DEVELOPMENTS MAY AFFECT LAZARD’S CONCLUSIONS, LAZARD DOES NOT HAVE ANY OBLIGATION TO UPDATE, REVISE, OR REAFFIRM ITS VALUATION ANALYSIS AND DOES NOT INTEND TO DO SO.</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LAZARD DID NOT INDEPENDENTLY VERIFY THE PROJECTIONS OR OTHER INFORMATION THAT LAZARD USED IN THE VALUATION ANALYSIS, AND NO INDEPENDENT VALUATIONS OR APPRAISALS OF THE DEBTORS WERE SOUGHT OR OBTAINED IN CONNECTION THEREWITH. THE VALUATION ANALYSIS WAS DEVELOPED SOLELY FOR PURPOSES OF THE PLAN AND THE ANALYSIS OF POTENTIAL RELATIVE RECOVERIES TO CREDITORS THEREUNDER. THE VALUATION ANALYSIS REFLECTS THE APPLICATION OF VARIOUS VALUATION TECHNIQUES, DOES NOT PURPORT TO BE AN OPINION AND DOES NOT PURPORT TO REFLECT OR CONSTITUTE AN APPRAISAL, LIQUIDATION VALUE, OR ESTIMATE OF THE ACTUAL MARKET VALUE THAT MAY BE REALIZED THROUGH THE SALE OF ANY SECURITIES TO BE ISSUED OR ASSETS TO BE SOLD PURSUANT TO THE PLAN, WHICH MAY BE SIGNIFICANTLY DIFFERENT THAN THE AMOUNTS SET FORTH IN THE VALUATION ANALYSIS.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VALUE OF AN OPERATING BUSINESS IS SUBJECT TO NUMEROUS UNCERTAINTIES AND CONTINGENCIES THAT ARE DIFFICULT TO PREDICT AND WILL FLUCTUATE WITH CHANGES IN FACTORS AFFECTING THE FINANCIAL CONDITION AND PROSPECTS OF SUCH A BUSINESS. AS A RESULT, THE VALUATION ANALYSIS IS NOT NECESSARILY INDICATIVE OF ACTUAL OUTCOMES, WHICH MAY BE SIGNIFICANTLY MORE OR LESS FAVORABLE THAN THOSE SET FORTH HEREIN. BECAUSE SUCH ESTIMATES ARE INHERENTLY SUBJECT TO UNCERTAINTIES, NEITHER THE DEBTORS, LAZARD, NOR ANY OTHER PERSON ASSUMES RESPONSIBILITY FOR THEIR ACCURACY. IN ADDITION, THE POTENTIAL VALUATION OF NEWLY ISSUED SECURITIES IS SUBJECT TO ADDITIONAL UNCERTAINTIES AND CONTINGENCIES, ALL OF WHICH ARE DIFFICULT TO PREDICT. ACTUAL MARKET PRICES OF SUCH SECURITIES AT ISSUANCE WILL DEPEND UPON, AMONG OTHER THINGS, PREVAILING INTEREST RATES, CONDITIONS IN THE FINANCIAL AND COMMODITY MARKETS, THE ANTICIPATED INITIAL SECURITIES HOLDINGS OF PREPETITION CREDITORS, SOME OF WHICH MAY PREFER TO LIQUIDATE THEIR INVESTMENT RATHER THAN HOLD IT ON A LONG-TERM BASIS, THE POTENTIALLY DILUTIVE IMPACT OF CERTAIN EVENTS, INCLUDING THE ISSUANCE OF EQUITY SECURITIES PURSUANT TO ANY MANAGEMENT INCENTIVE COMPENSATION PLAN, AND OTHER FACTORS THAT GENERALLY INFLUENCE THE PRICES OF SECURITIES.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3" w:name="page314"/>
    <w:bookmarkEnd w:id="313"/>
    <w:p>
      <w:pPr>
        <w:ind w:right="20" w:firstLine="662"/>
        <w:spacing w:after="0" w:line="257" w:lineRule="auto"/>
        <w:rPr>
          <w:sz w:val="20"/>
          <w:szCs w:val="20"/>
          <w:color w:val="auto"/>
        </w:rPr>
      </w:pPr>
      <w:r>
        <w:rPr>
          <w:rFonts w:ascii="Arial" w:cs="Arial" w:eastAsia="Arial" w:hAnsi="Arial"/>
          <w:sz w:val="18"/>
          <w:szCs w:val="18"/>
          <w:color w:val="auto"/>
        </w:rPr>
        <w:t>Lazard assumed that the Projections were reasonably prepared in good faith and on a basis reflecting the Debtors’ best estimates and judgments as to the future operating and financial performance of Reorganized Weatherford. The Valuation Analysis assumes that the actual performance of Reorganized Weatherford will correspond to the Projections in all material respects. If the business performs at levels below or above those set forth in the Projections, such performance may have a materially negative or positive impact, respectively, on the Valuation Analysis and estimated potential ranges of Enterprise Value therein.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preparing the Valuation Analysis, Lazard: (a) reviewed certain historical financial information of the Debtors for recent years and interim periods;</w:t>
      </w:r>
    </w:p>
    <w:p>
      <w:pPr>
        <w:spacing w:after="0" w:line="46" w:lineRule="exact"/>
        <w:rPr>
          <w:sz w:val="20"/>
          <w:szCs w:val="20"/>
          <w:color w:val="auto"/>
        </w:rPr>
      </w:pPr>
    </w:p>
    <w:p>
      <w:pPr>
        <w:ind w:right="60" w:firstLine="8"/>
        <w:spacing w:after="0" w:line="270" w:lineRule="auto"/>
        <w:tabs>
          <w:tab w:leader="none" w:pos="25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reviewed certain financial and operating data of the Debtors, including the Projections; (c) discussed the Debtors’ operations and future prospects with the Debtors’ senior management team and third-party advisors; (d) reviewed certain publicly available financial data for, and considered the market value of, public companies that Lazard deemed generally relevant in analyzing the value of Reorganized Weatherford; (e) considered certain economic and industry information that Lazard deemed generally relevant to Reorganized Weatherford; and (f) conducted such other studies, analyses, inquiries, and investigations as deemed appropriate. Lazard assumed and relied on the accuracy and completeness of all financial and other information furnished to it by the Debtors’ management and other parties as well as publicly available information.</w:t>
      </w:r>
    </w:p>
    <w:p>
      <w:pPr>
        <w:spacing w:after="0" w:line="179"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The Valuation Analysis does not constitute a recommendation to any holder of Allowed Claims or any other person as to how such person should vote or otherwise act with respect to the Plan. Lazard has not been requested to, and does not express any view as to, the potential value of Reorganized Weatherford’s securities on issuance or at any other time.</w:t>
      </w:r>
    </w:p>
    <w:p>
      <w:pPr>
        <w:spacing w:after="0" w:line="181"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Lazard did not estimate the value of any tax attributes nor did it estimate the impact of any cancellation of indebtedness income on the Reorganized Debtors’ Projections. Such matters are subject to many uncertainties and contingencies that are difficult to predict. Any changes to the assumptions on the availability of tax attributes or the impact of cancellation of indebtedness income on the Reorganized Debtor’s Projections could materially impact Lazard’s valuation analysis.</w:t>
      </w:r>
    </w:p>
    <w:p>
      <w:pPr>
        <w:spacing w:after="0" w:line="187"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THE SUMMARY SET FORTH ABOVE DOES NOT PURPORT TO BE A COMPLETE DESCRIPTION OF THE VALUATION ANALYSIS PERFORMED BY LAZARD. THE PREPARATION OF A VALUATION ANALYSIS INVOLVES VARIOUS DETERMINATIONS AS TO THE MOST APPROPRIATE AND RELEVANT METHODS OF FINANCIAL ANALYSIS AND THE APPLICATION OF THESE METHODS IN THE PARTICULAR CIRCUMSTANCES AND, THEREFORE, SUCH AN ANALYSIS IS NOT READILY SUITABLE TO SUMMARY DESCRIPTION. THE VALUATION ANALYSIS PERFORMED BY LAZARD IS NOT NECESSARILY INDICATIVE OF ACTUAL VALUES OR FUTURE RESULTS, WHICH MAY BE SIGNIFICANTLY MORE OR LESS FAVORABLE THAN THOSE DESCRIBED HEREIN.</w:t>
      </w:r>
    </w:p>
    <w:p>
      <w:pPr>
        <w:spacing w:after="0" w:line="193"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LAZARD IS ACTING AS INVESTMENT BANKER TO THE DEBTORS, AND HAS NOT BEEN, WILL NOT BE RESPONSIBLE FOR, AND WILL NOT PROVIDE ANY TAX, ACCOUNTING, ACTUARIAL, LEGAL, OR OTHER SPECIALIST ADVICE.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Prepetition Indebtedness Borrowers, Guarantors, and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5" w:name="page316"/>
    <w:bookmarkEnd w:id="315"/>
    <w:p>
      <w:pPr>
        <w:jc w:val="center"/>
        <w:ind w:right="40"/>
        <w:spacing w:after="0"/>
        <w:rPr>
          <w:sz w:val="20"/>
          <w:szCs w:val="20"/>
          <w:color w:val="auto"/>
        </w:rPr>
      </w:pPr>
      <w:r>
        <w:rPr>
          <w:rFonts w:ascii="Arial" w:cs="Arial" w:eastAsia="Arial" w:hAnsi="Arial"/>
          <w:sz w:val="18"/>
          <w:szCs w:val="18"/>
          <w:b w:val="1"/>
          <w:bCs w:val="1"/>
          <w:u w:val="single" w:color="auto"/>
          <w:color w:val="auto"/>
        </w:rPr>
        <w:t>Chapter 11 Filing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All Weatherford Entities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Bermuda</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WOFS</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9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Assurance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Australia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Australia Pty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Key</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Sabre Drilling</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Pangaea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British Virgin</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Colombia</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Oil Tool</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Middle East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Canada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(Nova Scotia)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ULC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20.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Colombia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21.</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England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Eurasia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22.</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England</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U.K. 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Ireland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European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 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S.à</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Netherlands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Holding B.V.]</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Norway</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Norge AS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3"/>
              </w:rPr>
              <w:t>Panama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S. de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31.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Products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Trading 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2" w:lineRule="exact"/>
        <w:rPr>
          <w:sz w:val="20"/>
          <w:szCs w:val="20"/>
          <w:color w:val="auto"/>
        </w:rPr>
      </w:pPr>
    </w:p>
    <w:p>
      <w:pPr>
        <w:ind w:left="180" w:hanging="172"/>
        <w:spacing w:after="0"/>
        <w:tabs>
          <w:tab w:leader="none" w:pos="180" w:val="left"/>
        </w:tabs>
        <w:numPr>
          <w:ilvl w:val="0"/>
          <w:numId w:val="434"/>
        </w:numPr>
        <w:rPr>
          <w:rFonts w:ascii="Arial" w:cs="Arial" w:eastAsia="Arial" w:hAnsi="Arial"/>
          <w:sz w:val="18"/>
          <w:szCs w:val="18"/>
          <w:color w:val="auto"/>
          <w:vertAlign w:val="superscript"/>
        </w:rPr>
      </w:pPr>
      <w:r>
        <w:rPr>
          <w:rFonts w:ascii="Arial" w:cs="Arial" w:eastAsia="Arial" w:hAnsi="Arial"/>
          <w:sz w:val="14"/>
          <w:szCs w:val="14"/>
          <w:color w:val="auto"/>
        </w:rPr>
        <w:t>Paperwork seeking dissolution has been filed with the Dutch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Revolver</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Revolver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DIP</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Entity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Unsecured</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Unsecured</w:t>
            </w: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Secured</w:t>
            </w: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JurisdictionBorrower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33.</w:t>
            </w: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Weatherford Worldwide</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Switzerland</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Holdings 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34.</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WOFS International</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Finance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35.</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WOFS Swiss Finance</w:t>
            </w:r>
          </w:p>
        </w:tc>
        <w:tc>
          <w:tcPr>
            <w:tcW w:w="2000" w:type="dxa"/>
            <w:vAlign w:val="bottom"/>
            <w:gridSpan w:val="4"/>
            <w:shd w:val="clear" w:color="auto" w:fill="CCEEFF"/>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36.</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(Switzerland)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37.</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PD Holdings (USA),</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38.</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Precision Energy</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Services, 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39.</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 Artificial</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Lift Systems,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40.</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5"/>
              </w:rPr>
              <w:t>Weatherford Investment</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41.</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International,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42.</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U.S. LLC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w:t>
            </w: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Weatherford/Lamb, Inc.</w:t>
            </w:r>
          </w:p>
        </w:tc>
        <w:tc>
          <w:tcPr>
            <w:tcW w:w="200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44.</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DE</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U.S. 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U.S., 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WEUS</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Visual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Columbia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Supply,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eProduction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Solutions,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Advantage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R&amp;D,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Discovery</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Case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Warrior Well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IL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Datalog</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Acquisition,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Edinburgh</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Americas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Incorporated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Global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6"/>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58.</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International</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NV</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S.A.,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In-Depth</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Benmore In-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Depth Corp.</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Stealth Oil &amp;</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Gas,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(PTWI),</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Latin America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67.</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WIHBV LLC</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WUS Holding,</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NV</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DISC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High Pressure</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Integrity,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71.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Tooke</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WY</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Rockies,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Colombia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Corp.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International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 GP,</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Visean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Information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T3E-2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SOUTHERN DISTRICT OF TEXAS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DIVISION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WEATHERFORD INTERNATIONAL PLC, </w:t>
      </w:r>
      <w:r>
        <w:rPr>
          <w:rFonts w:ascii="Arial" w:cs="Arial" w:eastAsia="Arial" w:hAnsi="Arial"/>
          <w:sz w:val="17"/>
          <w:szCs w:val="17"/>
          <w:i w:val="1"/>
          <w:iCs w:val="1"/>
          <w:color w:val="auto"/>
        </w:rPr>
        <w:t>et al.</w:t>
      </w:r>
      <w:r>
        <w:rPr>
          <w:rFonts w:ascii="Arial" w:cs="Arial" w:eastAsia="Arial" w:hAnsi="Arial"/>
          <w:sz w:val="17"/>
          <w:szCs w:val="17"/>
          <w:color w:val="auto"/>
        </w:rPr>
        <w:t>,</w:t>
      </w: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Debtors. </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Chapter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 w:leader="none" w:pos="1340" w:val="left"/>
        </w:tabs>
        <w:rPr>
          <w:sz w:val="20"/>
          <w:szCs w:val="20"/>
          <w:color w:val="auto"/>
        </w:rPr>
      </w:pPr>
      <w:r>
        <w:rPr>
          <w:rFonts w:ascii="Arial" w:cs="Arial" w:eastAsia="Arial" w:hAnsi="Arial"/>
          <w:sz w:val="18"/>
          <w:szCs w:val="18"/>
          <w:color w:val="auto"/>
        </w:rPr>
        <w:t>:</w:t>
        <w:tab/>
        <w:t>Case No. 19-[</w:t>
        <w:tab/>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(Joint Administration Requested)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5740" w:space="720"/>
            <w:col w:w="4960"/>
          </w:cols>
          <w:pgMar w:left="240" w:top="121"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PREPACKAGED PLAN OF REORGANIZATION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WEATHERFORD INTERNATIONAL PLC AND ITS AFFILIATE DEBTORS UNDER CHAPTER 11 OF THE BANKRUPTCY CODE</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June 28, 2019</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w:t>
      </w:r>
    </w:p>
    <w:p>
      <w:pPr>
        <w:spacing w:after="0" w:line="2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color w:val="auto"/>
        </w:rPr>
        <w:t>NO CHAPTER 11 CASES HAVE BEEN COMMENCED AT THIS TIME. THIS PREPACKAGED PLAN OF REORGANIZATION, AND THE SOLICITATION MATERIALS ACCOMPANYING THIS PLAN, HAVE NOT BEEN APPROVED BY THE BANKRUPTCY COURT AS CONTAINING “ADEQUATE INFORMATION” WITHIN THE MEANING OF SECTION 1125(a) OF THE BANKRUPTCY CODE. IN THE EVENT THE CHAPTER 11 CASES ARE COMMENCED, THE DEBTORS EXPECT TO PROMPTLY SEEK AN ORDER OF THE BANKRUPTCY COURT (1) APPROVING THE SOLICITATION OF VOTES AS HAVING BEEN IN COMPLIANCE WITH SECTIONS 1126(b) AND 1125(g) OF THE BANKRUPTCY CODE; (2) APPROVING THE ADEQUACY OF THE DISCLOSURE STATEMENT; AND</w:t>
      </w:r>
    </w:p>
    <w:p>
      <w:pPr>
        <w:ind w:right="120" w:firstLine="8"/>
        <w:spacing w:after="0" w:line="261" w:lineRule="auto"/>
        <w:tabs>
          <w:tab w:leader="none" w:pos="255"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CONFIRMING THE PLAN PURSUANT TO SECTION 1129 OF THE BANKRUPTCY CODE. THE DEBTORS RESERVE THE RIGHT TO CONSUMMATE THE RESTRUCTURING TRANSACTIONS WITHOUT COMMENCING ANY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firstLine="8"/>
        <w:spacing w:after="0" w:line="238" w:lineRule="auto"/>
        <w:tabs>
          <w:tab w:leader="none" w:pos="177" w:val="left"/>
        </w:tabs>
        <w:numPr>
          <w:ilvl w:val="0"/>
          <w:numId w:val="436"/>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3" w:name="page324"/>
    <w:bookmarkEnd w:id="323"/>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40" w:type="dxa"/>
            <w:vAlign w:val="bottom"/>
          </w:tcPr>
          <w:p>
            <w:pPr>
              <w:ind w:left="3020"/>
              <w:spacing w:after="0"/>
              <w:rPr>
                <w:sz w:val="20"/>
                <w:szCs w:val="20"/>
                <w:color w:val="auto"/>
              </w:rPr>
            </w:pPr>
            <w:r>
              <w:rPr>
                <w:rFonts w:ascii="Arial" w:cs="Arial" w:eastAsia="Arial" w:hAnsi="Arial"/>
                <w:sz w:val="18"/>
                <w:szCs w:val="18"/>
                <w:color w:val="auto"/>
              </w:rPr>
              <w:t>TABLE OF CONTENTS</w:t>
            </w:r>
          </w:p>
        </w:tc>
        <w:tc>
          <w:tcPr>
            <w:tcW w:w="1600" w:type="dxa"/>
            <w:vAlign w:val="bottom"/>
          </w:tcPr>
          <w:p>
            <w:pPr>
              <w:spacing w:after="0"/>
              <w:rPr>
                <w:sz w:val="20"/>
                <w:szCs w:val="20"/>
                <w:color w:val="auto"/>
              </w:rPr>
            </w:pP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Rules of Interpretation; Computation of Time</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Administrative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Professional Fee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DIP Facility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Summary</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Classification and Treatment of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1 - Other Priority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2 - Other 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3.</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3 - Secured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4.</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4 — Prepetition Revolving Credit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5.</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5 — Prepetition Term Loan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6.</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6 — Prepetition A&amp;R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7 - Prepetition Notes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8 — General Unsecured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9 — Intercompany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10 — Existing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11 — Intercompany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12 — Unexercised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Special Provision Governing Unimpaired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Elimination of Vacant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Acceptance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Rejection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Voting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Acceptance by Impaired Class of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Confirmation Pursuant to Sections 1129(a)(10) and 1129(b) of the Bankruptcy Code; Cram Down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Votes Solicited in Good Faith</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Restructuring Transactions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Continued Corporate Existence</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Vesting of Assets in the Reorganized Debtors Free and Clear of Liens and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Exit Facility Loan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Senior Unsecured Notes Indentures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Common Stock; Book Entry</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Listing of New Securities and Transfer Restrictions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Registration Rights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Management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Warrants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K.</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Plan Securities and Related Documentation; Exemption from Securities Laws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L.</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Release of Liens and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M.</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Governance Documents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N.</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Directors and Officers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O.</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P.</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Cancellation of Notes, Certificates and Instruments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Q.</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Existing Equity Interests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R.</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Sources of Cash for Plan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S.</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Funding and Use of Professional Fee Claim Reserve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T.</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Certain Creditors</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U.</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the Prepetition Notes Indenture Trustee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V.</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Tranche B Equity Conversion and Overallotment Rights</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W.</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Rights Offering</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Assumption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Cure of Defaults; Assignment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Rejection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Claims on Account of the Rejection of Executory Contracts or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D&amp;O Liability Insurance Policies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Indemnification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Employment Plans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Insurance Contracts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Extension of Time to Assume or Reject</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Modifications, Amendments, Supplements, Restatements, or Other Agreements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for Claims Allowed as of the Effective Date</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No Postpetition Interest on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by the Reorganized Debtors or Other Applicable Distribution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Delivery and Distributions; Undeliverable or Unclaimed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w:t>
            </w:r>
          </w:p>
        </w:tc>
        <w:tc>
          <w:tcPr>
            <w:tcW w:w="7300" w:type="dxa"/>
            <w:vAlign w:val="bottom"/>
          </w:tcPr>
          <w:p>
            <w:pPr>
              <w:ind w:left="80"/>
              <w:spacing w:after="0"/>
              <w:rPr>
                <w:sz w:val="20"/>
                <w:szCs w:val="20"/>
                <w:color w:val="auto"/>
              </w:rPr>
            </w:pPr>
            <w:r>
              <w:rPr>
                <w:rFonts w:ascii="Arial" w:cs="Arial" w:eastAsia="Arial" w:hAnsi="Arial"/>
                <w:sz w:val="18"/>
                <w:szCs w:val="18"/>
                <w:color w:val="auto"/>
              </w:rPr>
              <w:t>Record Date for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2.</w:t>
            </w:r>
          </w:p>
        </w:tc>
        <w:tc>
          <w:tcPr>
            <w:tcW w:w="7300" w:type="dxa"/>
            <w:vAlign w:val="bottom"/>
          </w:tcPr>
          <w:p>
            <w:pPr>
              <w:ind w:left="80"/>
              <w:spacing w:after="0"/>
              <w:rPr>
                <w:sz w:val="20"/>
                <w:szCs w:val="20"/>
                <w:color w:val="auto"/>
              </w:rPr>
            </w:pPr>
            <w:r>
              <w:rPr>
                <w:rFonts w:ascii="Arial" w:cs="Arial" w:eastAsia="Arial" w:hAnsi="Arial"/>
                <w:sz w:val="18"/>
                <w:szCs w:val="18"/>
                <w:color w:val="auto"/>
              </w:rPr>
              <w:t>Delivery of Distributions in 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3.</w:t>
            </w:r>
          </w:p>
        </w:tc>
        <w:tc>
          <w:tcPr>
            <w:tcW w:w="7300" w:type="dxa"/>
            <w:vAlign w:val="bottom"/>
          </w:tcPr>
          <w:p>
            <w:pPr>
              <w:ind w:left="80"/>
              <w:spacing w:after="0"/>
              <w:rPr>
                <w:sz w:val="20"/>
                <w:szCs w:val="20"/>
                <w:color w:val="auto"/>
              </w:rPr>
            </w:pPr>
            <w:r>
              <w:rPr>
                <w:rFonts w:ascii="Arial" w:cs="Arial" w:eastAsia="Arial" w:hAnsi="Arial"/>
                <w:sz w:val="18"/>
                <w:szCs w:val="18"/>
                <w:color w:val="auto"/>
              </w:rPr>
              <w:t>Minimum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4.</w:t>
            </w:r>
          </w:p>
        </w:tc>
        <w:tc>
          <w:tcPr>
            <w:tcW w:w="7300" w:type="dxa"/>
            <w:vAlign w:val="bottom"/>
          </w:tcPr>
          <w:p>
            <w:pPr>
              <w:ind w:left="80"/>
              <w:spacing w:after="0"/>
              <w:rPr>
                <w:sz w:val="20"/>
                <w:szCs w:val="20"/>
                <w:color w:val="auto"/>
              </w:rPr>
            </w:pPr>
            <w:r>
              <w:rPr>
                <w:rFonts w:ascii="Arial" w:cs="Arial" w:eastAsia="Arial" w:hAnsi="Arial"/>
                <w:sz w:val="18"/>
                <w:szCs w:val="18"/>
                <w:color w:val="auto"/>
              </w:rPr>
              <w:t>Undeliverable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Compliance with Tax Requirements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Means of Cash Payment</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Timing and Calculation of Amounts to Be Distributed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900" w:type="dxa"/>
            <w:vAlign w:val="bottom"/>
          </w:tcPr>
          <w:p>
            <w:pPr>
              <w:ind w:left="300"/>
              <w:spacing w:after="0"/>
              <w:rPr>
                <w:sz w:val="20"/>
                <w:szCs w:val="20"/>
                <w:color w:val="auto"/>
              </w:rPr>
            </w:pPr>
            <w:r>
              <w:rPr>
                <w:rFonts w:ascii="Arial" w:cs="Arial" w:eastAsia="Arial" w:hAnsi="Arial"/>
                <w:sz w:val="18"/>
                <w:szCs w:val="18"/>
                <w:color w:val="auto"/>
              </w:rPr>
              <w:t>Setoffs</w:t>
            </w:r>
          </w:p>
        </w:tc>
        <w:tc>
          <w:tcPr>
            <w:tcW w:w="7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ARTICLE VIII. PROCEDURES FOR RESOLVING CONTINGENT, UNLIQUIDATED, AND DISPUTED CLAIMS AND EQUITY</w:t>
            </w:r>
          </w:p>
        </w:tc>
        <w:tc>
          <w:tcPr>
            <w:tcW w:w="940" w:type="dxa"/>
            <w:vAlign w:val="bottom"/>
          </w:tcPr>
          <w:p>
            <w:pPr>
              <w:spacing w:after="0"/>
              <w:rPr>
                <w:sz w:val="18"/>
                <w:szCs w:val="18"/>
                <w:color w:val="auto"/>
              </w:rPr>
            </w:pPr>
          </w:p>
        </w:tc>
      </w:tr>
      <w:tr>
        <w:trPr>
          <w:trHeight w:val="230"/>
        </w:trPr>
        <w:tc>
          <w:tcPr>
            <w:tcW w:w="1740" w:type="dxa"/>
            <w:vAlign w:val="bottom"/>
            <w:gridSpan w:val="2"/>
          </w:tcPr>
          <w:p>
            <w:pPr>
              <w:ind w:left="520"/>
              <w:spacing w:after="0"/>
              <w:rPr>
                <w:sz w:val="20"/>
                <w:szCs w:val="20"/>
                <w:color w:val="auto"/>
              </w:rPr>
            </w:pPr>
            <w:r>
              <w:rPr>
                <w:rFonts w:ascii="Arial" w:cs="Arial" w:eastAsia="Arial" w:hAnsi="Arial"/>
                <w:sz w:val="18"/>
                <w:szCs w:val="18"/>
                <w:color w:val="auto"/>
              </w:rPr>
              <w:t>INTERESTS</w:t>
            </w:r>
          </w:p>
        </w:tc>
        <w:tc>
          <w:tcPr>
            <w:tcW w:w="8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Resolution of Disputed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1.</w:t>
            </w:r>
          </w:p>
        </w:tc>
        <w:tc>
          <w:tcPr>
            <w:tcW w:w="8740" w:type="dxa"/>
            <w:vAlign w:val="bottom"/>
          </w:tcPr>
          <w:p>
            <w:pPr>
              <w:ind w:left="260"/>
              <w:spacing w:after="0"/>
              <w:rPr>
                <w:sz w:val="20"/>
                <w:szCs w:val="20"/>
                <w:color w:val="auto"/>
              </w:rPr>
            </w:pPr>
            <w:r>
              <w:rPr>
                <w:rFonts w:ascii="Arial" w:cs="Arial" w:eastAsia="Arial" w:hAnsi="Arial"/>
                <w:sz w:val="18"/>
                <w:szCs w:val="18"/>
                <w:color w:val="auto"/>
              </w:rPr>
              <w:t>Allowance of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2.</w:t>
            </w:r>
          </w:p>
        </w:tc>
        <w:tc>
          <w:tcPr>
            <w:tcW w:w="8740" w:type="dxa"/>
            <w:vAlign w:val="bottom"/>
          </w:tcPr>
          <w:p>
            <w:pPr>
              <w:ind w:left="260"/>
              <w:spacing w:after="0"/>
              <w:rPr>
                <w:sz w:val="20"/>
                <w:szCs w:val="20"/>
                <w:color w:val="auto"/>
              </w:rPr>
            </w:pPr>
            <w:r>
              <w:rPr>
                <w:rFonts w:ascii="Arial" w:cs="Arial" w:eastAsia="Arial" w:hAnsi="Arial"/>
                <w:sz w:val="18"/>
                <w:szCs w:val="18"/>
                <w:color w:val="auto"/>
              </w:rPr>
              <w:t>Prosecution of Objections to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3.</w:t>
            </w:r>
          </w:p>
        </w:tc>
        <w:tc>
          <w:tcPr>
            <w:tcW w:w="8740" w:type="dxa"/>
            <w:vAlign w:val="bottom"/>
          </w:tcPr>
          <w:p>
            <w:pPr>
              <w:ind w:left="260"/>
              <w:spacing w:after="0"/>
              <w:rPr>
                <w:sz w:val="20"/>
                <w:szCs w:val="20"/>
                <w:color w:val="auto"/>
              </w:rPr>
            </w:pPr>
            <w:r>
              <w:rPr>
                <w:rFonts w:ascii="Arial" w:cs="Arial" w:eastAsia="Arial" w:hAnsi="Arial"/>
                <w:sz w:val="18"/>
                <w:szCs w:val="18"/>
                <w:color w:val="auto"/>
              </w:rPr>
              <w:t>Claims Estimation</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4.</w:t>
            </w:r>
          </w:p>
        </w:tc>
        <w:tc>
          <w:tcPr>
            <w:tcW w:w="8740" w:type="dxa"/>
            <w:vAlign w:val="bottom"/>
          </w:tcPr>
          <w:p>
            <w:pPr>
              <w:ind w:left="260"/>
              <w:spacing w:after="0"/>
              <w:rPr>
                <w:sz w:val="20"/>
                <w:szCs w:val="20"/>
                <w:color w:val="auto"/>
              </w:rPr>
            </w:pPr>
            <w:r>
              <w:rPr>
                <w:rFonts w:ascii="Arial" w:cs="Arial" w:eastAsia="Arial" w:hAnsi="Arial"/>
                <w:sz w:val="18"/>
                <w:szCs w:val="18"/>
                <w:color w:val="auto"/>
              </w:rPr>
              <w:t>No Filings of Proofs of Claim or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No Distributions Pending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ind w:left="1340" w:hanging="792"/>
        <w:spacing w:after="0"/>
        <w:tabs>
          <w:tab w:leader="none" w:pos="13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Distributions on Account of Disputed Claims and Disputed Equity Interests Once They Are Allowed and Additional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Distributions on Account of Previously Allowed Claims and Allowed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20" w:type="dxa"/>
            <w:vAlign w:val="bottom"/>
          </w:tcPr>
          <w:p>
            <w:pPr>
              <w:ind w:left="300"/>
              <w:spacing w:after="0"/>
              <w:rPr>
                <w:sz w:val="20"/>
                <w:szCs w:val="20"/>
                <w:color w:val="auto"/>
              </w:rPr>
            </w:pPr>
            <w:r>
              <w:rPr>
                <w:rFonts w:ascii="Arial" w:cs="Arial" w:eastAsia="Arial" w:hAnsi="Arial"/>
                <w:sz w:val="18"/>
                <w:szCs w:val="18"/>
                <w:color w:val="auto"/>
                <w:w w:val="93"/>
              </w:rPr>
              <w:t>General</w:t>
            </w:r>
          </w:p>
        </w:tc>
        <w:tc>
          <w:tcPr>
            <w:tcW w:w="77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1.</w:t>
            </w:r>
          </w:p>
        </w:tc>
        <w:tc>
          <w:tcPr>
            <w:tcW w:w="7700" w:type="dxa"/>
            <w:vAlign w:val="bottom"/>
          </w:tcPr>
          <w:p>
            <w:pPr>
              <w:ind w:left="40"/>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2.</w:t>
            </w:r>
          </w:p>
        </w:tc>
        <w:tc>
          <w:tcPr>
            <w:tcW w:w="7700" w:type="dxa"/>
            <w:vAlign w:val="bottom"/>
          </w:tcPr>
          <w:p>
            <w:pPr>
              <w:ind w:left="40"/>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Injunction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Conflicts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8300" w:type="dxa"/>
            <w:vAlign w:val="bottom"/>
          </w:tcPr>
          <w:p>
            <w:pPr>
              <w:ind w:left="300"/>
              <w:spacing w:after="0"/>
              <w:rPr>
                <w:sz w:val="20"/>
                <w:szCs w:val="20"/>
                <w:color w:val="auto"/>
              </w:rPr>
            </w:pPr>
            <w:r>
              <w:rPr>
                <w:rFonts w:ascii="Arial" w:cs="Arial" w:eastAsia="Arial" w:hAnsi="Arial"/>
                <w:sz w:val="18"/>
                <w:szCs w:val="18"/>
                <w:color w:val="auto"/>
              </w:rPr>
              <w:t>Service of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L.</w:t>
            </w:r>
          </w:p>
        </w:tc>
        <w:tc>
          <w:tcPr>
            <w:tcW w:w="8300" w:type="dxa"/>
            <w:vAlign w:val="bottom"/>
          </w:tcPr>
          <w:p>
            <w:pPr>
              <w:ind w:left="300"/>
              <w:spacing w:after="0"/>
              <w:rPr>
                <w:sz w:val="20"/>
                <w:szCs w:val="20"/>
                <w:color w:val="auto"/>
              </w:rPr>
            </w:pPr>
            <w:r>
              <w:rPr>
                <w:rFonts w:ascii="Arial" w:cs="Arial" w:eastAsia="Arial" w:hAnsi="Arial"/>
                <w:sz w:val="18"/>
                <w:szCs w:val="18"/>
                <w:color w:val="auto"/>
              </w:rPr>
              <w:t>Exemption from Transfer Taxes Pursuant to Section 1146(a) of the Bankruptcy Code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M.</w:t>
            </w:r>
          </w:p>
        </w:tc>
        <w:tc>
          <w:tcPr>
            <w:tcW w:w="830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N.</w:t>
            </w:r>
          </w:p>
        </w:tc>
        <w:tc>
          <w:tcPr>
            <w:tcW w:w="8300" w:type="dxa"/>
            <w:vAlign w:val="bottom"/>
          </w:tcPr>
          <w:p>
            <w:pPr>
              <w:ind w:left="300"/>
              <w:spacing w:after="0"/>
              <w:rPr>
                <w:sz w:val="20"/>
                <w:szCs w:val="20"/>
                <w:color w:val="auto"/>
              </w:rPr>
            </w:pPr>
            <w:r>
              <w:rPr>
                <w:rFonts w:ascii="Arial" w:cs="Arial" w:eastAsia="Arial" w:hAnsi="Arial"/>
                <w:sz w:val="18"/>
                <w:szCs w:val="18"/>
                <w:color w:val="auto"/>
              </w:rPr>
              <w:t>Tax Reporting and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O.</w:t>
            </w:r>
          </w:p>
        </w:tc>
        <w:tc>
          <w:tcPr>
            <w:tcW w:w="8300" w:type="dxa"/>
            <w:vAlign w:val="bottom"/>
          </w:tcPr>
          <w:p>
            <w:pPr>
              <w:ind w:left="300"/>
              <w:spacing w:after="0"/>
              <w:rPr>
                <w:sz w:val="20"/>
                <w:szCs w:val="20"/>
                <w:color w:val="auto"/>
              </w:rPr>
            </w:pPr>
            <w:r>
              <w:rPr>
                <w:rFonts w:ascii="Arial" w:cs="Arial" w:eastAsia="Arial" w:hAnsi="Arial"/>
                <w:sz w:val="18"/>
                <w:szCs w:val="18"/>
                <w:color w:val="auto"/>
              </w:rPr>
              <w:t>Schedules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P.</w:t>
            </w:r>
          </w:p>
        </w:tc>
        <w:tc>
          <w:tcPr>
            <w:tcW w:w="8300" w:type="dxa"/>
            <w:vAlign w:val="bottom"/>
          </w:tcPr>
          <w:p>
            <w:pPr>
              <w:ind w:left="300"/>
              <w:spacing w:after="0"/>
              <w:rPr>
                <w:sz w:val="20"/>
                <w:szCs w:val="20"/>
                <w:color w:val="auto"/>
              </w:rPr>
            </w:pPr>
            <w:r>
              <w:rPr>
                <w:rFonts w:ascii="Arial" w:cs="Arial" w:eastAsia="Arial" w:hAnsi="Arial"/>
                <w:sz w:val="18"/>
                <w:szCs w:val="18"/>
                <w:color w:val="auto"/>
              </w:rPr>
              <w:t>No Strict 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Q.</w:t>
            </w:r>
          </w:p>
        </w:tc>
        <w:tc>
          <w:tcPr>
            <w:tcW w:w="830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R.</w:t>
            </w:r>
          </w:p>
        </w:tc>
        <w:tc>
          <w:tcPr>
            <w:tcW w:w="8300" w:type="dxa"/>
            <w:vAlign w:val="bottom"/>
          </w:tcPr>
          <w:p>
            <w:pPr>
              <w:ind w:left="300"/>
              <w:spacing w:after="0"/>
              <w:rPr>
                <w:sz w:val="20"/>
                <w:szCs w:val="20"/>
                <w:color w:val="auto"/>
              </w:rPr>
            </w:pPr>
            <w:r>
              <w:rPr>
                <w:rFonts w:ascii="Arial" w:cs="Arial" w:eastAsia="Arial" w:hAnsi="Arial"/>
                <w:sz w:val="18"/>
                <w:szCs w:val="18"/>
                <w:color w:val="auto"/>
              </w:rPr>
              <w:t>Closing of Chapter 11 Cases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S.</w:t>
            </w:r>
          </w:p>
        </w:tc>
        <w:tc>
          <w:tcPr>
            <w:tcW w:w="8300" w:type="dxa"/>
            <w:vAlign w:val="bottom"/>
          </w:tcPr>
          <w:p>
            <w:pPr>
              <w:ind w:left="300"/>
              <w:spacing w:after="0"/>
              <w:rPr>
                <w:sz w:val="20"/>
                <w:szCs w:val="20"/>
                <w:color w:val="auto"/>
              </w:rPr>
            </w:pPr>
            <w:r>
              <w:rPr>
                <w:rFonts w:ascii="Arial" w:cs="Arial" w:eastAsia="Arial" w:hAnsi="Arial"/>
                <w:sz w:val="18"/>
                <w:szCs w:val="18"/>
                <w:color w:val="auto"/>
              </w:rPr>
              <w:t>2002 Notice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80" w:top="341" w:right="239" w:bottom="1440" w:gutter="0" w:footer="0" w:header="0"/>
        </w:sectPr>
      </w:pPr>
    </w:p>
    <w:bookmarkStart w:id="327" w:name="page328"/>
    <w:bookmarkEnd w:id="327"/>
    <w:p>
      <w:pPr>
        <w:jc w:val="center"/>
        <w:ind w:left="260" w:right="2640"/>
        <w:spacing w:after="0" w:line="266" w:lineRule="auto"/>
        <w:rPr>
          <w:sz w:val="20"/>
          <w:szCs w:val="20"/>
          <w:color w:val="auto"/>
        </w:rPr>
      </w:pPr>
      <w:r>
        <w:rPr>
          <w:rFonts w:ascii="Arial" w:cs="Arial" w:eastAsia="Arial" w:hAnsi="Arial"/>
          <w:sz w:val="18"/>
          <w:szCs w:val="18"/>
          <w:b w:val="1"/>
          <w:bCs w:val="1"/>
          <w:color w:val="auto"/>
        </w:rPr>
        <w:t>JOINT PREPACKAGED PLAN OF REORGANIZATION FOR WEATHERFORD INTERNATIONAL PLC AND ITS AFFILIATE DEBTORS UNDER CHAPTER 11 OF THE BANKRUPTCY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Weatherford International Ltd.; and Weatherford International, LLC (each a “</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and, 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against, and Equity Interests (as defined below) in, each of the Debtors. Although proposed jointly for administrative purposes, this Plan constitutes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separate Plan for each Debtor for the resolution of outstanding Claims against and Equity Interests in each Debtor pursuant to the Bankruptcy Code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defined below). The Debtors are the proponents of this Plan within the meaning of section 1129 of the Bankruptcy Code. Reference is made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(as such term is defined herein and distributed contemporaneously herewith) for a discussion of the Debtors’ history,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historical financial information, and projections, and for a summary and analysis of this Plan, the treatment provided for herein and certain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There also are other agreements and documents, which will be filed with the Bankruptcy Court (as defined below), that are referenced in this Plan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Statement as Exhibits and Plan Schedules. All such Exhibits and Plan Schedules are incorporated into and are a part of this Plan as if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herein. Subject to certain restrictions and requirements set forth in 11 U.S.C. § 1127, Fed. R. Bankr. P. 3019 and the terms and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Plan, the Debtors reserve the right to alter, amend, modify, revoke or withdraw this Plan prior to its substantial consummation.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Rules of Interpretation; Computation of Time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XII.C</w:t>
      </w:r>
      <w:r>
        <w:rPr>
          <w:rFonts w:ascii="Arial" w:cs="Arial" w:eastAsia="Arial" w:hAnsi="Arial"/>
          <w:sz w:val="16"/>
          <w:szCs w:val="16"/>
          <w:color w:val="auto"/>
        </w:rPr>
        <w:t xml:space="preserve"> of this Plan, the rights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8" w:name="page329"/>
    <w:bookmarkEnd w:id="328"/>
    <w:p>
      <w:pPr>
        <w:spacing w:after="0" w:line="286" w:lineRule="auto"/>
        <w:rPr>
          <w:sz w:val="20"/>
          <w:szCs w:val="20"/>
          <w:color w:val="auto"/>
        </w:rPr>
      </w:pPr>
      <w:r>
        <w:rPr>
          <w:rFonts w:ascii="Arial" w:cs="Arial" w:eastAsia="Arial" w:hAnsi="Arial"/>
          <w:sz w:val="16"/>
          <w:szCs w:val="16"/>
          <w:color w:val="auto"/>
        </w:rPr>
        <w:t>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the following terms will have the following meanings when used in capitalized form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9" w:name="page330"/>
    <w:bookmarkEnd w:id="329"/>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Claim</w:t>
      </w:r>
      <w:r>
        <w:rPr>
          <w:rFonts w:ascii="Arial" w:cs="Arial" w:eastAsia="Arial" w:hAnsi="Arial"/>
          <w:sz w:val="16"/>
          <w:szCs w:val="16"/>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w:t>
      </w:r>
    </w:p>
    <w:p>
      <w:pPr>
        <w:ind w:firstLine="8"/>
        <w:spacing w:after="0" w:line="253" w:lineRule="auto"/>
        <w:tabs>
          <w:tab w:leader="none" w:pos="2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(d) all requests for compensation or expense reimbursement for making a substantial contribution in the Chapter 11 Cases Allowed pursuant to sections 503(b)(3), (4) and (5) of the Bankruptcy Code; and (e) the Cure Claim Amounts.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ind w:right="160" w:firstLine="8"/>
        <w:spacing w:after="0" w:line="255" w:lineRule="auto"/>
        <w:tabs>
          <w:tab w:leader="none" w:pos="25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0" w:name="page331"/>
    <w:bookmarkEnd w:id="330"/>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Commitment Agreement</w:t>
      </w:r>
      <w:r>
        <w:rPr>
          <w:rFonts w:ascii="Arial" w:cs="Arial" w:eastAsia="Arial" w:hAnsi="Arial"/>
          <w:sz w:val="18"/>
          <w:szCs w:val="18"/>
          <w:color w:val="auto"/>
        </w:rPr>
        <w:t>” means that certain Backstop Commitment Agreement entered into by Weatherford Parent and the Backstop Parties prior to the Petition Date in the form attached to this Plan or to the Disclosure Statement or Filed with the Plan Supplement and in form and substance acceptable to the Backstop Parties.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New Tranche A Senior Unsecured Notes pursuant to the Backstop Commitment Agreement, each in its respective capacity as such.</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1" w:name="page332"/>
    <w:bookmarkEnd w:id="3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Class</w:t>
      </w:r>
      <w:r>
        <w:rPr>
          <w:rFonts w:ascii="Arial" w:cs="Arial" w:eastAsia="Arial" w:hAnsi="Arial"/>
          <w:sz w:val="17"/>
          <w:szCs w:val="17"/>
          <w:color w:val="auto"/>
        </w:rPr>
        <w:t xml:space="preserve">” means a category of Holders of Claims or Equity Interests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pursuant to section 1122(a) of the Bankruptcy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official committee of unsecured creditors appointed in the Chapter 11 Cases, if any.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Cure Claim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VI.B</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2" w:name="page333"/>
    <w:bookmarkEnd w:id="332"/>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i w:val="1"/>
          <w:iCs w:val="1"/>
          <w:color w:val="auto"/>
        </w:rPr>
        <w:t xml:space="preserve">“DIP Agent” </w:t>
      </w:r>
      <w:r>
        <w:rPr>
          <w:rFonts w:ascii="Arial" w:cs="Arial" w:eastAsia="Arial" w:hAnsi="Arial"/>
          <w:sz w:val="18"/>
          <w:szCs w:val="18"/>
          <w:color w:val="auto"/>
        </w:rPr>
        <w:t>means Citibank, N.A., or its duly appointed successor, in its capacity as administrative agent and collateral agent under the DIP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right="22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“DIP Facility” </w:t>
      </w:r>
      <w:r>
        <w:rPr>
          <w:rFonts w:ascii="Arial" w:cs="Arial" w:eastAsia="Arial" w:hAnsi="Arial"/>
          <w:sz w:val="17"/>
          <w:szCs w:val="17"/>
          <w:color w:val="auto"/>
        </w:rPr>
        <w:t>means the debtor-in-possession financing facility provided by the DIP Lenders consisting of a (i) up to $750,000,000 debtor-in-possession first lien revolving credit facility provided by certain lenders (the “</w:t>
      </w:r>
      <w:r>
        <w:rPr>
          <w:rFonts w:ascii="Arial" w:cs="Arial" w:eastAsia="Arial" w:hAnsi="Arial"/>
          <w:sz w:val="17"/>
          <w:szCs w:val="17"/>
          <w:i w:val="1"/>
          <w:iCs w:val="1"/>
          <w:color w:val="auto"/>
        </w:rPr>
        <w:t>DIP Revolver Loan</w:t>
      </w:r>
      <w:r>
        <w:rPr>
          <w:rFonts w:ascii="Arial" w:cs="Arial" w:eastAsia="Arial" w:hAnsi="Arial"/>
          <w:sz w:val="17"/>
          <w:szCs w:val="17"/>
          <w:color w:val="auto"/>
        </w:rPr>
        <w:t>”) and (ii) a $1,000,000,000 debtor-in-possession term loan facility provided by certain of the Consenting Noteholders and fully backstopped by certain of the Consenting Noteholders (the “</w:t>
      </w:r>
      <w:r>
        <w:rPr>
          <w:rFonts w:ascii="Arial" w:cs="Arial" w:eastAsia="Arial" w:hAnsi="Arial"/>
          <w:sz w:val="17"/>
          <w:szCs w:val="17"/>
          <w:i w:val="1"/>
          <w:iCs w:val="1"/>
          <w:color w:val="auto"/>
        </w:rPr>
        <w:t>DIP Term Loan</w:t>
      </w:r>
      <w:r>
        <w:rPr>
          <w:rFonts w:ascii="Arial" w:cs="Arial" w:eastAsia="Arial" w:hAnsi="Arial"/>
          <w:sz w:val="17"/>
          <w:szCs w:val="17"/>
          <w:color w:val="auto"/>
        </w:rPr>
        <w:t>”).</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Lenders</w:t>
      </w:r>
      <w:r>
        <w:rPr>
          <w:rFonts w:ascii="Arial" w:cs="Arial" w:eastAsia="Arial" w:hAnsi="Arial"/>
          <w:sz w:val="17"/>
          <w:szCs w:val="17"/>
          <w:color w:val="auto"/>
        </w:rPr>
        <w:t>” means the banks, financial, institutions, and other lenders party to the DIP Facilities from time to time, and each arranger, bookrunner, syndication agent, manager, and documentation agent party to the DIP Credit Agreement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Revolver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3" w:name="page334"/>
    <w:bookmarkEnd w:id="3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Term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Statement</w:t>
      </w:r>
      <w:r>
        <w:rPr>
          <w:rFonts w:ascii="Arial" w:cs="Arial" w:eastAsia="Arial" w:hAnsi="Arial"/>
          <w:sz w:val="18"/>
          <w:szCs w:val="18"/>
          <w:color w:val="auto"/>
        </w:rPr>
        <w:t xml:space="preserve">” means that certain </w:t>
      </w:r>
      <w:r>
        <w:rPr>
          <w:rFonts w:ascii="Arial" w:cs="Arial" w:eastAsia="Arial" w:hAnsi="Arial"/>
          <w:sz w:val="18"/>
          <w:szCs w:val="18"/>
          <w:i w:val="1"/>
          <w:iCs w:val="1"/>
          <w:color w:val="auto"/>
        </w:rPr>
        <w:t>Disclosure Statement for the Joint Prepackaged Plan Of Reorganization For Weatherford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plc And Its Affiliate Debtors Under Chapter 11 Of The Bankruptcy Code</w:t>
      </w:r>
      <w:r>
        <w:rPr>
          <w:rFonts w:ascii="Arial" w:cs="Arial" w:eastAsia="Arial" w:hAnsi="Arial"/>
          <w:sz w:val="18"/>
          <w:szCs w:val="18"/>
          <w:color w:val="auto"/>
        </w:rPr>
        <w:t>, dated as of June 28, 2019 (as amended, supplemented, or modified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means the date for determining which Holders of Claims and Equity Interests are eligible to receive distributions under this Plan, which date will be the Effective Date, subject to Article VII.D of this Plan. The Distribution Record Date shall not apply to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V.W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w:t>
      </w:r>
      <w:r>
        <w:rPr>
          <w:rFonts w:ascii="Arial" w:cs="Arial" w:eastAsia="Arial" w:hAnsi="Arial"/>
          <w:sz w:val="16"/>
          <w:szCs w:val="16"/>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spacing w:after="0" w:line="2" w:lineRule="exact"/>
        <w:rPr>
          <w:sz w:val="20"/>
          <w:szCs w:val="20"/>
          <w:color w:val="auto"/>
        </w:rPr>
      </w:pPr>
    </w:p>
    <w:p>
      <w:pPr>
        <w:ind w:right="180" w:firstLine="8"/>
        <w:spacing w:after="0" w:line="261" w:lineRule="auto"/>
        <w:tabs>
          <w:tab w:leader="none" w:pos="25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4" w:name="page335"/>
    <w:bookmarkEnd w:id="3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Exculpated Parties</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20" w:firstLine="8"/>
        <w:spacing w:after="0" w:line="261" w:lineRule="auto"/>
        <w:tabs>
          <w:tab w:leader="none" w:pos="30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in the principal amount of up to $1,000,000,000,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Credit Agreement</w:t>
      </w:r>
      <w:r>
        <w:rPr>
          <w:rFonts w:ascii="Arial" w:cs="Arial" w:eastAsia="Arial" w:hAnsi="Arial"/>
          <w:sz w:val="17"/>
          <w:szCs w:val="17"/>
          <w:color w:val="auto"/>
        </w:rPr>
        <w:t>” means the credit agreement, in substantially the form as Filed with the Plan Supplement, the terms and conditions of which are acceptable to the Debtors and the Consenting Noteholders in the manner set forth in the Restructuring Support Agreement.</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Lenders</w:t>
      </w:r>
      <w:r>
        <w:rPr>
          <w:rFonts w:ascii="Arial" w:cs="Arial" w:eastAsia="Arial" w:hAnsi="Arial"/>
          <w:sz w:val="17"/>
          <w:szCs w:val="17"/>
          <w:color w:val="auto"/>
        </w:rPr>
        <w:t>” means each of the lenders under the Exit Facility Credit Agreement, solely in their respective capacities as such.</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w:t>
      </w:r>
      <w:r>
        <w:rPr>
          <w:rFonts w:ascii="Arial" w:cs="Arial" w:eastAsia="Arial" w:hAnsi="Arial"/>
          <w:sz w:val="18"/>
          <w:szCs w:val="18"/>
          <w:i w:val="1"/>
          <w:iCs w:val="1"/>
          <w:color w:val="auto"/>
        </w:rPr>
        <w:t>Filing</w:t>
      </w:r>
      <w:r>
        <w:rPr>
          <w:rFonts w:ascii="Arial" w:cs="Arial" w:eastAsia="Arial" w:hAnsi="Arial"/>
          <w:sz w:val="18"/>
          <w:szCs w:val="18"/>
          <w:color w:val="auto"/>
        </w:rPr>
        <w:t>” means file, filed or filing with the Bankruptcy Court or its authorized designee in the Chapter 11 Cases.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35" w:name="page336"/>
    <w:bookmarkEnd w:id="335"/>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as of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Distribution Date</w:t>
      </w:r>
      <w:r>
        <w:rPr>
          <w:rFonts w:ascii="Arial" w:cs="Arial" w:eastAsia="Arial" w:hAnsi="Arial"/>
          <w:sz w:val="18"/>
          <w:szCs w:val="18"/>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distributions under this Plan will be made to Holders of Allowed Claims and Allowed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applicable distributions under this Plan on account of the DIP Facility Claims and the Prepetition Debt Claims will be made to the applicable Distribution Agent on the Effective Date, and each such Distribution Agent will make its respective distributions as soon as practicable thereafter.</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6" w:name="page337"/>
    <w:bookmarkEnd w:id="336"/>
    <w:p>
      <w:pPr>
        <w:ind w:right="540"/>
        <w:spacing w:after="0" w:line="277" w:lineRule="auto"/>
        <w:rPr>
          <w:sz w:val="20"/>
          <w:szCs w:val="20"/>
          <w:color w:val="auto"/>
        </w:rPr>
      </w:pPr>
      <w:r>
        <w:rPr>
          <w:rFonts w:ascii="Arial" w:cs="Arial" w:eastAsia="Arial" w:hAnsi="Arial"/>
          <w:sz w:val="18"/>
          <w:szCs w:val="18"/>
          <w:color w:val="auto"/>
        </w:rPr>
        <w:t>Debtors and all agreements, documents, or instruments relating thereto. For the avoidance of doubt, each of the D&amp;O Liability Insurance Policies will constitute an 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ind w:right="140" w:firstLine="68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Local Rules</w:t>
      </w:r>
      <w:r>
        <w:rPr>
          <w:rFonts w:ascii="Arial" w:cs="Arial" w:eastAsia="Arial" w:hAnsi="Arial"/>
          <w:sz w:val="17"/>
          <w:szCs w:val="17"/>
          <w:color w:val="auto"/>
        </w:rPr>
        <w:t>” means the Local Rules of Bankruptcy Practice and Procedure of the United States Bankruptcy Court for the Southern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t>agreement will contain terms and conditions as are acceptable to the Required Consenting Noteholders in their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Senior Unsecured Notes</w:t>
      </w:r>
      <w:r>
        <w:rPr>
          <w:rFonts w:ascii="Arial" w:cs="Arial" w:eastAsia="Arial" w:hAnsi="Arial"/>
          <w:sz w:val="16"/>
          <w:szCs w:val="16"/>
          <w:color w:val="auto"/>
        </w:rPr>
        <w:t>” means, collectively, the New Tranche A Senior Unsecured Notes and the New Tranche B Senior Unsecured Notes.</w:t>
      </w:r>
    </w:p>
    <w:p>
      <w:pPr>
        <w:spacing w:after="0" w:line="24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Documents</w:t>
      </w:r>
      <w:r>
        <w:rPr>
          <w:rFonts w:ascii="Arial" w:cs="Arial" w:eastAsia="Arial" w:hAnsi="Arial"/>
          <w:sz w:val="17"/>
          <w:szCs w:val="17"/>
          <w:color w:val="auto"/>
        </w:rPr>
        <w:t>” means the New Senior Unsecured Notes, the New Senior Unsecured Notes Indentures, and other documents, contracts, and agreements entered into with respect, or in connection with, the New Senior Unsecured Notes Indentures.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Senior Unsecured Notes Indentures</w:t>
      </w:r>
      <w:r>
        <w:rPr>
          <w:rFonts w:ascii="Arial" w:cs="Arial" w:eastAsia="Arial" w:hAnsi="Arial"/>
          <w:sz w:val="18"/>
          <w:szCs w:val="18"/>
          <w:color w:val="auto"/>
        </w:rPr>
        <w:t>” means, collectively, the New Tranche A Senior Unsecured Notes Indentures and New Tranche B Senior Unsecured Notes Indentures.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Indenture Trustee</w:t>
      </w:r>
      <w:r>
        <w:rPr>
          <w:rFonts w:ascii="Arial" w:cs="Arial" w:eastAsia="Arial" w:hAnsi="Arial"/>
          <w:sz w:val="17"/>
          <w:szCs w:val="17"/>
          <w:color w:val="auto"/>
        </w:rPr>
        <w:t>” means the indenture trustee under each of the New Senior Unsecured Notes Indentures.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Tranche A Senior Unsecured Notes</w:t>
      </w:r>
      <w:r>
        <w:rPr>
          <w:rFonts w:ascii="Arial" w:cs="Arial" w:eastAsia="Arial" w:hAnsi="Arial"/>
          <w:sz w:val="17"/>
          <w:szCs w:val="17"/>
          <w:color w:val="auto"/>
        </w:rPr>
        <w:t>” means the new senior unsecured notes to be issued by Reorganized Weatherford Delaware and Reorganized Weatherford Bermuda on the Effective Date pursuant to the Rights Offering in an aggregate principal amount of $1,250,000,000 which will have a five year maturity, the subscription for which in the Rights Offering, pursuant to the Backstop Commitment Agreement, will be fully backstopped by the Backstop Parties, and will have the terms set forth in the New Tranche A Senior Unsecured Notes Indentures.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A Senior Unsecured Notes Indentures</w:t>
      </w:r>
      <w:r>
        <w:rPr>
          <w:rFonts w:ascii="Arial" w:cs="Arial" w:eastAsia="Arial" w:hAnsi="Arial"/>
          <w:sz w:val="18"/>
          <w:szCs w:val="18"/>
          <w:color w:val="auto"/>
        </w:rPr>
        <w:t>” means the indenture or indentures governing the New Tranche A Senior Unsecured Notes, in substantially the form Filed with the Plan Supplement, which indenture or indentures will contain terms and conditions consistent with the Restructuring Support Agreement and otherwise acceptable to the initial holders of the New Tranche A Senior Unsecured Notes and the Debtors, and otherwise reasonably acceptable to the Required Consenting Noteholders.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w:t>
      </w:r>
      <w:r>
        <w:rPr>
          <w:rFonts w:ascii="Arial" w:cs="Arial" w:eastAsia="Arial" w:hAnsi="Arial"/>
          <w:sz w:val="18"/>
          <w:szCs w:val="18"/>
          <w:color w:val="auto"/>
        </w:rPr>
        <w:t>” means the new senior unsecured notes to be issued by Reorganized Weatherford Delaware and Reorganized Weatherford Bermuda on the Effective Date in an aggregate principal amount of $1,250,000,000, which will have a seven year maturity and will have the terms set forth in the New Tranche B Senior Unsecured Notes Indentures.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 Indentures</w:t>
      </w:r>
      <w:r>
        <w:rPr>
          <w:rFonts w:ascii="Arial" w:cs="Arial" w:eastAsia="Arial" w:hAnsi="Arial"/>
          <w:sz w:val="18"/>
          <w:szCs w:val="18"/>
          <w:color w:val="auto"/>
        </w:rPr>
        <w:t>” means the indentures governing the New Tranche B Senior Unsecured Notes, in substantially the form Filed with the Plan Supplement, which indentures will contain terms and conditions as are consistent with the Restructuring Support Agreement and otherwise acceptable to the Debtors and the Required Consenting Noteholders.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Warrant Agreement</w:t>
      </w:r>
      <w:r>
        <w:rPr>
          <w:rFonts w:ascii="Arial" w:cs="Arial" w:eastAsia="Arial" w:hAnsi="Arial"/>
          <w:sz w:val="17"/>
          <w:szCs w:val="17"/>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8" w:name="page339"/>
    <w:bookmarkEnd w:id="3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attached to the Disclosure Statement.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Non-Debtor Releasing Parties</w:t>
      </w:r>
      <w:r>
        <w:rPr>
          <w:rFonts w:ascii="Arial" w:cs="Arial" w:eastAsia="Arial" w:hAnsi="Arial"/>
          <w:sz w:val="17"/>
          <w:szCs w:val="17"/>
          <w:color w:val="auto"/>
        </w:rPr>
        <w:t>” means, collectively: (a) the Prepetition Agents; (b) the New Senior Unsecured Notes Indenture Trustee; (c) the DIP Agent; (d) the DIP Lenders; (e) the Prepetition Notes Indenture Trustee; (f) the Ad Hoc Noteholder Committee and the members thereof in their capacities as such; (g) the Consenting Noteholders; (h) the Backstop Parties; (i) the Distribution Agents; (j) the Exit Facility Lenders; (k) the Exit Facility Agent; (l) the Holders of Existing Common Stock and Unexercised Equity Interests that do not affirmatively opt out of the Release; and (m) the Prepetition Noteholders that are not party to the Restructuring Support Agreement and do not affirmatively opt out of the Release.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XII.J</w:t>
      </w:r>
      <w:r>
        <w:rPr>
          <w:rFonts w:ascii="Arial" w:cs="Arial" w:eastAsia="Arial" w:hAnsi="Arial"/>
          <w:sz w:val="18"/>
          <w:szCs w:val="18"/>
          <w:color w:val="auto"/>
        </w:rPr>
        <w:t xml:space="preserve"> of this Plan.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Credit Agreement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ind w:right="28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9" w:name="page340"/>
    <w:bookmarkEnd w:id="339"/>
    <w:p>
      <w:pPr>
        <w:spacing w:after="0" w:line="293" w:lineRule="auto"/>
        <w:rPr>
          <w:sz w:val="20"/>
          <w:szCs w:val="20"/>
          <w:color w:val="auto"/>
        </w:rPr>
      </w:pPr>
      <w:r>
        <w:rPr>
          <w:rFonts w:ascii="Arial" w:cs="Arial" w:eastAsia="Arial" w:hAnsi="Arial"/>
          <w:sz w:val="16"/>
          <w:szCs w:val="16"/>
          <w:color w:val="auto"/>
        </w:rPr>
        <w:t>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Required DIP Lenders. The Exhibits and Plan Schedules (or substantially final forms thereof) will be Filed with the Bankruptcy Court at least seven (7) days prior to the Confirmation Hearing.</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and the Prepetition Term Loan Agreement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and the Prepetition A&amp;R Credit Agreement Lenders, as amended, supplemented, or modified from time to time prior to the Petition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party to the Prepetition A&amp;R Credit Agreement from time to time.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Credit Agreement Claims, the Prepetition Revolving Credit Agreement Claims, the Prepetition Term Loan Agreement Claims, and the Prepetition Notes Claims.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Debt Documents</w:t>
      </w:r>
      <w:r>
        <w:rPr>
          <w:rFonts w:ascii="Arial" w:cs="Arial" w:eastAsia="Arial" w:hAnsi="Arial"/>
          <w:sz w:val="17"/>
          <w:szCs w:val="17"/>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40" w:name="page341"/>
    <w:bookmarkEnd w:id="34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2021,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pursuant to the applicable Prepetition Notes Indenture, in an aggregate principal amount outstanding of $1,265,000,000 (the “</w:t>
      </w:r>
      <w:r>
        <w:rPr>
          <w:rFonts w:ascii="Arial" w:cs="Arial" w:eastAsia="Arial" w:hAnsi="Arial"/>
          <w:sz w:val="17"/>
          <w:szCs w:val="17"/>
          <w:i w:val="1"/>
          <w:iCs w:val="1"/>
          <w:u w:val="single" w:color="auto"/>
          <w:color w:val="auto"/>
        </w:rPr>
        <w:t>5.875%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by Weatherford International Ltd.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2036,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9.875% senior unsecured notes due 2039, issued by Weatherford International Ltd. pursuant to the applicable Prepetition Notes Indenture,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 pursuant to the applicable Prepetition Notes Indenture, in an aggregate principal amount outstanding of $462,601,000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2025, issued by Weatherford International LLC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(the “</w:t>
      </w:r>
      <w:r>
        <w:rPr>
          <w:rFonts w:ascii="Arial" w:cs="Arial" w:eastAsia="Arial" w:hAnsi="Arial"/>
          <w:sz w:val="17"/>
          <w:szCs w:val="17"/>
          <w:i w:val="1"/>
          <w:iCs w:val="1"/>
          <w:u w:val="single" w:color="auto"/>
          <w:color w:val="auto"/>
        </w:rPr>
        <w:t>9.875% 2025 Notes</w:t>
      </w:r>
      <w:r>
        <w:rPr>
          <w:rFonts w:ascii="Arial" w:cs="Arial" w:eastAsia="Arial" w:hAnsi="Arial"/>
          <w:sz w:val="17"/>
          <w:szCs w:val="17"/>
          <w:color w:val="auto"/>
        </w:rPr>
        <w:t>”); and (xiii) those certain 6.800% senior unsecured notes due 2037, issued by 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applicable Prepetition Notes Indenture, in an aggregate principal amount outstanding of $258,767,000 (the “</w:t>
      </w:r>
      <w:r>
        <w:rPr>
          <w:rFonts w:ascii="Arial" w:cs="Arial" w:eastAsia="Arial" w:hAnsi="Arial"/>
          <w:sz w:val="18"/>
          <w:szCs w:val="18"/>
          <w:i w:val="1"/>
          <w:iCs w:val="1"/>
          <w:u w:val="single" w:color="auto"/>
          <w:color w:val="auto"/>
        </w:rPr>
        <w:t>6.800% Notes</w:t>
      </w:r>
      <w:r>
        <w:rPr>
          <w:rFonts w:ascii="Arial" w:cs="Arial" w:eastAsia="Arial" w:hAnsi="Arial"/>
          <w:sz w:val="18"/>
          <w:szCs w:val="18"/>
          <w:color w:val="auto"/>
        </w:rPr>
        <w:t>”).</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w:t>
      </w:r>
    </w:p>
    <w:p>
      <w:pPr>
        <w:jc w:val="both"/>
        <w:spacing w:after="0" w:line="302" w:lineRule="auto"/>
        <w:rPr>
          <w:sz w:val="20"/>
          <w:szCs w:val="20"/>
          <w:color w:val="auto"/>
        </w:rPr>
      </w:pPr>
      <w:r>
        <w:rPr>
          <w:rFonts w:ascii="Arial" w:cs="Arial" w:eastAsia="Arial" w:hAnsi="Arial"/>
          <w:sz w:val="16"/>
          <w:szCs w:val="16"/>
          <w:color w:val="auto"/>
        </w:rPr>
        <w:t>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1" w:name="page342"/>
    <w:bookmarkEnd w:id="341"/>
    <w:p>
      <w:pPr>
        <w:ind w:right="100"/>
        <w:spacing w:after="0" w:line="277" w:lineRule="auto"/>
        <w:rPr>
          <w:sz w:val="20"/>
          <w:szCs w:val="20"/>
          <w:color w:val="auto"/>
        </w:rPr>
      </w:pPr>
      <w:r>
        <w:rPr>
          <w:rFonts w:ascii="Arial" w:cs="Arial" w:eastAsia="Arial" w:hAnsi="Arial"/>
          <w:sz w:val="18"/>
          <w:szCs w:val="18"/>
          <w:color w:val="auto"/>
        </w:rPr>
        <w:t>the 6.800% Notes, and with respect to each such Indenture, as amended, restated, modified, supplemented, or replaced from time to time prior to the Petition Date.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the Irish Examinership Proceedings.</w:t>
      </w:r>
    </w:p>
    <w:p>
      <w:pPr>
        <w:spacing w:after="0" w:line="15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the Prepetition Revolving Credit Agreement Agent, and the Prepetition Revolving Credit Agreement Lenders, as amended, supplemented, or modified from time to time prior to the Petition Date.</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ind w:right="18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party to the Prepetition Credit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Revolving Credit Agreement Liens</w:t>
      </w:r>
      <w:r>
        <w:rPr>
          <w:rFonts w:ascii="Arial" w:cs="Arial" w:eastAsia="Arial" w:hAnsi="Arial"/>
          <w:sz w:val="17"/>
          <w:szCs w:val="17"/>
          <w:color w:val="auto"/>
        </w:rPr>
        <w:t>” means the Liens securing the payment of the Prepetition Revolving Credit Agreement Claims.</w:t>
      </w:r>
    </w:p>
    <w:p>
      <w:pPr>
        <w:spacing w:after="0" w:line="23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the Prepetition Term Loan Agent and the Prepetition Term Loan Lenders, as amended, supplemented, or modified from time to time prior to the Petition 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2" w:name="page343"/>
    <w:bookmarkEnd w:id="342"/>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Agreement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in the Chapter 11 Cases pursuant to section 327, 328, or 363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328, 330, 331, or 503 of the Bankruptcy Code.</w:t>
      </w:r>
    </w:p>
    <w:p>
      <w:pPr>
        <w:spacing w:after="0" w:line="2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xml:space="preserve">” means, with respect to any Person, such Person’s predecessors, successors, assigns and present and former Affiliates (whether by operation of law or otherwise) and subsidiaries, and each of their respective current and former officers, directors, principals, 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3" w:name="page344"/>
    <w:bookmarkEnd w:id="343"/>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Party</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00" w:firstLine="8"/>
        <w:spacing w:after="0" w:line="261" w:lineRule="auto"/>
        <w:tabs>
          <w:tab w:leader="none" w:pos="30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Required DIP Lenders.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right="7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Reorganized Parent</w:t>
      </w:r>
      <w:r>
        <w:rPr>
          <w:rFonts w:ascii="Arial" w:cs="Arial" w:eastAsia="Arial" w:hAnsi="Arial"/>
          <w:sz w:val="16"/>
          <w:szCs w:val="16"/>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New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Required DIP Lenders.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4" w:name="page345"/>
    <w:bookmarkEnd w:id="344"/>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New Tranche A Senior Unsecured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 Procedures</w:t>
      </w:r>
      <w:r>
        <w:rPr>
          <w:rFonts w:ascii="Arial" w:cs="Arial" w:eastAsia="Arial" w:hAnsi="Arial"/>
          <w:sz w:val="18"/>
          <w:szCs w:val="18"/>
          <w:color w:val="auto"/>
        </w:rPr>
        <w:t>” means the procedures for the implementation of the Rights Offering as described in the Disclosure Statement, in form and substance acceptable to the Required Consenting Noteholders.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w:t>
      </w:r>
      <w:r>
        <w:rPr>
          <w:rFonts w:ascii="Arial" w:cs="Arial" w:eastAsia="Arial" w:hAnsi="Arial"/>
          <w:sz w:val="18"/>
          <w:szCs w:val="18"/>
          <w:color w:val="auto"/>
        </w:rPr>
        <w:t>” means with respect to any Claim, the status and amount, if any, of such Claim as set forth in the Schedules.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Rights</w:t>
      </w:r>
      <w:r>
        <w:rPr>
          <w:rFonts w:ascii="Arial" w:cs="Arial" w:eastAsia="Arial" w:hAnsi="Arial"/>
          <w:sz w:val="18"/>
          <w:szCs w:val="18"/>
          <w:color w:val="auto"/>
        </w:rPr>
        <w:t>” means the subscription rights to acquire New Tranche A Senior Unsecured Notes in accordance with the Rights Offering Procedures.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5" w:name="page346"/>
    <w:bookmarkEnd w:id="345"/>
    <w:p>
      <w:pPr>
        <w:ind w:right="10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ind w:right="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2"/>
          <w:szCs w:val="22"/>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Conversion Notes</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Equity Conversion</w:t>
      </w:r>
      <w:r>
        <w:rPr>
          <w:rFonts w:ascii="Arial" w:cs="Arial" w:eastAsia="Arial" w:hAnsi="Arial"/>
          <w:sz w:val="18"/>
          <w:szCs w:val="18"/>
          <w:color w:val="auto"/>
        </w:rPr>
        <w:t>” has the meaning set forth in Article III.B.7(c)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Unexercised Equity Interests</w:t>
      </w:r>
      <w:r>
        <w:rPr>
          <w:rFonts w:ascii="Arial" w:cs="Arial" w:eastAsia="Arial" w:hAnsi="Arial"/>
          <w:sz w:val="17"/>
          <w:szCs w:val="17"/>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Cash Reserve Amount</w:t>
      </w:r>
      <w:r>
        <w:rPr>
          <w:rFonts w:ascii="Arial" w:cs="Arial" w:eastAsia="Arial" w:hAnsi="Arial"/>
          <w:sz w:val="16"/>
          <w:szCs w:val="16"/>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Bermuda</w:t>
      </w:r>
      <w:r>
        <w:rPr>
          <w:rFonts w:ascii="Arial" w:cs="Arial" w:eastAsia="Arial" w:hAnsi="Arial"/>
          <w:sz w:val="18"/>
          <w:szCs w:val="18"/>
          <w:color w:val="auto"/>
        </w:rPr>
        <w:t>” means Weatherford International Ltd, a Bermuda company, as debtor-in-possession in these Chapter 11 Cases.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6" w:name="page347"/>
    <w:bookmarkEnd w:id="34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Administrative Claims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1</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980" w:hanging="324"/>
        <w:spacing w:after="0"/>
        <w:tabs>
          <w:tab w:leader="none" w:pos="98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7" w:name="page348"/>
    <w:bookmarkEnd w:id="347"/>
    <w:p>
      <w:pPr>
        <w:spacing w:after="0" w:line="259" w:lineRule="auto"/>
        <w:rPr>
          <w:sz w:val="20"/>
          <w:szCs w:val="20"/>
          <w:color w:val="auto"/>
        </w:rPr>
      </w:pPr>
      <w:r>
        <w:rPr>
          <w:rFonts w:ascii="Arial" w:cs="Arial" w:eastAsia="Arial" w:hAnsi="Arial"/>
          <w:sz w:val="18"/>
          <w:szCs w:val="18"/>
          <w:color w:val="auto"/>
        </w:rPr>
        <w:t>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DIP Facility Claims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Priority Tax Claims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t>Date, and continuing on each Subsequent Distribution Date thereafter until payment in full of the applicable Allowed Priority Tax Claim.</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Summary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below.</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spacing w:after="0"/>
              <w:rPr>
                <w:sz w:val="14"/>
                <w:szCs w:val="14"/>
                <w:color w:val="auto"/>
              </w:rPr>
            </w:pPr>
          </w:p>
        </w:tc>
        <w:tc>
          <w:tcPr>
            <w:tcW w:w="3060" w:type="dxa"/>
            <w:vAlign w:val="bottom"/>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16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Other 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Secured Tax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Revolving Credit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Term Loan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A&amp;R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Notes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General Unsecured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Intercompany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9" w:name="page350"/>
    <w:bookmarkEnd w:id="349"/>
    <w:tbl>
      <w:tblPr>
        <w:tblLayout w:type="fixed"/>
        <w:tblInd w:w="660" w:type="dxa"/>
        <w:tblCellMar>
          <w:top w:w="0" w:type="dxa"/>
          <w:left w:w="0" w:type="dxa"/>
          <w:bottom w:w="0" w:type="dxa"/>
          <w:right w:w="0" w:type="dxa"/>
        </w:tblCellMar>
      </w:tblPr>
      <w:tr>
        <w:trPr>
          <w:trHeight w:val="171"/>
        </w:trPr>
        <w:tc>
          <w:tcPr>
            <w:tcW w:w="1040" w:type="dxa"/>
            <w:vAlign w:val="bottom"/>
          </w:tcPr>
          <w:p>
            <w:pPr>
              <w:jc w:val="right"/>
              <w:ind w:right="634"/>
              <w:spacing w:after="0"/>
              <w:rPr>
                <w:sz w:val="20"/>
                <w:szCs w:val="20"/>
                <w:color w:val="auto"/>
              </w:rPr>
            </w:pPr>
            <w:r>
              <w:rPr>
                <w:rFonts w:ascii="Arial" w:cs="Arial" w:eastAsia="Arial" w:hAnsi="Arial"/>
                <w:sz w:val="14"/>
                <w:szCs w:val="14"/>
                <w:b w:val="1"/>
                <w:bCs w:val="1"/>
                <w:color w:val="auto"/>
                <w:w w:val="80"/>
              </w:rPr>
              <w:t>Class</w:t>
            </w:r>
          </w:p>
        </w:tc>
        <w:tc>
          <w:tcPr>
            <w:tcW w:w="460" w:type="dxa"/>
            <w:vAlign w:val="bottom"/>
          </w:tcPr>
          <w:p>
            <w:pPr>
              <w:spacing w:after="0"/>
              <w:rPr>
                <w:sz w:val="14"/>
                <w:szCs w:val="14"/>
                <w:color w:val="auto"/>
              </w:rPr>
            </w:pPr>
          </w:p>
        </w:tc>
        <w:tc>
          <w:tcPr>
            <w:tcW w:w="4040" w:type="dxa"/>
            <w:vAlign w:val="bottom"/>
            <w:gridSpan w:val="2"/>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104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(2)</w:t>
            </w: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r>
      <w:tr>
        <w:trPr>
          <w:trHeight w:val="216"/>
        </w:trPr>
        <w:tc>
          <w:tcPr>
            <w:tcW w:w="104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Intercompany Equity Interests</w:t>
            </w: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w:t>
            </w:r>
          </w:p>
        </w:tc>
        <w:tc>
          <w:tcPr>
            <w:tcW w:w="4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Unexercised Equity Interests</w:t>
            </w: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Reject</w:t>
            </w: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Classification and Treatment of Claims and Equity Interests</w:t>
      </w:r>
    </w:p>
    <w:p>
      <w:pPr>
        <w:spacing w:after="0" w:line="225" w:lineRule="exact"/>
        <w:rPr>
          <w:sz w:val="20"/>
          <w:szCs w:val="20"/>
          <w:color w:val="auto"/>
        </w:rPr>
      </w:pPr>
    </w:p>
    <w:p>
      <w:pPr>
        <w:ind w:left="980" w:hanging="324"/>
        <w:spacing w:after="0"/>
        <w:tabs>
          <w:tab w:leader="none" w:pos="980"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4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1960" w:hanging="655"/>
        <w:spacing w:after="0" w:line="287" w:lineRule="auto"/>
        <w:tabs>
          <w:tab w:leader="none" w:pos="1967" w:val="left"/>
        </w:tabs>
        <w:numPr>
          <w:ilvl w:val="2"/>
          <w:numId w:val="444"/>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jc w:val="both"/>
        <w:ind w:left="1960" w:right="120" w:hanging="655"/>
        <w:spacing w:after="0" w:line="264" w:lineRule="auto"/>
        <w:tabs>
          <w:tab w:leader="none" w:pos="1971" w:val="left"/>
        </w:tabs>
        <w:numPr>
          <w:ilvl w:val="2"/>
          <w:numId w:val="444"/>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381" w:lineRule="exact"/>
        <w:rPr>
          <w:rFonts w:ascii="Arial" w:cs="Arial" w:eastAsia="Arial" w:hAnsi="Arial"/>
          <w:sz w:val="18"/>
          <w:szCs w:val="18"/>
          <w:color w:val="auto"/>
        </w:rPr>
      </w:pPr>
    </w:p>
    <w:p>
      <w:pPr>
        <w:ind w:left="180" w:hanging="172"/>
        <w:spacing w:after="0"/>
        <w:tabs>
          <w:tab w:leader="none" w:pos="180" w:val="left"/>
        </w:tabs>
        <w:numPr>
          <w:ilvl w:val="0"/>
          <w:numId w:val="445"/>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50" w:name="page351"/>
    <w:bookmarkEnd w:id="350"/>
    <w:p>
      <w:pPr>
        <w:ind w:left="324" w:hanging="324"/>
        <w:spacing w:after="0"/>
        <w:tabs>
          <w:tab w:leader="none" w:pos="32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right="460" w:hanging="655"/>
        <w:spacing w:after="0" w:line="277" w:lineRule="auto"/>
        <w:tabs>
          <w:tab w:leader="none" w:pos="1301" w:val="left"/>
        </w:tabs>
        <w:numPr>
          <w:ilvl w:val="1"/>
          <w:numId w:val="44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2 consists of the Other Secured Claims. Class 2 consists of separate subclasses for each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Claim.</w:t>
      </w:r>
    </w:p>
    <w:p>
      <w:pPr>
        <w:spacing w:after="0" w:line="170" w:lineRule="exact"/>
        <w:rPr>
          <w:rFonts w:ascii="Arial" w:cs="Arial" w:eastAsia="Arial" w:hAnsi="Arial"/>
          <w:sz w:val="18"/>
          <w:szCs w:val="18"/>
          <w:color w:val="auto"/>
        </w:rPr>
      </w:pPr>
    </w:p>
    <w:p>
      <w:pPr>
        <w:ind w:left="1304" w:hanging="655"/>
        <w:spacing w:after="0" w:line="269" w:lineRule="auto"/>
        <w:tabs>
          <w:tab w:leader="none" w:pos="1311" w:val="left"/>
        </w:tabs>
        <w:numPr>
          <w:ilvl w:val="1"/>
          <w:numId w:val="446"/>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right="120" w:hanging="655"/>
        <w:spacing w:after="0" w:line="264" w:lineRule="auto"/>
        <w:tabs>
          <w:tab w:leader="none" w:pos="1314" w:val="left"/>
        </w:tabs>
        <w:numPr>
          <w:ilvl w:val="1"/>
          <w:numId w:val="44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1304" w:hanging="655"/>
        <w:spacing w:after="0" w:line="291" w:lineRule="auto"/>
        <w:tabs>
          <w:tab w:leader="none" w:pos="1311" w:val="left"/>
        </w:tabs>
        <w:numPr>
          <w:ilvl w:val="1"/>
          <w:numId w:val="446"/>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1" w:name="page352"/>
    <w:bookmarkEnd w:id="351"/>
    <w:p>
      <w:pPr>
        <w:ind w:left="1304" w:right="100"/>
        <w:spacing w:after="0" w:line="287" w:lineRule="auto"/>
        <w:rPr>
          <w:sz w:val="20"/>
          <w:szCs w:val="20"/>
          <w:color w:val="auto"/>
        </w:rPr>
      </w:pPr>
      <w:r>
        <w:rPr>
          <w:rFonts w:ascii="Arial" w:cs="Arial" w:eastAsia="Arial" w:hAnsi="Arial"/>
          <w:sz w:val="16"/>
          <w:szCs w:val="16"/>
          <w:color w:val="auto"/>
        </w:rPr>
        <w:t xml:space="preserve">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69" w:lineRule="exact"/>
        <w:rPr>
          <w:sz w:val="20"/>
          <w:szCs w:val="20"/>
          <w:color w:val="auto"/>
        </w:rPr>
      </w:pPr>
    </w:p>
    <w:p>
      <w:pPr>
        <w:ind w:left="1304" w:hanging="655"/>
        <w:spacing w:after="0" w:line="264" w:lineRule="auto"/>
        <w:tabs>
          <w:tab w:leader="none" w:pos="1314" w:val="left"/>
        </w:tabs>
        <w:numPr>
          <w:ilvl w:val="1"/>
          <w:numId w:val="44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40" w:hanging="655"/>
        <w:spacing w:after="0" w:line="277" w:lineRule="auto"/>
        <w:tabs>
          <w:tab w:leader="none" w:pos="1311"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hanging="655"/>
        <w:spacing w:after="0" w:line="264" w:lineRule="auto"/>
        <w:tabs>
          <w:tab w:leader="none" w:pos="1311"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352" w:name="page353"/>
    <w:bookmarkEnd w:id="352"/>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right="440" w:hanging="655"/>
        <w:spacing w:after="0" w:line="277"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right="20" w:hanging="655"/>
        <w:spacing w:after="0" w:line="264"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1304" w:right="20" w:hanging="655"/>
        <w:spacing w:after="0" w:line="302" w:lineRule="auto"/>
        <w:tabs>
          <w:tab w:leader="none" w:pos="1314" w:val="left"/>
        </w:tabs>
        <w:numPr>
          <w:ilvl w:val="1"/>
          <w:numId w:val="449"/>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Effective Date, the Allowed Prepetition A&amp;R Claims will, in full satisfaction, settlement, discharge and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54" w:lineRule="exact"/>
        <w:rPr>
          <w:rFonts w:ascii="Arial" w:cs="Arial" w:eastAsia="Arial" w:hAnsi="Arial"/>
          <w:sz w:val="16"/>
          <w:szCs w:val="16"/>
          <w:color w:val="auto"/>
        </w:rPr>
      </w:pPr>
    </w:p>
    <w:p>
      <w:pPr>
        <w:ind w:left="1304" w:right="20" w:hanging="655"/>
        <w:spacing w:after="0" w:line="264"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6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3" w:name="page354"/>
    <w:bookmarkEnd w:id="353"/>
    <w:p>
      <w:pPr>
        <w:ind w:left="760" w:right="40" w:hanging="655"/>
        <w:spacing w:after="0" w:line="277" w:lineRule="auto"/>
        <w:tabs>
          <w:tab w:leader="none" w:pos="767" w:val="left"/>
        </w:tabs>
        <w:numPr>
          <w:ilvl w:val="0"/>
          <w:numId w:val="450"/>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400" w:hanging="647"/>
        <w:spacing w:after="0"/>
        <w:tabs>
          <w:tab w:leader="none" w:pos="140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$790,000,000 in aggregate principal amount, plus accrued and unpaid interest on account of the 9.875% 2024 Notes;</w:t>
      </w:r>
    </w:p>
    <w:p>
      <w:pPr>
        <w:spacing w:after="0" w:line="248" w:lineRule="exact"/>
        <w:rPr>
          <w:rFonts w:ascii="Arial" w:cs="Arial" w:eastAsia="Arial" w:hAnsi="Arial"/>
          <w:sz w:val="16"/>
          <w:szCs w:val="16"/>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$250,000,000 in aggregate principal amount, plus accrued and unpaid interest on account of the 9.875% 2039 Notes;</w:t>
      </w:r>
    </w:p>
    <w:p>
      <w:pPr>
        <w:spacing w:after="0" w:line="248" w:lineRule="exact"/>
        <w:rPr>
          <w:rFonts w:ascii="Arial" w:cs="Arial" w:eastAsia="Arial" w:hAnsi="Arial"/>
          <w:sz w:val="16"/>
          <w:szCs w:val="16"/>
          <w:color w:val="auto"/>
        </w:rPr>
      </w:pPr>
    </w:p>
    <w:p>
      <w:pPr>
        <w:ind w:left="1400" w:hanging="647"/>
        <w:spacing w:after="0"/>
        <w:tabs>
          <w:tab w:leader="none" w:pos="140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6" w:lineRule="exact"/>
        <w:rPr>
          <w:rFonts w:ascii="Arial" w:cs="Arial" w:eastAsia="Arial" w:hAnsi="Arial"/>
          <w:sz w:val="17"/>
          <w:szCs w:val="17"/>
          <w:color w:val="auto"/>
        </w:rPr>
      </w:pPr>
    </w:p>
    <w:p>
      <w:pPr>
        <w:ind w:left="760" w:right="100" w:hanging="655"/>
        <w:spacing w:after="0" w:line="312" w:lineRule="auto"/>
        <w:tabs>
          <w:tab w:leader="none" w:pos="771" w:val="left"/>
        </w:tabs>
        <w:numPr>
          <w:ilvl w:val="0"/>
          <w:numId w:val="450"/>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discharge and release of, and in exchange for, such Claim, its Pro Rata share of (i) 99% of the New Common Stock, subject to dilution on account of equity issued pursuant to the New Management Incentive Plan, the Tranche</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354" w:name="page355"/>
    <w:bookmarkEnd w:id="354"/>
    <w:p>
      <w:pPr>
        <w:ind w:left="1304" w:right="40"/>
        <w:spacing w:after="0" w:line="269" w:lineRule="auto"/>
        <w:rPr>
          <w:sz w:val="20"/>
          <w:szCs w:val="20"/>
          <w:color w:val="auto"/>
        </w:rPr>
      </w:pPr>
      <w:r>
        <w:rPr>
          <w:rFonts w:ascii="Arial" w:cs="Arial" w:eastAsia="Arial" w:hAnsi="Arial"/>
          <w:sz w:val="17"/>
          <w:szCs w:val="17"/>
          <w:color w:val="auto"/>
        </w:rPr>
        <w:t xml:space="preserve">B Equity Conversion (as defined below), and the New Common Stock issuable pursuant to the New Warrants and (ii) the New Tranche B Senior Unsecured Notes;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of such Holders will have the option, in its sole discretion, to convert its Pro Rata share of $500,000,000 in principal amount of the New Tranche B Senior Unsecured Notes into New Common Stock (the “</w:t>
      </w:r>
      <w:r>
        <w:rPr>
          <w:rFonts w:ascii="Arial" w:cs="Arial" w:eastAsia="Arial" w:hAnsi="Arial"/>
          <w:sz w:val="17"/>
          <w:szCs w:val="17"/>
          <w:b w:val="1"/>
          <w:bCs w:val="1"/>
          <w:u w:val="single" w:color="auto"/>
          <w:color w:val="auto"/>
        </w:rPr>
        <w:t>Tranche B Equity Conversion</w:t>
      </w:r>
      <w:r>
        <w:rPr>
          <w:rFonts w:ascii="Arial" w:cs="Arial" w:eastAsia="Arial" w:hAnsi="Arial"/>
          <w:sz w:val="17"/>
          <w:szCs w:val="17"/>
          <w:color w:val="auto"/>
        </w:rPr>
        <w:t xml:space="preserve">”) at a conversion price of $36.20 per share of New Common Stock;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 effectuation of the Tranche B Equity Conversion and the Overallotment Rights are set forth in Article V.U hereof. In addition, each of such Holders will receive Subscription Rights to purchase its Pro Rata share of New Tranche A Senior Unsecured Notes pursuant to the Rights Offering and in accordance with the applicable Rights Offerings Procedures.</w:t>
      </w:r>
    </w:p>
    <w:p>
      <w:pPr>
        <w:spacing w:after="0" w:line="180" w:lineRule="exact"/>
        <w:rPr>
          <w:sz w:val="20"/>
          <w:szCs w:val="20"/>
          <w:color w:val="auto"/>
        </w:rPr>
      </w:pPr>
    </w:p>
    <w:p>
      <w:pPr>
        <w:ind w:left="1304" w:hanging="655"/>
        <w:spacing w:after="0"/>
        <w:tabs>
          <w:tab w:leader="none" w:pos="1304" w:val="left"/>
        </w:tabs>
        <w:numPr>
          <w:ilvl w:val="1"/>
          <w:numId w:val="451"/>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304" w:hanging="655"/>
        <w:spacing w:after="0" w:line="259" w:lineRule="auto"/>
        <w:tabs>
          <w:tab w:leader="none" w:pos="1311"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The legal, equitable, and contractual rights of the holders of General Unsecured Claims are unaltered by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jc w:val="both"/>
        <w:ind w:left="1304" w:right="100" w:hanging="655"/>
        <w:spacing w:after="0" w:line="264" w:lineRule="auto"/>
        <w:tabs>
          <w:tab w:leader="none" w:pos="131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304" w:right="380" w:hanging="655"/>
        <w:spacing w:after="0" w:line="277" w:lineRule="auto"/>
        <w:tabs>
          <w:tab w:leader="none" w:pos="1311"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Subject to the Restructuring Transactions, the Intercompany Claims will be adjusted, reinstated, compromised, or</w:t>
      </w:r>
      <w:r>
        <w:rPr>
          <w:rFonts w:ascii="Arial" w:cs="Arial" w:eastAsia="Arial" w:hAnsi="Arial"/>
          <w:sz w:val="18"/>
          <w:szCs w:val="18"/>
          <w:i w:val="1"/>
          <w:iCs w:val="1"/>
          <w:color w:val="auto"/>
        </w:rPr>
        <w:t xml:space="preserve"> </w:t>
      </w:r>
      <w:r>
        <w:rPr>
          <w:rFonts w:ascii="Arial" w:cs="Arial" w:eastAsia="Arial" w:hAnsi="Arial"/>
          <w:sz w:val="18"/>
          <w:szCs w:val="18"/>
          <w:color w:val="auto"/>
        </w:rPr>
        <w:t>cancelled to the extent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355" w:name="page356"/>
    <w:bookmarkEnd w:id="355"/>
    <w:p>
      <w:pPr>
        <w:ind w:left="1960"/>
        <w:spacing w:after="0"/>
        <w:rPr>
          <w:sz w:val="20"/>
          <w:szCs w:val="20"/>
          <w:color w:val="auto"/>
        </w:rPr>
      </w:pPr>
      <w:r>
        <w:rPr>
          <w:rFonts w:ascii="Arial" w:cs="Arial" w:eastAsia="Arial" w:hAnsi="Arial"/>
          <w:sz w:val="18"/>
          <w:szCs w:val="18"/>
          <w:color w:val="auto"/>
        </w:rPr>
        <w:t>determined appropriate by the Debtors, with the consent of the Required Consenting Noteholders.</w:t>
      </w:r>
    </w:p>
    <w:p>
      <w:pPr>
        <w:spacing w:after="0" w:line="225" w:lineRule="exact"/>
        <w:rPr>
          <w:sz w:val="20"/>
          <w:szCs w:val="20"/>
          <w:color w:val="auto"/>
        </w:rPr>
      </w:pPr>
    </w:p>
    <w:p>
      <w:pPr>
        <w:ind w:left="1960" w:right="100" w:hanging="655"/>
        <w:spacing w:after="0" w:line="264" w:lineRule="auto"/>
        <w:tabs>
          <w:tab w:leader="none" w:pos="1971"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(3)</w:t>
      </w:r>
    </w:p>
    <w:p>
      <w:pPr>
        <w:spacing w:after="0" w:line="167" w:lineRule="exact"/>
        <w:rPr>
          <w:rFonts w:ascii="Arial" w:cs="Arial" w:eastAsia="Arial" w:hAnsi="Arial"/>
          <w:sz w:val="18"/>
          <w:szCs w:val="18"/>
          <w:color w:val="auto"/>
        </w:rPr>
      </w:pPr>
    </w:p>
    <w:p>
      <w:pPr>
        <w:ind w:left="1960" w:right="20" w:hanging="655"/>
        <w:spacing w:after="0" w:line="302" w:lineRule="auto"/>
        <w:tabs>
          <w:tab w:leader="none" w:pos="1967" w:val="left"/>
        </w:tabs>
        <w:numPr>
          <w:ilvl w:val="1"/>
          <w:numId w:val="454"/>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On the Effective Date, the Existing Common Stock will be cancelled without further notice to, approval of or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On the 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right="280" w:hanging="655"/>
        <w:spacing w:after="0" w:line="277" w:lineRule="auto"/>
        <w:tabs>
          <w:tab w:leader="none" w:pos="1971" w:val="left"/>
        </w:tabs>
        <w:numPr>
          <w:ilvl w:val="2"/>
          <w:numId w:val="455"/>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960" w:right="200" w:hanging="655"/>
        <w:spacing w:after="0" w:line="264" w:lineRule="auto"/>
        <w:tabs>
          <w:tab w:leader="none" w:pos="1967"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71"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7"/>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6" w:name="page357"/>
    <w:bookmarkEnd w:id="356"/>
    <w:p>
      <w:pPr>
        <w:ind w:left="1960" w:hanging="655"/>
        <w:spacing w:after="0" w:line="308" w:lineRule="auto"/>
        <w:tabs>
          <w:tab w:leader="none" w:pos="1967" w:val="left"/>
        </w:tabs>
        <w:numPr>
          <w:ilvl w:val="0"/>
          <w:numId w:val="458"/>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ind w:left="1960" w:right="340" w:hanging="655"/>
        <w:spacing w:after="0" w:line="264" w:lineRule="auto"/>
        <w:tabs>
          <w:tab w:leader="none" w:pos="1971" w:val="left"/>
        </w:tabs>
        <w:numPr>
          <w:ilvl w:val="0"/>
          <w:numId w:val="458"/>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Special Provision Governing Unimpaired Claims</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Except as otherwise provided herein, nothing under this Plan will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Elimination of Vacant Classes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Acceptance of Plan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Rejection of Plan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Voting Classes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7" w:name="page358"/>
    <w:bookmarkEnd w:id="357"/>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Acceptance by Impaired Class of Claims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 Plan if the Holders of at least two-thirds (2/3) in amount of the Allowed Equity Interests in such Class actually have voted to accept this Plan.</w:t>
      </w:r>
    </w:p>
    <w:p>
      <w:pPr>
        <w:spacing w:after="0" w:line="181" w:lineRule="exact"/>
        <w:rPr>
          <w:sz w:val="20"/>
          <w:szCs w:val="20"/>
          <w:color w:val="auto"/>
        </w:rPr>
      </w:pPr>
    </w:p>
    <w:p>
      <w:pPr>
        <w:ind w:left="660" w:hanging="652"/>
        <w:spacing w:after="0"/>
        <w:tabs>
          <w:tab w:leader="none" w:pos="660" w:val="left"/>
        </w:tabs>
        <w:numPr>
          <w:ilvl w:val="0"/>
          <w:numId w:val="459"/>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54" w:lineRule="exact"/>
        <w:rPr>
          <w:sz w:val="20"/>
          <w:szCs w:val="20"/>
          <w:color w:val="auto"/>
        </w:rPr>
      </w:pPr>
    </w:p>
    <w:p>
      <w:pPr>
        <w:ind w:left="640" w:hanging="632"/>
        <w:spacing w:after="0"/>
        <w:tabs>
          <w:tab w:leader="none" w:pos="640" w:val="left"/>
        </w:tabs>
        <w:numPr>
          <w:ilvl w:val="0"/>
          <w:numId w:val="460"/>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Restructuring Transactions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8" w:name="page359"/>
    <w:bookmarkEnd w:id="358"/>
    <w:p>
      <w:pPr>
        <w:ind w:right="80"/>
        <w:spacing w:after="0" w:line="255" w:lineRule="auto"/>
        <w:rPr>
          <w:sz w:val="20"/>
          <w:szCs w:val="20"/>
          <w:color w:val="auto"/>
        </w:rPr>
      </w:pPr>
      <w:r>
        <w:rPr>
          <w:rFonts w:ascii="Arial" w:cs="Arial" w:eastAsia="Arial" w:hAnsi="Arial"/>
          <w:sz w:val="18"/>
          <w:szCs w:val="18"/>
          <w:color w:val="auto"/>
        </w:rPr>
        <w:t>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8"/>
          <w:szCs w:val="18"/>
          <w:b w:val="1"/>
          <w:bCs w:val="1"/>
          <w:u w:val="single" w:color="auto"/>
          <w:color w:val="auto"/>
        </w:rPr>
        <w:t>Restructuring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9" w:name="page360"/>
    <w:bookmarkEnd w:id="359"/>
    <w:p>
      <w:pPr>
        <w:ind w:left="660" w:hanging="652"/>
        <w:spacing w:after="0"/>
        <w:tabs>
          <w:tab w:leader="none" w:pos="660" w:val="left"/>
        </w:tabs>
        <w:numPr>
          <w:ilvl w:val="0"/>
          <w:numId w:val="461"/>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462"/>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78" w:lineRule="exact"/>
        <w:rPr>
          <w:sz w:val="20"/>
          <w:szCs w:val="20"/>
          <w:color w:val="auto"/>
        </w:rPr>
      </w:pPr>
    </w:p>
    <w:p>
      <w:pPr>
        <w:ind w:left="660" w:hanging="652"/>
        <w:spacing w:after="0"/>
        <w:tabs>
          <w:tab w:leader="none" w:pos="660" w:val="left"/>
        </w:tabs>
        <w:numPr>
          <w:ilvl w:val="0"/>
          <w:numId w:val="463"/>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0" w:name="page361"/>
    <w:bookmarkEnd w:id="360"/>
    <w:p>
      <w:pPr>
        <w:ind w:right="160"/>
        <w:spacing w:after="0" w:line="277" w:lineRule="auto"/>
        <w:rPr>
          <w:sz w:val="20"/>
          <w:szCs w:val="20"/>
          <w:color w:val="auto"/>
        </w:rPr>
      </w:pPr>
      <w:r>
        <w:rPr>
          <w:rFonts w:ascii="Arial" w:cs="Arial" w:eastAsia="Arial" w:hAnsi="Arial"/>
          <w:sz w:val="18"/>
          <w:szCs w:val="18"/>
          <w:color w:val="auto"/>
        </w:rPr>
        <w:t>deemed to be, enjoined or subject to discharge, impairment, release or avoidance under this Plan, the Confirmation Order or on account of the Confirmation or Consummation of this Plan.</w:t>
      </w:r>
    </w:p>
    <w:p>
      <w:pPr>
        <w:spacing w:after="0" w:line="170" w:lineRule="exact"/>
        <w:rPr>
          <w:sz w:val="20"/>
          <w:szCs w:val="20"/>
          <w:color w:val="auto"/>
        </w:rPr>
      </w:pPr>
    </w:p>
    <w:p>
      <w:pPr>
        <w:ind w:left="660" w:hanging="652"/>
        <w:spacing w:after="0"/>
        <w:tabs>
          <w:tab w:leader="none" w:pos="660" w:val="left"/>
        </w:tabs>
        <w:numPr>
          <w:ilvl w:val="0"/>
          <w:numId w:val="464"/>
        </w:numPr>
        <w:rPr>
          <w:rFonts w:ascii="Arial" w:cs="Arial" w:eastAsia="Arial" w:hAnsi="Arial"/>
          <w:sz w:val="18"/>
          <w:szCs w:val="18"/>
          <w:i w:val="1"/>
          <w:iCs w:val="1"/>
          <w:color w:val="auto"/>
        </w:rPr>
      </w:pPr>
      <w:r>
        <w:rPr>
          <w:rFonts w:ascii="Arial" w:cs="Arial" w:eastAsia="Arial" w:hAnsi="Arial"/>
          <w:sz w:val="18"/>
          <w:szCs w:val="18"/>
          <w:i w:val="1"/>
          <w:iCs w:val="1"/>
          <w:color w:val="auto"/>
        </w:rPr>
        <w:t>New Senior Unsecured Notes Indentures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New Common Stock; Book Entry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Listing of New Securities and Transfer Restrictions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1" w:name="page362"/>
    <w:bookmarkEnd w:id="361"/>
    <w:p>
      <w:pPr>
        <w:ind w:left="660" w:hanging="652"/>
        <w:spacing w:after="0"/>
        <w:tabs>
          <w:tab w:leader="none" w:pos="660" w:val="left"/>
        </w:tabs>
        <w:numPr>
          <w:ilvl w:val="0"/>
          <w:numId w:val="465"/>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71" w:lineRule="exact"/>
        <w:rPr>
          <w:sz w:val="20"/>
          <w:szCs w:val="20"/>
          <w:color w:val="auto"/>
        </w:rPr>
      </w:pPr>
    </w:p>
    <w:p>
      <w:pPr>
        <w:ind w:left="660" w:hanging="652"/>
        <w:spacing w:after="0"/>
        <w:tabs>
          <w:tab w:leader="none" w:pos="660" w:val="left"/>
        </w:tabs>
        <w:numPr>
          <w:ilvl w:val="0"/>
          <w:numId w:val="466"/>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467"/>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468"/>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this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this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offer, distribution, and issuance, as applicable, of the Plan Securities and Documents under this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2" w:name="page363"/>
    <w:bookmarkEnd w:id="362"/>
    <w:p>
      <w:pPr>
        <w:spacing w:after="0" w:line="291" w:lineRule="auto"/>
        <w:rPr>
          <w:sz w:val="20"/>
          <w:szCs w:val="20"/>
          <w:color w:val="auto"/>
        </w:rPr>
      </w:pPr>
      <w:r>
        <w:rPr>
          <w:rFonts w:ascii="Arial" w:cs="Arial" w:eastAsia="Arial" w:hAnsi="Arial"/>
          <w:sz w:val="16"/>
          <w:szCs w:val="16"/>
          <w:color w:val="auto"/>
        </w:rPr>
        <w:t xml:space="preserve">delivery of a prospectus for offer or sale of a security or registration or licensing of an issuer of a security) pursuant to section 1145(a) of the Bankruptcy Code and/or other applicable exemptions;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73" w:lineRule="exact"/>
        <w:rPr>
          <w:sz w:val="20"/>
          <w:szCs w:val="20"/>
          <w:color w:val="auto"/>
        </w:rPr>
      </w:pPr>
    </w:p>
    <w:p>
      <w:pPr>
        <w:ind w:left="660" w:hanging="652"/>
        <w:spacing w:after="0"/>
        <w:tabs>
          <w:tab w:leader="none" w:pos="660"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this Plan) or in any contract, instrument, release or other agreement or document entered into or delivered in connection with this Plan, on the Effective Date and concurrently with the applicable distributions made pursuant to Article VII hereof,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73" w:lineRule="exact"/>
        <w:rPr>
          <w:sz w:val="20"/>
          <w:szCs w:val="20"/>
          <w:color w:val="auto"/>
        </w:rPr>
      </w:pPr>
    </w:p>
    <w:p>
      <w:pPr>
        <w:ind w:left="660" w:hanging="652"/>
        <w:spacing w:after="0"/>
        <w:tabs>
          <w:tab w:leader="none" w:pos="660" w:val="left"/>
        </w:tabs>
        <w:numPr>
          <w:ilvl w:val="0"/>
          <w:numId w:val="470"/>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respective corporate governance documents of each of the Debtors will be amended and restated or replaced (as applicable) by the New/Amended Corporate Governance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3" w:name="page364"/>
    <w:bookmarkEnd w:id="363"/>
    <w:p>
      <w:pPr>
        <w:spacing w:after="0" w:line="271" w:lineRule="auto"/>
        <w:rPr>
          <w:sz w:val="20"/>
          <w:szCs w:val="20"/>
          <w:color w:val="auto"/>
        </w:rPr>
      </w:pPr>
      <w:r>
        <w:rPr>
          <w:rFonts w:ascii="Arial" w:cs="Arial" w:eastAsia="Arial" w:hAnsi="Arial"/>
          <w:sz w:val="17"/>
          <w:szCs w:val="17"/>
          <w:color w:val="auto"/>
        </w:rPr>
        <w:t>(subject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79" w:lineRule="exact"/>
        <w:rPr>
          <w:sz w:val="20"/>
          <w:szCs w:val="20"/>
          <w:color w:val="auto"/>
        </w:rPr>
      </w:pPr>
    </w:p>
    <w:p>
      <w:pPr>
        <w:ind w:left="660" w:hanging="652"/>
        <w:spacing w:after="0"/>
        <w:tabs>
          <w:tab w:leader="none" w:pos="660" w:val="left"/>
        </w:tabs>
        <w:numPr>
          <w:ilvl w:val="0"/>
          <w:numId w:val="471"/>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w:t>
      </w:r>
      <w:r>
        <w:rPr>
          <w:rFonts w:ascii="Arial" w:cs="Arial" w:eastAsia="Arial" w:hAnsi="Arial"/>
          <w:sz w:val="15"/>
          <w:szCs w:val="15"/>
          <w:color w:val="auto"/>
        </w:rPr>
        <w:t>Corporate Governance</w:t>
      </w:r>
      <w:r>
        <w:rPr>
          <w:rFonts w:ascii="Arial" w:cs="Arial" w:eastAsia="Arial" w:hAnsi="Arial"/>
          <w:sz w:val="16"/>
          <w:szCs w:val="16"/>
          <w:color w:val="auto"/>
        </w:rPr>
        <w:t xml:space="preserv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7" w:lineRule="exact"/>
        <w:rPr>
          <w:sz w:val="20"/>
          <w:szCs w:val="20"/>
          <w:color w:val="auto"/>
        </w:rPr>
      </w:pPr>
    </w:p>
    <w:p>
      <w:pPr>
        <w:ind w:left="660" w:hanging="652"/>
        <w:spacing w:after="0"/>
        <w:tabs>
          <w:tab w:leader="none" w:pos="660" w:val="left"/>
        </w:tabs>
        <w:numPr>
          <w:ilvl w:val="0"/>
          <w:numId w:val="473"/>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t>such actions being in accordance with the law of the Debtor’s jurisdiction of incorporation to the extent such non-bankruptcy law is applicable).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9" w:lineRule="exact"/>
        <w:rPr>
          <w:sz w:val="20"/>
          <w:szCs w:val="20"/>
          <w:color w:val="auto"/>
        </w:rPr>
      </w:pPr>
    </w:p>
    <w:p>
      <w:pPr>
        <w:ind w:left="640" w:hanging="632"/>
        <w:spacing w:after="0"/>
        <w:tabs>
          <w:tab w:leader="none" w:pos="640" w:val="left"/>
        </w:tabs>
        <w:numPr>
          <w:ilvl w:val="0"/>
          <w:numId w:val="474"/>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the Effective Date, except to the extent otherwise provided in this Plan (including, without limitation, Article II.B, Article V.B, Article V.E, and Article V.K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5" w:name="page366"/>
    <w:bookmarkEnd w:id="365"/>
    <w:p>
      <w:pPr>
        <w:ind w:right="60"/>
        <w:spacing w:after="0" w:line="287" w:lineRule="auto"/>
        <w:rPr>
          <w:sz w:val="20"/>
          <w:szCs w:val="20"/>
          <w:color w:val="auto"/>
        </w:rPr>
      </w:pPr>
      <w:r>
        <w:rPr>
          <w:rFonts w:ascii="Arial" w:cs="Arial" w:eastAsia="Arial" w:hAnsi="Arial"/>
          <w:sz w:val="16"/>
          <w:szCs w:val="16"/>
          <w:color w:val="auto"/>
        </w:rPr>
        <w:t>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Claims as contemplated by Article II.B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69" w:lineRule="exact"/>
        <w:rPr>
          <w:sz w:val="20"/>
          <w:szCs w:val="20"/>
          <w:color w:val="auto"/>
        </w:rPr>
      </w:pPr>
    </w:p>
    <w:p>
      <w:pPr>
        <w:ind w:left="660" w:hanging="652"/>
        <w:spacing w:after="0"/>
        <w:tabs>
          <w:tab w:leader="none" w:pos="660" w:val="left"/>
        </w:tabs>
        <w:numPr>
          <w:ilvl w:val="0"/>
          <w:numId w:val="475"/>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Sources of Cash for Plan Distributions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6" w:name="page367"/>
    <w:bookmarkEnd w:id="366"/>
    <w:p>
      <w:pPr>
        <w:ind w:right="80"/>
        <w:spacing w:after="0" w:line="277" w:lineRule="auto"/>
        <w:rPr>
          <w:sz w:val="20"/>
          <w:szCs w:val="20"/>
          <w:color w:val="auto"/>
        </w:rPr>
      </w:pPr>
      <w:r>
        <w:rPr>
          <w:rFonts w:ascii="Arial" w:cs="Arial" w:eastAsia="Arial" w:hAnsi="Arial"/>
          <w:sz w:val="18"/>
          <w:szCs w:val="18"/>
          <w:color w:val="auto"/>
        </w:rPr>
        <w:t>considered prepetition claims of Weatherford Parent in the Irish Scheme of Arrangement so long as such payments are in the ordinary course of business and otherwise in accordance with the terms of this Plan and the DIP Orders.</w:t>
      </w:r>
    </w:p>
    <w:p>
      <w:pPr>
        <w:spacing w:after="0" w:line="170"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71"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8" w:lineRule="exact"/>
        <w:rPr>
          <w:sz w:val="20"/>
          <w:szCs w:val="20"/>
          <w:color w:val="auto"/>
        </w:rPr>
      </w:pPr>
    </w:p>
    <w:p>
      <w:pPr>
        <w:ind w:left="660" w:hanging="652"/>
        <w:spacing w:after="0"/>
        <w:tabs>
          <w:tab w:leader="none" w:pos="660" w:val="left"/>
        </w:tabs>
        <w:numPr>
          <w:ilvl w:val="0"/>
          <w:numId w:val="477"/>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87" w:lineRule="exact"/>
        <w:rPr>
          <w:sz w:val="20"/>
          <w:szCs w:val="20"/>
          <w:color w:val="auto"/>
        </w:rPr>
      </w:pPr>
    </w:p>
    <w:p>
      <w:pPr>
        <w:ind w:left="660" w:hanging="652"/>
        <w:spacing w:after="0"/>
        <w:tabs>
          <w:tab w:leader="none" w:pos="660" w:val="left"/>
        </w:tabs>
        <w:numPr>
          <w:ilvl w:val="0"/>
          <w:numId w:val="478"/>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7" w:name="page368"/>
    <w:bookmarkEnd w:id="367"/>
    <w:p>
      <w:pPr>
        <w:ind w:right="40"/>
        <w:spacing w:after="0" w:line="257" w:lineRule="auto"/>
        <w:rPr>
          <w:sz w:val="20"/>
          <w:szCs w:val="20"/>
          <w:color w:val="auto"/>
        </w:rPr>
      </w:pPr>
      <w:r>
        <w:rPr>
          <w:rFonts w:ascii="Arial" w:cs="Arial" w:eastAsia="Arial" w:hAnsi="Arial"/>
          <w:sz w:val="18"/>
          <w:szCs w:val="18"/>
          <w:color w:val="auto"/>
        </w:rPr>
        <w:t>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Tranche B Equity Conversion and Overallotment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this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8" w:name="page369"/>
    <w:bookmarkEnd w:id="368"/>
    <w:p>
      <w:pPr>
        <w:spacing w:after="0"/>
        <w:tabs>
          <w:tab w:leader="none" w:pos="640" w:val="left"/>
        </w:tabs>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Rights Offering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New Tranche A Senior Unsecured Notes on the Effective Date in accordance with this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Assumption of Executory Contracts and Unexpired Leases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320" w:hanging="664"/>
        <w:spacing w:after="0"/>
        <w:tabs>
          <w:tab w:leader="none" w:pos="13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right="100" w:firstLine="656"/>
        <w:spacing w:after="0" w:line="259" w:lineRule="auto"/>
        <w:tabs>
          <w:tab w:leader="none" w:pos="133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9" w:name="page370"/>
    <w:bookmarkEnd w:id="369"/>
    <w:p>
      <w:pPr>
        <w:ind w:firstLine="648"/>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Article VI.</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Cure of Defaults; Assignment of Executory Contracts and Unexpired Leases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this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of an assumption, or an assumption and assignment, of an Executory Contract or Unexpired Lease under this Plan, at least twenty-one</w:t>
      </w:r>
    </w:p>
    <w:p>
      <w:pPr>
        <w:spacing w:after="0" w:line="46" w:lineRule="exact"/>
        <w:rPr>
          <w:sz w:val="20"/>
          <w:szCs w:val="20"/>
          <w:color w:val="auto"/>
        </w:rPr>
      </w:pPr>
    </w:p>
    <w:p>
      <w:pPr>
        <w:ind w:right="100" w:firstLine="8"/>
        <w:spacing w:after="0" w:line="254" w:lineRule="auto"/>
        <w:tabs>
          <w:tab w:leader="none" w:pos="34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days prior to the Plan Objection 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0" w:name="page371"/>
    <w:bookmarkEnd w:id="370"/>
    <w:p>
      <w:pPr>
        <w:ind w:right="120"/>
        <w:spacing w:after="0" w:line="277" w:lineRule="auto"/>
        <w:rPr>
          <w:sz w:val="20"/>
          <w:szCs w:val="20"/>
          <w:color w:val="auto"/>
        </w:rPr>
      </w:pPr>
      <w:r>
        <w:rPr>
          <w:rFonts w:ascii="Arial" w:cs="Arial" w:eastAsia="Arial" w:hAnsi="Arial"/>
          <w:sz w:val="18"/>
          <w:szCs w:val="18"/>
          <w:color w:val="auto"/>
        </w:rPr>
        <w:t>Contract or Unexpired Lease will be assigned; (c) describe the procedures for filing objections thereto; and (d) explain the process by which related disputes will be resolved by the Bankruptcy Court.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this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Article VI.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1" w:name="page372"/>
    <w:bookmarkEnd w:id="371"/>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Rejection of Executory Contracts and Unexpired Leases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Claims on Account of the Rejection of Executory Contracts or Unexpired Leases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hereof.</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D&amp;O Liability Insurance Policies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2" w:name="page373"/>
    <w:bookmarkEnd w:id="372"/>
    <w:p>
      <w:pPr>
        <w:ind w:right="120"/>
        <w:spacing w:after="0" w:line="312" w:lineRule="auto"/>
        <w:rPr>
          <w:sz w:val="20"/>
          <w:szCs w:val="20"/>
          <w:color w:val="auto"/>
        </w:rPr>
      </w:pPr>
      <w:r>
        <w:rPr>
          <w:rFonts w:ascii="Arial" w:cs="Arial" w:eastAsia="Arial" w:hAnsi="Arial"/>
          <w:sz w:val="16"/>
          <w:szCs w:val="16"/>
          <w:color w:val="auto"/>
        </w:rPr>
        <w:t>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Indemnification Provisions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Employment Plans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Insurance Contracts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3" w:name="page374"/>
    <w:bookmarkEnd w:id="373"/>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Extension of Time to Assume or Reject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J</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Modifications, Amendments, Supplements, Restatements, or Other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for Claims Allowed as of the Effective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Postpetition Interest on Claims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4" w:name="page375"/>
    <w:bookmarkEnd w:id="374"/>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by the Reorganized Debtors or Other Applicable Distribution Agent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this Plan, the Reorganized Debtors or other applicable Distribution Agent will make all distributions required to be distributed under this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this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this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this Plan, the Prepetition Notes Indenture Trustee may transfer or direct the transfer of such distributions through the facilities of DTC and, in such event, will be entitled to recognize and deal for all purposes under this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be deemed fully satisfied upon DTC’s receipt of the distributions with respect to the Prepetition Notes.</w:t>
      </w:r>
    </w:p>
    <w:p>
      <w:pPr>
        <w:spacing w:after="0" w:line="17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5" w:name="page376"/>
    <w:bookmarkEnd w:id="375"/>
    <w:p>
      <w:pPr>
        <w:ind w:left="660" w:hanging="652"/>
        <w:spacing w:after="0"/>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sz w:val="20"/>
          <w:szCs w:val="20"/>
          <w:color w:val="auto"/>
        </w:rPr>
      </w:pPr>
    </w:p>
    <w:p>
      <w:pPr>
        <w:ind w:left="1300" w:hanging="644"/>
        <w:spacing w:after="0"/>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300" w:hanging="644"/>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300" w:hanging="644"/>
        <w:spacing w:after="0"/>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this Plan would otherwise be called for, the actual payment or distribution will reflect a rounding of such fraction down to the 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6" w:name="page377"/>
    <w:bookmarkEnd w:id="376"/>
    <w:p>
      <w:pPr>
        <w:ind w:right="40"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189" w:lineRule="exact"/>
        <w:rPr>
          <w:sz w:val="20"/>
          <w:szCs w:val="20"/>
          <w:color w:val="auto"/>
        </w:rPr>
      </w:pPr>
    </w:p>
    <w:p>
      <w:pPr>
        <w:ind w:left="1960" w:hanging="655"/>
        <w:spacing w:after="0"/>
        <w:tabs>
          <w:tab w:leader="none" w:pos="19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77" w:name="page378"/>
    <w:bookmarkEnd w:id="377"/>
    <w:p>
      <w:pPr>
        <w:ind w:right="20"/>
        <w:spacing w:after="0" w:line="255" w:lineRule="auto"/>
        <w:rPr>
          <w:sz w:val="20"/>
          <w:szCs w:val="20"/>
          <w:color w:val="auto"/>
        </w:rPr>
      </w:pPr>
      <w:r>
        <w:rPr>
          <w:rFonts w:ascii="Arial" w:cs="Arial" w:eastAsia="Arial" w:hAnsi="Arial"/>
          <w:sz w:val="18"/>
          <w:szCs w:val="18"/>
          <w:color w:val="auto"/>
        </w:rPr>
        <w:t>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this Plan.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Compliance with Tax Requirements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[Intentionally Omitted]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Means of Cash Payment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Timing and Calculation of Amounts to Be Distributed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Except as otherwise provided in the “Treatment” sections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Except as otherwise provided herein, Holders of Claims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ind w:right="260"/>
        <w:spacing w:after="0" w:line="277" w:lineRule="auto"/>
        <w:rPr>
          <w:sz w:val="20"/>
          <w:szCs w:val="20"/>
          <w:color w:val="auto"/>
        </w:rPr>
      </w:pPr>
      <w:r>
        <w:rPr>
          <w:rFonts w:ascii="Arial" w:cs="Arial" w:eastAsia="Arial" w:hAnsi="Arial"/>
          <w:sz w:val="18"/>
          <w:szCs w:val="18"/>
          <w:color w:val="auto"/>
        </w:rPr>
        <w:t>will not be entitled to interest, dividends or accruals on the distributions provided for herein, regardless of whether such distributions are delivered on or at any time after the Effective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Setoffs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Resolution of Disputed Claims and Equity Interests</w:t>
      </w:r>
    </w:p>
    <w:p>
      <w:pPr>
        <w:spacing w:after="0" w:line="225" w:lineRule="exact"/>
        <w:rPr>
          <w:sz w:val="20"/>
          <w:szCs w:val="20"/>
          <w:color w:val="auto"/>
        </w:rPr>
      </w:pPr>
    </w:p>
    <w:p>
      <w:pPr>
        <w:ind w:left="1300" w:hanging="644"/>
        <w:spacing w:after="0"/>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the Effective Date, and except as otherwise provided in this Plan, the Reorganized Debtors will have and will retain any and all available rights and defenses that the Debtors had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9" w:name="page380"/>
    <w:bookmarkEnd w:id="379"/>
    <w:p>
      <w:pPr>
        <w:ind w:right="40"/>
        <w:spacing w:after="0" w:line="259" w:lineRule="auto"/>
        <w:rPr>
          <w:sz w:val="20"/>
          <w:szCs w:val="20"/>
          <w:color w:val="auto"/>
        </w:rPr>
      </w:pPr>
      <w:r>
        <w:rPr>
          <w:rFonts w:ascii="Arial" w:cs="Arial" w:eastAsia="Arial" w:hAnsi="Arial"/>
          <w:sz w:val="18"/>
          <w:szCs w:val="18"/>
          <w:color w:val="auto"/>
        </w:rPr>
        <w:t>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87"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300" w:hanging="644"/>
        <w:spacing w:after="0"/>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Except as otherwise provided in this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and the Reorganized Debtors, as applicable, reserve the right to object to any Claim or Equity Interest that is entitled, or deemed to be entitled, to a distribution under this Plan or is rendered Unimpaired under this Plan. Instead, the Debtors intend to make distributions,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0" w:name="page381"/>
    <w:bookmarkEnd w:id="380"/>
    <w:p>
      <w:pPr>
        <w:spacing w:after="0" w:line="270" w:lineRule="auto"/>
        <w:rPr>
          <w:sz w:val="20"/>
          <w:szCs w:val="20"/>
          <w:color w:val="auto"/>
        </w:rPr>
      </w:pPr>
      <w:r>
        <w:rPr>
          <w:rFonts w:ascii="Arial" w:cs="Arial" w:eastAsia="Arial" w:hAnsi="Arial"/>
          <w:sz w:val="17"/>
          <w:szCs w:val="17"/>
          <w:color w:val="auto"/>
        </w:rPr>
        <w:t xml:space="preserve">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 Noteholders, compromise, settle, withdraw or resolve by any other method approved by the Bankruptcy Court any objections to Claims or Equity Interests.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Distributions Pending Allowance</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73"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1" w:name="page382"/>
    <w:bookmarkEnd w:id="381"/>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Reserve for Disputed Claims and Disputed Equity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Confirmation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7" w:lineRule="exact"/>
        <w:rPr>
          <w:sz w:val="20"/>
          <w:szCs w:val="20"/>
          <w:color w:val="auto"/>
        </w:rPr>
      </w:pPr>
    </w:p>
    <w:p>
      <w:pPr>
        <w:jc w:val="both"/>
        <w:ind w:right="40" w:firstLine="656"/>
        <w:spacing w:after="0" w:line="279" w:lineRule="auto"/>
        <w:tabs>
          <w:tab w:leader="none" w:pos="129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71" w:lineRule="exact"/>
        <w:rPr>
          <w:rFonts w:ascii="Arial" w:cs="Arial" w:eastAsia="Arial" w:hAnsi="Arial"/>
          <w:sz w:val="17"/>
          <w:szCs w:val="17"/>
          <w:color w:val="auto"/>
        </w:rPr>
      </w:pPr>
    </w:p>
    <w:p>
      <w:pPr>
        <w:jc w:val="both"/>
        <w:ind w:right="160" w:firstLine="656"/>
        <w:spacing w:after="0" w:line="257" w:lineRule="auto"/>
        <w:tabs>
          <w:tab w:leader="none" w:pos="129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sz w:val="20"/>
          <w:szCs w:val="20"/>
          <w:color w:val="auto"/>
        </w:rPr>
      </w:pPr>
    </w:p>
    <w:p>
      <w:pPr>
        <w:jc w:val="center"/>
        <w:ind w:left="5620" w:right="840" w:hanging="4964"/>
        <w:spacing w:after="0" w:line="528" w:lineRule="auto"/>
        <w:tabs>
          <w:tab w:leader="none" w:pos="130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Confirmation Order has become a Final Order and such order has not been amended, modified, vacated, stayed, or reversed;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2" w:name="page383"/>
    <w:bookmarkEnd w:id="382"/>
    <w:p>
      <w:pPr>
        <w:ind w:left="-20" w:firstLine="656"/>
        <w:spacing w:after="0" w:line="264"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ind w:left="-20" w:right="80" w:firstLine="656"/>
        <w:spacing w:after="0" w:line="279" w:lineRule="auto"/>
        <w:tabs>
          <w:tab w:leader="none" w:pos="127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71" w:lineRule="exact"/>
        <w:rPr>
          <w:rFonts w:ascii="Arial" w:cs="Arial" w:eastAsia="Arial" w:hAnsi="Arial"/>
          <w:sz w:val="17"/>
          <w:szCs w:val="17"/>
          <w:color w:val="auto"/>
        </w:rPr>
      </w:pPr>
    </w:p>
    <w:p>
      <w:pPr>
        <w:ind w:left="-20" w:right="200" w:firstLine="656"/>
        <w:spacing w:after="0" w:line="257"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ind w:left="-20" w:firstLine="656"/>
        <w:spacing w:after="0" w:line="259"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New Tranche A Senior Unsecured Notes have been satisfied or waived;</w:t>
      </w:r>
    </w:p>
    <w:p>
      <w:pPr>
        <w:spacing w:after="0" w:line="186" w:lineRule="exact"/>
        <w:rPr>
          <w:rFonts w:ascii="Arial" w:cs="Arial" w:eastAsia="Arial" w:hAnsi="Arial"/>
          <w:sz w:val="18"/>
          <w:szCs w:val="18"/>
          <w:color w:val="auto"/>
        </w:rPr>
      </w:pPr>
    </w:p>
    <w:p>
      <w:pPr>
        <w:ind w:left="-20" w:right="20" w:firstLine="656"/>
        <w:spacing w:after="0" w:line="264"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documents governing the New Tranche B Senior Unsecured Notes, which shall be in form and substance acceptable to the Debtors and the Required Consenting Noteholders, have become effective or will become effective concurrently with effectiveness of this Plan and all conditions precedent to issuance of the New Tranche B Senior Unsecured Notes have been satisfied or waived;</w:t>
      </w:r>
    </w:p>
    <w:p>
      <w:pPr>
        <w:spacing w:after="0" w:line="181" w:lineRule="exact"/>
        <w:rPr>
          <w:rFonts w:ascii="Arial" w:cs="Arial" w:eastAsia="Arial" w:hAnsi="Arial"/>
          <w:sz w:val="18"/>
          <w:szCs w:val="18"/>
          <w:color w:val="auto"/>
        </w:rPr>
      </w:pPr>
    </w:p>
    <w:p>
      <w:pPr>
        <w:ind w:left="-20" w:right="740" w:firstLine="656"/>
        <w:spacing w:after="0" w:line="277"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ind w:left="-20" w:right="460" w:firstLine="656"/>
        <w:spacing w:after="0" w:line="277"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70" w:lineRule="exact"/>
        <w:rPr>
          <w:rFonts w:ascii="Arial" w:cs="Arial" w:eastAsia="Arial" w:hAnsi="Arial"/>
          <w:sz w:val="18"/>
          <w:szCs w:val="18"/>
          <w:color w:val="auto"/>
        </w:rPr>
      </w:pPr>
    </w:p>
    <w:p>
      <w:pPr>
        <w:ind w:left="-20" w:right="520" w:firstLine="656"/>
        <w:spacing w:after="0" w:line="308" w:lineRule="auto"/>
        <w:tabs>
          <w:tab w:leader="none" w:pos="127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83" w:name="page384"/>
    <w:bookmarkEnd w:id="383"/>
    <w:p>
      <w:pPr>
        <w:ind w:firstLine="656"/>
        <w:spacing w:after="0" w:line="264"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81" w:lineRule="exact"/>
        <w:rPr>
          <w:rFonts w:ascii="Arial" w:cs="Arial" w:eastAsia="Arial" w:hAnsi="Arial"/>
          <w:sz w:val="18"/>
          <w:szCs w:val="18"/>
          <w:color w:val="auto"/>
        </w:rPr>
      </w:pPr>
    </w:p>
    <w:p>
      <w:pPr>
        <w:jc w:val="both"/>
        <w:ind w:right="480" w:firstLine="656"/>
        <w:spacing w:after="0" w:line="279" w:lineRule="auto"/>
        <w:tabs>
          <w:tab w:leader="none" w:pos="1285"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71" w:lineRule="exact"/>
        <w:rPr>
          <w:rFonts w:ascii="Arial" w:cs="Arial" w:eastAsia="Arial" w:hAnsi="Arial"/>
          <w:sz w:val="17"/>
          <w:szCs w:val="17"/>
          <w:color w:val="auto"/>
        </w:rPr>
      </w:pPr>
    </w:p>
    <w:p>
      <w:pPr>
        <w:ind w:right="160" w:firstLine="656"/>
        <w:spacing w:after="0" w:line="312" w:lineRule="auto"/>
        <w:tabs>
          <w:tab w:leader="none" w:pos="1292"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6" w:lineRule="exact"/>
        <w:rPr>
          <w:rFonts w:ascii="Arial" w:cs="Arial" w:eastAsia="Arial" w:hAnsi="Arial"/>
          <w:sz w:val="16"/>
          <w:szCs w:val="16"/>
          <w:color w:val="auto"/>
        </w:rPr>
      </w:pPr>
    </w:p>
    <w:p>
      <w:pPr>
        <w:ind w:right="60" w:firstLine="656"/>
        <w:spacing w:after="0" w:line="259"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right="80" w:firstLine="656"/>
        <w:spacing w:after="0" w:line="277"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520" w:firstLine="656"/>
        <w:spacing w:after="0" w:line="277"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right="180" w:firstLine="656"/>
        <w:spacing w:after="0" w:line="277"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Waiver of Conditions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this Plan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4" w:name="page385"/>
    <w:bookmarkEnd w:id="384"/>
    <w:p>
      <w:pPr>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IX.B.15, B.19, and B.9, the Required Consenting Noteholders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Effect of Non-Occurrence of Conditions to Confirmation or Consummation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General</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5" w:name="page386"/>
    <w:bookmarkEnd w:id="385"/>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Release of Claims and Causes of Action</w:t>
      </w:r>
    </w:p>
    <w:p>
      <w:pPr>
        <w:spacing w:after="0" w:line="221" w:lineRule="exact"/>
        <w:rPr>
          <w:sz w:val="20"/>
          <w:szCs w:val="20"/>
          <w:color w:val="auto"/>
        </w:rPr>
      </w:pPr>
    </w:p>
    <w:p>
      <w:pPr>
        <w:ind w:firstLine="656"/>
        <w:spacing w:after="0" w:line="284" w:lineRule="auto"/>
        <w:tabs>
          <w:tab w:leader="none" w:pos="1296" w:val="left"/>
        </w:tabs>
        <w:numPr>
          <w:ilvl w:val="0"/>
          <w:numId w:val="49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except as otherwise expressly provided in this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 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that the foregoing provisions of this Debtor Release shall not operate to waive or release: (i) any Causes of Action arising from willful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6" w:name="page387"/>
    <w:bookmarkEnd w:id="386"/>
    <w:p>
      <w:pPr>
        <w:spacing w:after="0" w:line="272" w:lineRule="auto"/>
        <w:rPr>
          <w:sz w:val="20"/>
          <w:szCs w:val="20"/>
          <w:color w:val="auto"/>
        </w:rPr>
      </w:pPr>
      <w:r>
        <w:rPr>
          <w:rFonts w:ascii="Arial" w:cs="Arial" w:eastAsia="Arial" w:hAnsi="Arial"/>
          <w:sz w:val="17"/>
          <w:szCs w:val="17"/>
          <w:b w:val="1"/>
          <w:bCs w:val="1"/>
          <w:color w:val="auto"/>
        </w:rPr>
        <w:t xml:space="preserve">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7"/>
          <w:szCs w:val="17"/>
          <w:b w:val="1"/>
          <w:bCs w:val="1"/>
          <w:u w:val="single" w:color="auto"/>
          <w:color w:val="auto"/>
        </w:rPr>
        <w:t>Article X.B</w:t>
      </w:r>
      <w:r>
        <w:rPr>
          <w:rFonts w:ascii="Arial" w:cs="Arial" w:eastAsia="Arial" w:hAnsi="Arial"/>
          <w:sz w:val="17"/>
          <w:szCs w:val="17"/>
          <w:b w:val="1"/>
          <w:bCs w:val="1"/>
          <w:color w:val="auto"/>
        </w:rPr>
        <w:t xml:space="preserve">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ind w:right="20" w:firstLine="656"/>
        <w:spacing w:after="0" w:line="286" w:lineRule="auto"/>
        <w:tabs>
          <w:tab w:leader="none" w:pos="1296" w:val="left"/>
        </w:tabs>
        <w:numPr>
          <w:ilvl w:val="0"/>
          <w:numId w:val="49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7" w:name="page388"/>
    <w:bookmarkEnd w:id="387"/>
    <w:p>
      <w:pPr>
        <w:ind w:right="20"/>
        <w:spacing w:after="0" w:line="287" w:lineRule="auto"/>
        <w:rPr>
          <w:sz w:val="20"/>
          <w:szCs w:val="20"/>
          <w:color w:val="auto"/>
        </w:rPr>
      </w:pPr>
      <w:r>
        <w:rPr>
          <w:rFonts w:ascii="Arial" w:cs="Arial" w:eastAsia="Arial" w:hAnsi="Arial"/>
          <w:sz w:val="16"/>
          <w:szCs w:val="16"/>
          <w:b w:val="1"/>
          <w:bCs w:val="1"/>
          <w:color w:val="auto"/>
        </w:rPr>
        <w:t xml:space="preserve">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(iii)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498"/>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8" w:name="page389"/>
    <w:bookmarkEnd w:id="388"/>
    <w:p>
      <w:pPr>
        <w:ind w:left="660" w:hanging="652"/>
        <w:spacing w:after="0"/>
        <w:tabs>
          <w:tab w:leader="none" w:pos="660" w:val="left"/>
        </w:tabs>
        <w:numPr>
          <w:ilvl w:val="0"/>
          <w:numId w:val="499"/>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500"/>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9" w:name="page390"/>
    <w:bookmarkEnd w:id="389"/>
    <w:p>
      <w:pPr>
        <w:spacing w:after="0" w:line="287" w:lineRule="auto"/>
        <w:rPr>
          <w:sz w:val="20"/>
          <w:szCs w:val="20"/>
          <w:color w:val="auto"/>
        </w:rPr>
      </w:pPr>
      <w:r>
        <w:rPr>
          <w:rFonts w:ascii="Arial" w:cs="Arial" w:eastAsia="Arial" w:hAnsi="Arial"/>
          <w:sz w:val="16"/>
          <w:szCs w:val="16"/>
          <w:color w:val="auto"/>
        </w:rPr>
        <w:t xml:space="preserve">restructuring of the Debtors, the approval of the Disclosure Statement or Confirmation or Consummation of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 this Plan or Final Order of the Bankruptcy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73" w:lineRule="exact"/>
        <w:rPr>
          <w:sz w:val="20"/>
          <w:szCs w:val="20"/>
          <w:color w:val="auto"/>
        </w:rPr>
      </w:pPr>
    </w:p>
    <w:p>
      <w:pPr>
        <w:ind w:left="640" w:hanging="632"/>
        <w:spacing w:after="0"/>
        <w:tabs>
          <w:tab w:leader="none" w:pos="640" w:val="left"/>
        </w:tabs>
        <w:numPr>
          <w:ilvl w:val="0"/>
          <w:numId w:val="501"/>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sz w:val="20"/>
          <w:szCs w:val="20"/>
          <w:color w:val="auto"/>
        </w:rPr>
      </w:pPr>
    </w:p>
    <w:p>
      <w:pPr>
        <w:ind w:left="980" w:hanging="324"/>
        <w:spacing w:after="0"/>
        <w:tabs>
          <w:tab w:leader="none" w:pos="980"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980" w:hanging="324"/>
        <w:spacing w:after="0"/>
        <w:tabs>
          <w:tab w:leader="none" w:pos="980"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0" w:name="page391"/>
    <w:bookmarkEnd w:id="390"/>
    <w:p>
      <w:pPr>
        <w:ind w:right="160"/>
        <w:spacing w:after="0" w:line="259" w:lineRule="auto"/>
        <w:rPr>
          <w:sz w:val="20"/>
          <w:szCs w:val="20"/>
          <w:color w:val="auto"/>
        </w:rPr>
      </w:pPr>
      <w:r>
        <w:rPr>
          <w:rFonts w:ascii="Arial" w:cs="Arial" w:eastAsia="Arial" w:hAnsi="Arial"/>
          <w:sz w:val="18"/>
          <w:szCs w:val="18"/>
          <w:color w:val="auto"/>
        </w:rPr>
        <w:t xml:space="preserve">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87" w:lineRule="exact"/>
        <w:rPr>
          <w:sz w:val="20"/>
          <w:szCs w:val="20"/>
          <w:color w:val="auto"/>
        </w:rPr>
      </w:pPr>
    </w:p>
    <w:p>
      <w:pPr>
        <w:ind w:left="660" w:hanging="652"/>
        <w:spacing w:after="0"/>
        <w:tabs>
          <w:tab w:leader="none" w:pos="660" w:val="left"/>
        </w:tabs>
        <w:numPr>
          <w:ilvl w:val="0"/>
          <w:numId w:val="504"/>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EXCEPT AS OTHERWISE EXPRESSLY PROVIDED IN THIS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(II) ENFORCING, ATTACHING, COLLECTING, OR RECOVERING IN ANY MANNER ANY JUDGMENT, AWARD, DECREE, OR ORDER; (III) CREATING, PERFECTING, OR ENFORCING ANY LIEN OR ENCUMBRANCE; (IV) ASSERTING A SETOFF OR RIGHT OF SUBROGATION OF ANY KIND; OR</w:t>
      </w:r>
    </w:p>
    <w:p>
      <w:pPr>
        <w:ind w:firstLine="8"/>
        <w:spacing w:after="0" w:line="252" w:lineRule="auto"/>
        <w:tabs>
          <w:tab w:leader="none" w:pos="295"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2" w:lineRule="exact"/>
        <w:rPr>
          <w:sz w:val="20"/>
          <w:szCs w:val="20"/>
          <w:color w:val="auto"/>
        </w:rPr>
      </w:pPr>
    </w:p>
    <w:p>
      <w:pPr>
        <w:ind w:left="660" w:hanging="652"/>
        <w:spacing w:after="0"/>
        <w:tabs>
          <w:tab w:leader="none" w:pos="660" w:val="left"/>
        </w:tabs>
        <w:numPr>
          <w:ilvl w:val="0"/>
          <w:numId w:val="506"/>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1" w:name="page392"/>
    <w:bookmarkEnd w:id="391"/>
    <w:p>
      <w:pPr>
        <w:ind w:right="80"/>
        <w:spacing w:after="0" w:line="282" w:lineRule="auto"/>
        <w:rPr>
          <w:sz w:val="20"/>
          <w:szCs w:val="20"/>
          <w:color w:val="auto"/>
        </w:rPr>
      </w:pPr>
      <w:r>
        <w:rPr>
          <w:rFonts w:ascii="Arial" w:cs="Arial" w:eastAsia="Arial" w:hAnsi="Arial"/>
          <w:sz w:val="18"/>
          <w:szCs w:val="18"/>
          <w:b w:val="1"/>
          <w:bCs w:val="1"/>
          <w:color w:val="auto"/>
        </w:rPr>
        <w:t>ACCEPT OR REJECT THIS PLAN, AFFIRMATIVELY VOTED TO REJECT THIS PLAN OR IS CONCLUSIVELY PRESUMED TO REJECT THIS PLAN.</w:t>
      </w:r>
    </w:p>
    <w:p>
      <w:pPr>
        <w:spacing w:after="0" w:line="166" w:lineRule="exact"/>
        <w:rPr>
          <w:sz w:val="20"/>
          <w:szCs w:val="20"/>
          <w:color w:val="auto"/>
        </w:rPr>
      </w:pPr>
    </w:p>
    <w:p>
      <w:pPr>
        <w:ind w:left="660" w:hanging="652"/>
        <w:spacing w:after="0"/>
        <w:tabs>
          <w:tab w:leader="none" w:pos="660" w:val="left"/>
        </w:tabs>
        <w:numPr>
          <w:ilvl w:val="0"/>
          <w:numId w:val="507"/>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508"/>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ind w:right="200" w:firstLine="656"/>
        <w:spacing w:after="0" w:line="264" w:lineRule="auto"/>
        <w:tabs>
          <w:tab w:leader="none" w:pos="97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right="180" w:firstLine="656"/>
        <w:spacing w:after="0" w:line="308" w:lineRule="auto"/>
        <w:tabs>
          <w:tab w:leader="none" w:pos="972" w:val="left"/>
        </w:tabs>
        <w:numPr>
          <w:ilvl w:val="0"/>
          <w:numId w:val="509"/>
        </w:numPr>
        <w:rPr>
          <w:rFonts w:ascii="Arial" w:cs="Arial" w:eastAsia="Arial" w:hAnsi="Arial"/>
          <w:sz w:val="17"/>
          <w:szCs w:val="17"/>
          <w:color w:val="auto"/>
        </w:rPr>
      </w:pPr>
      <w:r>
        <w:rPr>
          <w:rFonts w:ascii="Arial" w:cs="Arial" w:eastAsia="Arial" w:hAnsi="Arial"/>
          <w:sz w:val="17"/>
          <w:szCs w:val="17"/>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92" w:name="page393"/>
    <w:bookmarkEnd w:id="392"/>
    <w:p>
      <w:pPr>
        <w:ind w:right="260"/>
        <w:spacing w:after="0" w:line="277" w:lineRule="auto"/>
        <w:rPr>
          <w:sz w:val="20"/>
          <w:szCs w:val="20"/>
          <w:color w:val="auto"/>
        </w:rPr>
      </w:pPr>
      <w:r>
        <w:rPr>
          <w:rFonts w:ascii="Arial" w:cs="Arial" w:eastAsia="Arial" w:hAnsi="Arial"/>
          <w:sz w:val="18"/>
          <w:szCs w:val="18"/>
          <w:color w:val="auto"/>
        </w:rPr>
        <w:t>the Effective Date to add Executory Contracts or Unexpired Leases to the list of Executory Contracts and Unexpired Leases to be assumed or rejected (as applicable);</w:t>
      </w:r>
    </w:p>
    <w:p>
      <w:pPr>
        <w:spacing w:after="0" w:line="170" w:lineRule="exact"/>
        <w:rPr>
          <w:sz w:val="20"/>
          <w:szCs w:val="20"/>
          <w:color w:val="auto"/>
        </w:rPr>
      </w:pPr>
    </w:p>
    <w:p>
      <w:pPr>
        <w:ind w:left="980" w:hanging="324"/>
        <w:spacing w:after="0"/>
        <w:tabs>
          <w:tab w:leader="none" w:pos="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right="20" w:firstLine="656"/>
        <w:spacing w:after="0" w:line="342" w:lineRule="auto"/>
        <w:tabs>
          <w:tab w:leader="none" w:pos="972"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9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right="140" w:firstLine="656"/>
        <w:spacing w:after="0" w:line="277"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ind w:right="580" w:firstLine="656"/>
        <w:spacing w:after="0" w:line="264"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180" w:firstLine="656"/>
        <w:spacing w:after="0" w:line="277"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420" w:firstLine="656"/>
        <w:spacing w:after="0" w:line="277"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93" w:name="page394"/>
    <w:bookmarkEnd w:id="393"/>
    <w:p>
      <w:pPr>
        <w:ind w:left="660"/>
        <w:spacing w:after="0"/>
        <w:rPr>
          <w:sz w:val="20"/>
          <w:szCs w:val="20"/>
          <w:color w:val="auto"/>
        </w:rPr>
      </w:pPr>
      <w:r>
        <w:rPr>
          <w:rFonts w:ascii="Arial" w:cs="Arial" w:eastAsia="Arial" w:hAnsi="Arial"/>
          <w:sz w:val="18"/>
          <w:szCs w:val="18"/>
          <w:color w:val="auto"/>
        </w:rPr>
        <w:t>16. enter an order concluding or closing the Chapter 11 Cases.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511"/>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511"/>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512"/>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4" w:name="page395"/>
    <w:bookmarkEnd w:id="394"/>
    <w:p>
      <w:pPr>
        <w:ind w:right="320"/>
        <w:spacing w:after="0" w:line="277" w:lineRule="auto"/>
        <w:rPr>
          <w:sz w:val="20"/>
          <w:szCs w:val="20"/>
          <w:color w:val="auto"/>
        </w:rPr>
      </w:pPr>
      <w:r>
        <w:rPr>
          <w:rFonts w:ascii="Arial" w:cs="Arial" w:eastAsia="Arial" w:hAnsi="Arial"/>
          <w:sz w:val="18"/>
          <w:szCs w:val="18"/>
          <w:color w:val="auto"/>
        </w:rPr>
        <w:t>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70" w:lineRule="exact"/>
        <w:rPr>
          <w:sz w:val="20"/>
          <w:szCs w:val="20"/>
          <w:color w:val="auto"/>
        </w:rPr>
      </w:pPr>
    </w:p>
    <w:p>
      <w:pPr>
        <w:ind w:left="660" w:hanging="652"/>
        <w:spacing w:after="0"/>
        <w:tabs>
          <w:tab w:leader="none" w:pos="660" w:val="left"/>
        </w:tabs>
        <w:numPr>
          <w:ilvl w:val="0"/>
          <w:numId w:val="513"/>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514"/>
        </w:numPr>
        <w:rPr>
          <w:rFonts w:ascii="Arial" w:cs="Arial" w:eastAsia="Arial" w:hAnsi="Arial"/>
          <w:sz w:val="18"/>
          <w:szCs w:val="18"/>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85" w:lineRule="exact"/>
        <w:rPr>
          <w:sz w:val="20"/>
          <w:szCs w:val="20"/>
          <w:color w:val="auto"/>
        </w:rPr>
      </w:pPr>
    </w:p>
    <w:p>
      <w:pPr>
        <w:ind w:left="640" w:hanging="632"/>
        <w:spacing w:after="0"/>
        <w:tabs>
          <w:tab w:leader="none" w:pos="640" w:val="left"/>
        </w:tabs>
        <w:numPr>
          <w:ilvl w:val="0"/>
          <w:numId w:val="515"/>
        </w:numPr>
        <w:rPr>
          <w:rFonts w:ascii="Arial" w:cs="Arial" w:eastAsia="Arial" w:hAnsi="Arial"/>
          <w:sz w:val="18"/>
          <w:szCs w:val="18"/>
          <w:i w:val="1"/>
          <w:iCs w:val="1"/>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5" w:name="page396"/>
    <w:bookmarkEnd w:id="395"/>
    <w:p>
      <w:pPr>
        <w:ind w:right="140"/>
        <w:spacing w:after="0" w:line="259" w:lineRule="auto"/>
        <w:rPr>
          <w:sz w:val="20"/>
          <w:szCs w:val="20"/>
          <w:color w:val="auto"/>
        </w:rPr>
      </w:pPr>
      <w:r>
        <w:rPr>
          <w:rFonts w:ascii="Arial" w:cs="Arial" w:eastAsia="Arial" w:hAnsi="Arial"/>
          <w:sz w:val="18"/>
          <w:szCs w:val="18"/>
          <w:color w:val="auto"/>
        </w:rPr>
        <w:t>hereto will be deemed null and void except as may be set forth in a separate order entered by the Bankruptcy Court; and (3) nothing contained in this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87" w:lineRule="exact"/>
        <w:rPr>
          <w:sz w:val="20"/>
          <w:szCs w:val="20"/>
          <w:color w:val="auto"/>
        </w:rPr>
      </w:pPr>
    </w:p>
    <w:p>
      <w:pPr>
        <w:ind w:left="660" w:hanging="652"/>
        <w:spacing w:after="0"/>
        <w:tabs>
          <w:tab w:leader="none" w:pos="660" w:val="left"/>
        </w:tabs>
        <w:numPr>
          <w:ilvl w:val="0"/>
          <w:numId w:val="516"/>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517"/>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54" w:lineRule="exact"/>
        <w:rPr>
          <w:sz w:val="20"/>
          <w:szCs w:val="20"/>
          <w:color w:val="auto"/>
        </w:rPr>
      </w:pPr>
    </w:p>
    <w:p>
      <w:pPr>
        <w:ind w:left="660" w:hanging="652"/>
        <w:spacing w:after="0"/>
        <w:tabs>
          <w:tab w:leader="none" w:pos="660" w:val="left"/>
        </w:tabs>
        <w:numPr>
          <w:ilvl w:val="0"/>
          <w:numId w:val="518"/>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519"/>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6" w:name="page397"/>
    <w:bookmarkEnd w:id="396"/>
    <w:p>
      <w:pPr>
        <w:ind w:left="660" w:hanging="652"/>
        <w:spacing w:after="0"/>
        <w:tabs>
          <w:tab w:leader="none" w:pos="660" w:val="left"/>
        </w:tabs>
        <w:numPr>
          <w:ilvl w:val="0"/>
          <w:numId w:val="520"/>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397" w:name="page398"/>
    <w:bookmarkEnd w:id="397"/>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521"/>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522"/>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 construed and enforced in accordance with, the laws of New York, without giving effect to the principles of conflicts of law of such jurisdiction.</w:t>
      </w:r>
    </w:p>
    <w:p>
      <w:pPr>
        <w:spacing w:after="0" w:line="166" w:lineRule="exact"/>
        <w:rPr>
          <w:sz w:val="20"/>
          <w:szCs w:val="20"/>
          <w:color w:val="auto"/>
        </w:rPr>
      </w:pPr>
    </w:p>
    <w:p>
      <w:pPr>
        <w:ind w:left="660" w:hanging="652"/>
        <w:spacing w:after="0"/>
        <w:tabs>
          <w:tab w:leader="none" w:pos="660" w:val="left"/>
        </w:tabs>
        <w:numPr>
          <w:ilvl w:val="0"/>
          <w:numId w:val="523"/>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4" w:lineRule="exact"/>
        <w:rPr>
          <w:sz w:val="20"/>
          <w:szCs w:val="20"/>
          <w:color w:val="auto"/>
        </w:rPr>
      </w:pPr>
    </w:p>
    <w:p>
      <w:pPr>
        <w:ind w:left="660" w:hanging="652"/>
        <w:spacing w:after="0"/>
        <w:tabs>
          <w:tab w:leader="none" w:pos="660" w:val="left"/>
        </w:tabs>
        <w:numPr>
          <w:ilvl w:val="0"/>
          <w:numId w:val="524"/>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8" w:name="page399"/>
    <w:bookmarkEnd w:id="398"/>
    <w:p>
      <w:pPr>
        <w:ind w:left="640" w:hanging="632"/>
        <w:spacing w:after="0"/>
        <w:tabs>
          <w:tab w:leader="none" w:pos="640" w:val="left"/>
        </w:tabs>
        <w:numPr>
          <w:ilvl w:val="0"/>
          <w:numId w:val="525"/>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526"/>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527"/>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color w:val="auto"/>
        </w:rPr>
        <w:t>Dated: June 28, 2019</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 AND ITS AFFILIATE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40" w:type="dxa"/>
            <w:vAlign w:val="bottom"/>
          </w:tcPr>
          <w:p>
            <w:pPr>
              <w:spacing w:after="0"/>
              <w:rPr>
                <w:sz w:val="20"/>
                <w:szCs w:val="20"/>
                <w:color w:val="auto"/>
              </w:rPr>
            </w:pPr>
          </w:p>
        </w:tc>
      </w:tr>
      <w:tr>
        <w:trPr>
          <w:trHeight w:val="210"/>
        </w:trPr>
        <w:tc>
          <w:tcPr>
            <w:tcW w:w="63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426"/>
        </w:trPr>
        <w:tc>
          <w:tcPr>
            <w:tcW w:w="636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6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T3E-3</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BACKSTOP COMMITMENT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OTHER DEBTORS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THE COMMITMENT PARTIES PARTY HERETO</w:t>
      </w:r>
    </w:p>
    <w:p>
      <w:pPr>
        <w:spacing w:after="0" w:line="23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July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381635</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8520" w:type="dxa"/>
            <w:vAlign w:val="bottom"/>
          </w:tcPr>
          <w:p>
            <w:pPr>
              <w:ind w:left="3040"/>
              <w:spacing w:after="0"/>
              <w:rPr>
                <w:sz w:val="20"/>
                <w:szCs w:val="20"/>
                <w:color w:val="auto"/>
              </w:rPr>
            </w:pPr>
            <w:r>
              <w:rPr>
                <w:rFonts w:ascii="Arial" w:cs="Arial" w:eastAsia="Arial" w:hAnsi="Arial"/>
                <w:sz w:val="18"/>
                <w:szCs w:val="18"/>
                <w:color w:val="auto"/>
              </w:rPr>
              <w:t>TABLE OF CONTENTS</w:t>
            </w:r>
          </w:p>
        </w:tc>
        <w:tc>
          <w:tcPr>
            <w:tcW w:w="1140" w:type="dxa"/>
            <w:vAlign w:val="bottom"/>
          </w:tcPr>
          <w:p>
            <w:pPr>
              <w:spacing w:after="0"/>
              <w:rPr>
                <w:sz w:val="20"/>
                <w:szCs w:val="20"/>
                <w:color w:val="auto"/>
              </w:rPr>
            </w:pPr>
          </w:p>
        </w:tc>
      </w:tr>
      <w:tr>
        <w:trPr>
          <w:trHeight w:val="365"/>
        </w:trPr>
        <w:tc>
          <w:tcPr>
            <w:tcW w:w="17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1.1</w:t>
            </w:r>
          </w:p>
        </w:tc>
        <w:tc>
          <w:tcPr>
            <w:tcW w:w="852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1.2</w:t>
            </w:r>
          </w:p>
        </w:tc>
        <w:tc>
          <w:tcPr>
            <w:tcW w:w="852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 BACKSTOP COMMITMENT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2.1</w:t>
            </w:r>
          </w:p>
        </w:tc>
        <w:tc>
          <w:tcPr>
            <w:tcW w:w="8520" w:type="dxa"/>
            <w:vAlign w:val="bottom"/>
          </w:tcPr>
          <w:p>
            <w:pPr>
              <w:ind w:left="320"/>
              <w:spacing w:after="0"/>
              <w:rPr>
                <w:sz w:val="20"/>
                <w:szCs w:val="20"/>
                <w:color w:val="auto"/>
              </w:rPr>
            </w:pPr>
            <w:r>
              <w:rPr>
                <w:rFonts w:ascii="Arial" w:cs="Arial" w:eastAsia="Arial" w:hAnsi="Arial"/>
                <w:sz w:val="18"/>
                <w:szCs w:val="18"/>
                <w:color w:val="auto"/>
              </w:rPr>
              <w:t>The Rights Offering; Subscription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2.2</w:t>
            </w:r>
          </w:p>
        </w:tc>
        <w:tc>
          <w:tcPr>
            <w:tcW w:w="8520" w:type="dxa"/>
            <w:vAlign w:val="bottom"/>
          </w:tcPr>
          <w:p>
            <w:pPr>
              <w:ind w:left="320"/>
              <w:spacing w:after="0"/>
              <w:rPr>
                <w:sz w:val="20"/>
                <w:szCs w:val="20"/>
                <w:color w:val="auto"/>
              </w:rPr>
            </w:pPr>
            <w:r>
              <w:rPr>
                <w:rFonts w:ascii="Arial" w:cs="Arial" w:eastAsia="Arial" w:hAnsi="Arial"/>
                <w:sz w:val="18"/>
                <w:szCs w:val="18"/>
                <w:color w:val="auto"/>
              </w:rPr>
              <w:t>The Commitment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2.3</w:t>
            </w:r>
          </w:p>
        </w:tc>
        <w:tc>
          <w:tcPr>
            <w:tcW w:w="8520" w:type="dxa"/>
            <w:vAlign w:val="bottom"/>
          </w:tcPr>
          <w:p>
            <w:pPr>
              <w:ind w:left="320"/>
              <w:spacing w:after="0"/>
              <w:rPr>
                <w:sz w:val="20"/>
                <w:szCs w:val="20"/>
                <w:color w:val="auto"/>
              </w:rPr>
            </w:pPr>
            <w:r>
              <w:rPr>
                <w:rFonts w:ascii="Arial" w:cs="Arial" w:eastAsia="Arial" w:hAnsi="Arial"/>
                <w:sz w:val="18"/>
                <w:szCs w:val="18"/>
                <w:color w:val="auto"/>
              </w:rPr>
              <w:t>Commitment Party Default; Replacement of Defaulting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2.4</w:t>
            </w:r>
          </w:p>
        </w:tc>
        <w:tc>
          <w:tcPr>
            <w:tcW w:w="8520" w:type="dxa"/>
            <w:vAlign w:val="bottom"/>
          </w:tcPr>
          <w:p>
            <w:pPr>
              <w:ind w:left="320"/>
              <w:spacing w:after="0"/>
              <w:rPr>
                <w:sz w:val="20"/>
                <w:szCs w:val="20"/>
                <w:color w:val="auto"/>
              </w:rPr>
            </w:pPr>
            <w:r>
              <w:rPr>
                <w:rFonts w:ascii="Arial" w:cs="Arial" w:eastAsia="Arial" w:hAnsi="Arial"/>
                <w:sz w:val="18"/>
                <w:szCs w:val="18"/>
                <w:color w:val="auto"/>
              </w:rPr>
              <w:t>Assignment of Commitment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2.5</w:t>
            </w:r>
          </w:p>
        </w:tc>
        <w:tc>
          <w:tcPr>
            <w:tcW w:w="8520" w:type="dxa"/>
            <w:vAlign w:val="bottom"/>
          </w:tcPr>
          <w:p>
            <w:pPr>
              <w:ind w:left="320"/>
              <w:spacing w:after="0"/>
              <w:rPr>
                <w:sz w:val="20"/>
                <w:szCs w:val="20"/>
                <w:color w:val="auto"/>
              </w:rPr>
            </w:pPr>
            <w:r>
              <w:rPr>
                <w:rFonts w:ascii="Arial" w:cs="Arial" w:eastAsia="Arial" w:hAnsi="Arial"/>
                <w:sz w:val="18"/>
                <w:szCs w:val="18"/>
                <w:color w:val="auto"/>
              </w:rPr>
              <w:t>Escrow Account Funding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2.6</w:t>
            </w:r>
          </w:p>
        </w:tc>
        <w:tc>
          <w:tcPr>
            <w:tcW w:w="8520" w:type="dxa"/>
            <w:vAlign w:val="bottom"/>
          </w:tcPr>
          <w:p>
            <w:pPr>
              <w:ind w:left="320"/>
              <w:spacing w:after="0"/>
              <w:rPr>
                <w:sz w:val="20"/>
                <w:szCs w:val="20"/>
                <w:color w:val="auto"/>
              </w:rPr>
            </w:pPr>
            <w:r>
              <w:rPr>
                <w:rFonts w:ascii="Arial" w:cs="Arial" w:eastAsia="Arial" w:hAnsi="Arial"/>
                <w:sz w:val="18"/>
                <w:szCs w:val="18"/>
                <w:color w:val="auto"/>
              </w:rPr>
              <w:t>Closing</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III BACKSTOP COMMITMENT PAYMENT AND EXPENSE REIMBURSEMENT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3.1</w:t>
            </w:r>
          </w:p>
        </w:tc>
        <w:tc>
          <w:tcPr>
            <w:tcW w:w="8520" w:type="dxa"/>
            <w:vAlign w:val="bottom"/>
          </w:tcPr>
          <w:p>
            <w:pPr>
              <w:ind w:left="320"/>
              <w:spacing w:after="0"/>
              <w:rPr>
                <w:sz w:val="20"/>
                <w:szCs w:val="20"/>
                <w:color w:val="auto"/>
              </w:rPr>
            </w:pPr>
            <w:r>
              <w:rPr>
                <w:rFonts w:ascii="Arial" w:cs="Arial" w:eastAsia="Arial" w:hAnsi="Arial"/>
                <w:sz w:val="18"/>
                <w:szCs w:val="18"/>
                <w:color w:val="auto"/>
              </w:rPr>
              <w:t>Amount Payable by the Debtors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3.2</w:t>
            </w:r>
          </w:p>
        </w:tc>
        <w:tc>
          <w:tcPr>
            <w:tcW w:w="8520" w:type="dxa"/>
            <w:vAlign w:val="bottom"/>
          </w:tcPr>
          <w:p>
            <w:pPr>
              <w:ind w:left="320"/>
              <w:spacing w:after="0"/>
              <w:rPr>
                <w:sz w:val="20"/>
                <w:szCs w:val="20"/>
                <w:color w:val="auto"/>
              </w:rPr>
            </w:pPr>
            <w:r>
              <w:rPr>
                <w:rFonts w:ascii="Arial" w:cs="Arial" w:eastAsia="Arial" w:hAnsi="Arial"/>
                <w:sz w:val="18"/>
                <w:szCs w:val="18"/>
                <w:color w:val="auto"/>
              </w:rPr>
              <w:t>Expense Reimbursement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THE DEBTORS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4.1</w:t>
            </w:r>
          </w:p>
        </w:tc>
        <w:tc>
          <w:tcPr>
            <w:tcW w:w="8520" w:type="dxa"/>
            <w:vAlign w:val="bottom"/>
          </w:tcPr>
          <w:p>
            <w:pPr>
              <w:ind w:left="320"/>
              <w:spacing w:after="0"/>
              <w:rPr>
                <w:sz w:val="20"/>
                <w:szCs w:val="20"/>
                <w:color w:val="auto"/>
              </w:rPr>
            </w:pPr>
            <w:r>
              <w:rPr>
                <w:rFonts w:ascii="Arial" w:cs="Arial" w:eastAsia="Arial" w:hAnsi="Arial"/>
                <w:sz w:val="18"/>
                <w:szCs w:val="18"/>
                <w:color w:val="auto"/>
              </w:rPr>
              <w:t>Organization and Qualification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w:t>
            </w:r>
          </w:p>
        </w:tc>
        <w:tc>
          <w:tcPr>
            <w:tcW w:w="8520" w:type="dxa"/>
            <w:vAlign w:val="bottom"/>
          </w:tcPr>
          <w:p>
            <w:pPr>
              <w:ind w:left="320"/>
              <w:spacing w:after="0"/>
              <w:rPr>
                <w:sz w:val="20"/>
                <w:szCs w:val="20"/>
                <w:color w:val="auto"/>
              </w:rPr>
            </w:pPr>
            <w:r>
              <w:rPr>
                <w:rFonts w:ascii="Arial" w:cs="Arial" w:eastAsia="Arial" w:hAnsi="Arial"/>
                <w:sz w:val="18"/>
                <w:szCs w:val="18"/>
                <w:color w:val="auto"/>
              </w:rPr>
              <w:t>Corporate Power and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4.3</w:t>
            </w:r>
          </w:p>
        </w:tc>
        <w:tc>
          <w:tcPr>
            <w:tcW w:w="8520" w:type="dxa"/>
            <w:vAlign w:val="bottom"/>
          </w:tcPr>
          <w:p>
            <w:pPr>
              <w:ind w:left="320"/>
              <w:spacing w:after="0"/>
              <w:rPr>
                <w:sz w:val="20"/>
                <w:szCs w:val="20"/>
                <w:color w:val="auto"/>
              </w:rPr>
            </w:pPr>
            <w:r>
              <w:rPr>
                <w:rFonts w:ascii="Arial" w:cs="Arial" w:eastAsia="Arial" w:hAnsi="Arial"/>
                <w:sz w:val="18"/>
                <w:szCs w:val="18"/>
                <w:color w:val="auto"/>
              </w:rPr>
              <w:t>Execution and Delivery; Enforceability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4.4</w:t>
            </w:r>
          </w:p>
        </w:tc>
        <w:tc>
          <w:tcPr>
            <w:tcW w:w="8520" w:type="dxa"/>
            <w:vAlign w:val="bottom"/>
          </w:tcPr>
          <w:p>
            <w:pPr>
              <w:ind w:left="320"/>
              <w:spacing w:after="0"/>
              <w:rPr>
                <w:sz w:val="20"/>
                <w:szCs w:val="20"/>
                <w:color w:val="auto"/>
              </w:rPr>
            </w:pPr>
            <w:r>
              <w:rPr>
                <w:rFonts w:ascii="Arial" w:cs="Arial" w:eastAsia="Arial" w:hAnsi="Arial"/>
                <w:sz w:val="18"/>
                <w:szCs w:val="18"/>
                <w:color w:val="auto"/>
              </w:rPr>
              <w:t>Authorized and Issued Equity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4.5</w:t>
            </w:r>
          </w:p>
        </w:tc>
        <w:tc>
          <w:tcPr>
            <w:tcW w:w="8520" w:type="dxa"/>
            <w:vAlign w:val="bottom"/>
          </w:tcPr>
          <w:p>
            <w:pPr>
              <w:ind w:left="320"/>
              <w:spacing w:after="0"/>
              <w:rPr>
                <w:sz w:val="20"/>
                <w:szCs w:val="20"/>
                <w:color w:val="auto"/>
              </w:rPr>
            </w:pPr>
            <w:r>
              <w:rPr>
                <w:rFonts w:ascii="Arial" w:cs="Arial" w:eastAsia="Arial" w:hAnsi="Arial"/>
                <w:sz w:val="18"/>
                <w:szCs w:val="18"/>
                <w:color w:val="auto"/>
              </w:rPr>
              <w:t>Rights Offering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4.6</w:t>
            </w:r>
          </w:p>
        </w:tc>
        <w:tc>
          <w:tcPr>
            <w:tcW w:w="8520" w:type="dxa"/>
            <w:vAlign w:val="bottom"/>
          </w:tcPr>
          <w:p>
            <w:pPr>
              <w:ind w:left="320"/>
              <w:spacing w:after="0"/>
              <w:rPr>
                <w:sz w:val="20"/>
                <w:szCs w:val="20"/>
                <w:color w:val="auto"/>
              </w:rPr>
            </w:pPr>
            <w:r>
              <w:rPr>
                <w:rFonts w:ascii="Arial" w:cs="Arial" w:eastAsia="Arial" w:hAnsi="Arial"/>
                <w:sz w:val="18"/>
                <w:szCs w:val="18"/>
                <w:color w:val="auto"/>
              </w:rPr>
              <w:t>No Conflict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4.7</w:t>
            </w:r>
          </w:p>
        </w:tc>
        <w:tc>
          <w:tcPr>
            <w:tcW w:w="8520" w:type="dxa"/>
            <w:vAlign w:val="bottom"/>
          </w:tcPr>
          <w:p>
            <w:pPr>
              <w:ind w:left="320"/>
              <w:spacing w:after="0"/>
              <w:rPr>
                <w:sz w:val="20"/>
                <w:szCs w:val="20"/>
                <w:color w:val="auto"/>
              </w:rPr>
            </w:pPr>
            <w:r>
              <w:rPr>
                <w:rFonts w:ascii="Arial" w:cs="Arial" w:eastAsia="Arial" w:hAnsi="Arial"/>
                <w:sz w:val="18"/>
                <w:szCs w:val="18"/>
                <w:color w:val="auto"/>
              </w:rPr>
              <w:t>Consents and Approvals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4.8</w:t>
            </w:r>
          </w:p>
        </w:tc>
        <w:tc>
          <w:tcPr>
            <w:tcW w:w="8520" w:type="dxa"/>
            <w:vAlign w:val="bottom"/>
          </w:tcPr>
          <w:p>
            <w:pPr>
              <w:ind w:left="320"/>
              <w:spacing w:after="0"/>
              <w:rPr>
                <w:sz w:val="20"/>
                <w:szCs w:val="20"/>
                <w:color w:val="auto"/>
              </w:rPr>
            </w:pPr>
            <w:r>
              <w:rPr>
                <w:rFonts w:ascii="Arial" w:cs="Arial" w:eastAsia="Arial" w:hAnsi="Arial"/>
                <w:sz w:val="18"/>
                <w:szCs w:val="18"/>
                <w:color w:val="auto"/>
              </w:rPr>
              <w:t>Arm’s-Length</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4.9</w:t>
            </w:r>
          </w:p>
        </w:tc>
        <w:tc>
          <w:tcPr>
            <w:tcW w:w="85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4.10</w:t>
            </w:r>
          </w:p>
        </w:tc>
        <w:tc>
          <w:tcPr>
            <w:tcW w:w="8520" w:type="dxa"/>
            <w:vAlign w:val="bottom"/>
          </w:tcPr>
          <w:p>
            <w:pPr>
              <w:ind w:left="320"/>
              <w:spacing w:after="0"/>
              <w:rPr>
                <w:sz w:val="20"/>
                <w:szCs w:val="20"/>
                <w:color w:val="auto"/>
              </w:rPr>
            </w:pPr>
            <w:r>
              <w:rPr>
                <w:rFonts w:ascii="Arial" w:cs="Arial" w:eastAsia="Arial" w:hAnsi="Arial"/>
                <w:sz w:val="18"/>
                <w:szCs w:val="18"/>
                <w:color w:val="auto"/>
              </w:rPr>
              <w:t>Company SEC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4.11</w:t>
            </w:r>
          </w:p>
        </w:tc>
        <w:tc>
          <w:tcPr>
            <w:tcW w:w="852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4.12</w:t>
            </w:r>
          </w:p>
        </w:tc>
        <w:tc>
          <w:tcPr>
            <w:tcW w:w="8520" w:type="dxa"/>
            <w:vAlign w:val="bottom"/>
          </w:tcPr>
          <w:p>
            <w:pPr>
              <w:ind w:left="320"/>
              <w:spacing w:after="0"/>
              <w:rPr>
                <w:sz w:val="20"/>
                <w:szCs w:val="20"/>
                <w:color w:val="auto"/>
              </w:rPr>
            </w:pPr>
            <w:r>
              <w:rPr>
                <w:rFonts w:ascii="Arial" w:cs="Arial" w:eastAsia="Arial" w:hAnsi="Arial"/>
                <w:sz w:val="18"/>
                <w:szCs w:val="18"/>
                <w:color w:val="auto"/>
              </w:rPr>
              <w:t>No Violation; Compliance with Laws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4.13</w:t>
            </w:r>
          </w:p>
        </w:tc>
        <w:tc>
          <w:tcPr>
            <w:tcW w:w="852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4.14</w:t>
            </w:r>
          </w:p>
        </w:tc>
        <w:tc>
          <w:tcPr>
            <w:tcW w:w="8520" w:type="dxa"/>
            <w:vAlign w:val="bottom"/>
          </w:tcPr>
          <w:p>
            <w:pPr>
              <w:ind w:left="320"/>
              <w:spacing w:after="0"/>
              <w:rPr>
                <w:sz w:val="20"/>
                <w:szCs w:val="20"/>
                <w:color w:val="auto"/>
              </w:rPr>
            </w:pPr>
            <w:r>
              <w:rPr>
                <w:rFonts w:ascii="Arial" w:cs="Arial" w:eastAsia="Arial" w:hAnsi="Arial"/>
                <w:sz w:val="18"/>
                <w:szCs w:val="18"/>
                <w:color w:val="auto"/>
              </w:rPr>
              <w:t>Labor Relations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4.15</w:t>
            </w:r>
          </w:p>
        </w:tc>
        <w:tc>
          <w:tcPr>
            <w:tcW w:w="852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4.16</w:t>
            </w:r>
          </w:p>
        </w:tc>
        <w:tc>
          <w:tcPr>
            <w:tcW w:w="8520" w:type="dxa"/>
            <w:vAlign w:val="bottom"/>
          </w:tcPr>
          <w:p>
            <w:pPr>
              <w:ind w:left="320"/>
              <w:spacing w:after="0"/>
              <w:rPr>
                <w:sz w:val="20"/>
                <w:szCs w:val="20"/>
                <w:color w:val="auto"/>
              </w:rPr>
            </w:pPr>
            <w:r>
              <w:rPr>
                <w:rFonts w:ascii="Arial" w:cs="Arial" w:eastAsia="Arial" w:hAnsi="Arial"/>
                <w:sz w:val="18"/>
                <w:szCs w:val="18"/>
                <w:color w:val="auto"/>
              </w:rPr>
              <w:t>Real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4.17</w:t>
            </w:r>
          </w:p>
        </w:tc>
        <w:tc>
          <w:tcPr>
            <w:tcW w:w="8520" w:type="dxa"/>
            <w:vAlign w:val="bottom"/>
          </w:tcPr>
          <w:p>
            <w:pPr>
              <w:ind w:left="320"/>
              <w:spacing w:after="0"/>
              <w:rPr>
                <w:sz w:val="20"/>
                <w:szCs w:val="20"/>
                <w:color w:val="auto"/>
              </w:rPr>
            </w:pPr>
            <w:r>
              <w:rPr>
                <w:rFonts w:ascii="Arial" w:cs="Arial" w:eastAsia="Arial" w:hAnsi="Arial"/>
                <w:sz w:val="18"/>
                <w:szCs w:val="18"/>
                <w:color w:val="auto"/>
              </w:rPr>
              <w:t>No Undisclosed Relationships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4.18</w:t>
            </w:r>
          </w:p>
        </w:tc>
        <w:tc>
          <w:tcPr>
            <w:tcW w:w="8520" w:type="dxa"/>
            <w:vAlign w:val="bottom"/>
          </w:tcPr>
          <w:p>
            <w:pPr>
              <w:ind w:left="320"/>
              <w:spacing w:after="0"/>
              <w:rPr>
                <w:sz w:val="20"/>
                <w:szCs w:val="20"/>
                <w:color w:val="auto"/>
              </w:rPr>
            </w:pPr>
            <w:r>
              <w:rPr>
                <w:rFonts w:ascii="Arial" w:cs="Arial" w:eastAsia="Arial" w:hAnsi="Arial"/>
                <w:sz w:val="18"/>
                <w:szCs w:val="18"/>
                <w:color w:val="auto"/>
              </w:rPr>
              <w:t>Licenses and Permits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4.19</w:t>
            </w:r>
          </w:p>
        </w:tc>
        <w:tc>
          <w:tcPr>
            <w:tcW w:w="8520" w:type="dxa"/>
            <w:vAlign w:val="bottom"/>
          </w:tcPr>
          <w:p>
            <w:pPr>
              <w:ind w:left="320"/>
              <w:spacing w:after="0"/>
              <w:rPr>
                <w:sz w:val="20"/>
                <w:szCs w:val="20"/>
                <w:color w:val="auto"/>
              </w:rPr>
            </w:pPr>
            <w:r>
              <w:rPr>
                <w:rFonts w:ascii="Arial" w:cs="Arial" w:eastAsia="Arial" w:hAnsi="Arial"/>
                <w:sz w:val="18"/>
                <w:szCs w:val="18"/>
                <w:color w:val="auto"/>
              </w:rPr>
              <w:t>Environmental</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4.20</w:t>
            </w:r>
          </w:p>
        </w:tc>
        <w:tc>
          <w:tcPr>
            <w:tcW w:w="8520" w:type="dxa"/>
            <w:vAlign w:val="bottom"/>
          </w:tcPr>
          <w:p>
            <w:pPr>
              <w:ind w:left="320"/>
              <w:spacing w:after="0"/>
              <w:rPr>
                <w:sz w:val="20"/>
                <w:szCs w:val="20"/>
                <w:color w:val="auto"/>
              </w:rPr>
            </w:pPr>
            <w:r>
              <w:rPr>
                <w:rFonts w:ascii="Arial" w:cs="Arial" w:eastAsia="Arial" w:hAnsi="Arial"/>
                <w:sz w:val="18"/>
                <w:szCs w:val="18"/>
                <w:color w:val="auto"/>
              </w:rPr>
              <w:t>Taxes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4.21</w:t>
            </w:r>
          </w:p>
        </w:tc>
        <w:tc>
          <w:tcPr>
            <w:tcW w:w="8520" w:type="dxa"/>
            <w:vAlign w:val="bottom"/>
          </w:tcPr>
          <w:p>
            <w:pPr>
              <w:ind w:left="320"/>
              <w:spacing w:after="0"/>
              <w:rPr>
                <w:sz w:val="20"/>
                <w:szCs w:val="20"/>
                <w:color w:val="auto"/>
              </w:rPr>
            </w:pPr>
            <w:r>
              <w:rPr>
                <w:rFonts w:ascii="Arial" w:cs="Arial" w:eastAsia="Arial" w:hAnsi="Arial"/>
                <w:sz w:val="18"/>
                <w:szCs w:val="18"/>
                <w:color w:val="auto"/>
              </w:rPr>
              <w:t>Employee Benefit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4.22</w:t>
            </w:r>
          </w:p>
        </w:tc>
        <w:tc>
          <w:tcPr>
            <w:tcW w:w="8520" w:type="dxa"/>
            <w:vAlign w:val="bottom"/>
          </w:tcPr>
          <w:p>
            <w:pPr>
              <w:ind w:left="320"/>
              <w:spacing w:after="0"/>
              <w:rPr>
                <w:sz w:val="20"/>
                <w:szCs w:val="20"/>
                <w:color w:val="auto"/>
              </w:rPr>
            </w:pPr>
            <w:r>
              <w:rPr>
                <w:rFonts w:ascii="Arial" w:cs="Arial" w:eastAsia="Arial" w:hAnsi="Arial"/>
                <w:sz w:val="18"/>
                <w:szCs w:val="18"/>
                <w:color w:val="auto"/>
              </w:rPr>
              <w:t>Internal Control Over Financial Reporting</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4.23</w:t>
            </w:r>
          </w:p>
        </w:tc>
        <w:tc>
          <w:tcPr>
            <w:tcW w:w="8520" w:type="dxa"/>
            <w:vAlign w:val="bottom"/>
          </w:tcPr>
          <w:p>
            <w:pPr>
              <w:ind w:left="320"/>
              <w:spacing w:after="0"/>
              <w:rPr>
                <w:sz w:val="20"/>
                <w:szCs w:val="20"/>
                <w:color w:val="auto"/>
              </w:rPr>
            </w:pPr>
            <w:r>
              <w:rPr>
                <w:rFonts w:ascii="Arial" w:cs="Arial" w:eastAsia="Arial" w:hAnsi="Arial"/>
                <w:sz w:val="18"/>
                <w:szCs w:val="18"/>
                <w:color w:val="auto"/>
              </w:rPr>
              <w:t>Disclosure Controls and Procedures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4.24</w:t>
            </w:r>
          </w:p>
        </w:tc>
        <w:tc>
          <w:tcPr>
            <w:tcW w:w="852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4.25</w:t>
            </w:r>
          </w:p>
        </w:tc>
        <w:tc>
          <w:tcPr>
            <w:tcW w:w="8520" w:type="dxa"/>
            <w:vAlign w:val="bottom"/>
          </w:tcPr>
          <w:p>
            <w:pPr>
              <w:ind w:left="320"/>
              <w:spacing w:after="0"/>
              <w:rPr>
                <w:sz w:val="20"/>
                <w:szCs w:val="20"/>
                <w:color w:val="auto"/>
              </w:rPr>
            </w:pPr>
            <w:r>
              <w:rPr>
                <w:rFonts w:ascii="Arial" w:cs="Arial" w:eastAsia="Arial" w:hAnsi="Arial"/>
                <w:sz w:val="18"/>
                <w:szCs w:val="18"/>
                <w:color w:val="auto"/>
              </w:rPr>
              <w:t>No Unlawful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4.26</w:t>
            </w:r>
          </w:p>
        </w:tc>
        <w:tc>
          <w:tcPr>
            <w:tcW w:w="8520" w:type="dxa"/>
            <w:vAlign w:val="bottom"/>
          </w:tcPr>
          <w:p>
            <w:pPr>
              <w:ind w:left="320"/>
              <w:spacing w:after="0"/>
              <w:rPr>
                <w:sz w:val="20"/>
                <w:szCs w:val="20"/>
                <w:color w:val="auto"/>
              </w:rPr>
            </w:pPr>
            <w:r>
              <w:rPr>
                <w:rFonts w:ascii="Arial" w:cs="Arial" w:eastAsia="Arial" w:hAnsi="Arial"/>
                <w:sz w:val="18"/>
                <w:szCs w:val="18"/>
                <w:color w:val="auto"/>
              </w:rPr>
              <w:t>Compliance with Money Laundering and Sanctions Laws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color w:val="auto"/>
        </w:rPr>
        <w:t>TABLE OF CONTENTS (cont’d)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11"/>
        </w:trPr>
        <w:tc>
          <w:tcPr>
            <w:tcW w:w="1760" w:type="dxa"/>
            <w:vAlign w:val="bottom"/>
          </w:tcPr>
          <w:p>
            <w:pPr>
              <w:ind w:left="520"/>
              <w:spacing w:after="0"/>
              <w:rPr>
                <w:sz w:val="20"/>
                <w:szCs w:val="20"/>
                <w:color w:val="auto"/>
              </w:rPr>
            </w:pPr>
            <w:r>
              <w:rPr>
                <w:rFonts w:ascii="Arial" w:cs="Arial" w:eastAsia="Arial" w:hAnsi="Arial"/>
                <w:sz w:val="18"/>
                <w:szCs w:val="18"/>
                <w:color w:val="auto"/>
              </w:rPr>
              <w:t>Section 4.27</w:t>
            </w:r>
          </w:p>
        </w:tc>
        <w:tc>
          <w:tcPr>
            <w:tcW w:w="8520" w:type="dxa"/>
            <w:vAlign w:val="bottom"/>
          </w:tcPr>
          <w:p>
            <w:pPr>
              <w:ind w:left="320"/>
              <w:spacing w:after="0"/>
              <w:rPr>
                <w:sz w:val="20"/>
                <w:szCs w:val="20"/>
                <w:color w:val="auto"/>
              </w:rPr>
            </w:pPr>
            <w:r>
              <w:rPr>
                <w:rFonts w:ascii="Arial" w:cs="Arial" w:eastAsia="Arial" w:hAnsi="Arial"/>
                <w:sz w:val="18"/>
                <w:szCs w:val="18"/>
                <w:color w:val="auto"/>
              </w:rPr>
              <w:t>No Broker’s Fees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4.28</w:t>
            </w:r>
          </w:p>
        </w:tc>
        <w:tc>
          <w:tcPr>
            <w:tcW w:w="8520" w:type="dxa"/>
            <w:vAlign w:val="bottom"/>
          </w:tcPr>
          <w:p>
            <w:pPr>
              <w:ind w:left="320"/>
              <w:spacing w:after="0"/>
              <w:rPr>
                <w:sz w:val="20"/>
                <w:szCs w:val="20"/>
                <w:color w:val="auto"/>
              </w:rPr>
            </w:pPr>
            <w:r>
              <w:rPr>
                <w:rFonts w:ascii="Arial" w:cs="Arial" w:eastAsia="Arial" w:hAnsi="Arial"/>
                <w:sz w:val="18"/>
                <w:szCs w:val="18"/>
                <w:color w:val="auto"/>
              </w:rPr>
              <w:t>Investment Company Act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4.29</w:t>
            </w:r>
          </w:p>
        </w:tc>
        <w:tc>
          <w:tcPr>
            <w:tcW w:w="852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THE COMMITMENT PARTIES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5.1</w:t>
            </w:r>
          </w:p>
        </w:tc>
        <w:tc>
          <w:tcPr>
            <w:tcW w:w="8520" w:type="dxa"/>
            <w:vAlign w:val="bottom"/>
          </w:tcPr>
          <w:p>
            <w:pPr>
              <w:ind w:left="320"/>
              <w:spacing w:after="0"/>
              <w:rPr>
                <w:sz w:val="20"/>
                <w:szCs w:val="20"/>
                <w:color w:val="auto"/>
              </w:rPr>
            </w:pPr>
            <w:r>
              <w:rPr>
                <w:rFonts w:ascii="Arial" w:cs="Arial" w:eastAsia="Arial" w:hAnsi="Arial"/>
                <w:sz w:val="18"/>
                <w:szCs w:val="18"/>
                <w:color w:val="auto"/>
              </w:rPr>
              <w:t>Organization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5.2</w:t>
            </w:r>
          </w:p>
        </w:tc>
        <w:tc>
          <w:tcPr>
            <w:tcW w:w="8520" w:type="dxa"/>
            <w:vAlign w:val="bottom"/>
          </w:tcPr>
          <w:p>
            <w:pPr>
              <w:ind w:left="320"/>
              <w:spacing w:after="0"/>
              <w:rPr>
                <w:sz w:val="20"/>
                <w:szCs w:val="20"/>
                <w:color w:val="auto"/>
              </w:rPr>
            </w:pPr>
            <w:r>
              <w:rPr>
                <w:rFonts w:ascii="Arial" w:cs="Arial" w:eastAsia="Arial" w:hAnsi="Arial"/>
                <w:sz w:val="18"/>
                <w:szCs w:val="18"/>
                <w:color w:val="auto"/>
              </w:rPr>
              <w:t>Organizational Power and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5.3</w:t>
            </w:r>
          </w:p>
        </w:tc>
        <w:tc>
          <w:tcPr>
            <w:tcW w:w="8520" w:type="dxa"/>
            <w:vAlign w:val="bottom"/>
          </w:tcPr>
          <w:p>
            <w:pPr>
              <w:ind w:left="320"/>
              <w:spacing w:after="0"/>
              <w:rPr>
                <w:sz w:val="20"/>
                <w:szCs w:val="20"/>
                <w:color w:val="auto"/>
              </w:rPr>
            </w:pPr>
            <w:r>
              <w:rPr>
                <w:rFonts w:ascii="Arial" w:cs="Arial" w:eastAsia="Arial" w:hAnsi="Arial"/>
                <w:sz w:val="18"/>
                <w:szCs w:val="18"/>
                <w:color w:val="auto"/>
              </w:rPr>
              <w:t>Execution and Delivery</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5.4</w:t>
            </w:r>
          </w:p>
        </w:tc>
        <w:tc>
          <w:tcPr>
            <w:tcW w:w="8520" w:type="dxa"/>
            <w:vAlign w:val="bottom"/>
          </w:tcPr>
          <w:p>
            <w:pPr>
              <w:ind w:left="320"/>
              <w:spacing w:after="0"/>
              <w:rPr>
                <w:sz w:val="20"/>
                <w:szCs w:val="20"/>
                <w:color w:val="auto"/>
              </w:rPr>
            </w:pPr>
            <w:r>
              <w:rPr>
                <w:rFonts w:ascii="Arial" w:cs="Arial" w:eastAsia="Arial" w:hAnsi="Arial"/>
                <w:sz w:val="18"/>
                <w:szCs w:val="18"/>
                <w:color w:val="auto"/>
              </w:rPr>
              <w:t>No Conflict</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5.5</w:t>
            </w:r>
          </w:p>
        </w:tc>
        <w:tc>
          <w:tcPr>
            <w:tcW w:w="8520" w:type="dxa"/>
            <w:vAlign w:val="bottom"/>
          </w:tcPr>
          <w:p>
            <w:pPr>
              <w:ind w:left="320"/>
              <w:spacing w:after="0"/>
              <w:rPr>
                <w:sz w:val="20"/>
                <w:szCs w:val="20"/>
                <w:color w:val="auto"/>
              </w:rPr>
            </w:pPr>
            <w:r>
              <w:rPr>
                <w:rFonts w:ascii="Arial" w:cs="Arial" w:eastAsia="Arial" w:hAnsi="Arial"/>
                <w:sz w:val="18"/>
                <w:szCs w:val="18"/>
                <w:color w:val="auto"/>
              </w:rPr>
              <w:t>Consents and Approvals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5.6</w:t>
            </w:r>
          </w:p>
        </w:tc>
        <w:tc>
          <w:tcPr>
            <w:tcW w:w="8520" w:type="dxa"/>
            <w:vAlign w:val="bottom"/>
          </w:tcPr>
          <w:p>
            <w:pPr>
              <w:ind w:left="320"/>
              <w:spacing w:after="0"/>
              <w:rPr>
                <w:sz w:val="20"/>
                <w:szCs w:val="20"/>
                <w:color w:val="auto"/>
              </w:rPr>
            </w:pPr>
            <w:r>
              <w:rPr>
                <w:rFonts w:ascii="Arial" w:cs="Arial" w:eastAsia="Arial" w:hAnsi="Arial"/>
                <w:sz w:val="18"/>
                <w:szCs w:val="18"/>
                <w:color w:val="auto"/>
              </w:rPr>
              <w:t>No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5.7</w:t>
            </w:r>
          </w:p>
        </w:tc>
        <w:tc>
          <w:tcPr>
            <w:tcW w:w="8520" w:type="dxa"/>
            <w:vAlign w:val="bottom"/>
          </w:tcPr>
          <w:p>
            <w:pPr>
              <w:ind w:left="320"/>
              <w:spacing w:after="0"/>
              <w:rPr>
                <w:sz w:val="20"/>
                <w:szCs w:val="20"/>
                <w:color w:val="auto"/>
              </w:rPr>
            </w:pPr>
            <w:r>
              <w:rPr>
                <w:rFonts w:ascii="Arial" w:cs="Arial" w:eastAsia="Arial" w:hAnsi="Arial"/>
                <w:sz w:val="18"/>
                <w:szCs w:val="18"/>
                <w:color w:val="auto"/>
              </w:rPr>
              <w:t>Purchasing Intent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5.8</w:t>
            </w:r>
          </w:p>
        </w:tc>
        <w:tc>
          <w:tcPr>
            <w:tcW w:w="8520" w:type="dxa"/>
            <w:vAlign w:val="bottom"/>
          </w:tcPr>
          <w:p>
            <w:pPr>
              <w:ind w:left="320"/>
              <w:spacing w:after="0"/>
              <w:rPr>
                <w:sz w:val="20"/>
                <w:szCs w:val="20"/>
                <w:color w:val="auto"/>
              </w:rPr>
            </w:pPr>
            <w:r>
              <w:rPr>
                <w:rFonts w:ascii="Arial" w:cs="Arial" w:eastAsia="Arial" w:hAnsi="Arial"/>
                <w:sz w:val="18"/>
                <w:szCs w:val="18"/>
                <w:color w:val="auto"/>
              </w:rPr>
              <w:t>Sophistication; Investigation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5.9</w:t>
            </w:r>
          </w:p>
        </w:tc>
        <w:tc>
          <w:tcPr>
            <w:tcW w:w="8520" w:type="dxa"/>
            <w:vAlign w:val="bottom"/>
          </w:tcPr>
          <w:p>
            <w:pPr>
              <w:ind w:left="320"/>
              <w:spacing w:after="0"/>
              <w:rPr>
                <w:sz w:val="20"/>
                <w:szCs w:val="20"/>
                <w:color w:val="auto"/>
              </w:rPr>
            </w:pPr>
            <w:r>
              <w:rPr>
                <w:rFonts w:ascii="Arial" w:cs="Arial" w:eastAsia="Arial" w:hAnsi="Arial"/>
                <w:sz w:val="18"/>
                <w:szCs w:val="18"/>
                <w:color w:val="auto"/>
              </w:rPr>
              <w:t>No Broker’s Fees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5.10</w:t>
            </w:r>
          </w:p>
        </w:tc>
        <w:tc>
          <w:tcPr>
            <w:tcW w:w="8520" w:type="dxa"/>
            <w:vAlign w:val="bottom"/>
          </w:tcPr>
          <w:p>
            <w:pPr>
              <w:ind w:left="320"/>
              <w:spacing w:after="0"/>
              <w:rPr>
                <w:sz w:val="20"/>
                <w:szCs w:val="20"/>
                <w:color w:val="auto"/>
              </w:rPr>
            </w:pPr>
            <w:r>
              <w:rPr>
                <w:rFonts w:ascii="Arial" w:cs="Arial" w:eastAsia="Arial" w:hAnsi="Arial"/>
                <w:sz w:val="18"/>
                <w:szCs w:val="18"/>
                <w:color w:val="auto"/>
              </w:rPr>
              <w:t>Sufficient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5.11</w:t>
            </w:r>
          </w:p>
        </w:tc>
        <w:tc>
          <w:tcPr>
            <w:tcW w:w="8520" w:type="dxa"/>
            <w:vAlign w:val="bottom"/>
          </w:tcPr>
          <w:p>
            <w:pPr>
              <w:ind w:left="320"/>
              <w:spacing w:after="0"/>
              <w:rPr>
                <w:sz w:val="20"/>
                <w:szCs w:val="20"/>
                <w:color w:val="auto"/>
              </w:rPr>
            </w:pPr>
            <w:r>
              <w:rPr>
                <w:rFonts w:ascii="Arial" w:cs="Arial" w:eastAsia="Arial" w:hAnsi="Arial"/>
                <w:sz w:val="18"/>
                <w:szCs w:val="18"/>
                <w:color w:val="auto"/>
              </w:rPr>
              <w:t>Additional Securities Law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 ADDITIONAL COVENANTS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6.1</w:t>
            </w:r>
          </w:p>
        </w:tc>
        <w:tc>
          <w:tcPr>
            <w:tcW w:w="8520" w:type="dxa"/>
            <w:vAlign w:val="bottom"/>
          </w:tcPr>
          <w:p>
            <w:pPr>
              <w:ind w:left="320"/>
              <w:spacing w:after="0"/>
              <w:rPr>
                <w:sz w:val="20"/>
                <w:szCs w:val="20"/>
                <w:color w:val="auto"/>
              </w:rPr>
            </w:pPr>
            <w:r>
              <w:rPr>
                <w:rFonts w:ascii="Arial" w:cs="Arial" w:eastAsia="Arial" w:hAnsi="Arial"/>
                <w:sz w:val="18"/>
                <w:szCs w:val="18"/>
                <w:color w:val="auto"/>
              </w:rPr>
              <w:t>Confirmation Order; Plan and Disclosure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6.2</w:t>
            </w:r>
          </w:p>
        </w:tc>
        <w:tc>
          <w:tcPr>
            <w:tcW w:w="8520" w:type="dxa"/>
            <w:vAlign w:val="bottom"/>
          </w:tcPr>
          <w:p>
            <w:pPr>
              <w:ind w:left="320"/>
              <w:spacing w:after="0"/>
              <w:rPr>
                <w:sz w:val="20"/>
                <w:szCs w:val="20"/>
                <w:color w:val="auto"/>
              </w:rPr>
            </w:pPr>
            <w:r>
              <w:rPr>
                <w:rFonts w:ascii="Arial" w:cs="Arial" w:eastAsia="Arial" w:hAnsi="Arial"/>
                <w:sz w:val="18"/>
                <w:szCs w:val="18"/>
                <w:color w:val="auto"/>
              </w:rPr>
              <w:t>Reasonable Best Efforts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6.3</w:t>
            </w:r>
          </w:p>
        </w:tc>
        <w:tc>
          <w:tcPr>
            <w:tcW w:w="8520" w:type="dxa"/>
            <w:vAlign w:val="bottom"/>
          </w:tcPr>
          <w:p>
            <w:pPr>
              <w:ind w:left="320"/>
              <w:spacing w:after="0"/>
              <w:rPr>
                <w:sz w:val="20"/>
                <w:szCs w:val="20"/>
                <w:color w:val="auto"/>
              </w:rPr>
            </w:pPr>
            <w:r>
              <w:rPr>
                <w:rFonts w:ascii="Arial" w:cs="Arial" w:eastAsia="Arial" w:hAnsi="Arial"/>
                <w:sz w:val="18"/>
                <w:szCs w:val="18"/>
                <w:color w:val="auto"/>
              </w:rPr>
              <w:t>Blue Sky</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6.4</w:t>
            </w:r>
          </w:p>
        </w:tc>
        <w:tc>
          <w:tcPr>
            <w:tcW w:w="852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6.5</w:t>
            </w:r>
          </w:p>
        </w:tc>
        <w:tc>
          <w:tcPr>
            <w:tcW w:w="8520" w:type="dxa"/>
            <w:vAlign w:val="bottom"/>
          </w:tcPr>
          <w:p>
            <w:pPr>
              <w:ind w:left="320"/>
              <w:spacing w:after="0"/>
              <w:rPr>
                <w:sz w:val="20"/>
                <w:szCs w:val="20"/>
                <w:color w:val="auto"/>
              </w:rPr>
            </w:pPr>
            <w:r>
              <w:rPr>
                <w:rFonts w:ascii="Arial" w:cs="Arial" w:eastAsia="Arial" w:hAnsi="Arial"/>
                <w:sz w:val="18"/>
                <w:szCs w:val="18"/>
                <w:color w:val="auto"/>
              </w:rPr>
              <w:t>Unsubscribed Notes Legend</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6.6</w:t>
            </w:r>
          </w:p>
        </w:tc>
        <w:tc>
          <w:tcPr>
            <w:tcW w:w="8520" w:type="dxa"/>
            <w:vAlign w:val="bottom"/>
          </w:tcPr>
          <w:p>
            <w:pPr>
              <w:ind w:left="320"/>
              <w:spacing w:after="0"/>
              <w:rPr>
                <w:sz w:val="20"/>
                <w:szCs w:val="20"/>
                <w:color w:val="auto"/>
              </w:rPr>
            </w:pPr>
            <w:r>
              <w:rPr>
                <w:rFonts w:ascii="Arial" w:cs="Arial" w:eastAsia="Arial" w:hAnsi="Arial"/>
                <w:sz w:val="18"/>
                <w:szCs w:val="18"/>
                <w:color w:val="auto"/>
              </w:rPr>
              <w:t>Commitment Party Termination; Replacement of Terminating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VII CONDITIONS TO THE OBLIGATIONS OF THE PARTIES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7.1</w:t>
            </w:r>
          </w:p>
        </w:tc>
        <w:tc>
          <w:tcPr>
            <w:tcW w:w="8520" w:type="dxa"/>
            <w:vAlign w:val="bottom"/>
          </w:tcPr>
          <w:p>
            <w:pPr>
              <w:ind w:left="320"/>
              <w:spacing w:after="0"/>
              <w:rPr>
                <w:sz w:val="20"/>
                <w:szCs w:val="20"/>
                <w:color w:val="auto"/>
              </w:rPr>
            </w:pPr>
            <w:r>
              <w:rPr>
                <w:rFonts w:ascii="Arial" w:cs="Arial" w:eastAsia="Arial" w:hAnsi="Arial"/>
                <w:sz w:val="18"/>
                <w:szCs w:val="18"/>
                <w:color w:val="auto"/>
              </w:rPr>
              <w:t>Conditions to the Obligations of the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7.2</w:t>
            </w:r>
          </w:p>
        </w:tc>
        <w:tc>
          <w:tcPr>
            <w:tcW w:w="8520" w:type="dxa"/>
            <w:vAlign w:val="bottom"/>
          </w:tcPr>
          <w:p>
            <w:pPr>
              <w:ind w:left="320"/>
              <w:spacing w:after="0"/>
              <w:rPr>
                <w:sz w:val="20"/>
                <w:szCs w:val="20"/>
                <w:color w:val="auto"/>
              </w:rPr>
            </w:pPr>
            <w:r>
              <w:rPr>
                <w:rFonts w:ascii="Arial" w:cs="Arial" w:eastAsia="Arial" w:hAnsi="Arial"/>
                <w:sz w:val="18"/>
                <w:szCs w:val="18"/>
                <w:color w:val="auto"/>
              </w:rPr>
              <w:t>Waiver of Conditions to Obligations of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7.3</w:t>
            </w:r>
          </w:p>
        </w:tc>
        <w:tc>
          <w:tcPr>
            <w:tcW w:w="8520" w:type="dxa"/>
            <w:vAlign w:val="bottom"/>
          </w:tcPr>
          <w:p>
            <w:pPr>
              <w:ind w:left="320"/>
              <w:spacing w:after="0"/>
              <w:rPr>
                <w:sz w:val="20"/>
                <w:szCs w:val="20"/>
                <w:color w:val="auto"/>
              </w:rPr>
            </w:pPr>
            <w:r>
              <w:rPr>
                <w:rFonts w:ascii="Arial" w:cs="Arial" w:eastAsia="Arial" w:hAnsi="Arial"/>
                <w:sz w:val="18"/>
                <w:szCs w:val="18"/>
                <w:color w:val="auto"/>
              </w:rPr>
              <w:t>Conditions to the Obligations of the Debtors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VIII INDEMNIFICATION AND CONTRIBUTION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8.1</w:t>
            </w:r>
          </w:p>
        </w:tc>
        <w:tc>
          <w:tcPr>
            <w:tcW w:w="8520" w:type="dxa"/>
            <w:vAlign w:val="bottom"/>
          </w:tcPr>
          <w:p>
            <w:pPr>
              <w:ind w:left="320"/>
              <w:spacing w:after="0"/>
              <w:rPr>
                <w:sz w:val="20"/>
                <w:szCs w:val="20"/>
                <w:color w:val="auto"/>
              </w:rPr>
            </w:pPr>
            <w:r>
              <w:rPr>
                <w:rFonts w:ascii="Arial" w:cs="Arial" w:eastAsia="Arial" w:hAnsi="Arial"/>
                <w:sz w:val="18"/>
                <w:szCs w:val="18"/>
                <w:color w:val="auto"/>
              </w:rPr>
              <w:t>Indemnification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8.2</w:t>
            </w:r>
          </w:p>
        </w:tc>
        <w:tc>
          <w:tcPr>
            <w:tcW w:w="8520" w:type="dxa"/>
            <w:vAlign w:val="bottom"/>
          </w:tcPr>
          <w:p>
            <w:pPr>
              <w:ind w:left="320"/>
              <w:spacing w:after="0"/>
              <w:rPr>
                <w:sz w:val="20"/>
                <w:szCs w:val="20"/>
                <w:color w:val="auto"/>
              </w:rPr>
            </w:pPr>
            <w:r>
              <w:rPr>
                <w:rFonts w:ascii="Arial" w:cs="Arial" w:eastAsia="Arial" w:hAnsi="Arial"/>
                <w:sz w:val="18"/>
                <w:szCs w:val="18"/>
                <w:color w:val="auto"/>
              </w:rPr>
              <w:t>Indemnification Procedure</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8.3</w:t>
            </w:r>
          </w:p>
        </w:tc>
        <w:tc>
          <w:tcPr>
            <w:tcW w:w="8520" w:type="dxa"/>
            <w:vAlign w:val="bottom"/>
          </w:tcPr>
          <w:p>
            <w:pPr>
              <w:ind w:left="320"/>
              <w:spacing w:after="0"/>
              <w:rPr>
                <w:sz w:val="20"/>
                <w:szCs w:val="20"/>
                <w:color w:val="auto"/>
              </w:rPr>
            </w:pPr>
            <w:r>
              <w:rPr>
                <w:rFonts w:ascii="Arial" w:cs="Arial" w:eastAsia="Arial" w:hAnsi="Arial"/>
                <w:sz w:val="18"/>
                <w:szCs w:val="18"/>
                <w:color w:val="auto"/>
              </w:rPr>
              <w:t>Settlement of Indemnified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8.4</w:t>
            </w:r>
          </w:p>
        </w:tc>
        <w:tc>
          <w:tcPr>
            <w:tcW w:w="8520" w:type="dxa"/>
            <w:vAlign w:val="bottom"/>
          </w:tcPr>
          <w:p>
            <w:pPr>
              <w:ind w:left="320"/>
              <w:spacing w:after="0"/>
              <w:rPr>
                <w:sz w:val="20"/>
                <w:szCs w:val="20"/>
                <w:color w:val="auto"/>
              </w:rPr>
            </w:pPr>
            <w:r>
              <w:rPr>
                <w:rFonts w:ascii="Arial" w:cs="Arial" w:eastAsia="Arial" w:hAnsi="Arial"/>
                <w:sz w:val="18"/>
                <w:szCs w:val="18"/>
                <w:color w:val="auto"/>
              </w:rPr>
              <w:t>Contribution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8.5</w:t>
            </w:r>
          </w:p>
        </w:tc>
        <w:tc>
          <w:tcPr>
            <w:tcW w:w="8520" w:type="dxa"/>
            <w:vAlign w:val="bottom"/>
          </w:tcPr>
          <w:p>
            <w:pPr>
              <w:ind w:left="320"/>
              <w:spacing w:after="0"/>
              <w:rPr>
                <w:sz w:val="20"/>
                <w:szCs w:val="20"/>
                <w:color w:val="auto"/>
              </w:rPr>
            </w:pPr>
            <w:r>
              <w:rPr>
                <w:rFonts w:ascii="Arial" w:cs="Arial" w:eastAsia="Arial" w:hAnsi="Arial"/>
                <w:sz w:val="18"/>
                <w:szCs w:val="18"/>
                <w:color w:val="auto"/>
              </w:rPr>
              <w:t>Treatment of Indemnification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8.6</w:t>
            </w:r>
          </w:p>
        </w:tc>
        <w:tc>
          <w:tcPr>
            <w:tcW w:w="8520" w:type="dxa"/>
            <w:vAlign w:val="bottom"/>
          </w:tcPr>
          <w:p>
            <w:pPr>
              <w:ind w:left="320"/>
              <w:spacing w:after="0"/>
              <w:rPr>
                <w:sz w:val="20"/>
                <w:szCs w:val="20"/>
                <w:color w:val="auto"/>
              </w:rPr>
            </w:pPr>
            <w:r>
              <w:rPr>
                <w:rFonts w:ascii="Arial" w:cs="Arial" w:eastAsia="Arial" w:hAnsi="Arial"/>
                <w:sz w:val="18"/>
                <w:szCs w:val="18"/>
                <w:color w:val="auto"/>
              </w:rPr>
              <w:t>No Survival</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IX TERMINATION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9.1</w:t>
            </w:r>
          </w:p>
        </w:tc>
        <w:tc>
          <w:tcPr>
            <w:tcW w:w="8520" w:type="dxa"/>
            <w:vAlign w:val="bottom"/>
          </w:tcPr>
          <w:p>
            <w:pPr>
              <w:ind w:left="320"/>
              <w:spacing w:after="0"/>
              <w:rPr>
                <w:sz w:val="20"/>
                <w:szCs w:val="20"/>
                <w:color w:val="auto"/>
              </w:rPr>
            </w:pPr>
            <w:r>
              <w:rPr>
                <w:rFonts w:ascii="Arial" w:cs="Arial" w:eastAsia="Arial" w:hAnsi="Arial"/>
                <w:sz w:val="18"/>
                <w:szCs w:val="18"/>
                <w:color w:val="auto"/>
              </w:rPr>
              <w:t>Consensual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9.2</w:t>
            </w:r>
          </w:p>
        </w:tc>
        <w:tc>
          <w:tcPr>
            <w:tcW w:w="8520" w:type="dxa"/>
            <w:vAlign w:val="bottom"/>
          </w:tcPr>
          <w:p>
            <w:pPr>
              <w:ind w:left="320"/>
              <w:spacing w:after="0"/>
              <w:rPr>
                <w:sz w:val="20"/>
                <w:szCs w:val="20"/>
                <w:color w:val="auto"/>
              </w:rPr>
            </w:pPr>
            <w:r>
              <w:rPr>
                <w:rFonts w:ascii="Arial" w:cs="Arial" w:eastAsia="Arial" w:hAnsi="Arial"/>
                <w:sz w:val="18"/>
                <w:szCs w:val="18"/>
                <w:color w:val="auto"/>
              </w:rPr>
              <w:t>Automatic Termination; Termination by the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9.3</w:t>
            </w:r>
          </w:p>
        </w:tc>
        <w:tc>
          <w:tcPr>
            <w:tcW w:w="8520" w:type="dxa"/>
            <w:vAlign w:val="bottom"/>
          </w:tcPr>
          <w:p>
            <w:pPr>
              <w:ind w:left="320"/>
              <w:spacing w:after="0"/>
              <w:rPr>
                <w:sz w:val="20"/>
                <w:szCs w:val="20"/>
                <w:color w:val="auto"/>
              </w:rPr>
            </w:pPr>
            <w:r>
              <w:rPr>
                <w:rFonts w:ascii="Arial" w:cs="Arial" w:eastAsia="Arial" w:hAnsi="Arial"/>
                <w:sz w:val="18"/>
                <w:szCs w:val="18"/>
                <w:color w:val="auto"/>
              </w:rPr>
              <w:t>Termination by the Debtors</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9.4</w:t>
            </w:r>
          </w:p>
        </w:tc>
        <w:tc>
          <w:tcPr>
            <w:tcW w:w="8520" w:type="dxa"/>
            <w:vAlign w:val="bottom"/>
          </w:tcPr>
          <w:p>
            <w:pPr>
              <w:ind w:left="320"/>
              <w:spacing w:after="0"/>
              <w:rPr>
                <w:sz w:val="20"/>
                <w:szCs w:val="20"/>
                <w:color w:val="auto"/>
              </w:rPr>
            </w:pPr>
            <w:r>
              <w:rPr>
                <w:rFonts w:ascii="Arial" w:cs="Arial" w:eastAsia="Arial" w:hAnsi="Arial"/>
                <w:sz w:val="18"/>
                <w:szCs w:val="18"/>
                <w:color w:val="auto"/>
              </w:rPr>
              <w:t>Effect of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3" w:name="page404"/>
    <w:bookmarkEnd w:id="403"/>
    <w:p>
      <w:pPr>
        <w:jc w:val="center"/>
        <w:ind w:right="40"/>
        <w:spacing w:after="0"/>
        <w:rPr>
          <w:sz w:val="20"/>
          <w:szCs w:val="20"/>
          <w:color w:val="auto"/>
        </w:rPr>
      </w:pPr>
      <w:r>
        <w:rPr>
          <w:rFonts w:ascii="Arial" w:cs="Arial" w:eastAsia="Arial" w:hAnsi="Arial"/>
          <w:sz w:val="18"/>
          <w:szCs w:val="18"/>
          <w:color w:val="auto"/>
        </w:rPr>
        <w:t>TABLE OF CONTENTS (cont’d)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X GENERAL PROVISIONS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8"/>
        </w:trPr>
        <w:tc>
          <w:tcPr>
            <w:tcW w:w="1800" w:type="dxa"/>
            <w:vAlign w:val="bottom"/>
          </w:tcPr>
          <w:p>
            <w:pPr>
              <w:ind w:left="520"/>
              <w:spacing w:after="0"/>
              <w:rPr>
                <w:sz w:val="20"/>
                <w:szCs w:val="20"/>
                <w:color w:val="auto"/>
              </w:rPr>
            </w:pPr>
            <w:r>
              <w:rPr>
                <w:rFonts w:ascii="Arial" w:cs="Arial" w:eastAsia="Arial" w:hAnsi="Arial"/>
                <w:sz w:val="18"/>
                <w:szCs w:val="18"/>
                <w:color w:val="auto"/>
              </w:rPr>
              <w:t>Section 10.1</w:t>
            </w:r>
          </w:p>
        </w:tc>
        <w:tc>
          <w:tcPr>
            <w:tcW w:w="8480" w:type="dxa"/>
            <w:vAlign w:val="bottom"/>
          </w:tcPr>
          <w:p>
            <w:pPr>
              <w:ind w:left="280"/>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10.2</w:t>
            </w:r>
          </w:p>
        </w:tc>
        <w:tc>
          <w:tcPr>
            <w:tcW w:w="8480" w:type="dxa"/>
            <w:vAlign w:val="bottom"/>
          </w:tcPr>
          <w:p>
            <w:pPr>
              <w:ind w:left="280"/>
              <w:spacing w:after="0"/>
              <w:rPr>
                <w:sz w:val="20"/>
                <w:szCs w:val="20"/>
                <w:color w:val="auto"/>
              </w:rPr>
            </w:pPr>
            <w:r>
              <w:rPr>
                <w:rFonts w:ascii="Arial" w:cs="Arial" w:eastAsia="Arial" w:hAnsi="Arial"/>
                <w:sz w:val="18"/>
                <w:szCs w:val="18"/>
                <w:color w:val="auto"/>
              </w:rPr>
              <w:t>Assignment; Third Party Beneficiaries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10.3</w:t>
            </w:r>
          </w:p>
        </w:tc>
        <w:tc>
          <w:tcPr>
            <w:tcW w:w="8480" w:type="dxa"/>
            <w:vAlign w:val="bottom"/>
          </w:tcPr>
          <w:p>
            <w:pPr>
              <w:ind w:left="280"/>
              <w:spacing w:after="0"/>
              <w:rPr>
                <w:sz w:val="20"/>
                <w:szCs w:val="20"/>
                <w:color w:val="auto"/>
              </w:rPr>
            </w:pPr>
            <w:r>
              <w:rPr>
                <w:rFonts w:ascii="Arial" w:cs="Arial" w:eastAsia="Arial" w:hAnsi="Arial"/>
                <w:sz w:val="18"/>
                <w:szCs w:val="18"/>
                <w:color w:val="auto"/>
              </w:rPr>
              <w:t>Prior Negotiations; 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10.4</w:t>
            </w:r>
          </w:p>
        </w:tc>
        <w:tc>
          <w:tcPr>
            <w:tcW w:w="8480" w:type="dxa"/>
            <w:vAlign w:val="bottom"/>
          </w:tcPr>
          <w:p>
            <w:pPr>
              <w:ind w:left="280"/>
              <w:spacing w:after="0"/>
              <w:rPr>
                <w:sz w:val="20"/>
                <w:szCs w:val="20"/>
                <w:color w:val="auto"/>
              </w:rPr>
            </w:pPr>
            <w:r>
              <w:rPr>
                <w:rFonts w:ascii="Arial" w:cs="Arial" w:eastAsia="Arial" w:hAnsi="Arial"/>
                <w:sz w:val="18"/>
                <w:szCs w:val="18"/>
                <w:color w:val="auto"/>
              </w:rPr>
              <w:t>Governing Law; Venue</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10.5</w:t>
            </w:r>
          </w:p>
        </w:tc>
        <w:tc>
          <w:tcPr>
            <w:tcW w:w="8480" w:type="dxa"/>
            <w:vAlign w:val="bottom"/>
          </w:tcPr>
          <w:p>
            <w:pPr>
              <w:ind w:left="280"/>
              <w:spacing w:after="0"/>
              <w:rPr>
                <w:sz w:val="20"/>
                <w:szCs w:val="20"/>
                <w:color w:val="auto"/>
              </w:rPr>
            </w:pPr>
            <w:r>
              <w:rPr>
                <w:rFonts w:ascii="Arial" w:cs="Arial" w:eastAsia="Arial" w:hAnsi="Arial"/>
                <w:sz w:val="18"/>
                <w:szCs w:val="18"/>
                <w:color w:val="auto"/>
              </w:rPr>
              <w:t>Binding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10.6</w:t>
            </w:r>
          </w:p>
        </w:tc>
        <w:tc>
          <w:tcPr>
            <w:tcW w:w="848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10.7</w:t>
            </w:r>
          </w:p>
        </w:tc>
        <w:tc>
          <w:tcPr>
            <w:tcW w:w="848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10.8</w:t>
            </w:r>
          </w:p>
        </w:tc>
        <w:tc>
          <w:tcPr>
            <w:tcW w:w="8480" w:type="dxa"/>
            <w:vAlign w:val="bottom"/>
          </w:tcPr>
          <w:p>
            <w:pPr>
              <w:ind w:left="280"/>
              <w:spacing w:after="0"/>
              <w:rPr>
                <w:sz w:val="20"/>
                <w:szCs w:val="20"/>
                <w:color w:val="auto"/>
              </w:rPr>
            </w:pPr>
            <w:r>
              <w:rPr>
                <w:rFonts w:ascii="Arial" w:cs="Arial" w:eastAsia="Arial" w:hAnsi="Arial"/>
                <w:sz w:val="18"/>
                <w:szCs w:val="18"/>
                <w:color w:val="auto"/>
              </w:rPr>
              <w:t>Waivers and Amendments; Rights Cumulative; Consent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10.9</w:t>
            </w:r>
          </w:p>
        </w:tc>
        <w:tc>
          <w:tcPr>
            <w:tcW w:w="8480" w:type="dxa"/>
            <w:vAlign w:val="bottom"/>
          </w:tcPr>
          <w:p>
            <w:pPr>
              <w:ind w:left="280"/>
              <w:spacing w:after="0"/>
              <w:rPr>
                <w:sz w:val="20"/>
                <w:szCs w:val="20"/>
                <w:color w:val="auto"/>
              </w:rPr>
            </w:pPr>
            <w:r>
              <w:rPr>
                <w:rFonts w:ascii="Arial" w:cs="Arial" w:eastAsia="Arial" w:hAnsi="Arial"/>
                <w:sz w:val="18"/>
                <w:szCs w:val="18"/>
                <w:color w:val="auto"/>
              </w:rPr>
              <w:t>Headings</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10.10</w:t>
            </w:r>
          </w:p>
        </w:tc>
        <w:tc>
          <w:tcPr>
            <w:tcW w:w="8480" w:type="dxa"/>
            <w:vAlign w:val="bottom"/>
          </w:tcPr>
          <w:p>
            <w:pPr>
              <w:ind w:left="280"/>
              <w:spacing w:after="0"/>
              <w:rPr>
                <w:sz w:val="20"/>
                <w:szCs w:val="20"/>
                <w:color w:val="auto"/>
              </w:rPr>
            </w:pPr>
            <w:r>
              <w:rPr>
                <w:rFonts w:ascii="Arial" w:cs="Arial" w:eastAsia="Arial" w:hAnsi="Arial"/>
                <w:sz w:val="18"/>
                <w:szCs w:val="18"/>
                <w:color w:val="auto"/>
              </w:rPr>
              <w:t>Specific Performance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10.11</w:t>
            </w:r>
          </w:p>
        </w:tc>
        <w:tc>
          <w:tcPr>
            <w:tcW w:w="8480" w:type="dxa"/>
            <w:vAlign w:val="bottom"/>
          </w:tcPr>
          <w:p>
            <w:pPr>
              <w:ind w:left="280"/>
              <w:spacing w:after="0"/>
              <w:rPr>
                <w:sz w:val="20"/>
                <w:szCs w:val="20"/>
                <w:color w:val="auto"/>
              </w:rPr>
            </w:pPr>
            <w:r>
              <w:rPr>
                <w:rFonts w:ascii="Arial" w:cs="Arial" w:eastAsia="Arial" w:hAnsi="Arial"/>
                <w:sz w:val="18"/>
                <w:szCs w:val="18"/>
                <w:color w:val="auto"/>
              </w:rPr>
              <w:t>Damages</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10.12</w:t>
            </w:r>
          </w:p>
        </w:tc>
        <w:tc>
          <w:tcPr>
            <w:tcW w:w="8480" w:type="dxa"/>
            <w:vAlign w:val="bottom"/>
          </w:tcPr>
          <w:p>
            <w:pPr>
              <w:ind w:left="280"/>
              <w:spacing w:after="0"/>
              <w:rPr>
                <w:sz w:val="20"/>
                <w:szCs w:val="20"/>
                <w:color w:val="auto"/>
              </w:rPr>
            </w:pPr>
            <w:r>
              <w:rPr>
                <w:rFonts w:ascii="Arial" w:cs="Arial" w:eastAsia="Arial" w:hAnsi="Arial"/>
                <w:sz w:val="18"/>
                <w:szCs w:val="18"/>
                <w:color w:val="auto"/>
              </w:rPr>
              <w:t>No Reliance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10.13</w:t>
            </w:r>
          </w:p>
        </w:tc>
        <w:tc>
          <w:tcPr>
            <w:tcW w:w="8480" w:type="dxa"/>
            <w:vAlign w:val="bottom"/>
          </w:tcPr>
          <w:p>
            <w:pPr>
              <w:ind w:left="280"/>
              <w:spacing w:after="0"/>
              <w:rPr>
                <w:sz w:val="20"/>
                <w:szCs w:val="20"/>
                <w:color w:val="auto"/>
              </w:rPr>
            </w:pPr>
            <w:r>
              <w:rPr>
                <w:rFonts w:ascii="Arial" w:cs="Arial" w:eastAsia="Arial" w:hAnsi="Arial"/>
                <w:sz w:val="18"/>
                <w:szCs w:val="18"/>
                <w:color w:val="auto"/>
              </w:rPr>
              <w:t>Publicity</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10.14</w:t>
            </w:r>
          </w:p>
        </w:tc>
        <w:tc>
          <w:tcPr>
            <w:tcW w:w="8480" w:type="dxa"/>
            <w:vAlign w:val="bottom"/>
          </w:tcPr>
          <w:p>
            <w:pPr>
              <w:ind w:left="280"/>
              <w:spacing w:after="0"/>
              <w:rPr>
                <w:sz w:val="20"/>
                <w:szCs w:val="20"/>
                <w:color w:val="auto"/>
              </w:rPr>
            </w:pPr>
            <w:r>
              <w:rPr>
                <w:rFonts w:ascii="Arial" w:cs="Arial" w:eastAsia="Arial" w:hAnsi="Arial"/>
                <w:sz w:val="18"/>
                <w:szCs w:val="18"/>
                <w:color w:val="auto"/>
              </w:rPr>
              <w:t>Settlement Discussions</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800" w:type="dxa"/>
            <w:vAlign w:val="bottom"/>
          </w:tcPr>
          <w:p>
            <w:pPr>
              <w:ind w:left="520"/>
              <w:spacing w:after="0"/>
              <w:rPr>
                <w:sz w:val="20"/>
                <w:szCs w:val="20"/>
                <w:color w:val="auto"/>
              </w:rPr>
            </w:pPr>
            <w:r>
              <w:rPr>
                <w:rFonts w:ascii="Arial" w:cs="Arial" w:eastAsia="Arial" w:hAnsi="Arial"/>
                <w:sz w:val="18"/>
                <w:szCs w:val="18"/>
                <w:color w:val="auto"/>
              </w:rPr>
              <w:t>Section 10.15</w:t>
            </w:r>
          </w:p>
        </w:tc>
        <w:tc>
          <w:tcPr>
            <w:tcW w:w="8480" w:type="dxa"/>
            <w:vAlign w:val="bottom"/>
          </w:tcPr>
          <w:p>
            <w:pPr>
              <w:ind w:left="280"/>
              <w:spacing w:after="0"/>
              <w:rPr>
                <w:sz w:val="20"/>
                <w:szCs w:val="20"/>
                <w:color w:val="auto"/>
              </w:rPr>
            </w:pPr>
            <w:r>
              <w:rPr>
                <w:rFonts w:ascii="Arial" w:cs="Arial" w:eastAsia="Arial" w:hAnsi="Arial"/>
                <w:sz w:val="18"/>
                <w:szCs w:val="18"/>
                <w:color w:val="auto"/>
              </w:rPr>
              <w:t>No Recourse</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0400" w:type="dxa"/>
            <w:vAlign w:val="bottom"/>
          </w:tcPr>
          <w:p>
            <w:pPr>
              <w:jc w:val="center"/>
              <w:ind w:right="990"/>
              <w:spacing w:after="0"/>
              <w:rPr>
                <w:sz w:val="20"/>
                <w:szCs w:val="20"/>
                <w:color w:val="auto"/>
              </w:rPr>
            </w:pPr>
            <w:r>
              <w:rPr>
                <w:rFonts w:ascii="Arial" w:cs="Arial" w:eastAsia="Arial" w:hAnsi="Arial"/>
                <w:sz w:val="18"/>
                <w:szCs w:val="18"/>
                <w:color w:val="auto"/>
                <w:w w:val="94"/>
              </w:rPr>
              <w:t>SCHEDULES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10400" w:type="dxa"/>
            <w:vAlign w:val="bottom"/>
          </w:tcPr>
          <w:p>
            <w:pPr>
              <w:ind w:left="260"/>
              <w:spacing w:after="0"/>
              <w:rPr>
                <w:sz w:val="20"/>
                <w:szCs w:val="20"/>
                <w:color w:val="auto"/>
              </w:rPr>
            </w:pPr>
            <w:r>
              <w:rPr>
                <w:rFonts w:ascii="Arial" w:cs="Arial" w:eastAsia="Arial" w:hAnsi="Arial"/>
                <w:sz w:val="18"/>
                <w:szCs w:val="18"/>
                <w:color w:val="auto"/>
              </w:rPr>
              <w:t>Rights Offering Procedures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B</w:t>
            </w:r>
          </w:p>
        </w:tc>
        <w:tc>
          <w:tcPr>
            <w:tcW w:w="10400" w:type="dxa"/>
            <w:vAlign w:val="bottom"/>
          </w:tcPr>
          <w:p>
            <w:pPr>
              <w:ind w:left="260"/>
              <w:spacing w:after="0"/>
              <w:rPr>
                <w:sz w:val="20"/>
                <w:szCs w:val="20"/>
                <w:color w:val="auto"/>
              </w:rPr>
            </w:pPr>
            <w:r>
              <w:rPr>
                <w:rFonts w:ascii="Arial" w:cs="Arial" w:eastAsia="Arial" w:hAnsi="Arial"/>
                <w:sz w:val="18"/>
                <w:szCs w:val="18"/>
                <w:color w:val="auto"/>
              </w:rPr>
              <w:t>New Tranche A Senior Unsecured Notes Term Sheet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Schedule 1</w:t>
            </w:r>
          </w:p>
        </w:tc>
        <w:tc>
          <w:tcPr>
            <w:tcW w:w="10400" w:type="dxa"/>
            <w:vAlign w:val="bottom"/>
          </w:tcPr>
          <w:p>
            <w:pPr>
              <w:ind w:left="240"/>
              <w:spacing w:after="0"/>
              <w:rPr>
                <w:sz w:val="20"/>
                <w:szCs w:val="20"/>
                <w:color w:val="auto"/>
              </w:rPr>
            </w:pPr>
            <w:r>
              <w:rPr>
                <w:rFonts w:ascii="Arial" w:cs="Arial" w:eastAsia="Arial" w:hAnsi="Arial"/>
                <w:sz w:val="18"/>
                <w:szCs w:val="18"/>
                <w:color w:val="auto"/>
              </w:rPr>
              <w:t>Commitment Schedule</w:t>
            </w:r>
          </w:p>
        </w:tc>
      </w:tr>
      <w:tr>
        <w:trPr>
          <w:trHeight w:val="432"/>
        </w:trPr>
        <w:tc>
          <w:tcPr>
            <w:tcW w:w="1060" w:type="dxa"/>
            <w:vAlign w:val="bottom"/>
          </w:tcPr>
          <w:p>
            <w:pPr>
              <w:spacing w:after="0"/>
              <w:rPr>
                <w:sz w:val="24"/>
                <w:szCs w:val="24"/>
                <w:color w:val="auto"/>
              </w:rPr>
            </w:pPr>
          </w:p>
        </w:tc>
        <w:tc>
          <w:tcPr>
            <w:tcW w:w="10400" w:type="dxa"/>
            <w:vAlign w:val="bottom"/>
          </w:tcPr>
          <w:p>
            <w:pPr>
              <w:jc w:val="center"/>
              <w:ind w:right="1010"/>
              <w:spacing w:after="0"/>
              <w:rPr>
                <w:sz w:val="20"/>
                <w:szCs w:val="20"/>
                <w:color w:val="auto"/>
              </w:rPr>
            </w:pPr>
            <w:r>
              <w:rPr>
                <w:rFonts w:ascii="Arial" w:cs="Arial" w:eastAsia="Arial" w:hAnsi="Arial"/>
                <w:sz w:val="18"/>
                <w:szCs w:val="18"/>
                <w:color w:val="auto"/>
              </w:rPr>
              <w:t>iii</w:t>
            </w:r>
          </w:p>
        </w:tc>
      </w:tr>
      <w:tr>
        <w:trPr>
          <w:trHeight w:val="132"/>
        </w:trPr>
        <w:tc>
          <w:tcPr>
            <w:tcW w:w="1060" w:type="dxa"/>
            <w:vAlign w:val="bottom"/>
            <w:tcBorders>
              <w:bottom w:val="single" w:sz="8" w:color="808080"/>
            </w:tcBorders>
          </w:tcPr>
          <w:p>
            <w:pPr>
              <w:spacing w:after="0"/>
              <w:rPr>
                <w:sz w:val="11"/>
                <w:szCs w:val="11"/>
                <w:color w:val="auto"/>
              </w:rPr>
            </w:pPr>
          </w:p>
        </w:tc>
        <w:tc>
          <w:tcPr>
            <w:tcW w:w="10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18"/>
          <w:szCs w:val="18"/>
          <w:b w:val="1"/>
          <w:bCs w:val="1"/>
          <w:color w:val="auto"/>
        </w:rPr>
        <w:t>BACKSTOP COMMITMENT AGREEMENT</w:t>
      </w:r>
    </w:p>
    <w:p>
      <w:pPr>
        <w:spacing w:after="0" w:line="225" w:lineRule="exact"/>
        <w:rPr>
          <w:sz w:val="20"/>
          <w:szCs w:val="20"/>
          <w:color w:val="auto"/>
        </w:rPr>
      </w:pPr>
    </w:p>
    <w:p>
      <w:pPr>
        <w:ind w:right="180" w:firstLine="1297"/>
        <w:spacing w:after="0" w:line="256" w:lineRule="auto"/>
        <w:rPr>
          <w:sz w:val="20"/>
          <w:szCs w:val="20"/>
          <w:color w:val="auto"/>
        </w:rPr>
      </w:pPr>
      <w:r>
        <w:rPr>
          <w:rFonts w:ascii="Arial" w:cs="Arial" w:eastAsia="Arial" w:hAnsi="Arial"/>
          <w:sz w:val="18"/>
          <w:szCs w:val="18"/>
          <w:color w:val="auto"/>
        </w:rPr>
        <w:t>THIS BACKSTOP COMMITMENT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July 1, 2019, is made by and among Weatherford International Plc, an Irish public limited company (including as debtor in possession and a reorganized debtor, as applicable,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each of the other Debtors (as defined below), on the one hand, and each Commitment Party (as defined below), on the other hand. The Company, the other Debtors and each Commitment Party is referred to herein, individually, as a “</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xml:space="preserve">”. Capitalized terms that are used but not otherwise defined in this Agreement shall have the meanings given to them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or, if not defined therein, shall have the meanings given to them in the Plan (as defined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WHEREAS, the Debtors and the Commitment Parties are party to a Restructuring Support Agreement (including the terms and conditions set forth in the Restructuring Term Sheet (the “</w:t>
      </w:r>
      <w:r>
        <w:rPr>
          <w:rFonts w:ascii="Arial" w:cs="Arial" w:eastAsia="Arial" w:hAnsi="Arial"/>
          <w:sz w:val="17"/>
          <w:szCs w:val="17"/>
          <w:b w:val="1"/>
          <w:bCs w:val="1"/>
          <w:u w:val="single" w:color="auto"/>
          <w:color w:val="auto"/>
        </w:rPr>
        <w:t>Restructuring Term Sheet</w:t>
      </w:r>
      <w:r>
        <w:rPr>
          <w:rFonts w:ascii="Arial" w:cs="Arial" w:eastAsia="Arial" w:hAnsi="Arial"/>
          <w:sz w:val="17"/>
          <w:szCs w:val="17"/>
          <w:color w:val="auto"/>
        </w:rPr>
        <w:t>”) attached as Exhibit A to the Restructuring Support Agreement), dated May 10, 2019 (the Restructuring Term Sheet, the Restructuring Support Agreement and all other exhibits thereto, as may be amended, supplemented or otherwise modified from time to time, the “</w:t>
      </w:r>
      <w:r>
        <w:rPr>
          <w:rFonts w:ascii="Arial" w:cs="Arial" w:eastAsia="Arial" w:hAnsi="Arial"/>
          <w:sz w:val="17"/>
          <w:szCs w:val="17"/>
          <w:b w:val="1"/>
          <w:bCs w:val="1"/>
          <w:u w:val="single" w:color="auto"/>
          <w:color w:val="auto"/>
        </w:rPr>
        <w:t>Restructuring Support Agreement</w:t>
      </w:r>
      <w:r>
        <w:rPr>
          <w:rFonts w:ascii="Arial" w:cs="Arial" w:eastAsia="Arial" w:hAnsi="Arial"/>
          <w:sz w:val="17"/>
          <w:szCs w:val="17"/>
          <w:color w:val="auto"/>
        </w:rPr>
        <w:t>”), which (a) provides for the restructuring of the Prepetition Notes Claims and certain of the Debtors’ other obligations, the cancellation of the existing equity interests of the Company and the recapitalization of the Debtors in accordance with the terms provided in the Restructuring Term Sheet through (x) jointly-administered voluntary cases to be commenced by the Debtors (the “</w:t>
      </w:r>
      <w:r>
        <w:rPr>
          <w:rFonts w:ascii="Arial" w:cs="Arial" w:eastAsia="Arial" w:hAnsi="Arial"/>
          <w:sz w:val="17"/>
          <w:szCs w:val="17"/>
          <w:b w:val="1"/>
          <w:bCs w:val="1"/>
          <w:u w:val="single" w:color="auto"/>
          <w:color w:val="auto"/>
        </w:rPr>
        <w:t>Chapter 11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Cases</w:t>
      </w:r>
      <w:r>
        <w:rPr>
          <w:rFonts w:ascii="Arial" w:cs="Arial" w:eastAsia="Arial" w:hAnsi="Arial"/>
          <w:sz w:val="17"/>
          <w:szCs w:val="17"/>
          <w:color w:val="auto"/>
        </w:rPr>
        <w:t>”) under chapter 11 of title 11 of the United States Code, 11 U.S.C. §§ 101—1532 (as amended, the “</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Court for the Southern District of Texas (the “</w:t>
      </w:r>
      <w:r>
        <w:rPr>
          <w:rFonts w:ascii="Arial" w:cs="Arial" w:eastAsia="Arial" w:hAnsi="Arial"/>
          <w:sz w:val="17"/>
          <w:szCs w:val="17"/>
          <w:b w:val="1"/>
          <w:bCs w:val="1"/>
          <w:u w:val="single" w:color="auto"/>
          <w:color w:val="auto"/>
        </w:rPr>
        <w:t>Bankruptcy Court</w:t>
      </w:r>
      <w:r>
        <w:rPr>
          <w:rFonts w:ascii="Arial" w:cs="Arial" w:eastAsia="Arial" w:hAnsi="Arial"/>
          <w:sz w:val="17"/>
          <w:szCs w:val="17"/>
          <w:color w:val="auto"/>
        </w:rPr>
        <w:t>”), (y) an examinership proceeding to be commenced by the Company under the laws of Ireland (the “</w:t>
      </w:r>
      <w:r>
        <w:rPr>
          <w:rFonts w:ascii="Arial" w:cs="Arial" w:eastAsia="Arial" w:hAnsi="Arial"/>
          <w:sz w:val="17"/>
          <w:szCs w:val="17"/>
          <w:b w:val="1"/>
          <w:bCs w:val="1"/>
          <w:u w:val="single" w:color="auto"/>
          <w:color w:val="auto"/>
        </w:rPr>
        <w:t>Examinership Proceeding</w:t>
      </w:r>
      <w:r>
        <w:rPr>
          <w:rFonts w:ascii="Arial" w:cs="Arial" w:eastAsia="Arial" w:hAnsi="Arial"/>
          <w:sz w:val="17"/>
          <w:szCs w:val="17"/>
          <w:color w:val="auto"/>
        </w:rPr>
        <w:t>”) and (z) a provisional liquidation proceeding under the laws of Bermuda (the “</w:t>
      </w:r>
      <w:r>
        <w:rPr>
          <w:rFonts w:ascii="Arial" w:cs="Arial" w:eastAsia="Arial" w:hAnsi="Arial"/>
          <w:sz w:val="17"/>
          <w:szCs w:val="17"/>
          <w:b w:val="1"/>
          <w:bCs w:val="1"/>
          <w:u w:val="single" w:color="auto"/>
          <w:color w:val="auto"/>
        </w:rPr>
        <w:t>Bermudian Proceeding</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together with the Chapter 11 Cases and Examinership Proceeding, the “</w:t>
      </w:r>
      <w:r>
        <w:rPr>
          <w:rFonts w:ascii="Arial" w:cs="Arial" w:eastAsia="Arial" w:hAnsi="Arial"/>
          <w:sz w:val="17"/>
          <w:szCs w:val="17"/>
          <w:b w:val="1"/>
          <w:bCs w:val="1"/>
          <w:u w:val="single" w:color="auto"/>
          <w:color w:val="auto"/>
        </w:rPr>
        <w:t>Cases</w:t>
      </w:r>
      <w:r>
        <w:rPr>
          <w:rFonts w:ascii="Arial" w:cs="Arial" w:eastAsia="Arial" w:hAnsi="Arial"/>
          <w:sz w:val="17"/>
          <w:szCs w:val="17"/>
          <w:color w:val="auto"/>
        </w:rPr>
        <w:t>”) and (b) requires that the Plan be consistent with the Restructuring Support Agreement;</w:t>
      </w:r>
    </w:p>
    <w:p>
      <w:pPr>
        <w:spacing w:after="0" w:line="183"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WHEREAS, pursuant to the Plan and this Agreement, the Company will conduct a rights offering for an aggregate principal amount of $1,250,000,000 of Rights Offering Notes (as defined below); and</w:t>
      </w:r>
    </w:p>
    <w:p>
      <w:pPr>
        <w:spacing w:after="0" w:line="170"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WHEREAS, subject to the terms and conditions contained in this Agreement, each Commitment Party has agreed to purchase (on a several and not a joint basis) its Commitment Percentage (as defined below) of the Unsubscribed Notes (as defined below), if any.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mutual promises, agreements, representations, warranties and covenants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Debtors and each of the Commitment Parties hereby agrees as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05" w:name="page406"/>
    <w:bookmarkEnd w:id="405"/>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in this Agreement, whenever used in this Agreement (including any Exhibits and Schedules hereto), the following terms shall have the respective meanings specified therefor below or in the Plan, as applicable:</w:t>
      </w:r>
    </w:p>
    <w:p>
      <w:pPr>
        <w:spacing w:after="0" w:line="166"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Advisors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Akin Gump Strauss Hauer &amp; Feld LLP (“</w:t>
      </w:r>
      <w:r>
        <w:rPr>
          <w:rFonts w:ascii="Arial" w:cs="Arial" w:eastAsia="Arial" w:hAnsi="Arial"/>
          <w:sz w:val="18"/>
          <w:szCs w:val="18"/>
          <w:b w:val="1"/>
          <w:bCs w:val="1"/>
          <w:u w:val="single" w:color="auto"/>
          <w:color w:val="auto"/>
        </w:rPr>
        <w:t>Akin Gump</w:t>
      </w:r>
      <w:r>
        <w:rPr>
          <w:rFonts w:ascii="Arial" w:cs="Arial" w:eastAsia="Arial" w:hAnsi="Arial"/>
          <w:sz w:val="18"/>
          <w:szCs w:val="18"/>
          <w:color w:val="auto"/>
        </w:rPr>
        <w:t>”), Evercore (“</w:t>
      </w:r>
      <w:r>
        <w:rPr>
          <w:rFonts w:ascii="Arial" w:cs="Arial" w:eastAsia="Arial" w:hAnsi="Arial"/>
          <w:sz w:val="18"/>
          <w:szCs w:val="18"/>
          <w:b w:val="1"/>
          <w:bCs w:val="1"/>
          <w:u w:val="single" w:color="auto"/>
          <w:color w:val="auto"/>
        </w:rPr>
        <w:t>Evercore</w:t>
      </w:r>
      <w:r>
        <w:rPr>
          <w:rFonts w:ascii="Arial" w:cs="Arial" w:eastAsia="Arial" w:hAnsi="Arial"/>
          <w:sz w:val="18"/>
          <w:szCs w:val="18"/>
          <w:color w:val="auto"/>
        </w:rPr>
        <w:t>”), and one local law firm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jurisdiction outside of the United States and England &amp; Wales.</w:t>
      </w:r>
    </w:p>
    <w:p>
      <w:pPr>
        <w:spacing w:after="0" w:line="162"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Controls or is Controlled by or is under common Control with such Person, and shall include the meaning of “affiliate” set forth in section 101(2) of the Bankruptcy Code as if such person were a debtor. “</w:t>
      </w:r>
      <w:r>
        <w:rPr>
          <w:rFonts w:ascii="Arial" w:cs="Arial" w:eastAsia="Arial" w:hAnsi="Arial"/>
          <w:sz w:val="18"/>
          <w:szCs w:val="18"/>
          <w:b w:val="1"/>
          <w:bCs w:val="1"/>
          <w:u w:val="single" w:color="auto"/>
          <w:color w:val="auto"/>
        </w:rPr>
        <w:t>Affiliated</w:t>
      </w:r>
      <w:r>
        <w:rPr>
          <w:rFonts w:ascii="Arial" w:cs="Arial" w:eastAsia="Arial" w:hAnsi="Arial"/>
          <w:sz w:val="18"/>
          <w:szCs w:val="18"/>
          <w:color w:val="auto"/>
        </w:rPr>
        <w:t>” has a correlative meaning.</w:t>
      </w:r>
    </w:p>
    <w:p>
      <w:pPr>
        <w:spacing w:after="0" w:line="176"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Affiliated Fund</w:t>
      </w:r>
      <w:r>
        <w:rPr>
          <w:rFonts w:ascii="Arial" w:cs="Arial" w:eastAsia="Arial" w:hAnsi="Arial"/>
          <w:sz w:val="18"/>
          <w:szCs w:val="18"/>
          <w:color w:val="auto"/>
        </w:rPr>
        <w:t>” means (a) any investment fund or separately managed account the primary investment advisor or sub-advisor to which is a Commitment Party or an Affiliate thereof or (b) one or more special purpose vehicles that are wholly owned by one or more Commitment Party and its Affiliated Funds, created for the purpose of holding the Rights Offering Backstop Commitment, and in each case with respect to which such Commitment Party remains obligated to fund the Rights Offering Backstop Commitment.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Antitrust Authorities</w:t>
      </w:r>
      <w:r>
        <w:rPr>
          <w:rFonts w:ascii="Arial" w:cs="Arial" w:eastAsia="Arial" w:hAnsi="Arial"/>
          <w:sz w:val="18"/>
          <w:szCs w:val="18"/>
          <w:color w:val="auto"/>
        </w:rPr>
        <w:t>” means the United States Federal Trade Commission, the Antitrust Division of the United States Department of Justice, the attorneys general of the several states of the United States and any other Governmental Entity, whether domestic or foreign, having jurisdiction pursuant to, or enforcing, the Antitrust Laws, and “</w:t>
      </w:r>
      <w:r>
        <w:rPr>
          <w:rFonts w:ascii="Arial" w:cs="Arial" w:eastAsia="Arial" w:hAnsi="Arial"/>
          <w:sz w:val="18"/>
          <w:szCs w:val="18"/>
          <w:b w:val="1"/>
          <w:bCs w:val="1"/>
          <w:u w:val="single" w:color="auto"/>
          <w:color w:val="auto"/>
        </w:rPr>
        <w:t>Antitrust Authority</w:t>
      </w:r>
      <w:r>
        <w:rPr>
          <w:rFonts w:ascii="Arial" w:cs="Arial" w:eastAsia="Arial" w:hAnsi="Arial"/>
          <w:sz w:val="18"/>
          <w:szCs w:val="18"/>
          <w:color w:val="auto"/>
        </w:rPr>
        <w:t>” means any of them.</w:t>
      </w:r>
    </w:p>
    <w:p>
      <w:pPr>
        <w:spacing w:after="0" w:line="176"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Antitrust Laws</w:t>
      </w:r>
      <w:r>
        <w:rPr>
          <w:rFonts w:ascii="Arial" w:cs="Arial" w:eastAsia="Arial" w:hAnsi="Arial"/>
          <w:sz w:val="18"/>
          <w:szCs w:val="18"/>
          <w:color w:val="auto"/>
        </w:rPr>
        <w:t>” means the Sherman Act, the Clayton Act, the HSR Act, the Federal Trade Commission Act, and any other Law, whether domestic or foreign, governing agreements in restraint of trade, monopolization, pre-merger notification, the lessening of competition through merger or acquisition or anti-competitive conduct, and any foreign investment Laws.</w:t>
      </w:r>
    </w:p>
    <w:p>
      <w:pPr>
        <w:spacing w:after="0" w:line="176" w:lineRule="exact"/>
        <w:rPr>
          <w:sz w:val="20"/>
          <w:szCs w:val="20"/>
          <w:color w:val="auto"/>
        </w:rPr>
      </w:pPr>
    </w:p>
    <w:p>
      <w:pPr>
        <w:ind w:right="7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Available Notes</w:t>
      </w:r>
      <w:r>
        <w:rPr>
          <w:rFonts w:ascii="Arial" w:cs="Arial" w:eastAsia="Arial" w:hAnsi="Arial"/>
          <w:sz w:val="16"/>
          <w:szCs w:val="16"/>
          <w:color w:val="auto"/>
        </w:rPr>
        <w:t xml:space="preserve">” means, with respect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amount of a Defaulting Commitment Party’s Rights Offering Backstop Commitment, and with respect to </w:t>
      </w:r>
      <w:r>
        <w:rPr>
          <w:rFonts w:ascii="Arial" w:cs="Arial" w:eastAsia="Arial" w:hAnsi="Arial"/>
          <w:sz w:val="16"/>
          <w:szCs w:val="16"/>
          <w:u w:val="single" w:color="auto"/>
          <w:color w:val="auto"/>
        </w:rPr>
        <w:t>Section 6.6</w:t>
      </w:r>
      <w:r>
        <w:rPr>
          <w:rFonts w:ascii="Arial" w:cs="Arial" w:eastAsia="Arial" w:hAnsi="Arial"/>
          <w:sz w:val="16"/>
          <w:szCs w:val="16"/>
          <w:color w:val="auto"/>
        </w:rPr>
        <w:t>, the amount of a Terminating Commitment Party’s Rights Offering Backstop Commitment.</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Court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Rules</w:t>
      </w:r>
      <w:r>
        <w:rPr>
          <w:rFonts w:ascii="Arial" w:cs="Arial" w:eastAsia="Arial" w:hAnsi="Arial"/>
          <w:sz w:val="18"/>
          <w:szCs w:val="18"/>
          <w:color w:val="auto"/>
        </w:rPr>
        <w:t>” means the Federal Rules of Bankruptcy Procedure as promulgated by the United States Supreme Court under section 2075 of title 28 of the United States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t>Code, 28 U.S.C. § 2075, as applicable to the Chapter 11 Cases and the general, local, and chambers rules of the Bankruptcy Court.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Chapter 11 Cases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4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Commitment Party</w:t>
      </w:r>
      <w:r>
        <w:rPr>
          <w:rFonts w:ascii="Arial" w:cs="Arial" w:eastAsia="Arial" w:hAnsi="Arial"/>
          <w:sz w:val="17"/>
          <w:szCs w:val="17"/>
          <w:color w:val="auto"/>
        </w:rPr>
        <w:t>” means each Party listed as such on the Commitment Schedule. Unless the context otherwise requires, each reference herein to a Commitment Party shall be deemed also to include a reference to such Commitment Party’s Related Purchaser, if applicable.</w:t>
      </w:r>
    </w:p>
    <w:p>
      <w:pPr>
        <w:spacing w:after="0" w:line="13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Party Default</w:t>
      </w:r>
      <w:r>
        <w:rPr>
          <w:rFonts w:ascii="Arial" w:cs="Arial" w:eastAsia="Arial" w:hAnsi="Arial"/>
          <w:sz w:val="18"/>
          <w:szCs w:val="18"/>
          <w:color w:val="auto"/>
        </w:rPr>
        <w:t xml:space="preserve">” means the failure by any Commitment Party to deliver and pay an amount equal to the product of (a) the Per Note Purchase Price and (b) such Commitment Party’s Commitment Percentage multiplied by the amount of any Unsubscribed Notes, by the Escrow Account Funding Date in accordance with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Party Replacement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Party Replacement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4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Percentage</w:t>
      </w:r>
      <w:r>
        <w:rPr>
          <w:rFonts w:ascii="Arial" w:cs="Arial" w:eastAsia="Arial" w:hAnsi="Arial"/>
          <w:sz w:val="18"/>
          <w:szCs w:val="18"/>
          <w:color w:val="auto"/>
        </w:rPr>
        <w:t>” means, with respect to any Commitment Party, such Commitment Party’s pro rata portion of the Rights Offering that such Commitment Party is willing to backstop as set forth opposite such Commitment Party’s name under the column titled “Commitment Percentage” on the Commitment Schedule.</w:t>
      </w:r>
    </w:p>
    <w:p>
      <w:pPr>
        <w:spacing w:after="0" w:line="176"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Schedule</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 as amended, supplemented or otherwise modified from time to time in accordance with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Benefit Plan</w:t>
      </w:r>
      <w:r>
        <w:rPr>
          <w:rFonts w:ascii="Arial" w:cs="Arial" w:eastAsia="Arial" w:hAnsi="Arial"/>
          <w:sz w:val="18"/>
          <w:szCs w:val="18"/>
          <w:color w:val="auto"/>
        </w:rPr>
        <w:t>” means any “employee benefit plan” (as such term is defined in Section 3(3) of ERISA), other than a Foreign Plan or a Multiemployer Plan, established, sponsored, maintained or contributed to or required to be contributed to by any Debtor.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7" w:name="page408"/>
    <w:bookmarkEnd w:id="407"/>
    <w:p>
      <w:pPr>
        <w:ind w:right="280" w:firstLine="13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Organizational Documents</w:t>
      </w:r>
      <w:r>
        <w:rPr>
          <w:rFonts w:ascii="Arial" w:cs="Arial" w:eastAsia="Arial" w:hAnsi="Arial"/>
          <w:sz w:val="18"/>
          <w:szCs w:val="18"/>
          <w:color w:val="auto"/>
        </w:rPr>
        <w:t>” means collectively, the organizational documents of the Company including any certificate of formation or applicable articles of incorporation, limited liability company agreement, bylaws, or any similar documents.</w:t>
      </w:r>
    </w:p>
    <w:p>
      <w:pPr>
        <w:spacing w:after="0" w:line="162"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SEC Documents</w:t>
      </w:r>
      <w:r>
        <w:rPr>
          <w:rFonts w:ascii="Arial" w:cs="Arial" w:eastAsia="Arial" w:hAnsi="Arial"/>
          <w:sz w:val="18"/>
          <w:szCs w:val="18"/>
          <w:color w:val="auto"/>
        </w:rPr>
        <w:t>” means all of the reports, schedules, forms, statements and other documents (including exhibits and other information incorporated therein) filed with the SEC by the Debtors.</w:t>
      </w:r>
    </w:p>
    <w:p>
      <w:pPr>
        <w:spacing w:after="0" w:line="16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Confirmation Order</w:t>
      </w:r>
      <w:r>
        <w:rPr>
          <w:rFonts w:ascii="Arial" w:cs="Arial" w:eastAsia="Arial" w:hAnsi="Arial"/>
          <w:sz w:val="17"/>
          <w:szCs w:val="17"/>
          <w:color w:val="auto"/>
        </w:rPr>
        <w:t>” means an order of the Bankruptcy Court that is not stayed confirming the Plan pursuant to section 1129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Bankruptcy Code.</w:t>
      </w:r>
    </w:p>
    <w:p>
      <w:pPr>
        <w:spacing w:after="0" w:line="207" w:lineRule="exact"/>
        <w:rPr>
          <w:sz w:val="20"/>
          <w:szCs w:val="20"/>
          <w:color w:val="auto"/>
        </w:rPr>
      </w:pPr>
    </w:p>
    <w:p>
      <w:pPr>
        <w:ind w:right="1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agreement, contract or instrument, including any loan, note, bond, mortgage, indenture, guarantee, deed of trust, license, franchise, commitment, lease, franchise agreement, letter of intent, memorandum of understanding or other obligation, and any amendments thereto, whether written or oral, but excluding the Plan.</w:t>
      </w:r>
    </w:p>
    <w:p>
      <w:pPr>
        <w:spacing w:after="0" w:line="176" w:lineRule="exact"/>
        <w:rPr>
          <w:sz w:val="20"/>
          <w:szCs w:val="20"/>
          <w:color w:val="auto"/>
        </w:rPr>
      </w:pPr>
    </w:p>
    <w:p>
      <w:pPr>
        <w:ind w:right="50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w:t>
      </w:r>
      <w:r>
        <w:rPr>
          <w:rFonts w:ascii="Arial" w:cs="Arial" w:eastAsia="Arial" w:hAnsi="Arial"/>
          <w:sz w:val="17"/>
          <w:szCs w:val="17"/>
          <w:color w:val="auto"/>
        </w:rPr>
        <w:t>” means, with respect to any Person, the possession, directly or indirectly, of the power to direct or cause the direction of the management and policies of such Person, whether through the ownership of voting securities or by contract or agency or otherwise.</w:t>
      </w:r>
    </w:p>
    <w:p>
      <w:pPr>
        <w:spacing w:after="0" w:line="138"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Debtors</w:t>
      </w:r>
      <w:r>
        <w:rPr>
          <w:rFonts w:ascii="Arial" w:cs="Arial" w:eastAsia="Arial" w:hAnsi="Arial"/>
          <w:sz w:val="18"/>
          <w:szCs w:val="18"/>
          <w:color w:val="auto"/>
        </w:rPr>
        <w:t>” means, collectively: the Company, Weatherford International Ltd, a Bermuda exempted company, and Weatherford International, LLC, a Delaware limited liability company.</w:t>
      </w:r>
    </w:p>
    <w:p>
      <w:pPr>
        <w:spacing w:after="0" w:line="162" w:lineRule="exact"/>
        <w:rPr>
          <w:sz w:val="20"/>
          <w:szCs w:val="20"/>
          <w:color w:val="auto"/>
        </w:rPr>
      </w:pPr>
    </w:p>
    <w:p>
      <w:pPr>
        <w:ind w:right="8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Defaulting Commitment Party</w:t>
      </w:r>
      <w:r>
        <w:rPr>
          <w:rFonts w:ascii="Arial" w:cs="Arial" w:eastAsia="Arial" w:hAnsi="Arial"/>
          <w:sz w:val="18"/>
          <w:szCs w:val="18"/>
          <w:color w:val="auto"/>
        </w:rPr>
        <w:t>” means, in respect of a Commitment Party Default that is continuing, the applicable defaulting Commitment Party.</w:t>
      </w:r>
    </w:p>
    <w:p>
      <w:pPr>
        <w:spacing w:after="0" w:line="162"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Deferred Compensation Liability</w:t>
      </w:r>
      <w:r>
        <w:rPr>
          <w:rFonts w:ascii="Arial" w:cs="Arial" w:eastAsia="Arial" w:hAnsi="Arial"/>
          <w:sz w:val="16"/>
          <w:szCs w:val="16"/>
          <w:color w:val="auto"/>
        </w:rPr>
        <w:t>” means the amount, as of immediately prior to the date hereof and on and as of the Closing Date, of all distributions that may become payable in respect of any non-qualified deferred compensation plan established, maintained, sponsored, or contributed, or required to be contributed, by a Debtor or any of its Subsidiaries, including any supplemental retirement plan, and account balances thereunder.</w:t>
      </w:r>
    </w:p>
    <w:p>
      <w:pPr>
        <w:spacing w:after="0" w:line="142"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Definitive Documentation</w:t>
      </w:r>
      <w:r>
        <w:rPr>
          <w:rFonts w:ascii="Arial" w:cs="Arial" w:eastAsia="Arial" w:hAnsi="Arial"/>
          <w:sz w:val="18"/>
          <w:szCs w:val="18"/>
          <w:color w:val="auto"/>
        </w:rPr>
        <w:t>” means the definitive documents and agreements governing the Restructuring Transactions as set forth in the Restructuring Support Agreement. “</w:t>
      </w:r>
      <w:r>
        <w:rPr>
          <w:rFonts w:ascii="Arial" w:cs="Arial" w:eastAsia="Arial" w:hAnsi="Arial"/>
          <w:sz w:val="18"/>
          <w:szCs w:val="18"/>
          <w:b w:val="1"/>
          <w:bCs w:val="1"/>
          <w:u w:val="single" w:color="auto"/>
          <w:color w:val="auto"/>
        </w:rPr>
        <w:t>Definitive Documents</w:t>
      </w:r>
      <w:r>
        <w:rPr>
          <w:rFonts w:ascii="Arial" w:cs="Arial" w:eastAsia="Arial" w:hAnsi="Arial"/>
          <w:sz w:val="18"/>
          <w:szCs w:val="18"/>
          <w:color w:val="auto"/>
        </w:rPr>
        <w:t>” has a correlative meaning.</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DIP Facility</w:t>
      </w:r>
      <w:r>
        <w:rPr>
          <w:rFonts w:ascii="Arial" w:cs="Arial" w:eastAsia="Arial" w:hAnsi="Arial"/>
          <w:sz w:val="18"/>
          <w:szCs w:val="18"/>
          <w:color w:val="auto"/>
        </w:rPr>
        <w:t>” means any credit agreement for debtor-in-possession financing.</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DIP Orders</w:t>
      </w:r>
      <w:r>
        <w:rPr>
          <w:rFonts w:ascii="Arial" w:cs="Arial" w:eastAsia="Arial" w:hAnsi="Arial"/>
          <w:sz w:val="18"/>
          <w:szCs w:val="18"/>
          <w:color w:val="auto"/>
        </w:rPr>
        <w:t>” means, collectively, any Interim DIP Order, Final DIP Order, and any other interim or Final Order authorizing the Debtors to obtain postpetition financing or use cash collateral.</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Disclosure Statement</w:t>
      </w:r>
      <w:r>
        <w:rPr>
          <w:rFonts w:ascii="Arial" w:cs="Arial" w:eastAsia="Arial" w:hAnsi="Arial"/>
          <w:sz w:val="18"/>
          <w:szCs w:val="18"/>
          <w:color w:val="auto"/>
        </w:rPr>
        <w:t>” means the disclosure statement with respect to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Depositary Trust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has the meaning set forth in the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8" w:name="page409"/>
    <w:bookmarkEnd w:id="408"/>
    <w:p>
      <w:pPr>
        <w:ind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means all applicable laws (including common law), rules, regulations, codes, ordinances, orders in council, Orders, decrees, treaties, directives, judgments or legally binding agreements promulgated or entered into by or with any Governmental Entity, relating in any way to the environment, preservation or reclamation of natural resources, the generation, management, Release or threatened Release of, or exposure to, any Hazardous Material or to health and safety matters (to the extent relating to the environment or Hazardous Materials).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 Affiliate</w:t>
      </w:r>
      <w:r>
        <w:rPr>
          <w:rFonts w:ascii="Arial" w:cs="Arial" w:eastAsia="Arial" w:hAnsi="Arial"/>
          <w:sz w:val="18"/>
          <w:szCs w:val="18"/>
          <w:color w:val="auto"/>
        </w:rPr>
        <w:t>” means any trade or business (whether or not incorporated) that, together with any of the Debtors, is, or at any relevant time during the past six years was, treated as a single employer or under common control under or within the meaning of Section 414 of the Code or Section 4001 of ERISA.</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Account Funding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Commitment Party Purchaser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Exit Facilities</w:t>
      </w:r>
      <w:r>
        <w:rPr>
          <w:rFonts w:ascii="Arial" w:cs="Arial" w:eastAsia="Arial" w:hAnsi="Arial"/>
          <w:sz w:val="18"/>
          <w:szCs w:val="18"/>
          <w:color w:val="auto"/>
        </w:rPr>
        <w:t>” means, collectively (a) a secured revolving credit facility in the principal amount of up to $1,000,000,000, including a letter of credit sublimit of $500,000,000, the terms of which shall be in form and substance reasonably acceptable to the Company and the Requisite Commitment Parties, (b) the Rights Offering Notes and (c) the new senior unsecured notes in an aggregate principal amount of $1,250,000,000 (subject to the Tranche B Equity Conversion) with a 7-year maturity, on terms and conditions set forth in the Restructuring Term Sheet, and reasonably acceptable to the Company and the Requisite Commitment Parties.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Expense Reimbursement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Final DIP Order</w:t>
      </w:r>
      <w:r>
        <w:rPr>
          <w:rFonts w:ascii="Arial" w:cs="Arial" w:eastAsia="Arial" w:hAnsi="Arial"/>
          <w:sz w:val="17"/>
          <w:szCs w:val="17"/>
          <w:color w:val="auto"/>
        </w:rPr>
        <w:t>” means an Order authorizing use of cash collateral and/or debtor-in-possession financing, which is a Final Order.</w:t>
      </w:r>
    </w:p>
    <w:p>
      <w:pPr>
        <w:spacing w:after="0" w:line="237" w:lineRule="exact"/>
        <w:rPr>
          <w:sz w:val="20"/>
          <w:szCs w:val="20"/>
          <w:color w:val="auto"/>
        </w:rPr>
      </w:pPr>
    </w:p>
    <w:p>
      <w:pPr>
        <w:ind w:right="80"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Final Order</w:t>
      </w:r>
      <w:r>
        <w:rPr>
          <w:rFonts w:ascii="Arial" w:cs="Arial" w:eastAsia="Arial" w:hAnsi="Arial"/>
          <w:sz w:val="16"/>
          <w:szCs w:val="16"/>
          <w:color w:val="auto"/>
        </w:rPr>
        <w:t>” means, as applicable, an Order of the Bankruptcy Court or other court of competent jurisdiction with respect to the relevant subject matter that has not been reversed, stayed, reconsidered, readjudicated, modified, or amended, and as to which the time to appeal or seek certiorari has expired and no appeal or petition for certiorari has been timely taken, or as to which any appeal that has been taken or any petition for certiorari that has been or may be filed has been resolved by the highest court to which the Order could be appealed or from which certiorari could be sought or the new trial, reargument, or rehearing shall have been denied, resulted in no modification of such Order, or has otherwise been dismissed with prejudice.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9" w:name="page410"/>
    <w:bookmarkEnd w:id="409"/>
    <w:p>
      <w:pPr>
        <w:ind w:right="620" w:firstLine="1297"/>
        <w:spacing w:after="0" w:line="313"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Foreign Plan”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employee pension benefit plan or any other material employee benefit, plan, program, practice,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arrangement governed by or subject to the Laws of a jurisdiction other than the United States of America.</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Funding Amount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Funding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Funding Notice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has the meaning of “governmental unit” set forth in section 101(27) of the Bankruptcy Code.</w:t>
      </w:r>
    </w:p>
    <w:p>
      <w:pPr>
        <w:spacing w:after="0" w:line="225"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means all pollutants, contaminants, wastes, chemicals, materials, substances and constituents, including explosive or radioactive substances or petroleum or any fraction thereof, petroleum distillates, petroleum products, natural gas, asbestos or asbestos containing materials, polychlorinated biphenyls or radon gas, of any nature subject to regulation or which can give rise to liability under any Environmental Law or any third party claim.</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means the Hart-Scott-Rodino Antitrust Improvements Act of 1976,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Interim DIP Order</w:t>
      </w:r>
      <w:r>
        <w:rPr>
          <w:rFonts w:ascii="Arial" w:cs="Arial" w:eastAsia="Arial" w:hAnsi="Arial"/>
          <w:sz w:val="17"/>
          <w:szCs w:val="17"/>
          <w:color w:val="auto"/>
        </w:rPr>
        <w:t>” means an Order authorizing use of cash collateral and/or debtor-in-possession financing on an interim basis.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4.28</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Joint Ventures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225" w:lineRule="exact"/>
        <w:rPr>
          <w:sz w:val="20"/>
          <w:szCs w:val="20"/>
          <w:color w:val="auto"/>
        </w:rPr>
      </w:pPr>
    </w:p>
    <w:p>
      <w:pPr>
        <w:ind w:right="5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 of the Company</w:t>
      </w:r>
      <w:r>
        <w:rPr>
          <w:rFonts w:ascii="Arial" w:cs="Arial" w:eastAsia="Arial" w:hAnsi="Arial"/>
          <w:sz w:val="18"/>
          <w:szCs w:val="18"/>
          <w:color w:val="auto"/>
        </w:rPr>
        <w:t>” means the actual knowledge, after reasonable inquiry of their direct reports, of Mark A. McCollum, Christoph Bausch, Karl Blanchard and Stuart Fraser.</w:t>
      </w:r>
    </w:p>
    <w:p>
      <w:pPr>
        <w:spacing w:after="0" w:line="162"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law (statutory or common), statute, regulation, rule, code or ordinance enacted, adopted, issued or promulgated by any Governmental Entity.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8" w:right="339" w:bottom="1440" w:gutter="0" w:footer="0" w:header="0"/>
        </w:sectPr>
      </w:pPr>
    </w:p>
    <w:bookmarkStart w:id="410" w:name="page411"/>
    <w:bookmarkEnd w:id="410"/>
    <w:p>
      <w:pPr>
        <w:jc w:val="both"/>
        <w:ind w:right="3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Lien</w:t>
      </w:r>
      <w:r>
        <w:rPr>
          <w:rFonts w:ascii="Arial" w:cs="Arial" w:eastAsia="Arial" w:hAnsi="Arial"/>
          <w:sz w:val="18"/>
          <w:szCs w:val="18"/>
          <w:color w:val="auto"/>
        </w:rPr>
        <w:t>” means any lien, adverse claim, charge, option, right of first refusal, servitude, security interest, mortgage, pledge, deed of trust, easement, encumbrance, restriction on transfer, conditional sale or other title retention agreement, defect in title, lien or judicial lien as defined in sections 101(36) and (37) of the Bankruptcy Code or other restrictions of a similar kind.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means any effect, change, condition, circumstance, development or event that, individually in the aggregate, has had, or would reasonably be expected to have, a material adverse effect on the business, assets, liabilities, properties or condition (financial or otherwise) of the Debtors and their Subsidiaries taken as a whole, other than any effect, change, condition, circumstance or event: (i) that has occurred prior to the date of this Agreement or that contributed to or gave rise to the filing of the Chapter 11 Cases, (ii) arising from the filing or existence of any of the Cases, or</w:t>
      </w:r>
    </w:p>
    <w:p>
      <w:pPr>
        <w:spacing w:after="0" w:line="3" w:lineRule="exact"/>
        <w:rPr>
          <w:sz w:val="20"/>
          <w:szCs w:val="20"/>
          <w:color w:val="auto"/>
        </w:rPr>
      </w:pPr>
    </w:p>
    <w:p>
      <w:pPr>
        <w:ind w:right="80" w:firstLine="8"/>
        <w:spacing w:after="0" w:line="261" w:lineRule="auto"/>
        <w:tabs>
          <w:tab w:leader="none" w:pos="31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arising from compliance with the terms of this Agreement or the Restructuring Support Agreement, including without limitation, seeking approval of the Disclosure Statement, and seeking to confirm or consummate the Plan or Scheme of Arrangement.</w:t>
      </w:r>
    </w:p>
    <w:p>
      <w:pPr>
        <w:spacing w:after="0" w:line="180" w:lineRule="exact"/>
        <w:rPr>
          <w:sz w:val="20"/>
          <w:szCs w:val="20"/>
          <w:color w:val="auto"/>
        </w:rPr>
      </w:pPr>
    </w:p>
    <w:p>
      <w:pPr>
        <w:ind w:right="10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Contracts</w:t>
      </w:r>
      <w:r>
        <w:rPr>
          <w:rFonts w:ascii="Arial" w:cs="Arial" w:eastAsia="Arial" w:hAnsi="Arial"/>
          <w:sz w:val="17"/>
          <w:szCs w:val="17"/>
          <w:color w:val="auto"/>
        </w:rPr>
        <w:t>” means all “plans of acquisition, reorganization, arrangement, liquidation or succession” and “material contracts” (as such terms are defined in Items 601(b)(2) and 601(b)(10) of Regulation S-K under the Exchange Act) to which any of the Debtors is a party.</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Milestone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the Restructuring Support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4.26(a)</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Multiemployer Plan</w:t>
      </w:r>
      <w:r>
        <w:rPr>
          <w:rFonts w:ascii="Arial" w:cs="Arial" w:eastAsia="Arial" w:hAnsi="Arial"/>
          <w:sz w:val="18"/>
          <w:szCs w:val="18"/>
          <w:color w:val="auto"/>
        </w:rPr>
        <w:t>” means a multiemployer plan as defined in Section 4001(a)(3) of ERISA to which any of the Debtors or any ERISA Affiliate is making or accruing an obligation to make contributions, has within any of the preceding six plan years made or accrued an obligation to make contributions, or each such plan with respect to which any such entity has any actual or contingent liability or obligation.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Noteholders</w:t>
      </w:r>
      <w:r>
        <w:rPr>
          <w:rFonts w:ascii="Arial" w:cs="Arial" w:eastAsia="Arial" w:hAnsi="Arial"/>
          <w:sz w:val="18"/>
          <w:szCs w:val="18"/>
          <w:color w:val="auto"/>
        </w:rPr>
        <w:t>” means all holders of the Prepetition Notes Claims.</w:t>
      </w:r>
    </w:p>
    <w:p>
      <w:pPr>
        <w:spacing w:after="0" w:line="225"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 Purchase Price</w:t>
      </w:r>
      <w:r>
        <w:rPr>
          <w:rFonts w:ascii="Arial" w:cs="Arial" w:eastAsia="Arial" w:hAnsi="Arial"/>
          <w:sz w:val="18"/>
          <w:szCs w:val="18"/>
          <w:color w:val="auto"/>
        </w:rPr>
        <w:t>” means an amount equal to the product of the (a) Per Note Purchase Price and (b) the principal amount of Rights Offering Notes to be purchased.</w:t>
      </w:r>
    </w:p>
    <w:p>
      <w:pPr>
        <w:spacing w:after="0" w:line="162" w:lineRule="exact"/>
        <w:rPr>
          <w:sz w:val="20"/>
          <w:szCs w:val="20"/>
          <w:color w:val="auto"/>
        </w:rPr>
      </w:pPr>
    </w:p>
    <w:p>
      <w:pPr>
        <w:ind w:right="7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Order</w:t>
      </w:r>
      <w:r>
        <w:rPr>
          <w:rFonts w:ascii="Arial" w:cs="Arial" w:eastAsia="Arial" w:hAnsi="Arial"/>
          <w:sz w:val="18"/>
          <w:szCs w:val="18"/>
          <w:color w:val="auto"/>
        </w:rPr>
        <w:t>” means any judgment, order, award, injunction, writ, permit, license or decree of any Governmental Entity or arbitrator of applicable jurisdiction.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9.2(a)(i)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Partial Noteholder Termination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has the meaning set forth in the Preamble.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1" w:name="page412"/>
    <w:bookmarkEnd w:id="41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Note Purchase Price</w:t>
      </w:r>
      <w:r>
        <w:rPr>
          <w:rFonts w:ascii="Arial" w:cs="Arial" w:eastAsia="Arial" w:hAnsi="Arial"/>
          <w:sz w:val="18"/>
          <w:szCs w:val="18"/>
          <w:color w:val="auto"/>
        </w:rPr>
        <w:t>” means $1.00 per $1.00 principal amount of Rights Offering Notes.</w:t>
      </w:r>
    </w:p>
    <w:p>
      <w:pPr>
        <w:spacing w:after="0" w:line="22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Liens</w:t>
      </w:r>
      <w:r>
        <w:rPr>
          <w:rFonts w:ascii="Arial" w:cs="Arial" w:eastAsia="Arial" w:hAnsi="Arial"/>
          <w:sz w:val="16"/>
          <w:szCs w:val="16"/>
          <w:color w:val="auto"/>
        </w:rPr>
        <w:t xml:space="preserve">” means (a) Liens for Taxes that (i) are not yet delinquent or (ii) are being contested in good faith by appropriate proceedings and for which adequate reserves have been made with respect thereto; (b) landlord’s, operator’s, vendors’, carriers’, warehousemen’s, mechanics’, materialmen’s, repairmen’s and other similar Liens for labor, materials or supplies provided with respect to any Real Property or personal property any such lien is incurred in the ordinary course of business consistent with past practice and as otherwise not prohibited under this Agreement, for amounts that are not more than sixty (60) days delinquent and that do not materially detract from the value of, or materially impair the use of, any of the Real Property or personal property of any of the Debtors; (c) zoning, building codes and other land use Laws regulating the use or occupancy of any Real Property or the activities conducted thereon that are imposed by any Governmental Entity having jurisdiction over such Real Property (but excluding any violation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zoning, building codes and other land use Laws prohibit the use or occupancy of such Real Property; (d) easements, covenants, conditions, minor encroachments, restrictions and other similar matters adversely affecting title to any Real Property and other title defects and encumbrances that do not or would not materially impair the use or occupancy of such Real Property or the operation of the Debtors’ business; (e) Liens permitted under the DIP Facility as of the date hereof; and (f) Liens that, pursuant to the Confirmation Order, will not survive beyond the Effective Date.</w:t>
      </w:r>
    </w:p>
    <w:p>
      <w:pPr>
        <w:spacing w:after="0" w:line="164"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firm, corporation (including any non-profit corporation), partnership, limited liability company, joint venture, association, trust, Governmental Entity or other entity or organization.</w:t>
      </w:r>
    </w:p>
    <w:p>
      <w:pPr>
        <w:spacing w:after="0" w:line="162" w:lineRule="exact"/>
        <w:rPr>
          <w:sz w:val="20"/>
          <w:szCs w:val="20"/>
          <w:color w:val="auto"/>
        </w:rPr>
      </w:pPr>
    </w:p>
    <w:p>
      <w:pPr>
        <w:ind w:right="18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means the Debtors’ joint plan of reorganization dated June , 2019, to be approved by the Confirmation Order, including the Plan Supplement and all exhibits, supplements, appendices and schedules thereto, which shall be in form and substance reasonably satisfactory to the Requisite Commitment Parties, as may be amended, supplemented, or modified from time to time in accordance with its terms and with the Restructuring Support Agreement and in a manner that is reasonably satisfactory to the Requisite Commitment Parties.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Supplement</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Prepetition Notes Claims</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Real Property</w:t>
      </w:r>
      <w:r>
        <w:rPr>
          <w:rFonts w:ascii="Arial" w:cs="Arial" w:eastAsia="Arial" w:hAnsi="Arial"/>
          <w:sz w:val="17"/>
          <w:szCs w:val="17"/>
          <w:color w:val="auto"/>
        </w:rPr>
        <w:t>” means, collectively, all right, title and interest (including any leasehold estate) in and to any and all parcels of or interests in real property owned in fee or leased by any of the Debtors or any of their Subsidiaries, together with, in each case, all easements, hereditaments and appurtenances relating thereto, all improvements and appurtenant fixtures incidental to the ownership or lease thereof.</w:t>
      </w:r>
    </w:p>
    <w:p>
      <w:pPr>
        <w:spacing w:after="0" w:line="158"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Related Party</w:t>
      </w:r>
      <w:r>
        <w:rPr>
          <w:rFonts w:ascii="Arial" w:cs="Arial" w:eastAsia="Arial" w:hAnsi="Arial"/>
          <w:sz w:val="18"/>
          <w:szCs w:val="18"/>
          <w:color w:val="auto"/>
        </w:rPr>
        <w:t>” means, with respect to any Person, (a) any former, current or future director, officer, agent, Affiliate, employee, general or limited partner, member, manager or stockholder of such Person and (b) any former, current or future director, officer, agent, Affiliate, employee, general or limited partner, member, manager or stockholder of any of the foregoing.</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12" w:name="page413"/>
    <w:bookmarkEnd w:id="412"/>
    <w:p>
      <w:pPr>
        <w:ind w:right="4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Related Purchaser</w:t>
      </w:r>
      <w:r>
        <w:rPr>
          <w:rFonts w:ascii="Arial" w:cs="Arial" w:eastAsia="Arial" w:hAnsi="Arial"/>
          <w:sz w:val="18"/>
          <w:szCs w:val="18"/>
          <w:color w:val="auto"/>
        </w:rPr>
        <w:t>” means, with respect to any Commitment Party, any reasonably creditworthy Affiliate or Affiliated Fund of such Commitment Party (other than any portfolio company of such Commitment Party or its Affiliates).</w:t>
      </w:r>
    </w:p>
    <w:p>
      <w:pPr>
        <w:spacing w:after="0" w:line="162"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emanating or migrating in, into, onto or through the environment. “</w:t>
      </w:r>
      <w:r>
        <w:rPr>
          <w:rFonts w:ascii="Arial" w:cs="Arial" w:eastAsia="Arial" w:hAnsi="Arial"/>
          <w:sz w:val="17"/>
          <w:szCs w:val="17"/>
          <w:b w:val="1"/>
          <w:bCs w:val="1"/>
          <w:u w:val="single" w:color="auto"/>
          <w:color w:val="auto"/>
        </w:rPr>
        <w:t>Released</w:t>
      </w:r>
      <w:r>
        <w:rPr>
          <w:rFonts w:ascii="Arial" w:cs="Arial" w:eastAsia="Arial" w:hAnsi="Arial"/>
          <w:sz w:val="17"/>
          <w:szCs w:val="17"/>
          <w:color w:val="auto"/>
        </w:rPr>
        <w:t>” has a correlative meaning.</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Replacing Commitment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Replacing Terminating Commitment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p>
    <w:p>
      <w:pPr>
        <w:spacing w:after="0" w:line="225" w:lineRule="exact"/>
        <w:rPr>
          <w:sz w:val="20"/>
          <w:szCs w:val="20"/>
          <w:color w:val="auto"/>
        </w:rPr>
      </w:pPr>
    </w:p>
    <w:p>
      <w:pPr>
        <w:jc w:val="both"/>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Representatives</w:t>
      </w:r>
      <w:r>
        <w:rPr>
          <w:rFonts w:ascii="Arial" w:cs="Arial" w:eastAsia="Arial" w:hAnsi="Arial"/>
          <w:sz w:val="18"/>
          <w:szCs w:val="18"/>
          <w:color w:val="auto"/>
        </w:rPr>
        <w:t>” means, with respect to any Person, such Person’s directors, officers, members, partners, managers, employees, agents, investment bankers, attorneys, accountants, advisors and other representatives.</w:t>
      </w:r>
    </w:p>
    <w:p>
      <w:pPr>
        <w:spacing w:after="0" w:line="162" w:lineRule="exact"/>
        <w:rPr>
          <w:sz w:val="20"/>
          <w:szCs w:val="20"/>
          <w:color w:val="auto"/>
        </w:rPr>
      </w:pPr>
    </w:p>
    <w:p>
      <w:pPr>
        <w:ind w:right="5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Requisite Commitment Parties</w:t>
      </w:r>
      <w:r>
        <w:rPr>
          <w:rFonts w:ascii="Arial" w:cs="Arial" w:eastAsia="Arial" w:hAnsi="Arial"/>
          <w:sz w:val="16"/>
          <w:szCs w:val="16"/>
          <w:color w:val="auto"/>
        </w:rPr>
        <w:t>” means the Commitment Parties holding at least sixty-six and two-thirds percent (66 2/3%) of the aggregate Rights Offering Backstop Commitments as of the date on which the consent or approval of the Requisite Commitment Parties is solicited.</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w:t>
      </w:r>
      <w:r>
        <w:rPr>
          <w:rFonts w:ascii="Arial" w:cs="Arial" w:eastAsia="Arial" w:hAnsi="Arial"/>
          <w:sz w:val="18"/>
          <w:szCs w:val="18"/>
          <w:color w:val="auto"/>
        </w:rPr>
        <w:t>” has the meaning set forth in the Restructuring Support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 Support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 Term Sheet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 Transactions</w:t>
      </w:r>
      <w:r>
        <w:rPr>
          <w:rFonts w:ascii="Arial" w:cs="Arial" w:eastAsia="Arial" w:hAnsi="Arial"/>
          <w:sz w:val="18"/>
          <w:szCs w:val="18"/>
          <w:color w:val="auto"/>
        </w:rPr>
        <w:t>” means, collectively, the transactions contemplated by the Restructuring Support Agreement.</w:t>
      </w:r>
    </w:p>
    <w:p>
      <w:pPr>
        <w:spacing w:after="0" w:line="225" w:lineRule="exact"/>
        <w:rPr>
          <w:sz w:val="20"/>
          <w:szCs w:val="20"/>
          <w:color w:val="auto"/>
        </w:rPr>
      </w:pPr>
    </w:p>
    <w:p>
      <w:pPr>
        <w:jc w:val="both"/>
        <w:ind w:right="1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w:t>
      </w:r>
      <w:r>
        <w:rPr>
          <w:rFonts w:ascii="Arial" w:cs="Arial" w:eastAsia="Arial" w:hAnsi="Arial"/>
          <w:sz w:val="18"/>
          <w:szCs w:val="18"/>
          <w:color w:val="auto"/>
        </w:rPr>
        <w:t>” means the rights offering to the Noteholders to purchase Rights Offering Notes for the Rights Offering Amount that is backstopped by the Commitment Parties in connection with the Restructuring Transactions substantially on the terms reflected in the Restructuring Support Agreement and this Agreement, and in accordance with the Rights Offering Procedures and the Plan.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Amount</w:t>
      </w:r>
      <w:r>
        <w:rPr>
          <w:rFonts w:ascii="Arial" w:cs="Arial" w:eastAsia="Arial" w:hAnsi="Arial"/>
          <w:sz w:val="18"/>
          <w:szCs w:val="18"/>
          <w:color w:val="auto"/>
        </w:rPr>
        <w:t>” means an aggregate principal amount equal to $1,250,000,000.</w:t>
      </w:r>
    </w:p>
    <w:p>
      <w:pPr>
        <w:spacing w:after="0" w:line="225"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Approval Obligations</w:t>
      </w:r>
      <w:r>
        <w:rPr>
          <w:rFonts w:ascii="Arial" w:cs="Arial" w:eastAsia="Arial" w:hAnsi="Arial"/>
          <w:sz w:val="18"/>
          <w:szCs w:val="18"/>
          <w:color w:val="auto"/>
        </w:rPr>
        <w:t>” means the obligations of the Company and the other Debtors under this Agreement and the Rights Offering Approval Order.</w:t>
      </w:r>
    </w:p>
    <w:p>
      <w:pPr>
        <w:spacing w:after="0" w:line="162" w:lineRule="exact"/>
        <w:rPr>
          <w:sz w:val="20"/>
          <w:szCs w:val="20"/>
          <w:color w:val="auto"/>
        </w:rPr>
      </w:pPr>
    </w:p>
    <w:p>
      <w:pPr>
        <w:ind w:right="6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Approval Order</w:t>
      </w:r>
      <w:r>
        <w:rPr>
          <w:rFonts w:ascii="Arial" w:cs="Arial" w:eastAsia="Arial" w:hAnsi="Arial"/>
          <w:sz w:val="18"/>
          <w:szCs w:val="18"/>
          <w:color w:val="auto"/>
        </w:rPr>
        <w:t>” means an Order of the Bankruptcy Court that is not stayed (under Bankruptcy Rule 6004(h) or otherwise) that (a) approves the Rights Offering Procedures, and (b) authorizes the Debtors to assume this Agreement pursuant to section 365 of the Bankruptcy Code, which Order may be the Confirmation Order.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13" w:name="page414"/>
    <w:bookmarkEnd w:id="41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Backstop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Expiration Time</w:t>
      </w:r>
      <w:r>
        <w:rPr>
          <w:rFonts w:ascii="Arial" w:cs="Arial" w:eastAsia="Arial" w:hAnsi="Arial"/>
          <w:sz w:val="18"/>
          <w:szCs w:val="18"/>
          <w:color w:val="auto"/>
        </w:rPr>
        <w:t>” means the time and the date on which the rights offering subscription forms must be duly delivered to the Rights Offering Subscription Agent in accordance with the Rights Offering Procedures and the Plan, together with the applicable aggregate Note Purchase Price, if applicable.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Rights Offering Notes</w:t>
      </w:r>
      <w:r>
        <w:rPr>
          <w:rFonts w:ascii="Arial" w:cs="Arial" w:eastAsia="Arial" w:hAnsi="Arial"/>
          <w:sz w:val="16"/>
          <w:szCs w:val="16"/>
          <w:color w:val="auto"/>
        </w:rPr>
        <w:t xml:space="preserve">” means the New Tranche A Senior Unsecured Notes as defined in the Plan and as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248"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Participants</w:t>
      </w:r>
      <w:r>
        <w:rPr>
          <w:rFonts w:ascii="Arial" w:cs="Arial" w:eastAsia="Arial" w:hAnsi="Arial"/>
          <w:sz w:val="18"/>
          <w:szCs w:val="18"/>
          <w:color w:val="auto"/>
        </w:rPr>
        <w:t>” means those Noteholders who duly subscribe for Rights Offering Notes in accordance with the Rights Offering Procedures and the Plan.</w:t>
      </w:r>
    </w:p>
    <w:p>
      <w:pPr>
        <w:spacing w:after="0" w:line="162" w:lineRule="exact"/>
        <w:rPr>
          <w:sz w:val="20"/>
          <w:szCs w:val="20"/>
          <w:color w:val="auto"/>
        </w:rPr>
      </w:pPr>
    </w:p>
    <w:p>
      <w:pPr>
        <w:ind w:right="2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Procedures</w:t>
      </w:r>
      <w:r>
        <w:rPr>
          <w:rFonts w:ascii="Arial" w:cs="Arial" w:eastAsia="Arial" w:hAnsi="Arial"/>
          <w:sz w:val="18"/>
          <w:szCs w:val="18"/>
          <w:color w:val="auto"/>
        </w:rPr>
        <w:t xml:space="preserve">” means the procedures with respect to the Rights Offering that are approved by the Bankruptcy Court pursuant to the Rights Offering Approval Order and are as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which procedures shall be reasonably satisfactory to the Requisite Commitment Parties and the Company.</w:t>
      </w:r>
    </w:p>
    <w:p>
      <w:pPr>
        <w:spacing w:after="0" w:line="176"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Subscription Agent</w:t>
      </w:r>
      <w:r>
        <w:rPr>
          <w:rFonts w:ascii="Arial" w:cs="Arial" w:eastAsia="Arial" w:hAnsi="Arial"/>
          <w:sz w:val="18"/>
          <w:szCs w:val="18"/>
          <w:color w:val="auto"/>
        </w:rPr>
        <w:t>” means Prime Clerk or another subscription agent appointed by the Company and reasonably satisfactory to the Requisite Commitment Parties.</w:t>
      </w:r>
    </w:p>
    <w:p>
      <w:pPr>
        <w:spacing w:after="0" w:line="162"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sanctions administered or enforced by the U.S. government (including without limitation, the U.S. Department of the Treasury’s Office of Foreign Assets Control or the U.S. Department of State), the United Nations Security Council, the European Union, Her Majesty’s Treasury or other applicable jurisdictions.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SOX</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Subscription Rights</w:t>
      </w:r>
      <w:r>
        <w:rPr>
          <w:rFonts w:ascii="Arial" w:cs="Arial" w:eastAsia="Arial" w:hAnsi="Arial"/>
          <w:sz w:val="18"/>
          <w:szCs w:val="18"/>
          <w:color w:val="auto"/>
        </w:rPr>
        <w:t>” means the subscription rights to purchase Rights Offering Notes.</w:t>
      </w:r>
    </w:p>
    <w:p>
      <w:pPr>
        <w:spacing w:after="0" w:line="225" w:lineRule="exact"/>
        <w:rPr>
          <w:sz w:val="20"/>
          <w:szCs w:val="20"/>
          <w:color w:val="auto"/>
        </w:rPr>
      </w:pPr>
    </w:p>
    <w:p>
      <w:pPr>
        <w:ind w:right="24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with respect to any Person, any corporation, partnership, joint venture or other legal entity as to which such Person (either alone or through or together with any other subsidiary), (a) owns, directly or indirectly, more than fifty percent (50%) of the stock or other equity interests, (b) has the power to elect a majority of the board of directors or similar governing body, or (c) has the power to direct the business and policies.</w:t>
      </w:r>
    </w:p>
    <w:p>
      <w:pPr>
        <w:spacing w:after="0" w:line="142"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all taxes, assessments, duties, levies or other mandatory governmental charges paid to a Governmental Entity, including all federal, state, local, foreign and other income, franchise, profits, gross receipts, capital gains, capital stock, transfer, property, sales, use, value-added, occupation, excise, severance, windfall profits, stamp, payroll, social security,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14" w:name="page415"/>
    <w:bookmarkEnd w:id="414"/>
    <w:p>
      <w:pPr>
        <w:ind w:right="100"/>
        <w:spacing w:after="0" w:line="259" w:lineRule="auto"/>
        <w:rPr>
          <w:sz w:val="20"/>
          <w:szCs w:val="20"/>
          <w:color w:val="auto"/>
        </w:rPr>
      </w:pPr>
      <w:r>
        <w:rPr>
          <w:rFonts w:ascii="Arial" w:cs="Arial" w:eastAsia="Arial" w:hAnsi="Arial"/>
          <w:sz w:val="18"/>
          <w:szCs w:val="18"/>
          <w:color w:val="auto"/>
        </w:rPr>
        <w:t>withholding and other taxes, assessments, duties, levies or other mandatory governmental charges of any kind whatsoever paid to a Governmental Entity (whether payable directly or by withholding and whether or not requiring the filing of a return), all estimated taxes, deficiency assessments, additions to tax, penalties and interest thereon and shall include any liability for such amounts as a result of being a member of a combined, consolidated, unitary or affiliated group, as successor, by contract, as withholding agent, or otherwise.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Terminating Commitment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Terminating Commitment Party Replacement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Terminating Commitment Party Replacement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means to sell, transfer, assign, pledge, hypothecate, participate, donate or otherwise encumber or dispose of, directly or indirectly (including through derivatives, options, swaps, pledges, forward sales, participations or other transactions in which any Person receives the right to own or acquire) any current or future interest in a Subscription Right, a Note Claim, a Rights Offering Note, a Note or any other economic interest or right arising therefrom. “</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used as a noun has a correlative meaning.</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Unfunded Pension Liability</w:t>
      </w:r>
      <w:r>
        <w:rPr>
          <w:rFonts w:ascii="Arial" w:cs="Arial" w:eastAsia="Arial" w:hAnsi="Arial"/>
          <w:sz w:val="18"/>
          <w:szCs w:val="18"/>
          <w:color w:val="auto"/>
        </w:rPr>
        <w:t>” means the excess of a Company Benefit Plan’s amount of unfunded benefit liabilities under Section 4001(a)</w:t>
      </w:r>
    </w:p>
    <w:p>
      <w:pPr>
        <w:spacing w:after="0" w:line="27" w:lineRule="exact"/>
        <w:rPr>
          <w:sz w:val="20"/>
          <w:szCs w:val="20"/>
          <w:color w:val="auto"/>
        </w:rPr>
      </w:pPr>
    </w:p>
    <w:p>
      <w:pPr>
        <w:ind w:right="140" w:firstLine="8"/>
        <w:spacing w:after="0" w:line="261" w:lineRule="auto"/>
        <w:tabs>
          <w:tab w:leader="none" w:pos="34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of ERISA, over the current value of that Company Benefit Plan’s assets, determined in accordance with the assumptions used for funding the Company Benefit Plan pursuant to Section 412 of the Code for the applicable plan year.</w:t>
      </w:r>
    </w:p>
    <w:p>
      <w:pPr>
        <w:spacing w:after="0" w:line="180"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Unsubscribed Notes</w:t>
      </w:r>
      <w:r>
        <w:rPr>
          <w:rFonts w:ascii="Arial" w:cs="Arial" w:eastAsia="Arial" w:hAnsi="Arial"/>
          <w:sz w:val="18"/>
          <w:szCs w:val="18"/>
          <w:color w:val="auto"/>
        </w:rPr>
        <w:t>” means the Rights Offering Notes that have not been subscribed for in the Rights Offering by Noteholders in accordance with the Rights Offering Procedures and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willful or intentional breach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In this Agreement, unless the context otherwise requires:</w:t>
      </w:r>
    </w:p>
    <w:p>
      <w:pPr>
        <w:spacing w:after="0" w:line="225" w:lineRule="exact"/>
        <w:rPr>
          <w:sz w:val="20"/>
          <w:szCs w:val="20"/>
          <w:color w:val="auto"/>
        </w:rPr>
      </w:pPr>
    </w:p>
    <w:p>
      <w:pPr>
        <w:ind w:left="80" w:right="560" w:firstLine="1306"/>
        <w:spacing w:after="0" w:line="277" w:lineRule="auto"/>
        <w:tabs>
          <w:tab w:leader="none" w:pos="1941" w:val="left"/>
        </w:tabs>
        <w:numPr>
          <w:ilvl w:val="0"/>
          <w:numId w:val="531"/>
        </w:numPr>
        <w:rPr>
          <w:rFonts w:ascii="Arial" w:cs="Arial" w:eastAsia="Arial" w:hAnsi="Arial"/>
          <w:sz w:val="18"/>
          <w:szCs w:val="18"/>
          <w:color w:val="auto"/>
        </w:rPr>
      </w:pPr>
      <w:r>
        <w:rPr>
          <w:rFonts w:ascii="Arial" w:cs="Arial" w:eastAsia="Arial" w:hAnsi="Arial"/>
          <w:sz w:val="18"/>
          <w:szCs w:val="18"/>
          <w:color w:val="auto"/>
        </w:rPr>
        <w:t>references to Articles, Sections, Exhibits and Schedules are references to the articles and sections or subsections of, and the exhibits and schedules attached to, this Agreement;</w:t>
      </w:r>
    </w:p>
    <w:p>
      <w:pPr>
        <w:spacing w:after="0" w:line="170" w:lineRule="exact"/>
        <w:rPr>
          <w:rFonts w:ascii="Arial" w:cs="Arial" w:eastAsia="Arial" w:hAnsi="Arial"/>
          <w:sz w:val="18"/>
          <w:szCs w:val="18"/>
          <w:color w:val="auto"/>
        </w:rPr>
      </w:pPr>
    </w:p>
    <w:p>
      <w:pPr>
        <w:ind w:left="80" w:right="380" w:firstLine="1306"/>
        <w:spacing w:after="0" w:line="308" w:lineRule="auto"/>
        <w:tabs>
          <w:tab w:leader="none" w:pos="1951" w:val="left"/>
        </w:tabs>
        <w:numPr>
          <w:ilvl w:val="0"/>
          <w:numId w:val="531"/>
        </w:numPr>
        <w:rPr>
          <w:rFonts w:ascii="Arial" w:cs="Arial" w:eastAsia="Arial" w:hAnsi="Arial"/>
          <w:sz w:val="17"/>
          <w:szCs w:val="17"/>
          <w:color w:val="auto"/>
        </w:rPr>
      </w:pPr>
      <w:r>
        <w:rPr>
          <w:rFonts w:ascii="Arial" w:cs="Arial" w:eastAsia="Arial" w:hAnsi="Arial"/>
          <w:sz w:val="17"/>
          <w:szCs w:val="17"/>
          <w:color w:val="auto"/>
        </w:rPr>
        <w:t>references in this Agreement to “writing” or comparable expressions include a reference to a written document transmitted by means of electronic mail in portable document format (pdf), facsimile transmission or comparable means of communication;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15" w:name="page416"/>
    <w:bookmarkEnd w:id="415"/>
    <w:p>
      <w:pPr>
        <w:ind w:left="60" w:right="80" w:firstLine="1306"/>
        <w:spacing w:after="0" w:line="277" w:lineRule="auto"/>
        <w:tabs>
          <w:tab w:leader="none" w:pos="193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words expressed in the singular number shall include the plural and vice versa; words expressed in the masculine shall include the feminine and neuter gender and vice versa;</w:t>
      </w:r>
    </w:p>
    <w:p>
      <w:pPr>
        <w:spacing w:after="0" w:line="170" w:lineRule="exact"/>
        <w:rPr>
          <w:rFonts w:ascii="Arial" w:cs="Arial" w:eastAsia="Arial" w:hAnsi="Arial"/>
          <w:sz w:val="18"/>
          <w:szCs w:val="18"/>
          <w:color w:val="auto"/>
        </w:rPr>
      </w:pPr>
    </w:p>
    <w:p>
      <w:pPr>
        <w:ind w:left="60" w:right="180" w:firstLine="1306"/>
        <w:spacing w:after="0" w:line="308" w:lineRule="auto"/>
        <w:tabs>
          <w:tab w:leader="none" w:pos="1931"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words “hereof”, “herein”, “hereto” and “hereunder”, and words of similar import, when used in this Agreement, shall refer to this Agreement as a whole, including all Exhibits and Schedules attached to this Agreement, and not to any provision of this Agreement;</w:t>
      </w:r>
    </w:p>
    <w:p>
      <w:pPr>
        <w:spacing w:after="0" w:line="146" w:lineRule="exact"/>
        <w:rPr>
          <w:rFonts w:ascii="Arial" w:cs="Arial" w:eastAsia="Arial" w:hAnsi="Arial"/>
          <w:sz w:val="17"/>
          <w:szCs w:val="17"/>
          <w:color w:val="auto"/>
        </w:rPr>
      </w:pPr>
    </w:p>
    <w:p>
      <w:pPr>
        <w:ind w:left="60" w:right="300" w:firstLine="1306"/>
        <w:spacing w:after="0" w:line="277" w:lineRule="auto"/>
        <w:tabs>
          <w:tab w:leader="none" w:pos="193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term “this Agreement” shall be construed as a reference to this Agreement as the same may have been, or may from time to time be, amended, modified, varied, novated or supplemented;</w:t>
      </w:r>
    </w:p>
    <w:p>
      <w:pPr>
        <w:spacing w:after="0" w:line="170" w:lineRule="exact"/>
        <w:rPr>
          <w:rFonts w:ascii="Arial" w:cs="Arial" w:eastAsia="Arial" w:hAnsi="Arial"/>
          <w:sz w:val="18"/>
          <w:szCs w:val="18"/>
          <w:color w:val="auto"/>
        </w:rPr>
      </w:pPr>
    </w:p>
    <w:p>
      <w:pPr>
        <w:ind w:left="1940" w:hanging="574"/>
        <w:spacing w:after="0"/>
        <w:tabs>
          <w:tab w:leader="none" w:pos="19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“include”, “includes” and “including” are deemed to be followed by “without limitation” whether or not they are in fact followed</w:t>
      </w:r>
    </w:p>
    <w:p>
      <w:pPr>
        <w:spacing w:after="0" w:line="3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by such words;</w:t>
      </w:r>
    </w:p>
    <w:p>
      <w:pPr>
        <w:spacing w:after="0" w:line="210" w:lineRule="exact"/>
        <w:rPr>
          <w:rFonts w:ascii="Arial" w:cs="Arial" w:eastAsia="Arial" w:hAnsi="Arial"/>
          <w:sz w:val="17"/>
          <w:szCs w:val="17"/>
          <w:color w:val="auto"/>
        </w:rPr>
      </w:pPr>
    </w:p>
    <w:p>
      <w:pPr>
        <w:ind w:left="1960" w:hanging="594"/>
        <w:spacing w:after="0"/>
        <w:tabs>
          <w:tab w:leader="none" w:pos="1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references to “day” or “days” are to calendar days;</w:t>
      </w:r>
    </w:p>
    <w:p>
      <w:pPr>
        <w:spacing w:after="0" w:line="225" w:lineRule="exact"/>
        <w:rPr>
          <w:rFonts w:ascii="Arial" w:cs="Arial" w:eastAsia="Arial" w:hAnsi="Arial"/>
          <w:sz w:val="18"/>
          <w:szCs w:val="18"/>
          <w:color w:val="auto"/>
        </w:rPr>
      </w:pPr>
    </w:p>
    <w:p>
      <w:pPr>
        <w:ind w:left="1940" w:hanging="574"/>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references to “the date hereof” means the date of this Agreement;</w:t>
      </w:r>
    </w:p>
    <w:p>
      <w:pPr>
        <w:spacing w:after="0" w:line="225" w:lineRule="exact"/>
        <w:rPr>
          <w:rFonts w:ascii="Arial" w:cs="Arial" w:eastAsia="Arial" w:hAnsi="Arial"/>
          <w:sz w:val="18"/>
          <w:szCs w:val="18"/>
          <w:color w:val="auto"/>
        </w:rPr>
      </w:pPr>
    </w:p>
    <w:p>
      <w:pPr>
        <w:ind w:left="60" w:right="320" w:firstLine="1306"/>
        <w:spacing w:after="0" w:line="277" w:lineRule="auto"/>
        <w:tabs>
          <w:tab w:leader="none" w:pos="194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unless otherwise specified, references to a statute means such statute as amended from time to time and includes any successor legislation thereto and any rules or regulations promulgated thereunder in effect from time to time; and</w:t>
      </w:r>
    </w:p>
    <w:p>
      <w:pPr>
        <w:spacing w:after="0" w:line="170" w:lineRule="exact"/>
        <w:rPr>
          <w:rFonts w:ascii="Arial" w:cs="Arial" w:eastAsia="Arial" w:hAnsi="Arial"/>
          <w:sz w:val="18"/>
          <w:szCs w:val="18"/>
          <w:color w:val="auto"/>
        </w:rPr>
      </w:pPr>
    </w:p>
    <w:p>
      <w:pPr>
        <w:ind w:left="1940" w:hanging="574"/>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references to “dollars” or “$” refer to currency of the United States of America, unless otherwise expressly provided.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BACKSTOP COMMITMENT</w:t>
      </w:r>
    </w:p>
    <w:p>
      <w:pPr>
        <w:spacing w:after="0" w:line="22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The Rights Offering; Subscription Rights</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308" w:lineRule="auto"/>
        <w:tabs>
          <w:tab w:leader="none" w:pos="1922" w:val="left"/>
        </w:tabs>
        <w:numPr>
          <w:ilvl w:val="0"/>
          <w:numId w:val="533"/>
        </w:numPr>
        <w:rPr>
          <w:rFonts w:ascii="Arial" w:cs="Arial" w:eastAsia="Arial" w:hAnsi="Arial"/>
          <w:sz w:val="17"/>
          <w:szCs w:val="17"/>
          <w:color w:val="auto"/>
        </w:rPr>
      </w:pPr>
      <w:r>
        <w:rPr>
          <w:rFonts w:ascii="Arial" w:cs="Arial" w:eastAsia="Arial" w:hAnsi="Arial"/>
          <w:sz w:val="17"/>
          <w:szCs w:val="17"/>
          <w:color w:val="auto"/>
        </w:rPr>
        <w:t>On and subject to the terms and conditions hereof, including entry of the Rights Offering Approval Order by the Bankruptcy Court, the Company shall conduct the Rights Offering pursuant to and in accordance with the Rights Offering Procedures, the Plan and this Agreement.</w:t>
      </w:r>
    </w:p>
    <w:p>
      <w:pPr>
        <w:spacing w:after="0" w:line="146" w:lineRule="exact"/>
        <w:rPr>
          <w:rFonts w:ascii="Arial" w:cs="Arial" w:eastAsia="Arial" w:hAnsi="Arial"/>
          <w:sz w:val="17"/>
          <w:szCs w:val="17"/>
          <w:color w:val="auto"/>
        </w:rPr>
      </w:pPr>
    </w:p>
    <w:p>
      <w:pPr>
        <w:ind w:left="-20" w:right="40" w:firstLine="1305"/>
        <w:spacing w:after="0" w:line="255" w:lineRule="auto"/>
        <w:tabs>
          <w:tab w:leader="none" w:pos="1932" w:val="left"/>
        </w:tabs>
        <w:numPr>
          <w:ilvl w:val="0"/>
          <w:numId w:val="533"/>
        </w:numPr>
        <w:rPr>
          <w:rFonts w:ascii="Arial" w:cs="Arial" w:eastAsia="Arial" w:hAnsi="Arial"/>
          <w:sz w:val="18"/>
          <w:szCs w:val="18"/>
          <w:color w:val="auto"/>
        </w:rPr>
      </w:pPr>
      <w:r>
        <w:rPr>
          <w:rFonts w:ascii="Arial" w:cs="Arial" w:eastAsia="Arial" w:hAnsi="Arial"/>
          <w:sz w:val="18"/>
          <w:szCs w:val="18"/>
          <w:color w:val="auto"/>
        </w:rPr>
        <w:t>From time to time following the commencement of the Rights Offering and prior to the Rights Offering Expiration Time (and any permitted extensions thereof), the Company shall notify, or use its commercially reasonable efforts to cause the Rights Offering Subscription Agent to notify, the Commitment Parties (within 48 hours of receipt of such request by the Company) of the aggregate number of Subscription Rights known by the Company or the Rights Offering Subscription Agent to have been exercised pursuant to the Rights Offering as of the most recent practicable time before such notification. The Rights Offering will be conducted and the offer and sale of the Unsubscribed Notes purchased by the Commitment Parties pursuant to this Agreement will be conducted, in reliance upon the exemption from registration under the Securities Act provided in Section 1145 of the Bankruptcy Code to the maximum extent permitted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t>by Law or otherwise in reliance upon such other exemption from the registration requirements of the Securities Act as may be applicable.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The Commitment</w:t>
      </w:r>
      <w:r>
        <w:rPr>
          <w:rFonts w:ascii="Arial" w:cs="Arial" w:eastAsia="Arial" w:hAnsi="Arial"/>
          <w:sz w:val="16"/>
          <w:szCs w:val="16"/>
          <w:color w:val="auto"/>
        </w:rPr>
        <w:t>. On and subject to the terms and conditions hereof, including entry of the Confirmation Order, each</w:t>
      </w:r>
    </w:p>
    <w:p>
      <w:pPr>
        <w:spacing w:after="0" w:line="2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Commitment Party agrees, severally and not jointly (in accordance with its Commitment Percentage), to purchase, and the Company agrees to sell to such Commitment Party (or Related Purchaser), on the Closing Date, for an amount equal to the product of (a) the Per Note Purchase Price and (b) the principal amount of Unsubscribed Notes in an amount equal to the product of (x) such Commitment Party’s Commitment Percentage and (y) the aggregate principal amount of Unsubscribed Notes, rounded among the Commitment Parties solely to avoid fractional Rights Offering Notes as the Requisite Commitment Parties may determine in their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rounding reduce the aggregate commitment of the Commitment Parties). The obligations of the Commitment Parties to purchase such Unsubscribed Notes as described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referred to as the “</w:t>
      </w:r>
      <w:r>
        <w:rPr>
          <w:rFonts w:ascii="Arial" w:cs="Arial" w:eastAsia="Arial" w:hAnsi="Arial"/>
          <w:sz w:val="16"/>
          <w:szCs w:val="16"/>
          <w:b w:val="1"/>
          <w:bCs w:val="1"/>
          <w:u w:val="single" w:color="auto"/>
          <w:color w:val="auto"/>
        </w:rPr>
        <w:t>Rights Offering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Backstop Commitment</w:t>
      </w:r>
      <w:r>
        <w:rPr>
          <w:rFonts w:ascii="Arial" w:cs="Arial" w:eastAsia="Arial" w:hAnsi="Arial"/>
          <w:sz w:val="16"/>
          <w:szCs w:val="16"/>
          <w:color w:val="auto"/>
        </w:rPr>
        <w:t>.” To the extent that the Commitment Parties are required to purchase Unsubscribed Notes in accordance with the Rights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Backstop Commitment, the Company shall provide notice of such requirement to each Commitment Party.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Commitment Party Default; Replacement of Defaulting Commitment Parties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534"/>
        </w:numPr>
        <w:rPr>
          <w:rFonts w:ascii="Arial" w:cs="Arial" w:eastAsia="Arial" w:hAnsi="Arial"/>
          <w:sz w:val="17"/>
          <w:szCs w:val="17"/>
          <w:color w:val="auto"/>
        </w:rPr>
      </w:pPr>
      <w:r>
        <w:rPr>
          <w:rFonts w:ascii="Arial" w:cs="Arial" w:eastAsia="Arial" w:hAnsi="Arial"/>
          <w:sz w:val="17"/>
          <w:szCs w:val="17"/>
          <w:color w:val="auto"/>
        </w:rPr>
        <w:t>Upon the occurrence of a Commitment Party Default, the Commitment Parties and their respective Related Purchasers (other than any Defaulting Commitment Party) shall have the right and opportunity (but not the obligation), within five (5) Business Days (or such shorter period as may be necessary to consummate the Rights Offering in compliance with applicable securities laws and regulations) after receipt of written notice from the Company to all Commitment Parties of such Commitment Party Default, which notice shall be given promptly following the occurrence of such Commitment Party Default and to all Commitment Parties substantially concurrently (such period, the “</w:t>
      </w:r>
      <w:r>
        <w:rPr>
          <w:rFonts w:ascii="Arial" w:cs="Arial" w:eastAsia="Arial" w:hAnsi="Arial"/>
          <w:sz w:val="17"/>
          <w:szCs w:val="17"/>
          <w:b w:val="1"/>
          <w:bCs w:val="1"/>
          <w:u w:val="single" w:color="auto"/>
          <w:color w:val="auto"/>
        </w:rPr>
        <w:t>Commitment Party Replacement Period</w:t>
      </w:r>
      <w:r>
        <w:rPr>
          <w:rFonts w:ascii="Arial" w:cs="Arial" w:eastAsia="Arial" w:hAnsi="Arial"/>
          <w:sz w:val="17"/>
          <w:szCs w:val="17"/>
          <w:color w:val="auto"/>
        </w:rPr>
        <w:t>”), to make arrangements for one or more of the Commitment Parties and their respective Related Purchasers (other than the Defaulting Commitment Party) to purchase all or any portion of the Available Notes (such purchase, a “</w:t>
      </w:r>
      <w:r>
        <w:rPr>
          <w:rFonts w:ascii="Arial" w:cs="Arial" w:eastAsia="Arial" w:hAnsi="Arial"/>
          <w:sz w:val="17"/>
          <w:szCs w:val="17"/>
          <w:b w:val="1"/>
          <w:bCs w:val="1"/>
          <w:u w:val="single" w:color="auto"/>
          <w:color w:val="auto"/>
        </w:rPr>
        <w:t>Commitment Party Replacement</w:t>
      </w:r>
      <w:r>
        <w:rPr>
          <w:rFonts w:ascii="Arial" w:cs="Arial" w:eastAsia="Arial" w:hAnsi="Arial"/>
          <w:sz w:val="17"/>
          <w:szCs w:val="17"/>
          <w:color w:val="auto"/>
        </w:rPr>
        <w:t>”) on the terms and subject to the conditions set forth in this Agreement and in such amounts as may be agreed upon by all of the Commitment Parties electing to purchase all or any portion of the Available Notes, or, if no such arrangements are made, based upon the relative applicable Commitment Percentages of any such Commitment Parties and their respective Related Purchasers (other than any Defaulting Commitment Party) (such Commitment Parties the “</w:t>
      </w:r>
      <w:r>
        <w:rPr>
          <w:rFonts w:ascii="Arial" w:cs="Arial" w:eastAsia="Arial" w:hAnsi="Arial"/>
          <w:sz w:val="17"/>
          <w:szCs w:val="17"/>
          <w:b w:val="1"/>
          <w:bCs w:val="1"/>
          <w:u w:val="single" w:color="auto"/>
          <w:color w:val="auto"/>
        </w:rPr>
        <w:t>Replacing Commitment Parties</w:t>
      </w:r>
      <w:r>
        <w:rPr>
          <w:rFonts w:ascii="Arial" w:cs="Arial" w:eastAsia="Arial" w:hAnsi="Arial"/>
          <w:sz w:val="17"/>
          <w:szCs w:val="17"/>
          <w:color w:val="auto"/>
        </w:rPr>
        <w:t xml:space="preserve">”). Any Available Notes purchased by a Replacing Commitment Party (and any commitment and applicable aggregate Note Purchase Price associated therewith) shall be included, among other things, in the determination of (x) the Unsubscribed Notes of such Replacing Commitment Party for all purposes hereunder, (y) the Commitment Percentage of such Replacing Commitment Party for purposes of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(z) the Rights Offering Backstop Commitment of such Replacing Commitment Party for purposes of the definition of “Requisite Commitment Parties.” If a Commitment Party Default occurs, the Outside Date shall be delayed only to the extent necessary to allow for the Commitment Party Replacement to be completed within the Commitment Party Replacement Period and prior to the Outside Date (as so delayed).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7" w:name="page418"/>
    <w:bookmarkEnd w:id="417"/>
    <w:p>
      <w:pPr>
        <w:ind w:left="100" w:right="180" w:firstLine="1287"/>
        <w:spacing w:after="0" w:line="273" w:lineRule="auto"/>
        <w:tabs>
          <w:tab w:leader="none" w:pos="1890" w:val="left"/>
        </w:tabs>
        <w:numPr>
          <w:ilvl w:val="1"/>
          <w:numId w:val="53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if a Commitment Party is a Defaulting Commitment Party, or if this Agreement is terminated with respect to such Commitment Party as a result of its default hereunder, it shall be obligated to repay its ratable portion of the Commitment Payment to the Replacing Commitment Parties ratably in proportion to their respective Commitment Party Replacement (or, if there are no such Replacing Commitment Parties and this Agreement is not terminated by the Debtors as to all Commitment Parties under Section 9.3(b) hereof,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such reduction shall not reduce the amount of the Commitment Payment payable to each Commitment Party that is not a Defaulting Commitment Party.</w:t>
      </w:r>
    </w:p>
    <w:p>
      <w:pPr>
        <w:spacing w:after="0" w:line="178" w:lineRule="exact"/>
        <w:rPr>
          <w:rFonts w:ascii="Arial" w:cs="Arial" w:eastAsia="Arial" w:hAnsi="Arial"/>
          <w:sz w:val="17"/>
          <w:szCs w:val="17"/>
          <w:color w:val="auto"/>
        </w:rPr>
      </w:pPr>
    </w:p>
    <w:p>
      <w:pPr>
        <w:ind w:left="100" w:firstLine="1287"/>
        <w:spacing w:after="0" w:line="277" w:lineRule="auto"/>
        <w:tabs>
          <w:tab w:leader="none" w:pos="1893" w:val="left"/>
        </w:tabs>
        <w:numPr>
          <w:ilvl w:val="1"/>
          <w:numId w:val="535"/>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above, nothing in this Agreement shall be deemed to require a Commitment Party to pay more than its Commitment Percentage in its purchase of the Unsubscribed Notes.</w:t>
      </w:r>
    </w:p>
    <w:p>
      <w:pPr>
        <w:spacing w:after="0" w:line="170" w:lineRule="exact"/>
        <w:rPr>
          <w:rFonts w:ascii="Arial" w:cs="Arial" w:eastAsia="Arial" w:hAnsi="Arial"/>
          <w:sz w:val="18"/>
          <w:szCs w:val="18"/>
          <w:color w:val="auto"/>
        </w:rPr>
      </w:pPr>
    </w:p>
    <w:p>
      <w:pPr>
        <w:ind w:right="140" w:firstLine="1306"/>
        <w:spacing w:after="0" w:line="255" w:lineRule="auto"/>
        <w:tabs>
          <w:tab w:leader="none" w:pos="1871"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For the avoidance of doubt, notwithstanding anything to the contrary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no provision of this Agreement shall relieve any Defaulting Commitment Party from liability hereunder, or limit the availability of the remedies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 in connection with any such Defaulting Commitment Party’s Commitment Party Default. Any Defaulting Commitment Party shall be liable to each Commitment Party that is not a Defaulting Commitment Party, and to the Company, as a result of any breach of its obligations hereunder. For the avoidance doubt, nothing in this provision shall require the Company to issue any Rights Offering Notes pursuant to this Agreement to any Defaulting Commitment Party.</w:t>
      </w:r>
    </w:p>
    <w:p>
      <w:pPr>
        <w:spacing w:after="0" w:line="193"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Assignment of Commitment Rights.</w:t>
      </w:r>
    </w:p>
    <w:p>
      <w:pPr>
        <w:spacing w:after="0" w:line="225" w:lineRule="exact"/>
        <w:rPr>
          <w:sz w:val="20"/>
          <w:szCs w:val="20"/>
          <w:color w:val="auto"/>
        </w:rPr>
      </w:pPr>
    </w:p>
    <w:p>
      <w:pPr>
        <w:ind w:left="100" w:right="80" w:firstLine="1287"/>
        <w:spacing w:after="0" w:line="273" w:lineRule="auto"/>
        <w:tabs>
          <w:tab w:leader="none" w:pos="1880" w:val="left"/>
        </w:tabs>
        <w:numPr>
          <w:ilvl w:val="1"/>
          <w:numId w:val="537"/>
        </w:numPr>
        <w:rPr>
          <w:rFonts w:ascii="Arial" w:cs="Arial" w:eastAsia="Arial" w:hAnsi="Arial"/>
          <w:sz w:val="17"/>
          <w:szCs w:val="17"/>
          <w:color w:val="auto"/>
        </w:rPr>
      </w:pPr>
      <w:r>
        <w:rPr>
          <w:rFonts w:ascii="Arial" w:cs="Arial" w:eastAsia="Arial" w:hAnsi="Arial"/>
          <w:sz w:val="17"/>
          <w:szCs w:val="17"/>
          <w:color w:val="auto"/>
        </w:rPr>
        <w:t>Each Commitment Party shall have the right to assign, by written notice to the Company no later than two (2) Business Days prior to the Closing Date, all or any portion of its Rights Offering Backstop Commitment to one or more of its Related Purchasers, which notice of assignment shall (i) be addressed to the Company and signed by such Commitment Party and each Related Purchaser, (ii) specify the principal amount of Rights Offering Notes to be delivered to or issued in the name of each such Related Purchaser, and (iii) contain a confirmation by each such Related Purchaser of the accuracy of the representations made by each Commitment Party under this Agreement as applied to such Related Purchaser; provided that no such assignment shall relieve such Commitment Party from any of its obligations under this Agreement.</w:t>
      </w:r>
    </w:p>
    <w:p>
      <w:pPr>
        <w:spacing w:after="0" w:line="178" w:lineRule="exact"/>
        <w:rPr>
          <w:rFonts w:ascii="Arial" w:cs="Arial" w:eastAsia="Arial" w:hAnsi="Arial"/>
          <w:sz w:val="17"/>
          <w:szCs w:val="17"/>
          <w:color w:val="auto"/>
        </w:rPr>
      </w:pPr>
    </w:p>
    <w:p>
      <w:pPr>
        <w:ind w:left="100" w:right="300" w:firstLine="1287"/>
        <w:spacing w:after="0" w:line="291" w:lineRule="auto"/>
        <w:tabs>
          <w:tab w:leader="none" w:pos="1890" w:val="left"/>
        </w:tabs>
        <w:numPr>
          <w:ilvl w:val="1"/>
          <w:numId w:val="537"/>
        </w:numPr>
        <w:rPr>
          <w:rFonts w:ascii="Arial" w:cs="Arial" w:eastAsia="Arial" w:hAnsi="Arial"/>
          <w:sz w:val="16"/>
          <w:szCs w:val="16"/>
          <w:color w:val="auto"/>
        </w:rPr>
      </w:pPr>
      <w:r>
        <w:rPr>
          <w:rFonts w:ascii="Arial" w:cs="Arial" w:eastAsia="Arial" w:hAnsi="Arial"/>
          <w:sz w:val="16"/>
          <w:szCs w:val="16"/>
          <w:color w:val="auto"/>
        </w:rPr>
        <w:t>Each Commitment Party shall have the right to Transfer all or any portion of its Rights Offering Backstop Commitment, to any other Commitment Party or such other Commitment Party’s Related Purchaser (each, an “</w:t>
      </w:r>
      <w:r>
        <w:rPr>
          <w:rFonts w:ascii="Arial" w:cs="Arial" w:eastAsia="Arial" w:hAnsi="Arial"/>
          <w:sz w:val="16"/>
          <w:szCs w:val="16"/>
          <w:b w:val="1"/>
          <w:bCs w:val="1"/>
          <w:u w:val="single" w:color="auto"/>
          <w:color w:val="auto"/>
        </w:rPr>
        <w:t>Existing Commitment Party Purchaser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ind w:left="340" w:hanging="250"/>
        <w:spacing w:after="0"/>
        <w:tabs>
          <w:tab w:leader="none" w:pos="34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such Existing Commitment Party Purchaser shall have been a Commitment Party or its Related Purchaser as of immediately prior to such Transfer and</w:t>
      </w:r>
    </w:p>
    <w:p>
      <w:pPr>
        <w:spacing w:after="0" w:line="32" w:lineRule="exact"/>
        <w:rPr>
          <w:rFonts w:ascii="Arial" w:cs="Arial" w:eastAsia="Arial" w:hAnsi="Arial"/>
          <w:sz w:val="16"/>
          <w:szCs w:val="16"/>
          <w:color w:val="auto"/>
        </w:rPr>
      </w:pPr>
    </w:p>
    <w:p>
      <w:pPr>
        <w:jc w:val="both"/>
        <w:ind w:left="100" w:right="160" w:hanging="10"/>
        <w:spacing w:after="0" w:line="254" w:lineRule="auto"/>
        <w:tabs>
          <w:tab w:leader="none" w:pos="35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applicable, such Existing Commitment Party Purchaser shall deliver to the Company a joinder to this Agreement, in a form reasonably acceptable to the Company and the Requisite Commitment Parties, that contains a confirmation of the accuracy of the representations made by each Commitment Party under this Agreement as applied to such Person; provided further that such assignment shall relieve such Commitment Party from all of its obligations under this Agreement.</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418" w:name="page419"/>
    <w:bookmarkEnd w:id="418"/>
    <w:p>
      <w:pPr>
        <w:ind w:left="100" w:right="160" w:firstLine="1287"/>
        <w:spacing w:after="0" w:line="277" w:lineRule="auto"/>
        <w:tabs>
          <w:tab w:leader="none" w:pos="189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no Commitment Party shall have the right to Transfer all or any portion of its Rights Offering Backstop Commitment to any Person, including the Company or any of its Affiliates.</w:t>
      </w:r>
    </w:p>
    <w:p>
      <w:pPr>
        <w:spacing w:after="0" w:line="170" w:lineRule="exact"/>
        <w:rPr>
          <w:rFonts w:ascii="Arial" w:cs="Arial" w:eastAsia="Arial" w:hAnsi="Arial"/>
          <w:sz w:val="18"/>
          <w:szCs w:val="18"/>
          <w:color w:val="auto"/>
        </w:rPr>
      </w:pPr>
    </w:p>
    <w:p>
      <w:pPr>
        <w:ind w:left="100" w:right="80" w:firstLine="1287"/>
        <w:spacing w:after="0" w:line="257" w:lineRule="auto"/>
        <w:tabs>
          <w:tab w:leader="none" w:pos="189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Parties hereby agree that, notwithstanding anything to the contrary set forth in Section 14 of the Restructuring Support Agreement, if any Commitment Party acquires additional Claims against or Interests in any Debtor from any Person that is not a Commitment Party during the period that the Restructuring Support Agreement is effective, such Commitment Party shall report its updated holdings to the legal advisors to the Company within five (5) Business Days of such acquisition. No report shall be required for any acquisition of additional Claims against or Interests in any Debtor from any Person that is a Commitment Party.</w:t>
      </w:r>
    </w:p>
    <w:p>
      <w:pPr>
        <w:spacing w:after="0" w:line="188" w:lineRule="exact"/>
        <w:rPr>
          <w:rFonts w:ascii="Arial" w:cs="Arial" w:eastAsia="Arial" w:hAnsi="Arial"/>
          <w:sz w:val="18"/>
          <w:szCs w:val="18"/>
          <w:color w:val="auto"/>
        </w:rPr>
      </w:pPr>
    </w:p>
    <w:p>
      <w:pPr>
        <w:ind w:left="100" w:firstLine="1287"/>
        <w:spacing w:after="0" w:line="259" w:lineRule="auto"/>
        <w:tabs>
          <w:tab w:leader="none" w:pos="189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For the avoidance of doubt, nothing in this Agreement shall restrict the ability of a Commitment Party to transfer any Rights Offering Notes (including the associated Subscription Rights) in compliance with Section 13 of the Restructuring Support Agreement, and any such transfer shall not impair or otherwise affect the rights and obligations of such Commitment Party under this Agreement, including, for the avoidance of doubt, result in any change to such Commitment Party’s Commitment Percentage.</w:t>
      </w:r>
    </w:p>
    <w:p>
      <w:pPr>
        <w:spacing w:after="0" w:line="18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Escrow Account Funding</w:t>
      </w:r>
      <w:r>
        <w:rPr>
          <w:rFonts w:ascii="Arial" w:cs="Arial" w:eastAsia="Arial" w:hAnsi="Arial"/>
          <w:sz w:val="16"/>
          <w:szCs w:val="16"/>
          <w:color w:val="auto"/>
        </w:rPr>
        <w:t>.</w:t>
      </w:r>
    </w:p>
    <w:p>
      <w:pPr>
        <w:spacing w:after="0" w:line="225" w:lineRule="exact"/>
        <w:rPr>
          <w:sz w:val="20"/>
          <w:szCs w:val="20"/>
          <w:color w:val="auto"/>
        </w:rPr>
      </w:pPr>
    </w:p>
    <w:p>
      <w:pPr>
        <w:ind w:right="120" w:firstLine="1306"/>
        <w:spacing w:after="0" w:line="281" w:lineRule="auto"/>
        <w:tabs>
          <w:tab w:leader="none" w:pos="1861" w:val="left"/>
        </w:tabs>
        <w:numPr>
          <w:ilvl w:val="0"/>
          <w:numId w:val="540"/>
        </w:numPr>
        <w:rPr>
          <w:rFonts w:ascii="Arial" w:cs="Arial" w:eastAsia="Arial" w:hAnsi="Arial"/>
          <w:sz w:val="16"/>
          <w:szCs w:val="16"/>
          <w:color w:val="auto"/>
        </w:rPr>
      </w:pPr>
      <w:r>
        <w:rPr>
          <w:rFonts w:ascii="Arial" w:cs="Arial" w:eastAsia="Arial" w:hAnsi="Arial"/>
          <w:sz w:val="16"/>
          <w:szCs w:val="16"/>
          <w:u w:val="single" w:color="auto"/>
          <w:color w:val="auto"/>
        </w:rPr>
        <w:t>Funding Notice</w:t>
      </w:r>
      <w:r>
        <w:rPr>
          <w:rFonts w:ascii="Arial" w:cs="Arial" w:eastAsia="Arial" w:hAnsi="Arial"/>
          <w:sz w:val="16"/>
          <w:szCs w:val="16"/>
          <w:color w:val="auto"/>
        </w:rPr>
        <w:t>. No later than the seventh (7</w:t>
      </w:r>
      <w:r>
        <w:rPr>
          <w:rFonts w:ascii="Arial" w:cs="Arial" w:eastAsia="Arial" w:hAnsi="Arial"/>
          <w:sz w:val="20"/>
          <w:szCs w:val="20"/>
          <w:color w:val="auto"/>
          <w:vertAlign w:val="superscript"/>
        </w:rPr>
        <w:t>th</w:t>
      </w:r>
      <w:r>
        <w:rPr>
          <w:rFonts w:ascii="Arial" w:cs="Arial" w:eastAsia="Arial" w:hAnsi="Arial"/>
          <w:sz w:val="16"/>
          <w:szCs w:val="16"/>
          <w:color w:val="auto"/>
        </w:rPr>
        <w:t>) Business Day following the Rights Offering Expiration Time, the Rights Offering Subscription Agent shall, on behalf of the Company, deliver to each Commitment Party a written notice (the “</w:t>
      </w:r>
      <w:r>
        <w:rPr>
          <w:rFonts w:ascii="Arial" w:cs="Arial" w:eastAsia="Arial" w:hAnsi="Arial"/>
          <w:sz w:val="16"/>
          <w:szCs w:val="16"/>
          <w:b w:val="1"/>
          <w:bCs w:val="1"/>
          <w:u w:val="single" w:color="auto"/>
          <w:color w:val="auto"/>
        </w:rPr>
        <w:t>Funding Notice</w:t>
      </w:r>
      <w:r>
        <w:rPr>
          <w:rFonts w:ascii="Arial" w:cs="Arial" w:eastAsia="Arial" w:hAnsi="Arial"/>
          <w:sz w:val="16"/>
          <w:szCs w:val="16"/>
          <w:color w:val="auto"/>
        </w:rPr>
        <w:t>,” and the date of such delivery, the “</w:t>
      </w:r>
      <w:r>
        <w:rPr>
          <w:rFonts w:ascii="Arial" w:cs="Arial" w:eastAsia="Arial" w:hAnsi="Arial"/>
          <w:sz w:val="16"/>
          <w:szCs w:val="16"/>
          <w:b w:val="1"/>
          <w:bCs w:val="1"/>
          <w:u w:val="single" w:color="auto"/>
          <w:color w:val="auto"/>
        </w:rPr>
        <w:t>Funding Notice Date</w:t>
      </w:r>
      <w:r>
        <w:rPr>
          <w:rFonts w:ascii="Arial" w:cs="Arial" w:eastAsia="Arial" w:hAnsi="Arial"/>
          <w:sz w:val="16"/>
          <w:szCs w:val="16"/>
          <w:color w:val="auto"/>
        </w:rPr>
        <w:t xml:space="preserve">”) (which may be delivered by email to any Commitment Party at the email address provided by such Commitment Party) setting forth (i) the principal amount of Rights Offering Notes elected to be purchased by the Rights Offering Participants, and the aggregate Note Purchase Price therefor; (ii) the aggregate principal amount of Unsubscribed Notes, if any, and the aggregate Note Purchase Price therefor; (iii) the Commitment Party’s Commitment Percentage and the aggregate principal amount of Rights Offering Notes (based upon such Commitment Party’s Commitment Percentage) to be issued and sold by the Company to such Commitment Party on account of any Unsubscribed Notes, and the aggregate Note Purchase Price therefor; (iv) if applicable, the principal amount of Rights Offering Notes such Commitment Party is subscribed for in the Rights Offering and for which such Commitment Party had not yet paid to the Rights Offering Subscription Agent the aggregate Note Purchase Price therefor, (v) the aggregate Note Purchase Price in respect of (iii) and (iv); and (vi) subject to the last sentence of </w:t>
      </w:r>
      <w:r>
        <w:rPr>
          <w:rFonts w:ascii="Arial" w:cs="Arial" w:eastAsia="Arial" w:hAnsi="Arial"/>
          <w:sz w:val="16"/>
          <w:szCs w:val="16"/>
          <w:u w:val="single" w:color="auto"/>
          <w:color w:val="auto"/>
        </w:rPr>
        <w:t>Section 2.5(b)</w:t>
      </w:r>
      <w:r>
        <w:rPr>
          <w:rFonts w:ascii="Arial" w:cs="Arial" w:eastAsia="Arial" w:hAnsi="Arial"/>
          <w:sz w:val="16"/>
          <w:szCs w:val="16"/>
          <w:color w:val="auto"/>
        </w:rPr>
        <w:t>, the escrow account designated in escrow agreements reasonably acceptable to the Company and the Requisite Commitment Parties (the “</w:t>
      </w:r>
      <w:r>
        <w:rPr>
          <w:rFonts w:ascii="Arial" w:cs="Arial" w:eastAsia="Arial" w:hAnsi="Arial"/>
          <w:sz w:val="16"/>
          <w:szCs w:val="16"/>
          <w:b w:val="1"/>
          <w:bCs w:val="1"/>
          <w:u w:val="single" w:color="auto"/>
          <w:color w:val="auto"/>
        </w:rPr>
        <w:t>Escrow Account</w:t>
      </w:r>
      <w:r>
        <w:rPr>
          <w:rFonts w:ascii="Arial" w:cs="Arial" w:eastAsia="Arial" w:hAnsi="Arial"/>
          <w:sz w:val="16"/>
          <w:szCs w:val="16"/>
          <w:color w:val="auto"/>
        </w:rPr>
        <w:t>”), to which such Commitment Party shall deliver and pay the aggregate Note Purchase Price for such Commitment Party’s Commitment Percentage of the Unsubscribed Notes and, if not previously paid, the aggregate Note Purchase Price for the Rights Offering Notes such Commitment Party has subscribed for in the Rights Offering. The Company shall promptly direct the Rights Offering Subscription Agent to provide any written backup, information and documentation relating to the information contained in the applicable Funding Notice as any Commitment Party may reasonably request.</w:t>
      </w:r>
    </w:p>
    <w:p>
      <w:pPr>
        <w:spacing w:after="0" w:line="1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419" w:name="page420"/>
    <w:bookmarkEnd w:id="419"/>
    <w:p>
      <w:pPr>
        <w:ind w:left="180" w:firstLine="1287"/>
        <w:spacing w:after="0" w:line="255" w:lineRule="auto"/>
        <w:tabs>
          <w:tab w:leader="none" w:pos="197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Escrow Account Funding</w:t>
      </w:r>
      <w:r>
        <w:rPr>
          <w:rFonts w:ascii="Arial" w:cs="Arial" w:eastAsia="Arial" w:hAnsi="Arial"/>
          <w:sz w:val="18"/>
          <w:szCs w:val="18"/>
          <w:color w:val="auto"/>
        </w:rPr>
        <w:t>. No later than the second (2nd) Business Day following receipt of the Funding Notice (the “</w:t>
      </w:r>
      <w:r>
        <w:rPr>
          <w:rFonts w:ascii="Arial" w:cs="Arial" w:eastAsia="Arial" w:hAnsi="Arial"/>
          <w:sz w:val="18"/>
          <w:szCs w:val="18"/>
          <w:b w:val="1"/>
          <w:bCs w:val="1"/>
          <w:u w:val="single" w:color="auto"/>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Account Funding Date</w:t>
      </w:r>
      <w:r>
        <w:rPr>
          <w:rFonts w:ascii="Arial" w:cs="Arial" w:eastAsia="Arial" w:hAnsi="Arial"/>
          <w:sz w:val="18"/>
          <w:szCs w:val="18"/>
          <w:color w:val="auto"/>
        </w:rPr>
        <w:t>”), each Commitment Party shall deliver and pay an amount equal to the sum of (i) the aggregate Note Purchase Price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Party’s Commitment Percentage of the Unsubscribed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Note Purchase Price for the Rights Offering Notes issuable pursuant to such Commitment Party’s exercise of the Subscription Rights that such Commitment Party exercised in the Rights Offering (the “</w:t>
      </w:r>
      <w:r>
        <w:rPr>
          <w:rFonts w:ascii="Arial" w:cs="Arial" w:eastAsia="Arial" w:hAnsi="Arial"/>
          <w:sz w:val="18"/>
          <w:szCs w:val="18"/>
          <w:b w:val="1"/>
          <w:bCs w:val="1"/>
          <w:u w:val="single" w:color="auto"/>
          <w:color w:val="auto"/>
        </w:rPr>
        <w:t>Funding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Amount</w:t>
      </w:r>
      <w:r>
        <w:rPr>
          <w:rFonts w:ascii="Arial" w:cs="Arial" w:eastAsia="Arial" w:hAnsi="Arial"/>
          <w:sz w:val="18"/>
          <w:szCs w:val="18"/>
          <w:color w:val="auto"/>
        </w:rPr>
        <w:t>”), by wire transfer of immediately available funds in U.S. dollars into the Escrow Account in satisfaction of such Commitment Party’s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Backstop Commitment and the Subscription Rights that such Commitment Party exercised. If the Closing does not occur, all amounts deposited by the Commitment Parties in the Escrow Account shall be returned promptly to the Commitment Parties in accordance with the terms of the escrow agreement.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ind w:left="80" w:right="80" w:firstLine="1306"/>
        <w:spacing w:after="0" w:line="257" w:lineRule="auto"/>
        <w:tabs>
          <w:tab w:leader="none" w:pos="1941"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unless otherwise mutually agreed in writing between the Debtors and the Requisite Commitment Parties, the closing of the Rights Offering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shall take place electronically at 10:00 a.m., New York City time, on the date on which all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or waived in accordance with this Agreement (other than conditions that by their terms are to be satisfied at the Closing, but subject to the satisfaction or waiver of such conditions). The date on which the Closing actually occurs shall be referred to herein as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960" w:hanging="574"/>
        <w:spacing w:after="0"/>
        <w:tabs>
          <w:tab w:leader="none" w:pos="19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At the Closing, the funds held in the Escrow Account shall be released and utilized in accordance with the Plan.</w:t>
      </w:r>
    </w:p>
    <w:p>
      <w:pPr>
        <w:spacing w:after="0" w:line="225" w:lineRule="exact"/>
        <w:rPr>
          <w:rFonts w:ascii="Arial" w:cs="Arial" w:eastAsia="Arial" w:hAnsi="Arial"/>
          <w:sz w:val="18"/>
          <w:szCs w:val="18"/>
          <w:color w:val="auto"/>
        </w:rPr>
      </w:pPr>
    </w:p>
    <w:p>
      <w:pPr>
        <w:jc w:val="both"/>
        <w:ind w:left="180" w:right="60" w:firstLine="1287"/>
        <w:spacing w:after="0" w:line="279" w:lineRule="auto"/>
        <w:tabs>
          <w:tab w:leader="none" w:pos="1973" w:val="left"/>
        </w:tabs>
        <w:numPr>
          <w:ilvl w:val="1"/>
          <w:numId w:val="542"/>
        </w:numPr>
        <w:rPr>
          <w:rFonts w:ascii="Arial" w:cs="Arial" w:eastAsia="Arial" w:hAnsi="Arial"/>
          <w:sz w:val="17"/>
          <w:szCs w:val="17"/>
          <w:color w:val="auto"/>
        </w:rPr>
      </w:pPr>
      <w:r>
        <w:rPr>
          <w:rFonts w:ascii="Arial" w:cs="Arial" w:eastAsia="Arial" w:hAnsi="Arial"/>
          <w:sz w:val="17"/>
          <w:szCs w:val="17"/>
          <w:color w:val="auto"/>
        </w:rPr>
        <w:t>At the Closing, the Debtors shall take all necessary actions with the New Senior Unsecured Notes Indenture Trustee and DTC to have the Rights Offering Notes be issued in book-entry form, and shall notify the Commitment Parties of any actions required to be taken by, or on behalf of the Commitment Parties through their respective brokers, for the Rights Offering Notes purchased by the Commitment Parties on the Closing Date to be credited to the respective accounts of the Commitment Parties in accordance with applicable procedures of DTC.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BACKSTOP COMMITMENT PAYMENT AND EXPENSE REIMBURSEMENT</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Amount Payable by the Debtors</w:t>
      </w:r>
      <w:r>
        <w:rPr>
          <w:rFonts w:ascii="Arial" w:cs="Arial" w:eastAsia="Arial" w:hAnsi="Arial"/>
          <w:sz w:val="17"/>
          <w:szCs w:val="17"/>
          <w:color w:val="auto"/>
        </w:rPr>
        <w:t>. In consideration for the Rights Offering Backstop Commitments and the other agreements of the Commitment Parties in this Agreement, the Debtors have paid or caused to be paid on or prior to the execution of this Agreement, an aggregate payment in an amount equal to $62,500,000.00, which payment has been paid in cash to the Commitment Parties or their designees based upon their respective Commitment Percentages (the “</w:t>
      </w:r>
      <w:r>
        <w:rPr>
          <w:rFonts w:ascii="Arial" w:cs="Arial" w:eastAsia="Arial" w:hAnsi="Arial"/>
          <w:sz w:val="17"/>
          <w:szCs w:val="17"/>
          <w:b w:val="1"/>
          <w:bCs w:val="1"/>
          <w:u w:val="single" w:color="auto"/>
          <w:color w:val="auto"/>
        </w:rPr>
        <w:t>Commitment Payment</w:t>
      </w:r>
      <w:r>
        <w:rPr>
          <w:rFonts w:ascii="Arial" w:cs="Arial" w:eastAsia="Arial" w:hAnsi="Arial"/>
          <w:sz w:val="17"/>
          <w:szCs w:val="17"/>
          <w:color w:val="auto"/>
        </w:rPr>
        <w:t xml:space="preserve">”). The Commitment Payment is and has been fully earned, nonrefundable (except as otherwise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9.4(b)</w:t>
      </w:r>
      <w:r>
        <w:rPr>
          <w:rFonts w:ascii="Arial" w:cs="Arial" w:eastAsia="Arial" w:hAnsi="Arial"/>
          <w:sz w:val="17"/>
          <w:szCs w:val="17"/>
          <w:color w:val="auto"/>
        </w:rPr>
        <w:t xml:space="preserve"> of this Agreement) and non-avoidable and has been paid by the Debtors, free and clear of any withholding or deduction for any applicable Taxes or any other claim, setoff, or reserve. The Commitment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420" w:name="page421"/>
    <w:bookmarkEnd w:id="420"/>
    <w:p>
      <w:pPr>
        <w:ind w:right="120"/>
        <w:spacing w:after="0" w:line="286" w:lineRule="auto"/>
        <w:rPr>
          <w:sz w:val="20"/>
          <w:szCs w:val="20"/>
          <w:color w:val="auto"/>
        </w:rPr>
      </w:pPr>
      <w:r>
        <w:rPr>
          <w:rFonts w:ascii="Arial" w:cs="Arial" w:eastAsia="Arial" w:hAnsi="Arial"/>
          <w:sz w:val="17"/>
          <w:szCs w:val="17"/>
          <w:color w:val="auto"/>
        </w:rPr>
        <w:t>Payment has been paid regardless of the principal amount of Unsubscribed Notes (if any) actually existing or purchased. The provisions for the payment of the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Expense Reimbursement</w:t>
      </w:r>
      <w:r>
        <w:rPr>
          <w:rFonts w:ascii="Arial" w:cs="Arial" w:eastAsia="Arial" w:hAnsi="Arial"/>
          <w:sz w:val="16"/>
          <w:szCs w:val="16"/>
          <w:color w:val="auto"/>
        </w:rPr>
        <w:t>. Until the earlier to occur of (i) the Closing and (ii) the termination of this Agreement in accordance with its terms, regardless of whether the Restructuring Transactions are consummated, the Debtors agree to pay in cash (i) all reasonable and documented out-of-pocket fees and expenses (including travel costs and expenses) of all of the Advisors incurred on behalf of the Commitment Parties in connection with the Cases and/or the Restructuring (whether incurred before or after the Petition Date), including the negotiation, preparation and implementation of the Transaction Agreements and the other agreements and transactions contemplated hereby and thereby, in each case, in accordance with the engagement letters of such Advisor signed by the Debtors, including, without limitation, any success fees earned and payable under such engagement letters, and in each case, without further order of, or application to, the Bankruptcy Court by such Advisors, as applicable and (ii) any applicable filing or other similar fees required to be paid in all applicable jurisdictions (such payment obligations, the “</w:t>
      </w: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w:t>
      </w:r>
    </w:p>
    <w:p>
      <w:pPr>
        <w:spacing w:after="0" w:line="166" w:lineRule="exact"/>
        <w:rPr>
          <w:sz w:val="20"/>
          <w:szCs w:val="20"/>
          <w:color w:val="auto"/>
        </w:rPr>
      </w:pPr>
    </w:p>
    <w:p>
      <w:pPr>
        <w:ind w:firstLine="1306"/>
        <w:spacing w:after="0" w:line="259" w:lineRule="auto"/>
        <w:tabs>
          <w:tab w:leader="none" w:pos="1861" w:val="left"/>
        </w:tabs>
        <w:numPr>
          <w:ilvl w:val="0"/>
          <w:numId w:val="543"/>
        </w:numPr>
        <w:rPr>
          <w:rFonts w:ascii="Arial" w:cs="Arial" w:eastAsia="Arial" w:hAnsi="Arial"/>
          <w:sz w:val="18"/>
          <w:szCs w:val="18"/>
          <w:color w:val="auto"/>
        </w:rPr>
      </w:pPr>
      <w:r>
        <w:rPr>
          <w:rFonts w:ascii="Arial" w:cs="Arial" w:eastAsia="Arial" w:hAnsi="Arial"/>
          <w:sz w:val="18"/>
          <w:szCs w:val="18"/>
          <w:color w:val="auto"/>
        </w:rPr>
        <w:t>Simultaneously with the execution of this Agreement, the Debtors shall pay (i) all reasonable and documented fees and expenses of Akin Gump incurred or estimated to be incurred prior to and including the date hereof and (ii) an amount equal to $1,000,000 to Akin Gump (the “</w:t>
      </w:r>
      <w:r>
        <w:rPr>
          <w:rFonts w:ascii="Arial" w:cs="Arial" w:eastAsia="Arial" w:hAnsi="Arial"/>
          <w:sz w:val="18"/>
          <w:szCs w:val="18"/>
          <w:b w:val="1"/>
          <w:bCs w:val="1"/>
          <w:u w:val="single" w:color="auto"/>
          <w:color w:val="auto"/>
        </w:rPr>
        <w:t>Akin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Advance Payment</w:t>
      </w:r>
      <w:r>
        <w:rPr>
          <w:rFonts w:ascii="Arial" w:cs="Arial" w:eastAsia="Arial" w:hAnsi="Arial"/>
          <w:sz w:val="18"/>
          <w:szCs w:val="18"/>
          <w:color w:val="auto"/>
        </w:rPr>
        <w:t>”) and an amount equal to $1,000,000 to Evercore (the “</w:t>
      </w:r>
      <w:r>
        <w:rPr>
          <w:rFonts w:ascii="Arial" w:cs="Arial" w:eastAsia="Arial" w:hAnsi="Arial"/>
          <w:sz w:val="18"/>
          <w:szCs w:val="18"/>
          <w:b w:val="1"/>
          <w:bCs w:val="1"/>
          <w:u w:val="single" w:color="auto"/>
          <w:color w:val="auto"/>
        </w:rPr>
        <w:t>Evercore Advance Payment</w:t>
      </w:r>
      <w:r>
        <w:rPr>
          <w:rFonts w:ascii="Arial" w:cs="Arial" w:eastAsia="Arial" w:hAnsi="Arial"/>
          <w:sz w:val="18"/>
          <w:szCs w:val="18"/>
          <w:color w:val="auto"/>
        </w:rPr>
        <w:t>”) and such amounts shall be considered as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w:t>
      </w:r>
    </w:p>
    <w:p>
      <w:pPr>
        <w:spacing w:after="0" w:line="186" w:lineRule="exact"/>
        <w:rPr>
          <w:rFonts w:ascii="Arial" w:cs="Arial" w:eastAsia="Arial" w:hAnsi="Arial"/>
          <w:sz w:val="18"/>
          <w:szCs w:val="18"/>
          <w:color w:val="auto"/>
        </w:rPr>
      </w:pPr>
    </w:p>
    <w:p>
      <w:pPr>
        <w:ind w:right="60" w:firstLine="1306"/>
        <w:spacing w:after="0" w:line="270" w:lineRule="auto"/>
        <w:tabs>
          <w:tab w:leader="none" w:pos="1871" w:val="left"/>
        </w:tabs>
        <w:numPr>
          <w:ilvl w:val="0"/>
          <w:numId w:val="543"/>
        </w:numPr>
        <w:rPr>
          <w:rFonts w:ascii="Arial" w:cs="Arial" w:eastAsia="Arial" w:hAnsi="Arial"/>
          <w:sz w:val="17"/>
          <w:szCs w:val="17"/>
          <w:color w:val="auto"/>
        </w:rPr>
      </w:pPr>
      <w:r>
        <w:rPr>
          <w:rFonts w:ascii="Arial" w:cs="Arial" w:eastAsia="Arial" w:hAnsi="Arial"/>
          <w:sz w:val="17"/>
          <w:szCs w:val="17"/>
          <w:color w:val="auto"/>
        </w:rPr>
        <w:t>If, as of the earlier of the Closing or the termination of this Agreement in accordance with Article IX, as applicable, and after the application of the Akin Advance Payment or the Evercore Advance Payment, as applicable, to fees and expenses of Akin Gump and/or Evercore included in the Expense Reimbursement, there remain outstanding amounts in the Akin Advance Payment or the Evercore Advance Payment, as applicable (any such amount the “</w:t>
      </w:r>
      <w:r>
        <w:rPr>
          <w:rFonts w:ascii="Arial" w:cs="Arial" w:eastAsia="Arial" w:hAnsi="Arial"/>
          <w:sz w:val="17"/>
          <w:szCs w:val="17"/>
          <w:b w:val="1"/>
          <w:bCs w:val="1"/>
          <w:u w:val="single" w:color="auto"/>
          <w:color w:val="auto"/>
        </w:rPr>
        <w:t>Advance Payment Surplus</w:t>
      </w:r>
      <w:r>
        <w:rPr>
          <w:rFonts w:ascii="Arial" w:cs="Arial" w:eastAsia="Arial" w:hAnsi="Arial"/>
          <w:sz w:val="17"/>
          <w:szCs w:val="17"/>
          <w:color w:val="auto"/>
        </w:rPr>
        <w:t>”), then Akin Gump and/or Evercore, as applicable, shall repay their portion (if any) of the Advance Payment Surplus to the Company either within ten (10) days of Closing or within ten (10) days following the termination of this Agreement in accordance with Article IX, as applicable; provided, that, in the event Closing occurs, the “</w:t>
      </w:r>
      <w:r>
        <w:rPr>
          <w:rFonts w:ascii="Arial" w:cs="Arial" w:eastAsia="Arial" w:hAnsi="Arial"/>
          <w:sz w:val="17"/>
          <w:szCs w:val="17"/>
          <w:b w:val="1"/>
          <w:bCs w:val="1"/>
          <w:u w:val="single" w:color="auto"/>
          <w:color w:val="auto"/>
        </w:rPr>
        <w:t>Expense Reimbursement</w:t>
      </w:r>
      <w:r>
        <w:rPr>
          <w:rFonts w:ascii="Arial" w:cs="Arial" w:eastAsia="Arial" w:hAnsi="Arial"/>
          <w:sz w:val="17"/>
          <w:szCs w:val="17"/>
          <w:color w:val="auto"/>
        </w:rPr>
        <w:t>” shall also include (for all purposes including determination of the existence of an Advance Payment Surplus) all fees and expenses reasonably expected to be incurred by Akin Gump and/or Evercore, as applicable, related to the Restructuring Transactions following Closing (such portion of the Expense Reimbursement in such scenario, the “</w:t>
      </w:r>
      <w:r>
        <w:rPr>
          <w:rFonts w:ascii="Arial" w:cs="Arial" w:eastAsia="Arial" w:hAnsi="Arial"/>
          <w:sz w:val="17"/>
          <w:szCs w:val="17"/>
          <w:b w:val="1"/>
          <w:bCs w:val="1"/>
          <w:u w:val="single" w:color="auto"/>
          <w:color w:val="auto"/>
        </w:rPr>
        <w:t>Post-Closing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which shall be paid in connection with Closing as an advance payment.</w:t>
      </w:r>
    </w:p>
    <w:p>
      <w:pPr>
        <w:spacing w:after="0" w:line="181" w:lineRule="exact"/>
        <w:rPr>
          <w:rFonts w:ascii="Arial" w:cs="Arial" w:eastAsia="Arial" w:hAnsi="Arial"/>
          <w:sz w:val="17"/>
          <w:szCs w:val="17"/>
          <w:color w:val="auto"/>
        </w:rPr>
      </w:pPr>
    </w:p>
    <w:p>
      <w:pPr>
        <w:jc w:val="both"/>
        <w:ind w:right="140" w:firstLine="1306"/>
        <w:spacing w:after="0" w:line="264" w:lineRule="auto"/>
        <w:tabs>
          <w:tab w:leader="none" w:pos="1874"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Expense Reimbursement incurred by Akin Gump or Evercore in excess of the Akin Advance Payment or Evercore Advance Payment (including for Post-Closing Expenses), as applicable, and any other Expense Reimbursement due to any other person, shall be due and payable by the Company contemporaneously with Closing and shall not be due and payable prior thereto.</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421" w:name="page422"/>
    <w:bookmarkEnd w:id="421"/>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DEBTORS</w:t>
      </w:r>
    </w:p>
    <w:p>
      <w:pPr>
        <w:spacing w:after="0" w:line="22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Except as disclosed in the Company SEC Documents filed with the SEC on or after December 31, 2017 and publicly available on the SEC’s Electronic Data-Gathering, Analysis and Retrieval system prior to the date hereof (excluding any disclosures contained in the “Forward-Looking Statements” or “Risk Factors” sections thereof, or any other statements that are similarly predictive, cautionary or forward looking in nature), the Company, on behalf of itself and each of the other Debtors, jointly and severally, hereby represents and warrants to the Commitment Parties (unless otherwise set forth herein, as of the date of this Agreement and as of the Closing Date) as set forth below.</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of the Debtors and each of their Subsidiaries (a) is a duly organized and validly existing public limited corporation, limited liability company, exempted company, corporation, limited partnership or other such form of entity, as the case may be, and, if applicable, in good standing (or the equivalent thereof) under the Laws of the jurisdiction of its incorporation or organization (except where the failure to have such authority or qualification would not reasonably be expected to have, individually or in the aggregate, a Material Adverse Effect), (b) has the public limited corporate, limited liability company, exempted company, corporate, limited partnership or other applicable power and authority to own its property and assets and to transact the business in which it is currently engaged and presently proposes to engage and (c) except where the failure to have such authority or qualification would not reasonably be expected to have, individually or in the aggregate, a Material Adverse Effect, is duly qualified and is authorized to do business and is in good standing in each jurisdiction where the conduct of its business as currently conducted requires such qualifications.</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Corporate Power and Authority</w:t>
      </w:r>
      <w:r>
        <w:rPr>
          <w:rFonts w:ascii="Arial" w:cs="Arial" w:eastAsia="Arial" w:hAnsi="Arial"/>
          <w:sz w:val="16"/>
          <w:szCs w:val="16"/>
          <w:color w:val="auto"/>
        </w:rPr>
        <w:t>. Each of the Debtors has the requisite power and authority (corporate or otherwise) (i) (A) subject to entry of the Rights Offering Approval Order, the Confirmation Order, and any other applicable orders of the Bankruptcy Court, to enter into, execute and deliver this Agreement and to perform the Rights Offering Approval Obligations and (B) subject to entry of the Rights Offering Approval Order, the Confirmation Order, and any other applicable orders of the Bankruptcy Court, to perform each of its other obligations hereunder and (ii) subject to entry of the Rights Offering Approval Order, the Confirmation Order, and any other applicable orders of the Bankruptcy Court, to consummate the transactions contemplated herein and in the Plan, to enter into, execute and deliver all agreements to which it will be a party as contemplated by this Agreement and the Plan (this Agreement, the Plan, the Disclosure Statement, the debtor-in-possession credit agreement for the DIP Facility to be entered into in accordance with the DIP Orders, the Exit Facilities, and such other agreements and any Plan supplements or documents referred to herein or therein or hereunder or thereunder, collectively with the Restructuring Support Agreement, the “</w:t>
      </w:r>
      <w:r>
        <w:rPr>
          <w:rFonts w:ascii="Arial" w:cs="Arial" w:eastAsia="Arial" w:hAnsi="Arial"/>
          <w:sz w:val="16"/>
          <w:szCs w:val="16"/>
          <w:b w:val="1"/>
          <w:bCs w:val="1"/>
          <w:u w:val="single" w:color="auto"/>
          <w:color w:val="auto"/>
        </w:rPr>
        <w:t>Transaction Agreements</w:t>
      </w:r>
      <w:r>
        <w:rPr>
          <w:rFonts w:ascii="Arial" w:cs="Arial" w:eastAsia="Arial" w:hAnsi="Arial"/>
          <w:sz w:val="16"/>
          <w:szCs w:val="16"/>
          <w:color w:val="auto"/>
        </w:rPr>
        <w:t>”) and to perform its obligations under each of the Transaction Agreements (other than this Agreement). Subject to the receipt of the foregoing Orders, as applicable, the execution and delivery of this Agreement and each of the other Transaction Agreements and the consummation of the transactions contemplated hereby and thereby have been or will be duly authorized by all requisite corporate action on behalf of the Debtors and no other corporate proceedings on the part of the Debtors are or will be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2" w:name="page423"/>
    <w:bookmarkEnd w:id="422"/>
    <w:p>
      <w:pPr>
        <w:ind w:left="80"/>
        <w:spacing w:after="0"/>
        <w:rPr>
          <w:sz w:val="20"/>
          <w:szCs w:val="20"/>
          <w:color w:val="auto"/>
        </w:rPr>
      </w:pPr>
      <w:r>
        <w:rPr>
          <w:rFonts w:ascii="Arial" w:cs="Arial" w:eastAsia="Arial" w:hAnsi="Arial"/>
          <w:sz w:val="16"/>
          <w:szCs w:val="16"/>
          <w:color w:val="auto"/>
        </w:rPr>
        <w:t>necessary to authorize this Agreement or any of the other Transaction Agreements or to consummate the transactions contemplated hereby or thereby.</w:t>
      </w:r>
    </w:p>
    <w:p>
      <w:pPr>
        <w:spacing w:after="0" w:line="24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Execution and Delivery; Enforceability</w:t>
      </w:r>
      <w:r>
        <w:rPr>
          <w:rFonts w:ascii="Arial" w:cs="Arial" w:eastAsia="Arial" w:hAnsi="Arial"/>
          <w:sz w:val="17"/>
          <w:szCs w:val="17"/>
          <w:color w:val="auto"/>
        </w:rPr>
        <w:t>. Each of the Debtors that has entered into this Agreement or any other Transaction Agreement, as applicable, has the requisite power and authority (corporate or otherwise) to enter into, execute and deliver this Agreement and, subject to entry of the Confirmation Order, each other Transaction Agreement to which it is a party. This Agreement will constitute, and each other Transaction Agreement upon execution will constitute, valid and legally binding obligations of the Debtors, as applicable, that are parties hereto or thereto, enforceable against the Debtors, as applicable, in accordance with their respective terms, except as enforceability may be limited by bankruptcy, insolvency, reorganization or other similar laws limiting creditors’ rights generally or by equitable principles relating to enforceability.</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Authorized and Issued Equity Interests</w:t>
      </w:r>
      <w:r>
        <w:rPr>
          <w:rFonts w:ascii="Arial" w:cs="Arial" w:eastAsia="Arial" w:hAnsi="Arial"/>
          <w:sz w:val="16"/>
          <w:szCs w:val="16"/>
          <w:color w:val="auto"/>
        </w:rPr>
        <w:t>.</w:t>
      </w:r>
    </w:p>
    <w:p>
      <w:pPr>
        <w:spacing w:after="0" w:line="225" w:lineRule="exact"/>
        <w:rPr>
          <w:sz w:val="20"/>
          <w:szCs w:val="20"/>
          <w:color w:val="auto"/>
        </w:rPr>
      </w:pPr>
    </w:p>
    <w:p>
      <w:pPr>
        <w:ind w:left="80" w:right="40" w:firstLine="1306"/>
        <w:spacing w:after="0" w:line="257" w:lineRule="auto"/>
        <w:tabs>
          <w:tab w:leader="none" w:pos="1941"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All of the outstanding shares of capital stock of each of the Debtors are duly authorized, validly issued, fully paid, and nonassessable, and all such shares (other than those of the Company) are owned by the Company or another wholly owned subsidiary of the Company free and clear of all liens, preemptive rights, rights of first refusal, subscription, and similar rights that would not be cancelled and extinguished on or prior to the Effective Date except as shall be permitted under the Plan or as shall be described in the Disclosure Statement (including liens granted under the exit financing obtained by the Debtors).</w:t>
      </w:r>
    </w:p>
    <w:p>
      <w:pPr>
        <w:spacing w:after="0" w:line="188" w:lineRule="exact"/>
        <w:rPr>
          <w:rFonts w:ascii="Arial" w:cs="Arial" w:eastAsia="Arial" w:hAnsi="Arial"/>
          <w:sz w:val="18"/>
          <w:szCs w:val="18"/>
          <w:color w:val="auto"/>
        </w:rPr>
      </w:pPr>
    </w:p>
    <w:p>
      <w:pPr>
        <w:ind w:right="20" w:firstLine="1386"/>
        <w:spacing w:after="0" w:line="287" w:lineRule="auto"/>
        <w:tabs>
          <w:tab w:leader="none" w:pos="1952" w:val="left"/>
        </w:tabs>
        <w:numPr>
          <w:ilvl w:val="0"/>
          <w:numId w:val="544"/>
        </w:numPr>
        <w:rPr>
          <w:rFonts w:ascii="Arial" w:cs="Arial" w:eastAsia="Arial" w:hAnsi="Arial"/>
          <w:sz w:val="16"/>
          <w:szCs w:val="16"/>
          <w:color w:val="auto"/>
        </w:rPr>
      </w:pPr>
      <w:r>
        <w:rPr>
          <w:rFonts w:ascii="Arial" w:cs="Arial" w:eastAsia="Arial" w:hAnsi="Arial"/>
          <w:sz w:val="16"/>
          <w:szCs w:val="16"/>
          <w:color w:val="auto"/>
        </w:rPr>
        <w:t>Except as set forth in the Company SEC Documents, the Company Organizational Documents and this Agreement, as of the Closing Date, none of the Debtors or any of their respective Subsidiaries will be party to or otherwise bound by or subject to any outstanding option, warrant, call, right, security, commitment, Contract, arrangement or undertaking (including any preemptive right) that (i) obligates the Debtors or their respective Subsidiaries to issue, deliver, sell or transfer, or repurchase, redeem or otherwise acquire, or cause to be issued, delivered, sold or transferred, or repurchased, redeemed or otherwise acquired, any units or shares of the capital stock of, or other equity or voting interests in, any of the Debtors or their respective Subsidiaries or any security convertible or exercisable for or exchangeable into any units or capital stock of, or other equity or voting interest in, any of the Debtors or their respective Subsidiaries, (ii) obligates any of the Debtors or their respective Subsidiaries to issue, grant, extend or enter into any such option, warrant, call, right, security, commitment, Contract, arrangement or undertaking, (iii) restricts the Transfer of any units or shares of capital stock of any of the Debtors or their respective Subsidiaries (other than any restrictions included in the Exit Facilities or any corresponding pledge agreement or in the organizational documents of any joint venture of the Debtors or their subsidiaries) or (iv) relates to the voting of any equity interests in any of the Debtors or their respective Subsidiaries, except as to voting rights attendant to any such equity interests or as set forth in the organizational documents thereof.</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The Rights Offering Notes</w:t>
      </w:r>
      <w:r>
        <w:rPr>
          <w:rFonts w:ascii="Arial" w:cs="Arial" w:eastAsia="Arial" w:hAnsi="Arial"/>
          <w:sz w:val="18"/>
          <w:szCs w:val="18"/>
          <w:color w:val="auto"/>
        </w:rPr>
        <w:t>. The Rights Offering Notes to be purchased by the Commitment Parties from the Debtors will (A) on the Closing Date, be in the form contemplated by the indenture governing such Rights Offering Notes, have been duly authorized for issuance and sale pursuant to this Agreement and the Indenture governing such Rights Offering Notes and (B) at the Closing Date, will have been duly executed by the Debtors and, when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3" w:name="page424"/>
    <w:bookmarkEnd w:id="423"/>
    <w:p>
      <w:pPr>
        <w:ind w:right="60"/>
        <w:spacing w:after="0" w:line="270" w:lineRule="auto"/>
        <w:rPr>
          <w:sz w:val="20"/>
          <w:szCs w:val="20"/>
          <w:color w:val="auto"/>
        </w:rPr>
      </w:pPr>
      <w:r>
        <w:rPr>
          <w:rFonts w:ascii="Arial" w:cs="Arial" w:eastAsia="Arial" w:hAnsi="Arial"/>
          <w:sz w:val="17"/>
          <w:szCs w:val="17"/>
          <w:color w:val="auto"/>
        </w:rPr>
        <w:t>authenticated in the manner provided for in the Indenture governing such Rights Offering Notes and delivered against payment of the purchase price therefor, will constitute valid and binding obligations of the Company, except as enforceability may be limited by bankruptcy, insolvency, reorganization or other similar laws limiting creditors’ rights generally or by equitable principles relating to enforceability. The guarantees by the guarantors (the “</w:t>
      </w:r>
      <w:r>
        <w:rPr>
          <w:rFonts w:ascii="Arial" w:cs="Arial" w:eastAsia="Arial" w:hAnsi="Arial"/>
          <w:sz w:val="17"/>
          <w:szCs w:val="17"/>
          <w:b w:val="1"/>
          <w:bCs w:val="1"/>
          <w:u w:val="single" w:color="auto"/>
          <w:color w:val="auto"/>
        </w:rPr>
        <w:t>Guarantees</w:t>
      </w:r>
      <w:r>
        <w:rPr>
          <w:rFonts w:ascii="Arial" w:cs="Arial" w:eastAsia="Arial" w:hAnsi="Arial"/>
          <w:sz w:val="17"/>
          <w:szCs w:val="17"/>
          <w:color w:val="auto"/>
        </w:rPr>
        <w:t>”) on the Closing Date when issued will be in the respective forms contemplated by the Indenture governing such Guarantee and have been duly authorized for issuance pursuant to the Indenture governing such Guarantee; the Guarantees, at the Closing Date, have been duly executed by each of the guarantors and, when the applicable Rights Offering Notes have been authenticated in the manner provided for in the Indenture governing such Guarantee and issued and delivered against payment of the purchase price therefor, such Guarantee will constitute a valid and binding agreement of the applicable guarantor, enforceable against such guarantor in accordance with its terms, except as enforceability may be limited by bankruptcy, insolvency, reorganization or other similar laws limiting creditors’ rights generally or by equitable principles relating to enforceability.</w:t>
      </w:r>
    </w:p>
    <w:p>
      <w:pPr>
        <w:spacing w:after="0" w:line="182"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Assuming the consents described in clauses (a) through (e) of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are obtained, the execution and delivery by the Company and, if applicable, any other Debtor, of this Agreement, the Plan and the other Transaction Agreements, the compliance by the Company and, if applicable, any other Debtor, with the provisions hereof and thereof and the consummation of the transactions contemplated herein and therein will not</w:t>
      </w:r>
    </w:p>
    <w:p>
      <w:pPr>
        <w:ind w:right="80" w:firstLine="8"/>
        <w:spacing w:after="0" w:line="268" w:lineRule="auto"/>
        <w:tabs>
          <w:tab w:leader="none" w:pos="245" w:val="left"/>
        </w:tabs>
        <w:numPr>
          <w:ilvl w:val="0"/>
          <w:numId w:val="545"/>
        </w:numPr>
        <w:rPr>
          <w:rFonts w:ascii="Arial" w:cs="Arial" w:eastAsia="Arial" w:hAnsi="Arial"/>
          <w:sz w:val="17"/>
          <w:szCs w:val="17"/>
          <w:color w:val="auto"/>
        </w:rPr>
      </w:pPr>
      <w:r>
        <w:rPr>
          <w:rFonts w:ascii="Arial" w:cs="Arial" w:eastAsia="Arial" w:hAnsi="Arial"/>
          <w:sz w:val="17"/>
          <w:szCs w:val="17"/>
          <w:color w:val="auto"/>
        </w:rPr>
        <w:t>conflict with, or result in a breach, modification or violation of, any of the terms or provisions of, or constitute a default under (with or without notice or lapse of time, or both), or result, except to the extent specified in the Plan, in the acceleration of, or the creation of any Lien under, or cause any payment or consent to be required under any Contract to which any Debtor will be bound as of the Closing Date after giving effect to the Plan or to which any of the property or assets of any Debtor will be subject as of the Closing Date after giving effect to the Plan, (b) result in any violation of the provisions of any of the Debtors’ organizational documents (in the case of each of (a) and (b), other than, for the avoidance of doubt, a breach or default that would be triggered as a result of the Cases or the Company’s or any Debtor’s undertaking to implement the Restructuring Transactions through the Cases), or (c) result in any violation of any Law or Order applicable to any Debtor or any of their properties, except in each of the cases described in clause (a) or (c) for any conflict, breach, modification, violation, default, acceleration or Lien which would not reasonably be expected to have, individually or in the aggregate, a Material Adverse Effect and would not materially and adversely affect the ability of the Debtors to perform their obligations under, or to consummate the transactions contemplated by, the Transaction Agreements, including the Rights Offering.</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consent, approval, authorization, Order, registration or qualification of or with any Governmental Entity having jurisdiction over any of the Debtors or any of their properties is required for the execution and delivery by the Company and, to the extent relevant, the other Debtors, of this Agreement, the Plan and the other Transaction Agreements, the compliance by the Company and, to the extent relevant, the other Debtors, with the provisions hereof and thereof and the consummation of the transactions contemplated herein and therein, except for (a) the entry of the Rights Offering Approval Order authorizing the Debtors to assume this Agreement and perform the Rights Offering Approval Obligations, (b) entry by the Bankruptcy Court, or any other court of competent jurisdiction, of Orders as may be necessary in the Cases from time-to-time; (c) the entry of the Confirmation Order, (d) filings, notifications,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4" w:name="page425"/>
    <w:bookmarkEnd w:id="424"/>
    <w:p>
      <w:pPr>
        <w:ind w:right="120"/>
        <w:spacing w:after="0" w:line="255" w:lineRule="auto"/>
        <w:rPr>
          <w:sz w:val="20"/>
          <w:szCs w:val="20"/>
          <w:color w:val="auto"/>
        </w:rPr>
      </w:pPr>
      <w:r>
        <w:rPr>
          <w:rFonts w:ascii="Arial" w:cs="Arial" w:eastAsia="Arial" w:hAnsi="Arial"/>
          <w:sz w:val="18"/>
          <w:szCs w:val="18"/>
          <w:color w:val="auto"/>
        </w:rPr>
        <w:t>authorizations, approvals, consents, clearances or termination or expiration of all applicable waiting periods under any Antitrust Laws in connection with the transactions contemplated by this Agreement, (e) such consents, approvals, authorizations, registrations or qualifications as may be required under state securities or “Blue Sky” Laws in connection with the purchase of the Unsubscribed Notes by the Commitment Parties, the issuance of the Subscription Rights, the issuance of the Rights Offering Notes pursuant to the exercise of the Subscription Rights or the issuance of Rights Offering Notes as payment of the Commitment Payment and (f) any consents, that if not made or obtained, would not reasonably be expected to have, individually or in the aggregate, a Material Adverse Effect.</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Arm’s-Length</w:t>
      </w:r>
      <w:r>
        <w:rPr>
          <w:rFonts w:ascii="Arial" w:cs="Arial" w:eastAsia="Arial" w:hAnsi="Arial"/>
          <w:sz w:val="16"/>
          <w:szCs w:val="16"/>
          <w:color w:val="auto"/>
        </w:rPr>
        <w:t>. The Debtors acknowledge and agree that (a) each of the Commitment Parties is acting solely in the capacity of an arm’s-length contractual counterparty to the Debtors with respect to the transactions contemplated hereby (including in connection with determining the terms of the Rights Offering) and not as a financial advisor or a fiduciary to, or an agent of, the Company or any of its Subsidiaries and (b) no Commitment Party is advising the Company or any of its Subsidiaries as to any legal, tax, investment, accounting or regulatory matters in any jurisdiction.</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audited consolidated balance sheets of the Company as at December 31, 2018 and the related consolidated statements of operations and of cash flows for the fiscal year then ended, as filed with the SEC (the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 in each case, present fairly in all material respects the consolidated financial condition of the Company as at such date, and the consolidated results of its operations and its consolidated cash flows for the fiscal year then ended. All such Financial Statements, including the related schedules and notes thereto, have been prepared in accordance with GAAP applied consistently throughout the periods involved (except as disclosed therein).</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The Debtors and each of their Subsidiaries, if applicable, have filed with or furnished to the SEC all reports, schedules, forms, statements and other documents (including exhibits and other information incorporated therein) required to be filed or furnished by them since December 31, 2017 under the Exchange Act or the Securities Act. As of their respective dates, and, if amended, as of the date of the last such amendment, each of the Company SEC Documents, including any financial statements or schedules included therein, (a) did not contain any untrue statement of a material fact or omit to state a material fact required to be stated in such Company SEC Document or necessary in order to make the statements in such Company SEC Document, in light of the circumstances under which they were made, not misleading and (b) complied in all material respects with the applicable requirements of the Exchange Act, the Securities Act and the Sarbanes-Oxley Act of 2002 (“</w:t>
      </w:r>
      <w:r>
        <w:rPr>
          <w:rFonts w:ascii="Arial" w:cs="Arial" w:eastAsia="Arial" w:hAnsi="Arial"/>
          <w:sz w:val="17"/>
          <w:szCs w:val="17"/>
          <w:b w:val="1"/>
          <w:bCs w:val="1"/>
          <w:u w:val="single" w:color="auto"/>
          <w:color w:val="auto"/>
        </w:rPr>
        <w:t>SOX</w:t>
      </w:r>
      <w:r>
        <w:rPr>
          <w:rFonts w:ascii="Arial" w:cs="Arial" w:eastAsia="Arial" w:hAnsi="Arial"/>
          <w:sz w:val="17"/>
          <w:szCs w:val="17"/>
          <w:color w:val="auto"/>
        </w:rPr>
        <w:t>”), as the case may be, and the applicable rules and regulations of the SEC under the Exchange Act, the Securities Act and SOX, as the case may be.</w:t>
      </w:r>
    </w:p>
    <w:p>
      <w:pPr>
        <w:spacing w:after="0" w:line="17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December 31, 2018, no event, development, occurrence, circumstance, effect, condition, result, state of facts or change has occurred or exists that has had or would be reasonably expected to have, individually or in the aggregate,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5" w:name="page426"/>
    <w:bookmarkEnd w:id="425"/>
    <w:p>
      <w:pPr>
        <w:ind w:firstLine="648"/>
        <w:spacing w:after="0" w:line="25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No Violation; Compliance with Laws</w:t>
      </w:r>
      <w:r>
        <w:rPr>
          <w:rFonts w:ascii="Arial" w:cs="Arial" w:eastAsia="Arial" w:hAnsi="Arial"/>
          <w:sz w:val="18"/>
          <w:szCs w:val="18"/>
          <w:color w:val="auto"/>
        </w:rPr>
        <w:t>. (a) The Company is not in violation of its charter or bylaws, and (b) no other Debtor or any of its Subsidiaries is in violation of its respective charter or bylaws, certificate of formation or limited liability company operating agreement or similar organizational document in any material respect. None of the Debtors or their Subsidiaries is or has been at any time since December 31, 2017 in violation of any Law or Order, except for any such violations that have not had and would not reasonably be expected to have, individually or in the aggregate, a Material Adverse Effect.</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Legal Proceedings</w:t>
      </w:r>
      <w:r>
        <w:rPr>
          <w:rFonts w:ascii="Arial" w:cs="Arial" w:eastAsia="Arial" w:hAnsi="Arial"/>
          <w:sz w:val="17"/>
          <w:szCs w:val="17"/>
          <w:color w:val="auto"/>
        </w:rPr>
        <w:t>. Other than the Cases and any adversary proceedings or contested motions commenced in connection therewith, (a) there are no material legal, governmental, administrative, judicial or regulatory investigations, audits, actions, suits, claims, arbitrations, demands, demand letters, claims, notices of noncompliance or violations, or proceedings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 pending or, to the Knowledge of the Company, threatened to which any of the Debtors or their Subsidiaries is a party or to which any property of any of the Debtors or their Subsidiaries is the subject which, if adversely determined, could reasonably be expected to have, individually or in the aggregate, a Material Adverse Effect and would not materially and adversely affect the ability of the Debtors to perform their obligations under, or to consummate the transactions contemplated by, the Transaction Agreements, including the Rights Offering, and (b) no event, development, occurrence, circumstance, effect, condition, result, state of facts or change has occurred or circumstances exist that may give rise to, or serve as a basis for, any such Legal Proceeding, in each case that in any manner draws into question the validity or enforceability of this Agreement, the Plan or the other Transaction Agreements or that would reasonably be expected to have, in the aggregate, a Material Adverse Effect.</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Labor Relations</w:t>
      </w:r>
      <w:r>
        <w:rPr>
          <w:rFonts w:ascii="Arial" w:cs="Arial" w:eastAsia="Arial" w:hAnsi="Arial"/>
          <w:sz w:val="16"/>
          <w:szCs w:val="16"/>
          <w:color w:val="auto"/>
        </w:rPr>
        <w:t>. Except as would not reasonably be expected to have, individually or in the aggregate, a Material Adverse Effect:</w:t>
      </w:r>
    </w:p>
    <w:p>
      <w:pPr>
        <w:spacing w:after="0" w:line="23" w:lineRule="exact"/>
        <w:rPr>
          <w:sz w:val="20"/>
          <w:szCs w:val="20"/>
          <w:color w:val="auto"/>
        </w:rPr>
      </w:pPr>
    </w:p>
    <w:p>
      <w:pPr>
        <w:ind w:firstLine="8"/>
        <w:spacing w:after="0" w:line="267" w:lineRule="auto"/>
        <w:tabs>
          <w:tab w:leader="none" w:pos="242" w:val="left"/>
        </w:tabs>
        <w:numPr>
          <w:ilvl w:val="0"/>
          <w:numId w:val="546"/>
        </w:numPr>
        <w:rPr>
          <w:rFonts w:ascii="Arial" w:cs="Arial" w:eastAsia="Arial" w:hAnsi="Arial"/>
          <w:sz w:val="17"/>
          <w:szCs w:val="17"/>
          <w:color w:val="auto"/>
        </w:rPr>
      </w:pPr>
      <w:r>
        <w:rPr>
          <w:rFonts w:ascii="Arial" w:cs="Arial" w:eastAsia="Arial" w:hAnsi="Arial"/>
          <w:sz w:val="17"/>
          <w:szCs w:val="17"/>
          <w:color w:val="auto"/>
        </w:rPr>
        <w:t>There are no strikes or other labor disputes pending or, to the Knowledge of the Company, threatened against any of the Debtors or their respective Subsidiaries; (b) to the Knowledge of the Company, the hours worked and payments made to employees of any of the Debtors or any of their respective Subsidiaries have not been in violation of the Fair Labor Standards Act of 1938 or any other applicable Law dealing with such matters; (c) all payments due from any of the Debtors or their Subsidiaries or for which any claim may be made against any of the Debtors or their Subsidiaries, on account of wages and employee health and welfare insurance and other benefits have been paid or accrued as a liability on the books of any of the Debtors or their respective Subsidiaries, as applicable, to the extent required by GAAP; (d) each of the Debtors and their Subsidiaries has complied and is currently in compliance with all Laws and legal requirements in respect of personnel, employment and employment practices (including for purposes of classification); and (e) the Debtors and their respective Subsidiaries have not and are not engaged in any unfair labor practice. Except as would not reasonably be expected to have, individually or in the aggregate, a Material Adverse Effect, the consummation of the transactions contemplated by the Transaction Agreements will not give rise to a right of termination or right of renegotiation on the part of any union under any material collective bargaining agreement to which any of the Debtors (or any predecessor) or any of their respective Subsidiaries is a party or by which any of the Debtors (or any predecessor) or any of their respective Subsidiaries is bound.</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would not reasonably be expected to have, individually or in the aggregate, a Material Adverse Effect, (a) each of the Debtors and each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6" w:name="page427"/>
    <w:bookmarkEnd w:id="426"/>
    <w:p>
      <w:pPr>
        <w:spacing w:after="0" w:line="284" w:lineRule="auto"/>
        <w:rPr>
          <w:sz w:val="20"/>
          <w:szCs w:val="20"/>
          <w:color w:val="auto"/>
        </w:rPr>
      </w:pPr>
      <w:r>
        <w:rPr>
          <w:rFonts w:ascii="Arial" w:cs="Arial" w:eastAsia="Arial" w:hAnsi="Arial"/>
          <w:sz w:val="16"/>
          <w:szCs w:val="16"/>
          <w:color w:val="auto"/>
        </w:rPr>
        <w:t>their Subsidiaries owns, or possesses the right to use, all of the patents, patent rights, trademarks, service marks, trade names, copyrights, mask works, domain names, and any and all applications or registrations for any of the foregoing (collectively, “</w:t>
      </w:r>
      <w:r>
        <w:rPr>
          <w:rFonts w:ascii="Arial" w:cs="Arial" w:eastAsia="Arial" w:hAnsi="Arial"/>
          <w:sz w:val="16"/>
          <w:szCs w:val="16"/>
          <w:b w:val="1"/>
          <w:bCs w:val="1"/>
          <w:u w:val="single" w:color="auto"/>
          <w:color w:val="auto"/>
        </w:rPr>
        <w:t>Intellectual Property Rights</w:t>
      </w:r>
      <w:r>
        <w:rPr>
          <w:rFonts w:ascii="Arial" w:cs="Arial" w:eastAsia="Arial" w:hAnsi="Arial"/>
          <w:sz w:val="16"/>
          <w:szCs w:val="16"/>
          <w:color w:val="auto"/>
        </w:rPr>
        <w:t>”) that are reasonably necessary for the operation of their respective businesses, without infringement upon the rights of any other Person (of which any of the Debtors and their Subsidiaries has been notified in writing), (b) to the Knowledge of the Company, none of the Debtors nor their respective Subsidiaries nor any Intellectual Property Right, proprietary right, product, process, method, substance, part, or other material now employed, sold or offered by or contemplated to be employed, sold or offered by such Person, is interfering with, infringing upon, misappropriating or otherwise violating any valid Intellectual Property Rights of any Person, and</w:t>
      </w:r>
    </w:p>
    <w:p>
      <w:pPr>
        <w:spacing w:after="0" w:line="5" w:lineRule="exact"/>
        <w:rPr>
          <w:sz w:val="20"/>
          <w:szCs w:val="20"/>
          <w:color w:val="auto"/>
        </w:rPr>
      </w:pPr>
    </w:p>
    <w:p>
      <w:pPr>
        <w:ind w:left="260" w:hanging="252"/>
        <w:spacing w:after="0"/>
        <w:tabs>
          <w:tab w:leader="none" w:pos="2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no claim or litigation regarding any of the foregoing is pending or, to the Knowledge of the Company, threatened.</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4.16</w:t>
      </w:r>
      <w:r>
        <w:rPr>
          <w:rFonts w:ascii="Arial" w:cs="Arial" w:eastAsia="Arial" w:hAnsi="Arial"/>
          <w:sz w:val="16"/>
          <w:szCs w:val="16"/>
          <w:u w:val="single" w:color="auto"/>
          <w:color w:val="auto"/>
        </w:rPr>
        <w:t>Title to Real and Personal Property</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right="100" w:firstLine="1305"/>
        <w:spacing w:after="0" w:line="254" w:lineRule="auto"/>
        <w:tabs>
          <w:tab w:leader="none" w:pos="1942" w:val="left"/>
        </w:tabs>
        <w:numPr>
          <w:ilvl w:val="1"/>
          <w:numId w:val="547"/>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Each of the Debtors and each of their respective Subsidiaries has valid fee simple title to, or a valid leasehold interest in, or valid easements or other limited property interests in, all of its Real Properties and has valid title to its personal properties and assets, in each case, except for Permitted Liens and except for defects in title that do not materially interfere with its ability to conduct its business as currently conducted or to utilize such properties and assets for their intended purposes, and except where the failure (or failures) to have such title would not reasonably be expected to have, individually or in the aggregate, a Material Adverse Effect; provided, however, the enforceability of the Debtors’ leasehold title in any leased Real Properties may be limited by applicable bankruptcy, insolvency, fraudulent transfer, reorganization, moratorium and other laws affecting creditor’s rights generally or general principles of equity, including the Cases. To the Knowledge of the Company, all such properties and assets are free and clear of Liens, other than Permitted Liens.</w:t>
      </w:r>
    </w:p>
    <w:p>
      <w:pPr>
        <w:spacing w:after="0" w:line="192" w:lineRule="exact"/>
        <w:rPr>
          <w:rFonts w:ascii="Arial" w:cs="Arial" w:eastAsia="Arial" w:hAnsi="Arial"/>
          <w:sz w:val="18"/>
          <w:szCs w:val="18"/>
          <w:color w:val="auto"/>
        </w:rPr>
      </w:pPr>
    </w:p>
    <w:p>
      <w:pPr>
        <w:ind w:right="60" w:firstLine="1305"/>
        <w:spacing w:after="0" w:line="291" w:lineRule="auto"/>
        <w:tabs>
          <w:tab w:leader="none" w:pos="1952" w:val="left"/>
        </w:tabs>
        <w:numPr>
          <w:ilvl w:val="1"/>
          <w:numId w:val="547"/>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Other than as a consequence of the Cases, each of the Debtors and each of their respective Subsidiaries is in compliance with all obligations under all leases to which it is a party that have not been rejected in the Cases, except where the failure to comply would not reasonably be expected to have, individually or in the aggregate, a Material Adverse Effect, and none of the Debtors or their Subsidiaries has received written notice of any good faith claim asserting that such leases are not in full force and effect, except leases in respect of which the failure to be in full force and effect would not reasonably be expected to have, individually or in the aggregate, a Material Adverse Effect. Each of the Debtors and each of their Subsidiaries enjoys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167" w:lineRule="exact"/>
        <w:rPr>
          <w:rFonts w:ascii="Arial" w:cs="Arial" w:eastAsia="Arial" w:hAnsi="Arial"/>
          <w:sz w:val="16"/>
          <w:szCs w:val="16"/>
          <w:color w:val="auto"/>
        </w:rPr>
      </w:pPr>
    </w:p>
    <w:p>
      <w:pPr>
        <w:jc w:val="both"/>
        <w:ind w:firstLine="1305"/>
        <w:spacing w:after="0" w:line="279" w:lineRule="auto"/>
        <w:tabs>
          <w:tab w:leader="none" w:pos="1955" w:val="left"/>
        </w:tabs>
        <w:numPr>
          <w:ilvl w:val="1"/>
          <w:numId w:val="547"/>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Other than as a consequence of the Cases, each of the Debtors and each of their Subsidiaries owns or possesses the right to use all of its personal property, including all Intellectual Property Rights and all licenses and rights with respect to any of the foregoing used in the conduct of their businesses, without any conflict (of which any of the Debtors and their Subsidiaries has been notified in writing) with the rights of others, and free from any burdensome restrictions on the present conduct of the Debtors or their respective Subsidiaries, 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7" w:name="page428"/>
    <w:bookmarkEnd w:id="427"/>
    <w:p>
      <w:pPr>
        <w:ind w:right="120"/>
        <w:spacing w:after="0" w:line="277" w:lineRule="auto"/>
        <w:rPr>
          <w:sz w:val="20"/>
          <w:szCs w:val="20"/>
          <w:color w:val="auto"/>
        </w:rPr>
      </w:pPr>
      <w:r>
        <w:rPr>
          <w:rFonts w:ascii="Arial" w:cs="Arial" w:eastAsia="Arial" w:hAnsi="Arial"/>
          <w:sz w:val="18"/>
          <w:szCs w:val="18"/>
          <w:color w:val="auto"/>
        </w:rPr>
        <w:t>the case may be, except where such conflicts and restrictions would not reasonably be expected to have, individually or in the aggregate, a Material Adverse Effect.</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No Undisclosed Relationships</w:t>
      </w:r>
      <w:r>
        <w:rPr>
          <w:rFonts w:ascii="Arial" w:cs="Arial" w:eastAsia="Arial" w:hAnsi="Arial"/>
          <w:sz w:val="17"/>
          <w:szCs w:val="17"/>
          <w:color w:val="auto"/>
        </w:rPr>
        <w:t>. There are no Contracts or other direct or indirect relationships existing as of the date hereof between or among any of the Debtors or their Subsidiaries, on the one hand, and any director, officer or greater than five percent (5%) stockholder of any of the Debtors, or Affiliate thereof, on the other hand that is required by the Exchange Act to be described in the Company’s filings with the SEC and that is not so described. A correct and complete copy of any Contract existing as of the date hereof between or among any of the Debtors or their Subsidiaries, on the one hand, and any director, officer or greater than five percent (5%) stockholder of any of the Debtors or their Subsidiaries, or Affiliate thereof, on the other hand, that is required by the Exchange Act to be described in the Company’s filings with the SEC is filed as an exhibit to, or incorporated by reference as indicated in, the Annual Report on Form 10-K for the fiscal year ended December 31, 2018 or such subsequently filed Quarterly Report on Form 10-Q or Current Report on Form 8-K.</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The Debtors and their Subsidiaries possess all licenses, certificates, permits and other authorizations issued by, have made all declarations and filings with and have maintained all financial assurances required by, the appropriate Governmental Entities that are necessary for the ownership or lease of their respective properties and the conduct of the business, except where the failure to possess, make or give the same would not reasonably be expected to have, individually or in the aggregate, a Material Adverse Effect. None of the Debtors or their Subsidiaries (a) has received notice of any revocation or modification of any such license, certificate, permit or authorization or (b) has any reason to believe that any such license, certificate, permit or authorization will not be renewed in the ordinary course except to the extent that any of the foregoing would not reasonably be expected to have, individually or in the aggregate, a Material Adverse Effect.</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6"/>
          <w:szCs w:val="16"/>
          <w:u w:val="single" w:color="auto"/>
          <w:color w:val="auto"/>
        </w:rPr>
        <w:t>Environmental</w:t>
      </w:r>
      <w:r>
        <w:rPr>
          <w:rFonts w:ascii="Arial" w:cs="Arial" w:eastAsia="Arial" w:hAnsi="Arial"/>
          <w:sz w:val="16"/>
          <w:szCs w:val="16"/>
          <w:color w:val="auto"/>
        </w:rPr>
        <w:t>. Except as would not reasonably be expected to have, individually or in the aggregate, a Material Adverse Effect:</w:t>
      </w:r>
    </w:p>
    <w:p>
      <w:pPr>
        <w:spacing w:after="0" w:line="23" w:lineRule="exact"/>
        <w:rPr>
          <w:sz w:val="20"/>
          <w:szCs w:val="20"/>
          <w:color w:val="auto"/>
        </w:rPr>
      </w:pPr>
    </w:p>
    <w:p>
      <w:pPr>
        <w:ind w:firstLine="8"/>
        <w:spacing w:after="0" w:line="286" w:lineRule="auto"/>
        <w:tabs>
          <w:tab w:leader="none" w:pos="245" w:val="left"/>
        </w:tabs>
        <w:numPr>
          <w:ilvl w:val="0"/>
          <w:numId w:val="548"/>
        </w:numPr>
        <w:rPr>
          <w:rFonts w:ascii="Arial" w:cs="Arial" w:eastAsia="Arial" w:hAnsi="Arial"/>
          <w:sz w:val="16"/>
          <w:szCs w:val="16"/>
          <w:color w:val="auto"/>
        </w:rPr>
      </w:pPr>
      <w:r>
        <w:rPr>
          <w:rFonts w:ascii="Arial" w:cs="Arial" w:eastAsia="Arial" w:hAnsi="Arial"/>
          <w:sz w:val="16"/>
          <w:szCs w:val="16"/>
          <w:color w:val="auto"/>
        </w:rPr>
        <w:t>no written notice, claim, demand, request for information, Order, complaint or penalty has been received by any of the Debtors or their Subsidiaries, and there are no Legal Proceedings pending or, to the Knowledge of the Company, threatened which allege a violation of or liability under any Environmental Laws (including with respect to exposure to Hazardous Materials), in each case relating to any of the Debtors or their Subsidiaries, (b) each Debtor and each of their respective Subsidiaries has received (including timely application for renewal of the same), and maintained in full force and effect, all environmental permits, licenses and other approvals, and has maintained all financial assurances, in each case to the extent necessary for its operations to comply with all applicable Environmental Laws and is, and since January 1, 2017, has been, in compliance with the terms of such permits, licenses and other approvals and with all applicable Environmental Laws, (c) to the Knowledge of the Company, no Hazardous Material is located at, on or under any property currently or formerly owned, operated or leased by any of the Debtors or their Subsidiaries that has given rise or would reasonably be expected to give rise to any cost, liability or obligation of any of the Debtors under any Environmental Laws, (d) to the Knowledge of the Company, no Hazardous Material has been Released, generated, owned, treated, stored, transported or handled by any of the Debtors or their Subsidiaries, and none of the Debtors or their Subsidiaries has arranged for or permitted the disposal of Hazardous Material at any location in a manner that has given rise or would reasonably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8" w:name="page429"/>
    <w:bookmarkEnd w:id="428"/>
    <w:p>
      <w:pPr>
        <w:ind w:right="20"/>
        <w:spacing w:after="0" w:line="276" w:lineRule="auto"/>
        <w:rPr>
          <w:sz w:val="20"/>
          <w:szCs w:val="20"/>
          <w:color w:val="auto"/>
        </w:rPr>
      </w:pPr>
      <w:r>
        <w:rPr>
          <w:rFonts w:ascii="Arial" w:cs="Arial" w:eastAsia="Arial" w:hAnsi="Arial"/>
          <w:sz w:val="17"/>
          <w:szCs w:val="17"/>
          <w:color w:val="auto"/>
        </w:rPr>
        <w:t xml:space="preserve">be expected to give rise to any cost, liability or obligation of any of the Debtors or their Subsidiaries under any Environmental Laws, and (e) no agreements in which any of the Debtors or their Subsidiaries has expressly assumed responsibility for any known obligation of any other Person arising under or relating to Environmental Laws that remains unresolved. Notwithstanding the generality of any other representations and warranties in this Agreement, the representations and warranties in this </w:t>
      </w:r>
      <w:r>
        <w:rPr>
          <w:rFonts w:ascii="Arial" w:cs="Arial" w:eastAsia="Arial" w:hAnsi="Arial"/>
          <w:sz w:val="17"/>
          <w:szCs w:val="17"/>
          <w:u w:val="single" w:color="auto"/>
          <w:color w:val="auto"/>
        </w:rPr>
        <w:t>Section 4.19</w:t>
      </w:r>
      <w:r>
        <w:rPr>
          <w:rFonts w:ascii="Arial" w:cs="Arial" w:eastAsia="Arial" w:hAnsi="Arial"/>
          <w:sz w:val="17"/>
          <w:szCs w:val="17"/>
          <w:color w:val="auto"/>
        </w:rPr>
        <w:t xml:space="preserve"> constitute the sole and exclusive representations and warranties in this Agreement with respect to any environmental, health or safety matters, including any arising under or relating to Environmental Laws.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right="100" w:firstLine="1305"/>
        <w:spacing w:after="0" w:line="264" w:lineRule="auto"/>
        <w:tabs>
          <w:tab w:leader="none" w:pos="2023" w:val="left"/>
        </w:tabs>
        <w:numPr>
          <w:ilvl w:val="1"/>
          <w:numId w:val="549"/>
        </w:numPr>
        <w:rPr>
          <w:rFonts w:ascii="Arial" w:cs="Arial" w:eastAsia="Arial" w:hAnsi="Arial"/>
          <w:sz w:val="18"/>
          <w:szCs w:val="18"/>
          <w:color w:val="auto"/>
        </w:rPr>
      </w:pPr>
      <w:r>
        <w:rPr>
          <w:rFonts w:ascii="Arial" w:cs="Arial" w:eastAsia="Arial" w:hAnsi="Arial"/>
          <w:sz w:val="18"/>
          <w:szCs w:val="18"/>
          <w:color w:val="auto"/>
        </w:rPr>
        <w:t>Except as would not reasonably be expected to be material to the Debtors and their Subsidiaries taken as a whole, (i) each of the Debtors and their Subsidiaries have filed or caused to be filed all U.S. federal, state, provincial, local and non-U.S. Tax returns required to have been filed by it and (ii) taken as a whole, each such Tax return is true and correct.</w:t>
      </w:r>
    </w:p>
    <w:p>
      <w:pPr>
        <w:spacing w:after="0" w:line="181" w:lineRule="exact"/>
        <w:rPr>
          <w:rFonts w:ascii="Arial" w:cs="Arial" w:eastAsia="Arial" w:hAnsi="Arial"/>
          <w:sz w:val="18"/>
          <w:szCs w:val="18"/>
          <w:color w:val="auto"/>
        </w:rPr>
      </w:pPr>
    </w:p>
    <w:p>
      <w:pPr>
        <w:ind w:right="20" w:firstLine="1305"/>
        <w:spacing w:after="0" w:line="276" w:lineRule="auto"/>
        <w:tabs>
          <w:tab w:leader="none" w:pos="2033" w:val="left"/>
        </w:tabs>
        <w:numPr>
          <w:ilvl w:val="1"/>
          <w:numId w:val="549"/>
        </w:numPr>
        <w:rPr>
          <w:rFonts w:ascii="Arial" w:cs="Arial" w:eastAsia="Arial" w:hAnsi="Arial"/>
          <w:sz w:val="17"/>
          <w:szCs w:val="17"/>
          <w:color w:val="auto"/>
        </w:rPr>
      </w:pPr>
      <w:r>
        <w:rPr>
          <w:rFonts w:ascii="Arial" w:cs="Arial" w:eastAsia="Arial" w:hAnsi="Arial"/>
          <w:sz w:val="17"/>
          <w:szCs w:val="17"/>
          <w:color w:val="auto"/>
        </w:rPr>
        <w:t>Each of the Debtors and their Subsidiaries has timely paid or caused to be timely paid all Taxes shown to be due and payable by it on the returns referred to in clause (a) and all other Taxes or assessments (or made adequate provision (in accordance with GAAP) for the payment of all Taxes due) with respect to all periods or portions thereof ending on or before the date hereof, which Taxes, if not paid or adequately provided for, would reasonably be expected to be material to the Debtors taken as a whole, excluding Taxes being contested in good faith by appropriate proceedings and for which the Debtors or their Subsidiaries have set aside on their books adequate reserves in accordance with GAAP.</w:t>
      </w:r>
    </w:p>
    <w:p>
      <w:pPr>
        <w:spacing w:after="0" w:line="172" w:lineRule="exact"/>
        <w:rPr>
          <w:rFonts w:ascii="Arial" w:cs="Arial" w:eastAsia="Arial" w:hAnsi="Arial"/>
          <w:sz w:val="17"/>
          <w:szCs w:val="17"/>
          <w:color w:val="auto"/>
        </w:rPr>
      </w:pPr>
    </w:p>
    <w:p>
      <w:pPr>
        <w:ind w:right="20" w:firstLine="1305"/>
        <w:spacing w:after="0" w:line="291" w:lineRule="auto"/>
        <w:tabs>
          <w:tab w:leader="none" w:pos="2036" w:val="left"/>
        </w:tabs>
        <w:numPr>
          <w:ilvl w:val="1"/>
          <w:numId w:val="549"/>
        </w:numPr>
        <w:rPr>
          <w:rFonts w:ascii="Arial" w:cs="Arial" w:eastAsia="Arial" w:hAnsi="Arial"/>
          <w:sz w:val="16"/>
          <w:szCs w:val="16"/>
          <w:color w:val="auto"/>
        </w:rPr>
      </w:pPr>
      <w:r>
        <w:rPr>
          <w:rFonts w:ascii="Arial" w:cs="Arial" w:eastAsia="Arial" w:hAnsi="Arial"/>
          <w:sz w:val="16"/>
          <w:szCs w:val="16"/>
          <w:color w:val="auto"/>
        </w:rPr>
        <w:t>As of the date hereof, with respect to the Debtors, other than in connection with the Cases and other than Taxes or assessments that are being contested in good faith and are not expected to result in significant negative adjustments that would be material to the Debtors taken as a whole,</w:t>
      </w:r>
    </w:p>
    <w:p>
      <w:pPr>
        <w:ind w:right="260" w:firstLine="8"/>
        <w:spacing w:after="0" w:line="255" w:lineRule="auto"/>
        <w:tabs>
          <w:tab w:leader="none" w:pos="21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 claims have been asserted in writing with respect to any material Taxes, (ii) no presently effective waivers or extensions of statutes of limitation with respect to Taxes have been given or requested and (iii) no Tax returns are being examined by, and no written notification of intention to examine has been received from, the IRS or any other Governmental Entity.</w:t>
      </w:r>
    </w:p>
    <w:p>
      <w:pPr>
        <w:spacing w:after="0" w:line="190" w:lineRule="exact"/>
        <w:rPr>
          <w:rFonts w:ascii="Arial" w:cs="Arial" w:eastAsia="Arial" w:hAnsi="Arial"/>
          <w:sz w:val="18"/>
          <w:szCs w:val="18"/>
          <w:color w:val="auto"/>
        </w:rPr>
      </w:pPr>
    </w:p>
    <w:p>
      <w:pPr>
        <w:ind w:firstLine="1305"/>
        <w:spacing w:after="0" w:line="293" w:lineRule="auto"/>
        <w:tabs>
          <w:tab w:leader="none" w:pos="2033" w:val="left"/>
        </w:tabs>
        <w:numPr>
          <w:ilvl w:val="1"/>
          <w:numId w:val="550"/>
        </w:numPr>
        <w:rPr>
          <w:rFonts w:ascii="Arial" w:cs="Arial" w:eastAsia="Arial" w:hAnsi="Arial"/>
          <w:sz w:val="16"/>
          <w:szCs w:val="16"/>
          <w:color w:val="auto"/>
        </w:rPr>
      </w:pPr>
      <w:r>
        <w:rPr>
          <w:rFonts w:ascii="Arial" w:cs="Arial" w:eastAsia="Arial" w:hAnsi="Arial"/>
          <w:sz w:val="16"/>
          <w:szCs w:val="16"/>
          <w:color w:val="auto"/>
        </w:rPr>
        <w:t>None of the Debtors nor any of their Subsidiaries will be required to include any material item of income in, or exclude any material item of deduction from, taxable income for a taxable period (or portion thereof) ending after the Closing Date as a result of any (1) installment sale or open transaction disposition made or entered into prior to the Closing, (2) prepaid amount received prior to the Closing, (3) election under Section 108(i) of the Code (or any similar provision of state, local or non-U.S. Law), or (4) any adjustment pursuant to Section 481(a) of the Code (or any similar provision of state, local or non-U.S. Law) made or requested prior to the Closing or, to the Knowledge of the Company, proposed by any Governmental Entity prior to the Closing. None of the Debtors and their Subsidiaries has any material liability pursuant to or attributable to Section 965 of the Code.</w:t>
      </w:r>
    </w:p>
    <w:p>
      <w:pPr>
        <w:spacing w:after="0" w:line="164" w:lineRule="exact"/>
        <w:rPr>
          <w:rFonts w:ascii="Arial" w:cs="Arial" w:eastAsia="Arial" w:hAnsi="Arial"/>
          <w:sz w:val="16"/>
          <w:szCs w:val="16"/>
          <w:color w:val="auto"/>
        </w:rPr>
      </w:pPr>
    </w:p>
    <w:p>
      <w:pPr>
        <w:ind w:right="60" w:firstLine="1305"/>
        <w:spacing w:after="0" w:line="277" w:lineRule="auto"/>
        <w:tabs>
          <w:tab w:leader="none" w:pos="2036"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Debtors and each Subsidiary have complied in all material respects with all applicable laws, rules, and regulations relating to the payment and withholding of Taxes,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9" w:name="page430"/>
    <w:bookmarkEnd w:id="429"/>
    <w:p>
      <w:pPr>
        <w:ind w:right="160"/>
        <w:spacing w:after="0" w:line="277" w:lineRule="auto"/>
        <w:rPr>
          <w:sz w:val="20"/>
          <w:szCs w:val="20"/>
          <w:color w:val="auto"/>
        </w:rPr>
      </w:pPr>
      <w:r>
        <w:rPr>
          <w:rFonts w:ascii="Arial" w:cs="Arial" w:eastAsia="Arial" w:hAnsi="Arial"/>
          <w:sz w:val="18"/>
          <w:szCs w:val="18"/>
          <w:color w:val="auto"/>
        </w:rPr>
        <w:t>and have, within the time and in the manner prescribed by law, withheld from employee wages and paid over to the proper Governmental Entity all material required amounts.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ind w:left="80" w:right="100" w:firstLine="1306"/>
        <w:spacing w:after="0" w:line="272" w:lineRule="auto"/>
        <w:tabs>
          <w:tab w:leader="none" w:pos="2022" w:val="left"/>
        </w:tabs>
        <w:numPr>
          <w:ilvl w:val="2"/>
          <w:numId w:val="551"/>
        </w:numPr>
        <w:rPr>
          <w:rFonts w:ascii="Arial" w:cs="Arial" w:eastAsia="Arial" w:hAnsi="Arial"/>
          <w:sz w:val="17"/>
          <w:szCs w:val="17"/>
          <w:color w:val="auto"/>
        </w:rPr>
      </w:pPr>
      <w:r>
        <w:rPr>
          <w:rFonts w:ascii="Arial" w:cs="Arial" w:eastAsia="Arial" w:hAnsi="Arial"/>
          <w:sz w:val="17"/>
          <w:szCs w:val="17"/>
          <w:color w:val="auto"/>
        </w:rPr>
        <w:t>None of the Debtors nor any of their ERISA Affiliates sponsor, maintain, contribute to, or has an obligation to contribute to, or has any outstanding liability (contingent or otherwise) to any Multiemployer Plan or any plan that is subject to Section 412 of the Code, Section 302 of ERISA or Title IV of ERISA, other than the Trico Industries Inc. Retirement Plan. No condition exists that could reasonably be expected to result in any material liability or obligation (contingent or otherwise) to the Debtors under Title IV of ERISA (other than required premium payments or contributions in the normal course). No Company Benefit Plan has any Unfunded Pension Liability in excess of $7.0 million with respect to any single Company Benefit Plan and in excess of $10.0 million with respect to all Company Benefit Plans. The Deferred Compensation Liabilities are unfunded and would not reasonably be expected to result, individually or in the aggregate, in a Material Adverse Effect to the Debtors.</w:t>
      </w:r>
    </w:p>
    <w:p>
      <w:pPr>
        <w:spacing w:after="0" w:line="177" w:lineRule="exact"/>
        <w:rPr>
          <w:rFonts w:ascii="Arial" w:cs="Arial" w:eastAsia="Arial" w:hAnsi="Arial"/>
          <w:sz w:val="17"/>
          <w:szCs w:val="17"/>
          <w:color w:val="auto"/>
        </w:rPr>
      </w:pPr>
    </w:p>
    <w:p>
      <w:pPr>
        <w:ind w:right="80" w:firstLine="1305"/>
        <w:spacing w:after="0" w:line="264" w:lineRule="auto"/>
        <w:tabs>
          <w:tab w:leader="none" w:pos="195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As of December 31, 2018, no single Foreign Plan that is a defined benefit employee pension plan (within the meaning of U.S. Accounting Standards Codification Topic 715-30) has unfunded liabilities in excess of $30.0 million, and the aggregate of unfunded liabilities for all Foreign Plans that are defined benefit employee pension plans are not in excess of $50.0 million.</w:t>
      </w:r>
    </w:p>
    <w:p>
      <w:pPr>
        <w:spacing w:after="0" w:line="181" w:lineRule="exact"/>
        <w:rPr>
          <w:rFonts w:ascii="Arial" w:cs="Arial" w:eastAsia="Arial" w:hAnsi="Arial"/>
          <w:sz w:val="18"/>
          <w:szCs w:val="18"/>
          <w:color w:val="auto"/>
        </w:rPr>
      </w:pPr>
    </w:p>
    <w:p>
      <w:pPr>
        <w:ind w:right="20" w:firstLine="1305"/>
        <w:spacing w:after="0" w:line="259" w:lineRule="auto"/>
        <w:tabs>
          <w:tab w:leader="none" w:pos="1955" w:val="left"/>
        </w:tabs>
        <w:numPr>
          <w:ilvl w:val="1"/>
          <w:numId w:val="552"/>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individually or in the aggregate, in a Material Adverse Effect to the Debtors, there are no pending, or to the Knowledge of the Company, threatened claims, sanctions, actions or lawsuits, asserted or instituted against any Company Benefit Plan or Foreign Plan or any Person as fiduciary or sponsor of any Company Benefit Plan, or Foreign Plan in each case other than claims for benefits in the normal course.</w:t>
      </w:r>
    </w:p>
    <w:p>
      <w:pPr>
        <w:spacing w:after="0" w:line="186" w:lineRule="exact"/>
        <w:rPr>
          <w:rFonts w:ascii="Arial" w:cs="Arial" w:eastAsia="Arial" w:hAnsi="Arial"/>
          <w:sz w:val="18"/>
          <w:szCs w:val="18"/>
          <w:color w:val="auto"/>
        </w:rPr>
      </w:pPr>
    </w:p>
    <w:p>
      <w:pPr>
        <w:ind w:right="20" w:firstLine="1305"/>
        <w:spacing w:after="0" w:line="257" w:lineRule="auto"/>
        <w:tabs>
          <w:tab w:leader="none" w:pos="195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individually or in the aggregate, in a Material Adverse Effect to the Debtors, none of the Company Benefit Plans or Foreign Plans obligates any Debtor or any Debtor Subsidiary to provide, nor has any Debtor or any of their respective Subsidiaries promised or agreed to provide or otherwise has any liability (contingent or otherwise) with respect to, retiree or post-employment health, welfare or life insurance or benefits, other than as required under Part 6 of Subtitle B of Title I of ERISA, Section 4980B of the Code or any similar Law for which the covered Person pays the full cost of coverage.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552"/>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individually or in the aggregate, in a Material Adverse Effect to the Debtors,</w:t>
      </w:r>
    </w:p>
    <w:p>
      <w:pPr>
        <w:spacing w:after="0" w:line="46" w:lineRule="exact"/>
        <w:rPr>
          <w:rFonts w:ascii="Arial" w:cs="Arial" w:eastAsia="Arial" w:hAnsi="Arial"/>
          <w:sz w:val="16"/>
          <w:szCs w:val="16"/>
          <w:color w:val="auto"/>
        </w:rPr>
      </w:pPr>
    </w:p>
    <w:p>
      <w:pPr>
        <w:ind w:firstLine="8"/>
        <w:spacing w:after="0" w:line="292" w:lineRule="auto"/>
        <w:tabs>
          <w:tab w:leader="none" w:pos="215" w:val="left"/>
        </w:tabs>
        <w:numPr>
          <w:ilvl w:val="0"/>
          <w:numId w:val="553"/>
        </w:numPr>
        <w:rPr>
          <w:rFonts w:ascii="Arial" w:cs="Arial" w:eastAsia="Arial" w:hAnsi="Arial"/>
          <w:sz w:val="16"/>
          <w:szCs w:val="16"/>
          <w:color w:val="auto"/>
        </w:rPr>
      </w:pPr>
      <w:r>
        <w:rPr>
          <w:rFonts w:ascii="Arial" w:cs="Arial" w:eastAsia="Arial" w:hAnsi="Arial"/>
          <w:sz w:val="16"/>
          <w:szCs w:val="16"/>
          <w:color w:val="auto"/>
        </w:rPr>
        <w:t>all compensation and benefit arrangements of the Debtors and their respective Subsidiaries and all Company Benefits Plans and Foreign Plans comply and have complied in both form and operation with their terms and all applicable Laws and legal requirements and (ii) none of the Debtors has any obligation to provide any individual with a “gross up” or similar payment in respect of any Taxes that may become payable under Section 409A or 4999 of the Code. Other than the Change in Control Agreements covering certain executives of the Company that have been previously disclosed to the Commitment Parties, no compensation or benefit plan, practice, program, policy, agreement, or arrangement exists that as a result of the Cases or any transactions related thereto,</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0" w:name="page431"/>
    <w:bookmarkEnd w:id="430"/>
    <w:p>
      <w:pPr>
        <w:ind w:right="20"/>
        <w:spacing w:after="0" w:line="342" w:lineRule="auto"/>
        <w:rPr>
          <w:sz w:val="20"/>
          <w:szCs w:val="20"/>
          <w:color w:val="auto"/>
        </w:rPr>
      </w:pPr>
      <w:r>
        <w:rPr>
          <w:rFonts w:ascii="Arial" w:cs="Arial" w:eastAsia="Arial" w:hAnsi="Arial"/>
          <w:sz w:val="16"/>
          <w:szCs w:val="16"/>
          <w:color w:val="auto"/>
        </w:rPr>
        <w:t>including the transactions contemplated by this Agreement, could reasonably be expected to result in the acceleration of the time of payment or vesting, or an increase in the amount of compensation or benefit due to any employee, director, or other service provider of any of the Debtors or any of their Subsidiaries.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The Company has established and maintains a system of internal control over financial reporting (as defined in Rules 13a-15(f) and 15d-15(f) promulgated under the Exchange Act) that complies with the requirements of the Exchange Act and has been designed to provide reasonable assurances regarding the reliability of financial reporting and the preparation of financial statements for external purposes in accordance with GAAP and to the Knowledge of the Company, there are no material weaknesses in the Company’s internal control over financial reporting as of the date hereof.</w:t>
      </w:r>
    </w:p>
    <w:p>
      <w:pPr>
        <w:spacing w:after="0" w:line="188"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 maintains disclosure controls and procedures (within the meaning of Rules 13a-15(e) and 15d-15(e) promulgated under the Exchange Act) designed to ensure that information required to be disclosed by the Company in the reports that it files and submits under the Exchange Act is recorded, processed, summarized and reported within the time periods specified in the SEC’s rules and forms, including that information required to be disclosed by the Company in the reports that it files and submits under the Exchange Act is accumulated and communicated to management of the Company as appropriate to allow timely decisions regarding required disclosure.</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4.24 </w:t>
      </w:r>
      <w:r>
        <w:rPr>
          <w:rFonts w:ascii="Arial" w:cs="Arial" w:eastAsia="Arial" w:hAnsi="Arial"/>
          <w:sz w:val="17"/>
          <w:szCs w:val="17"/>
          <w:u w:val="single" w:color="auto"/>
          <w:color w:val="auto"/>
        </w:rPr>
        <w:t>Material Contracts</w:t>
      </w:r>
      <w:r>
        <w:rPr>
          <w:rFonts w:ascii="Arial" w:cs="Arial" w:eastAsia="Arial" w:hAnsi="Arial"/>
          <w:sz w:val="17"/>
          <w:szCs w:val="17"/>
          <w:color w:val="auto"/>
        </w:rPr>
        <w:t>. Other than as a result of a rejection motion filed by any of the Debtors in the Cases, all Material Contracts are valid, binding and enforceable by and against the Debtor party thereto and, to the Knowledge of the Company, each other party thereto, and no written notice to terminate, in whole or part, any Material Contract has been delivered to any of the Debtors. Other than as a result of the filing of the Cases or any rejection motion filed by any of the Debtors in the Cases, none of the Debtors nor, to the Knowledge of the Company, any other party to any Material Contract, is in material default or breach under the terms thereof. Each Material Contract has been publicly filed with the SEC.</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No Unlawful Payments</w:t>
      </w:r>
      <w:r>
        <w:rPr>
          <w:rFonts w:ascii="Arial" w:cs="Arial" w:eastAsia="Arial" w:hAnsi="Arial"/>
          <w:sz w:val="16"/>
          <w:szCs w:val="16"/>
          <w:color w:val="auto"/>
        </w:rPr>
        <w:t>. Since January 1, 2014, none of the Debtors, their respective Subsidiaries or, to the Knowledge of the Company, any joint ventures of which the Debtors or their respective subsidiaries own at least forty-nine percent (49%) interest (such joint ventures, together with the Subsidiaries of such joint ventures, the “</w:t>
      </w:r>
      <w:r>
        <w:rPr>
          <w:rFonts w:ascii="Arial" w:cs="Arial" w:eastAsia="Arial" w:hAnsi="Arial"/>
          <w:sz w:val="16"/>
          <w:szCs w:val="16"/>
          <w:b w:val="1"/>
          <w:bCs w:val="1"/>
          <w:u w:val="single" w:color="auto"/>
          <w:color w:val="auto"/>
        </w:rPr>
        <w:t>Joint Ventures</w:t>
      </w:r>
      <w:r>
        <w:rPr>
          <w:rFonts w:ascii="Arial" w:cs="Arial" w:eastAsia="Arial" w:hAnsi="Arial"/>
          <w:sz w:val="16"/>
          <w:szCs w:val="16"/>
          <w:color w:val="auto"/>
        </w:rPr>
        <w:t>”) nor, to the Knowledge of the Company, any of their respective directors, officers, employees or agents has in any material respect: (a) used any funds of any of the Debtors or their respective Subsidiaries or, to the Knowledge of the Company, the Joint Ventures for any unlawful contribution, gift, entertainment or other unlawful expense, in each case relating to political activity; (b) made any direct or indirect unlawful payment to any foreign or domestic government official or employee; (c) otherwise violated or is in violation of any provision of the U.S. Foreign Corrupt Practices Act of 1977, as amended, and the rules and regulations thereunder (“</w:t>
      </w:r>
      <w:r>
        <w:rPr>
          <w:rFonts w:ascii="Arial" w:cs="Arial" w:eastAsia="Arial" w:hAnsi="Arial"/>
          <w:sz w:val="16"/>
          <w:szCs w:val="16"/>
          <w:b w:val="1"/>
          <w:bCs w:val="1"/>
          <w:u w:val="single" w:color="auto"/>
          <w:color w:val="auto"/>
        </w:rPr>
        <w:t>FCPA</w:t>
      </w:r>
      <w:r>
        <w:rPr>
          <w:rFonts w:ascii="Arial" w:cs="Arial" w:eastAsia="Arial" w:hAnsi="Arial"/>
          <w:sz w:val="16"/>
          <w:szCs w:val="16"/>
          <w:color w:val="auto"/>
        </w:rPr>
        <w:t>”), or the UK Bribery Act 2010; or (d) made any bribe, rebate, payoff, influence payment, kickback or other similar unlawful payment. No material Legal Proceeding by or before any Governmental Entity or any arbitrator involving any of the Debtors, their respective Subsidiaries and the Joint Ventures with respect to the FCPA, UK Bribery Act 2010 or similar applicable anti-corruption laws is pending or, to the Knowledge of the Company, threatened. The Debtors, their respective Subsidiaries and to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1" w:name="page432"/>
    <w:bookmarkEnd w:id="431"/>
    <w:p>
      <w:pPr>
        <w:ind w:right="240"/>
        <w:spacing w:after="0" w:line="264" w:lineRule="auto"/>
        <w:rPr>
          <w:sz w:val="20"/>
          <w:szCs w:val="20"/>
          <w:color w:val="auto"/>
        </w:rPr>
      </w:pPr>
      <w:r>
        <w:rPr>
          <w:rFonts w:ascii="Arial" w:cs="Arial" w:eastAsia="Arial" w:hAnsi="Arial"/>
          <w:sz w:val="18"/>
          <w:szCs w:val="18"/>
          <w:color w:val="auto"/>
        </w:rPr>
        <w:t>Knowledge of the Company, the Joint Ventures have implemented and maintain in effect policies and procedures designed to ensure compliance by the Debtors, their respective Subsidiaries and the Joint Ventures and their respective directors, officers, employees and agents with the FCPA, UK Bribery Act 2010 and any other applicable anti-corruption laws.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4.26</w:t>
      </w:r>
      <w:r>
        <w:rPr>
          <w:sz w:val="20"/>
          <w:szCs w:val="20"/>
          <w:color w:val="auto"/>
        </w:rPr>
        <w:tab/>
      </w:r>
      <w:r>
        <w:rPr>
          <w:rFonts w:ascii="Arial" w:cs="Arial" w:eastAsia="Arial" w:hAnsi="Arial"/>
          <w:sz w:val="16"/>
          <w:szCs w:val="16"/>
          <w:u w:val="single" w:color="auto"/>
          <w:color w:val="auto"/>
        </w:rPr>
        <w:t>Compliance with Money Laundering and Sanctions Laws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The operations of the Debtors and their respective Subsidiaries and, to the Knowledge of the Company, the Joint Ventures are and, since January 1, 2014 have been at all times, conducted in compliance in all material respects with applicable financial recordkeeping and reporting requirements of the U.S. Currency and Foreign Transactions Reporting Act of 1970, the USA Patriot Act (Title III of Pub. L. 107-56 (signed into law October 26, 2001)), the money laundering statutes of all jurisdictions in which the Debtors, their respective Subsidiaries and the Joint Ventures operate (and the rules and regulations promulgated thereunder) and any related or similar Laws (collectively, the “</w:t>
      </w:r>
      <w:r>
        <w:rPr>
          <w:rFonts w:ascii="Arial" w:cs="Arial" w:eastAsia="Arial" w:hAnsi="Arial"/>
          <w:sz w:val="17"/>
          <w:szCs w:val="17"/>
          <w:b w:val="1"/>
          <w:bCs w:val="1"/>
          <w:u w:val="single" w:color="auto"/>
          <w:color w:val="auto"/>
        </w:rPr>
        <w:t>Money Laundering Laws</w:t>
      </w:r>
      <w:r>
        <w:rPr>
          <w:rFonts w:ascii="Arial" w:cs="Arial" w:eastAsia="Arial" w:hAnsi="Arial"/>
          <w:sz w:val="17"/>
          <w:szCs w:val="17"/>
          <w:color w:val="auto"/>
        </w:rPr>
        <w:t>”) and no material Legal Proceeding by or before any Governmental Entity or any arbitrator involving any of the Debtors or their respective Subsidiaries, or, to the Knowledge of the Company, the Joint Ventures with respect to Money Laundering Laws is pending or, to the Knowledge of the Company, threatened. The Debtors, their respective Subsidiaries and, to the Knowledge of the Company, the Joint Ventures, have implemented and maintain in effect policies and procedures designed to ensure compliance by the Debtors, their respective Subsidiaries, and the Joint Ventures, and their respective directors, officers, employees and agents with applicable Money Laundering Laws.</w:t>
      </w:r>
    </w:p>
    <w:p>
      <w:pPr>
        <w:spacing w:after="0" w:line="177" w:lineRule="exact"/>
        <w:rPr>
          <w:rFonts w:ascii="Arial" w:cs="Arial" w:eastAsia="Arial" w:hAnsi="Arial"/>
          <w:sz w:val="17"/>
          <w:szCs w:val="17"/>
          <w:color w:val="auto"/>
        </w:rPr>
      </w:pPr>
    </w:p>
    <w:p>
      <w:pPr>
        <w:ind w:firstLine="1305"/>
        <w:spacing w:after="0" w:line="268" w:lineRule="auto"/>
        <w:tabs>
          <w:tab w:leader="none" w:pos="1952" w:val="left"/>
        </w:tabs>
        <w:numPr>
          <w:ilvl w:val="0"/>
          <w:numId w:val="554"/>
        </w:numPr>
        <w:rPr>
          <w:rFonts w:ascii="Arial" w:cs="Arial" w:eastAsia="Arial" w:hAnsi="Arial"/>
          <w:sz w:val="17"/>
          <w:szCs w:val="17"/>
          <w:color w:val="auto"/>
        </w:rPr>
      </w:pPr>
      <w:r>
        <w:rPr>
          <w:rFonts w:ascii="Arial" w:cs="Arial" w:eastAsia="Arial" w:hAnsi="Arial"/>
          <w:sz w:val="17"/>
          <w:szCs w:val="17"/>
          <w:color w:val="auto"/>
        </w:rPr>
        <w:t>None of the Debtors, their Subsidiaries or to the Knowledge of the Company, the Joint Ventures nor, to the Knowledge of the Company, any of their respective directors, officers, employees or other Persons acting on their behalf with express authority to so act is currently subject to any U.S. sanctions administered by the Office of Foreign Assets Control of the U.S. Treasury Department. None of the Debtors, their respective Subsidiaries, nor, to the Knowledge of the Company, the Joint Ventures, nor to the Knowledge of the Company, any of their respective current or former directors, officers, employees, agents, Controlled Affiliates or other Persons acting on their behalf with express authority to so act, has engaged since January 1, 2014, or is engaged, in any transaction(s) or activities which would result in a violation of Sanctions in any material respect. The Company will not directly or indirectly use the proceeds of the Rights Offering, or lend, contribute or otherwise make available such proceeds to any other Debtor, its Subsidiaries, joint venture partner (including the Joint Ventures) or other Person, for the purpose of financing the activities of any Person that, to the Knowledge of the Company, is currently subject to any Sanctions. No material Legal Proceeding by or before any Governmental Entity or any arbitrator involving any of the Debtors, their respective Subsidiaries and the Joint Ventures with respect to Sanctions is pending or, to the Knowledge of the Company, threatened. The Debtors, their respective Subsidiaries and, to the Knowledge of the Company, the Joint Ventures, have implemented and maintain in effect policies and procedures designed to ensure compliance by the Debtors, their respective Subsidiaries and the Joint Ventures, and their respective directors, officers, employees and agents with applicable Sanctions.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No Broker’s Fees</w:t>
      </w:r>
      <w:r>
        <w:rPr>
          <w:rFonts w:ascii="Arial" w:cs="Arial" w:eastAsia="Arial" w:hAnsi="Arial"/>
          <w:sz w:val="18"/>
          <w:szCs w:val="18"/>
          <w:color w:val="auto"/>
        </w:rPr>
        <w:t>. None of the Debtors or any of their respective Subsidiaries is a party to any Contract with any Person (other than this Agreement) that would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2" w:name="page433"/>
    <w:bookmarkEnd w:id="432"/>
    <w:p>
      <w:pPr>
        <w:ind w:right="100"/>
        <w:spacing w:after="0" w:line="277" w:lineRule="auto"/>
        <w:rPr>
          <w:sz w:val="20"/>
          <w:szCs w:val="20"/>
          <w:color w:val="auto"/>
        </w:rPr>
      </w:pPr>
      <w:r>
        <w:rPr>
          <w:rFonts w:ascii="Arial" w:cs="Arial" w:eastAsia="Arial" w:hAnsi="Arial"/>
          <w:sz w:val="18"/>
          <w:szCs w:val="18"/>
          <w:color w:val="auto"/>
        </w:rPr>
        <w:t>give rise to a valid claim against the Commitment Parties for a brokerage commission, finder’s fee or like payment in connection with the Rights Offering or the sale of the Unsubscribed Notes.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Debtors or any of their respective Subsidiaries is, or immediately after giving effect to the consummation of the Restructuring will be, an “investment company” as defined in, or subject to regulation under,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and this conclusion is based on one or more bases or exclusions other than Sections 3(c)(1) and 3(c)(7) of the Investment Company Act, including that none of the Debtors or their Subsidiaries comes within the basic definition of ‘investment company’ under section 3(a)(1) of the Investment Company Act.</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4.29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would not reasonably be expected to have, individually or in the aggregate, a Material Adverse Effect: (a) the Debtors and their respective Subsidiaries have insured their properties and assets against such risks and in such amounts as are customary for companies engaged in similar businesses in similar geographies; (b) all premiums due and payable in respect of material insurance policies maintained by the Debtors and their respective Subsidiaries have been paid; (c) the Company reasonably believes that the insurance maintained by or on behalf of the Debtors and their respective Subsidiaries is adequate in all material respects; and (d) as of the date hereof, to the Knowledge of the Company, none of the Debtors or their respective Subsidiaries has received notice from any insurer or agent of such insurer with respect to any material insurance policies of the Debtors or their respective Subsidiaries of any cancellation or termination of such policies, other than such notices which are received in the ordinary course of business or for policies that have expired in accordance with their terms.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COMMITMENT PARTIES</w:t>
      </w:r>
    </w:p>
    <w:p>
      <w:pPr>
        <w:spacing w:after="0" w:line="229"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Each Commitment Party, severally (in accordance with its Commitment Percentage) and not jointly, represents and warrants as to itself only (unless otherwise set forth herein, as of the date of this Agreement and as of the Closing Date) as set forth below.</w:t>
      </w:r>
    </w:p>
    <w:p>
      <w:pPr>
        <w:spacing w:after="0" w:line="170" w:lineRule="exact"/>
        <w:rPr>
          <w:sz w:val="20"/>
          <w:szCs w:val="20"/>
          <w:color w:val="auto"/>
        </w:rPr>
      </w:pPr>
    </w:p>
    <w:p>
      <w:pPr>
        <w:ind w:right="40" w:firstLine="729"/>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w:t>
      </w:r>
      <w:r>
        <w:rPr>
          <w:rFonts w:ascii="Arial" w:cs="Arial" w:eastAsia="Arial" w:hAnsi="Arial"/>
          <w:sz w:val="18"/>
          <w:szCs w:val="18"/>
          <w:color w:val="auto"/>
        </w:rPr>
        <w:t>. Such Commitment Party is a legal entity duly organized, validly existing and, if applicable, in good standing (or the equivalent thereof) under the Laws of its jurisdiction of incorporation or organization.</w:t>
      </w:r>
    </w:p>
    <w:p>
      <w:pPr>
        <w:spacing w:after="0" w:line="170" w:lineRule="exact"/>
        <w:rPr>
          <w:sz w:val="20"/>
          <w:szCs w:val="20"/>
          <w:color w:val="auto"/>
        </w:rPr>
      </w:pPr>
    </w:p>
    <w:p>
      <w:pPr>
        <w:ind w:right="200" w:firstLine="729"/>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Organizational Power and Authority</w:t>
      </w:r>
      <w:r>
        <w:rPr>
          <w:rFonts w:ascii="Arial" w:cs="Arial" w:eastAsia="Arial" w:hAnsi="Arial"/>
          <w:sz w:val="18"/>
          <w:szCs w:val="18"/>
          <w:color w:val="auto"/>
        </w:rPr>
        <w:t>. Such Commitment Party has the requisite power and authority (corporate or otherwise) to enter into, execute and deliver this Agreement and each other Transaction Agreement to which such Commitment Party is a party and to perform its obligations hereunder and thereunder and has taken all necessary action (corporate or otherwise) required for the due authorization, execution, delivery and performance by it of this Agreement and the other Transaction Agreements.</w:t>
      </w:r>
    </w:p>
    <w:p>
      <w:pPr>
        <w:spacing w:after="0" w:line="187" w:lineRule="exact"/>
        <w:rPr>
          <w:sz w:val="20"/>
          <w:szCs w:val="20"/>
          <w:color w:val="auto"/>
        </w:rPr>
      </w:pPr>
    </w:p>
    <w:p>
      <w:pPr>
        <w:ind w:right="20" w:firstLine="729"/>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Execution and Delivery; Enforceability</w:t>
      </w:r>
      <w:r>
        <w:rPr>
          <w:rFonts w:ascii="Arial" w:cs="Arial" w:eastAsia="Arial" w:hAnsi="Arial"/>
          <w:sz w:val="17"/>
          <w:szCs w:val="17"/>
          <w:color w:val="auto"/>
        </w:rPr>
        <w:t>. This Agreement and each other Transaction Agreement to which such Commitment Party is a party (a) has been, or prior to its execution and delivery will be, duly and validly executed and delivered by such Commitment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3" w:name="page434"/>
    <w:bookmarkEnd w:id="433"/>
    <w:p>
      <w:pPr>
        <w:ind w:right="220"/>
        <w:spacing w:after="0" w:line="259" w:lineRule="auto"/>
        <w:rPr>
          <w:sz w:val="20"/>
          <w:szCs w:val="20"/>
          <w:color w:val="auto"/>
        </w:rPr>
      </w:pPr>
      <w:r>
        <w:rPr>
          <w:rFonts w:ascii="Arial" w:cs="Arial" w:eastAsia="Arial" w:hAnsi="Arial"/>
          <w:sz w:val="18"/>
          <w:szCs w:val="18"/>
          <w:color w:val="auto"/>
        </w:rPr>
        <w:t>and (b) assuming due and valid execution and delivery hereof and thereof by the Company and the other Debtors (as applicable) will constitute valid and legally binding obligations of such Commitment Party, enforceable against such Commitment Party in accordance with their respective terms, except as enforceability may be limited by bankruptcy, insolvency, reorganization or other similar Laws limiting creditors’ rights generally or by equitable principles relating to enforceability.</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Assuming that the consents referred to in clauses (a) and (b) of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obtained, the execution and delivery by such Commitment Party of this Agreement and each other Transaction Agreement to which such Commitment Party is a party, the compliance by such Commitment Party with all of the provisions hereof and thereof and the consummation of the transactions contemplated herein and therein (a) will not conflict with, or result in breach, modification, termination or violation of, any of the terms or provisions of, or constitute a default under (with or without notice or lapse of time or both), or result in the acceleration of, or the creation of any Lien under, any Contract to which such Commitment Party is party or is bound or to which any of the property or assets or such Commitment Party are subject, (b) will not result in any violation of the provisions of the certificate of incorporation or bylaws (or comparable constituent documents) of such Commitment Party and (c) will not result in any material violation of any Law or Order applicable to such Commitment Party or any of its properties, except in each of the cases described in clauses (a) or (c), for any conflict, breach, modification, termination, violation, default, acceleration or Lien which would not reasonably be expected, individually or in the aggregate, to prohibit, materially delay, or materially and adversely impact such Commitment Party’s performance of its obligations under this Agreement.</w:t>
      </w:r>
    </w:p>
    <w:p>
      <w:pPr>
        <w:spacing w:after="0" w:line="16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approval, authorization, Order, registration or qualification of or with any Governmental Entity having jurisdiction over such Commitment Party or any of its properties is required for the execution and delivery by such Commitment Party of this Agreement and each other Transaction Agreement to which such Commitment Party is a party, the compliance by such Commitment Party with the provisions hereof and thereof and the consummation of the transactions (including the purchase by such Commitment Party of its Commitment Percentage of the Unsubscribed Notes or its portion of the Rights Offering Notes) contemplated herein and therein, except (a) any consent, approval, authorization, Order, registration or qualification which, if not made or obtained, would not reasonably be expected, individually or in the aggregate, to prohibit, materially delay, or materially and adversely impact such Commitment Party’s performance of its obligations under this Agreement and each other Transaction Agreement to which such Commitment Party is a party and (b) filings, notifications, authorizations, approvals, consents, clearances or termination or expiration of all applicable waiting periods under any Antitrust Laws in connection with the transactions contemplated by this Agreement.</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 Registration</w:t>
      </w:r>
      <w:r>
        <w:rPr>
          <w:rFonts w:ascii="Arial" w:cs="Arial" w:eastAsia="Arial" w:hAnsi="Arial"/>
          <w:sz w:val="18"/>
          <w:szCs w:val="18"/>
          <w:color w:val="auto"/>
        </w:rPr>
        <w:t>. Such Commitment Party understands that (a) any Unsubscribed Notes issued to such Commitment Party, have not been registered under the Securities Act or any state or foreign securities or “blue sky” laws by reason of a specific exemption from the registration provisions of the Securities Act, the availability of which depends on, among other things, the bona fide nature of the investment intent and the accuracy of such Commitment Party’s representations as expressed herein or otherwise made pursuant hereto, and (b) such Unsubscribed Notes cannot be sold unless subsequently registered under the Securities Act or an exemption from registration is available.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4" w:name="page435"/>
    <w:bookmarkEnd w:id="434"/>
    <w:p>
      <w:pPr>
        <w:ind w:firstLine="648"/>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Purchasing Intent</w:t>
      </w:r>
      <w:r>
        <w:rPr>
          <w:rFonts w:ascii="Arial" w:cs="Arial" w:eastAsia="Arial" w:hAnsi="Arial"/>
          <w:sz w:val="18"/>
          <w:szCs w:val="18"/>
          <w:color w:val="auto"/>
        </w:rPr>
        <w:t>. Such Commitment Party is acquiring the Unsubscribed Notes for its own account or accounts or funds over which it holds voting discretion or exercises discretionary investment management, not otherwise as a nominee or agent, and not otherwise with the view to, or for resale in connection with, any distribution thereof not in compliance with the Securities Act, any applicable securities or “blue sky” laws of any state of the United States or other applicable securities Laws, and such Commitment Party has no present intention of selling, granting any other participation in, or otherwise distributing the same, except in compliance with the Securities Act, any applicable securities or “blue sky” laws of any state of the United States and any applicable securities Laws.</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Sophistication; Investigation</w:t>
      </w:r>
      <w:r>
        <w:rPr>
          <w:rFonts w:ascii="Arial" w:cs="Arial" w:eastAsia="Arial" w:hAnsi="Arial"/>
          <w:sz w:val="16"/>
          <w:szCs w:val="16"/>
          <w:color w:val="auto"/>
        </w:rPr>
        <w:t>. Such Commitment Party has such knowledge and experience in financial and business matters such that it is capable of evaluating the merits and risks of its investment in the Unsubscribed Notes. Such Commitment Party understands and accepts that its investment in the Unsubscribed Notes involve risks. Such Commitment Party has received such documentation as it has deemed necessary to make an informed investment decision in connection with its investment in the Unsubscribed Notes, has had adequate time to review such documents prior to making its decision to invest, has had a full opportunity to ask questions of and receive answers from the Company or any person or persons acting on behalf of the Company concerning the terms and conditions of an investment in the Company and has made an independent decision to invest in any Unsubscribed Notes based upon the foregoing and other information available to it, which it has deemed adequate for this purpose. With the assistance of each Commitment Party’s own professional advisors, to the extent that such Commitment Party has deemed appropriate, such Commitment Party has made its own legal, tax, accounting and financial evaluation of the merits and risks of an investment in any Unsubscribed Notes. Such Commitment Party understands and is able to bear any economic risks associated with such investment. Except for the representations and warranties expressly set forth in this Agreement or any other Transaction Agreement, such Commitment Party has independently evaluated the merits and risks of its decision to enter into this Agreement and disclaims reliance on any representations or warranties, either express or implied, by or on behalf of any Debtors.</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No Broker’s Fees</w:t>
      </w:r>
      <w:r>
        <w:rPr>
          <w:rFonts w:ascii="Arial" w:cs="Arial" w:eastAsia="Arial" w:hAnsi="Arial"/>
          <w:sz w:val="18"/>
          <w:szCs w:val="18"/>
          <w:color w:val="auto"/>
        </w:rPr>
        <w:t>. Such Commitment Party is not a party to any Contract with any Person (other than the Transaction Agreements and any Contract giving rise to the Expense Reimbursement hereunder) that would give rise to a valid claim against any of the Debtors for a brokerage commission, finder’s fee or like payment in connection with the Rights Offering or the sale of the Unsubscribed Notes.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Sufficient Funds</w:t>
      </w:r>
      <w:r>
        <w:rPr>
          <w:rFonts w:ascii="Arial" w:cs="Arial" w:eastAsia="Arial" w:hAnsi="Arial"/>
          <w:sz w:val="18"/>
          <w:szCs w:val="18"/>
          <w:color w:val="auto"/>
        </w:rPr>
        <w:t>. Such Commitment Party has sufficient assets and the financial capacity to perform all of its obligations under this Agreement, including the ability to fully exercise all Subscription Rights that are issued to it pursuant to the Rights Offering and fund such Commitment Party’s Rights Offering Backstop Commitment.</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Additional Securities Law Matters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64" w:lineRule="auto"/>
        <w:tabs>
          <w:tab w:leader="none" w:pos="2023" w:val="left"/>
        </w:tabs>
        <w:numPr>
          <w:ilvl w:val="0"/>
          <w:numId w:val="555"/>
        </w:numPr>
        <w:rPr>
          <w:rFonts w:ascii="Arial" w:cs="Arial" w:eastAsia="Arial" w:hAnsi="Arial"/>
          <w:sz w:val="18"/>
          <w:szCs w:val="18"/>
          <w:color w:val="auto"/>
        </w:rPr>
      </w:pPr>
      <w:r>
        <w:rPr>
          <w:rFonts w:ascii="Arial" w:cs="Arial" w:eastAsia="Arial" w:hAnsi="Arial"/>
          <w:sz w:val="18"/>
          <w:szCs w:val="18"/>
          <w:color w:val="auto"/>
        </w:rPr>
        <w:t>Such Commitment Party has been advised by the Company that the Unsubscribed Notes are characterized as “restricted securities” under the Securities Act inasmuch as they are being acquired from the Company in a transaction not involving a public offering and that such Commitment Party must continue to bear the economic risk of the investment in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5" w:name="page436"/>
    <w:bookmarkEnd w:id="435"/>
    <w:p>
      <w:pPr>
        <w:ind w:right="220"/>
        <w:spacing w:after="0" w:line="277" w:lineRule="auto"/>
        <w:rPr>
          <w:sz w:val="20"/>
          <w:szCs w:val="20"/>
          <w:color w:val="auto"/>
        </w:rPr>
      </w:pPr>
      <w:r>
        <w:rPr>
          <w:rFonts w:ascii="Arial" w:cs="Arial" w:eastAsia="Arial" w:hAnsi="Arial"/>
          <w:sz w:val="18"/>
          <w:szCs w:val="18"/>
          <w:color w:val="auto"/>
        </w:rPr>
        <w:t>Unsubscribed Notes, if applicable, unless the offer and sale of its Unsubscribed Notes is subsequently registered under the Securities Act and all applicable state or foreign securities or “blue sky” laws or an exemption from such registration is available.</w:t>
      </w:r>
    </w:p>
    <w:p>
      <w:pPr>
        <w:spacing w:after="0" w:line="170" w:lineRule="exact"/>
        <w:rPr>
          <w:sz w:val="20"/>
          <w:szCs w:val="20"/>
          <w:color w:val="auto"/>
        </w:rPr>
      </w:pPr>
    </w:p>
    <w:p>
      <w:pPr>
        <w:ind w:right="20" w:firstLine="1305"/>
        <w:spacing w:after="0" w:line="264" w:lineRule="auto"/>
        <w:tabs>
          <w:tab w:leader="none" w:pos="2033" w:val="left"/>
        </w:tabs>
        <w:numPr>
          <w:ilvl w:val="0"/>
          <w:numId w:val="556"/>
        </w:numPr>
        <w:rPr>
          <w:rFonts w:ascii="Arial" w:cs="Arial" w:eastAsia="Arial" w:hAnsi="Arial"/>
          <w:sz w:val="18"/>
          <w:szCs w:val="18"/>
          <w:color w:val="auto"/>
        </w:rPr>
      </w:pPr>
      <w:r>
        <w:rPr>
          <w:rFonts w:ascii="Arial" w:cs="Arial" w:eastAsia="Arial" w:hAnsi="Arial"/>
          <w:sz w:val="18"/>
          <w:szCs w:val="18"/>
          <w:color w:val="auto"/>
        </w:rPr>
        <w:t>Such Commitment Party is either (i) a “qualified institutional buyer” within the meaning of Rule 144A of the Securities Act or an “accredited investor” within the meaning of Rule 501(a) of the Securities Act or (ii) not a “U.S. Person” as such term is defined in Regulation S under the Securities Act.</w:t>
      </w:r>
    </w:p>
    <w:p>
      <w:pPr>
        <w:spacing w:after="0" w:line="181" w:lineRule="exact"/>
        <w:rPr>
          <w:rFonts w:ascii="Arial" w:cs="Arial" w:eastAsia="Arial" w:hAnsi="Arial"/>
          <w:sz w:val="18"/>
          <w:szCs w:val="18"/>
          <w:color w:val="auto"/>
        </w:rPr>
      </w:pPr>
    </w:p>
    <w:p>
      <w:pPr>
        <w:ind w:right="100" w:firstLine="1305"/>
        <w:spacing w:after="0" w:line="264" w:lineRule="auto"/>
        <w:tabs>
          <w:tab w:leader="none" w:pos="2036" w:val="left"/>
        </w:tabs>
        <w:numPr>
          <w:ilvl w:val="0"/>
          <w:numId w:val="556"/>
        </w:numPr>
        <w:rPr>
          <w:rFonts w:ascii="Arial" w:cs="Arial" w:eastAsia="Arial" w:hAnsi="Arial"/>
          <w:sz w:val="18"/>
          <w:szCs w:val="18"/>
          <w:color w:val="auto"/>
        </w:rPr>
      </w:pPr>
      <w:r>
        <w:rPr>
          <w:rFonts w:ascii="Arial" w:cs="Arial" w:eastAsia="Arial" w:hAnsi="Arial"/>
          <w:sz w:val="18"/>
          <w:szCs w:val="18"/>
          <w:color w:val="auto"/>
        </w:rPr>
        <w:t>No such Commitment Party, its Affiliates or any person acting on its or any of their behalf has engaged, or will engage, in any form of general solicitation or general advertising (within the meaning of Rule 502(c) of the Securities Act) or directed selling efforts (within the meaning of Regulations S) in connection with the offering of any Unsubscribed Notes.</w:t>
      </w:r>
    </w:p>
    <w:p>
      <w:pPr>
        <w:spacing w:after="0" w:line="181" w:lineRule="exact"/>
        <w:rPr>
          <w:rFonts w:ascii="Arial" w:cs="Arial" w:eastAsia="Arial" w:hAnsi="Arial"/>
          <w:sz w:val="18"/>
          <w:szCs w:val="18"/>
          <w:color w:val="auto"/>
        </w:rPr>
      </w:pPr>
    </w:p>
    <w:p>
      <w:pPr>
        <w:ind w:right="140" w:firstLine="1305"/>
        <w:spacing w:after="0" w:line="259" w:lineRule="auto"/>
        <w:tabs>
          <w:tab w:leader="none" w:pos="2033" w:val="left"/>
        </w:tabs>
        <w:numPr>
          <w:ilvl w:val="0"/>
          <w:numId w:val="556"/>
        </w:numPr>
        <w:rPr>
          <w:rFonts w:ascii="Arial" w:cs="Arial" w:eastAsia="Arial" w:hAnsi="Arial"/>
          <w:sz w:val="18"/>
          <w:szCs w:val="18"/>
          <w:color w:val="auto"/>
        </w:rPr>
      </w:pPr>
      <w:r>
        <w:rPr>
          <w:rFonts w:ascii="Arial" w:cs="Arial" w:eastAsia="Arial" w:hAnsi="Arial"/>
          <w:sz w:val="18"/>
          <w:szCs w:val="18"/>
          <w:color w:val="auto"/>
        </w:rPr>
        <w:t>Such Commitment Party is not purchasing any Unsubscribed Notes as a result of any advertisement, article, notice or other communication regarding the Unsubscribed Notes published in any newspaper, magazine or similar media or broadcast over television or radio or presented at any seminar or, to such Commitment Party’s knowledge, any other general solicitation or general advertising (within the meaning of Rule 502(c) of the Securities Act) or directed selling efforts (within the meaning of Regulations 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COVENANTS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Confirmation Order; Plan and Disclosure Statement</w:t>
      </w:r>
      <w:r>
        <w:rPr>
          <w:rFonts w:ascii="Arial" w:cs="Arial" w:eastAsia="Arial" w:hAnsi="Arial"/>
          <w:sz w:val="16"/>
          <w:szCs w:val="16"/>
          <w:color w:val="auto"/>
        </w:rPr>
        <w:t>. The Debtors shall support and make commercially reasonable efforts, consistent with the Restructuring Support Agreement and the Plan, to (a) obtain the entry of the Rights Offering Approval Order and, to the extent it is a separate order therefrom, the Confirmation Order, and (b) cause the Rights Offering Approval Order and, to the extent it is a separate order therefrom, the Confirmation Order, to become a Final Order (and request that such Order become effective immediately upon entry by the Bankruptcy Court pursuant to a waiver of Rules 3020 and 6004(h) of the Bankruptcy Rules, as applicable), consistent with the Bankruptcy Code, the Bankruptcy Rules, and the Restructuring Support Agreement. The Debtors shall provide counsel to the Commitment Parties copies of any proposed pleadings seeking entry of the Rights Offering Approval Order and, to the extent it is a separate order therefrom, the Confirmation Order, the proposed Plan and the Disclosure Statement and any proposed amendment, modification, supplement or change to the Plan or the Disclosure Statement and a reasonable opportunity to review and comment on such pleadings prior to such pleadings being filed with the Bankruptcy Court and documents, and each such pleading, amendment, modification, supplement or change to the Plan or the Disclosure Statement must be in form and substance reasonably acceptable to the Requisite Commitment Parties and the Debtors. The Debtors shall provide to counsel to each of the Commitment Parties a copy of the proposed Confirmation Order (together with copies of any briefs, pleadings and motions related thereto) and a reasonable opportunity to review and comment on such Order, briefs, pleadings and motions prior to such Order, briefs, pleadings and motions being filed with the Bankruptcy Court, and such proposed Order, briefs, pleadings and motions must be in form and substance reasonably acceptable to the Requisite Commitment Parties and the Debtors. The Confirmation Order entered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6" w:name="page437"/>
    <w:bookmarkEnd w:id="436"/>
    <w:p>
      <w:pPr>
        <w:ind w:right="420"/>
        <w:spacing w:after="0" w:line="264" w:lineRule="auto"/>
        <w:rPr>
          <w:sz w:val="20"/>
          <w:szCs w:val="20"/>
          <w:color w:val="auto"/>
        </w:rPr>
      </w:pPr>
      <w:r>
        <w:rPr>
          <w:rFonts w:ascii="Arial" w:cs="Arial" w:eastAsia="Arial" w:hAnsi="Arial"/>
          <w:sz w:val="18"/>
          <w:szCs w:val="18"/>
          <w:color w:val="auto"/>
        </w:rPr>
        <w:t>by the Bankruptcy Court shall be in form and substance reasonably acceptable to the Requisite Commitment Parties and the Debtors. Any amendments, modifications, changes or supplements to the Confirmation Order, and any of the pleadings seeking entry of such Order, shall be in form and substance reasonably acceptable to the Requisite Commitment Parties and the Debtors.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ind w:left="80" w:right="20" w:firstLine="1306"/>
        <w:spacing w:after="0" w:line="312" w:lineRule="auto"/>
        <w:tabs>
          <w:tab w:leader="none" w:pos="2022" w:val="left"/>
        </w:tabs>
        <w:numPr>
          <w:ilvl w:val="0"/>
          <w:numId w:val="557"/>
        </w:numPr>
        <w:rPr>
          <w:rFonts w:ascii="Arial" w:cs="Arial" w:eastAsia="Arial" w:hAnsi="Arial"/>
          <w:sz w:val="16"/>
          <w:szCs w:val="16"/>
          <w:color w:val="auto"/>
        </w:rPr>
      </w:pPr>
      <w:r>
        <w:rPr>
          <w:rFonts w:ascii="Arial" w:cs="Arial" w:eastAsia="Arial" w:hAnsi="Arial"/>
          <w:sz w:val="16"/>
          <w:szCs w:val="16"/>
          <w:color w:val="auto"/>
        </w:rPr>
        <w:t>Without in any way limiting any other respective obligation of the Debtors or any Commitment Party in this Agreement, each Party shall use reasonable best efforts to take or cause to be taken all actions, and do or cause to be done all things, reasonably necessary, proper or advisable in order to consummate and make effective the transactions contemplated by this Agreement and the Plan, including using reasonable best efforts in:</w:t>
      </w:r>
    </w:p>
    <w:p>
      <w:pPr>
        <w:spacing w:after="0" w:line="146" w:lineRule="exact"/>
        <w:rPr>
          <w:rFonts w:ascii="Arial" w:cs="Arial" w:eastAsia="Arial" w:hAnsi="Arial"/>
          <w:sz w:val="16"/>
          <w:szCs w:val="16"/>
          <w:color w:val="auto"/>
        </w:rPr>
      </w:pPr>
    </w:p>
    <w:p>
      <w:pPr>
        <w:ind w:left="1300" w:right="20" w:firstLine="653"/>
        <w:spacing w:after="0" w:line="264" w:lineRule="auto"/>
        <w:tabs>
          <w:tab w:leader="none" w:pos="2618" w:val="left"/>
        </w:tabs>
        <w:numPr>
          <w:ilvl w:val="1"/>
          <w:numId w:val="557"/>
        </w:numPr>
        <w:rPr>
          <w:rFonts w:ascii="Arial" w:cs="Arial" w:eastAsia="Arial" w:hAnsi="Arial"/>
          <w:sz w:val="18"/>
          <w:szCs w:val="18"/>
          <w:color w:val="auto"/>
        </w:rPr>
      </w:pPr>
      <w:r>
        <w:rPr>
          <w:rFonts w:ascii="Arial" w:cs="Arial" w:eastAsia="Arial" w:hAnsi="Arial"/>
          <w:sz w:val="18"/>
          <w:szCs w:val="18"/>
          <w:color w:val="auto"/>
        </w:rPr>
        <w:t>timely preparing and filing all documentation reasonably necessary to effect all necessary notices, reports and other filings of such Person and to obtain as promptly as practicable all consents, registrations, approvals, permits and authorizations necessary or advisable to be obtained from any third party or Governmental Entity; and</w:t>
      </w:r>
    </w:p>
    <w:p>
      <w:pPr>
        <w:spacing w:after="0" w:line="181" w:lineRule="exact"/>
        <w:rPr>
          <w:rFonts w:ascii="Arial" w:cs="Arial" w:eastAsia="Arial" w:hAnsi="Arial"/>
          <w:sz w:val="18"/>
          <w:szCs w:val="18"/>
          <w:color w:val="auto"/>
        </w:rPr>
      </w:pPr>
    </w:p>
    <w:p>
      <w:pPr>
        <w:jc w:val="both"/>
        <w:ind w:left="1300" w:right="580" w:firstLine="653"/>
        <w:spacing w:after="0" w:line="259" w:lineRule="auto"/>
        <w:tabs>
          <w:tab w:leader="none" w:pos="2627" w:val="left"/>
        </w:tabs>
        <w:numPr>
          <w:ilvl w:val="1"/>
          <w:numId w:val="557"/>
        </w:numPr>
        <w:rPr>
          <w:rFonts w:ascii="Arial" w:cs="Arial" w:eastAsia="Arial" w:hAnsi="Arial"/>
          <w:sz w:val="18"/>
          <w:szCs w:val="18"/>
          <w:color w:val="auto"/>
        </w:rPr>
      </w:pPr>
      <w:r>
        <w:rPr>
          <w:rFonts w:ascii="Arial" w:cs="Arial" w:eastAsia="Arial" w:hAnsi="Arial"/>
          <w:sz w:val="18"/>
          <w:szCs w:val="18"/>
          <w:color w:val="auto"/>
        </w:rPr>
        <w:t>cooperating with the defense of any Legal Proceedings in any way challenging (A) this Agreement (B) the Rights Offering Approval Order and, to the extent it is a separate order therefrom, the Confirmation Order, or (C) the consummation of the transactions contemplated hereby and thereby, including seeking to have any stay or temporary restraining Order entered by any Governmental Entity vacated or reversed; and</w:t>
      </w:r>
    </w:p>
    <w:p>
      <w:pPr>
        <w:spacing w:after="0" w:line="186" w:lineRule="exact"/>
        <w:rPr>
          <w:rFonts w:ascii="Arial" w:cs="Arial" w:eastAsia="Arial" w:hAnsi="Arial"/>
          <w:sz w:val="18"/>
          <w:szCs w:val="18"/>
          <w:color w:val="auto"/>
        </w:rPr>
      </w:pPr>
    </w:p>
    <w:p>
      <w:pPr>
        <w:ind w:left="80" w:firstLine="1306"/>
        <w:spacing w:after="0" w:line="269" w:lineRule="auto"/>
        <w:tabs>
          <w:tab w:leader="none" w:pos="2032" w:val="left"/>
        </w:tabs>
        <w:numPr>
          <w:ilvl w:val="0"/>
          <w:numId w:val="557"/>
        </w:numPr>
        <w:rPr>
          <w:rFonts w:ascii="Arial" w:cs="Arial" w:eastAsia="Arial" w:hAnsi="Arial"/>
          <w:sz w:val="17"/>
          <w:szCs w:val="17"/>
          <w:color w:val="auto"/>
        </w:rPr>
      </w:pPr>
      <w:r>
        <w:rPr>
          <w:rFonts w:ascii="Arial" w:cs="Arial" w:eastAsia="Arial" w:hAnsi="Arial"/>
          <w:sz w:val="17"/>
          <w:szCs w:val="17"/>
          <w:color w:val="auto"/>
        </w:rPr>
        <w:t xml:space="preserve">Subject to applicable Laws or applicable rules relating to the exchange of information, and in accordance with the Restructuring Support Agreement, the Commitment Parties and the Debtors shall have the right to review in advance, and to the extent practicable each will consult with the other on all of the information relating to Commitment Parties or the Debtors, as the case may be, and any of their respective Subsidiaries, that appears in any filing made with, or written materials submitted to, any third party and/or Governmental Entity in connection with the transactions contemplated by this Agreement or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Commitment Parties are not required to provide for review in advance declarations or other evidence submitted in connection with any filing with the Bankruptcy Court. Notwithstanding the foregoing, under no circumstances may any Party make any public disclosure of any kind that would disclose either: (i) the holdings of any Commitment Party (including Schedule I, which shall not be publicly disclosed or filed) or (ii) the identity of any Commitment Party without the prior written consent of such Commitment Party or the order of a Bankruptcy Court or other court with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Debtors may disclose such identities of the Commitment Parties, upon prior consultation with the Commitment Parties, to the extent that, upon the advice of counsel, they are required to do so by any governmental or regulatory authority (including as it may be directed by the SEC) or court of competent jurisdiction. In exercising the foregoing rights, the Parties shall act as reasonably and as promptly as practicable.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7" w:name="page438"/>
    <w:bookmarkEnd w:id="437"/>
    <w:p>
      <w:pPr>
        <w:ind w:left="80" w:right="160" w:firstLine="1306"/>
        <w:spacing w:after="0" w:line="308" w:lineRule="auto"/>
        <w:tabs>
          <w:tab w:leader="none" w:pos="2035" w:val="left"/>
        </w:tabs>
        <w:numPr>
          <w:ilvl w:val="0"/>
          <w:numId w:val="558"/>
        </w:numPr>
        <w:rPr>
          <w:rFonts w:ascii="Arial" w:cs="Arial" w:eastAsia="Arial" w:hAnsi="Arial"/>
          <w:sz w:val="17"/>
          <w:szCs w:val="17"/>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limit the ability of any Commitment Party to consult with the Debtors, to appear and be heard, or to file objections, concerning any matter arising in the Cases to the extent not inconsistent with the Transaction Agreements.</w:t>
      </w:r>
    </w:p>
    <w:p>
      <w:pPr>
        <w:spacing w:after="0" w:line="146" w:lineRule="exact"/>
        <w:rPr>
          <w:rFonts w:ascii="Arial" w:cs="Arial" w:eastAsia="Arial" w:hAnsi="Arial"/>
          <w:sz w:val="17"/>
          <w:szCs w:val="17"/>
          <w:color w:val="auto"/>
        </w:rPr>
      </w:pPr>
    </w:p>
    <w:p>
      <w:pPr>
        <w:ind w:left="80" w:right="40" w:firstLine="1306"/>
        <w:spacing w:after="0" w:line="259" w:lineRule="auto"/>
        <w:tabs>
          <w:tab w:leader="none" w:pos="2032" w:val="left"/>
        </w:tabs>
        <w:numPr>
          <w:ilvl w:val="0"/>
          <w:numId w:val="55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6.2</w:t>
      </w:r>
      <w:r>
        <w:rPr>
          <w:rFonts w:ascii="Arial" w:cs="Arial" w:eastAsia="Arial" w:hAnsi="Arial"/>
          <w:sz w:val="18"/>
          <w:szCs w:val="18"/>
          <w:color w:val="auto"/>
        </w:rPr>
        <w:t>, nothing in this Agreement will require Fidelity to make, seek or receive any filings, notifications, consents, determinations, authorizations, permits, approvals, licenses or the like, or provide any documentation or information to any regulatory or self-regulatory body having jurisdiction over the Company or Fidelity other than information that is already included in this Agreement or is otherwise in the public domain.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Blue Sky</w:t>
      </w:r>
      <w:r>
        <w:rPr>
          <w:rFonts w:ascii="Arial" w:cs="Arial" w:eastAsia="Arial" w:hAnsi="Arial"/>
          <w:sz w:val="17"/>
          <w:szCs w:val="17"/>
          <w:color w:val="auto"/>
        </w:rPr>
        <w:t xml:space="preserve">. The Company shall, on or before the Closing Date, use reasonable best efforts to obtain an exemption for, or to qualify the offer and sale of the Unsubscribed Notes to the Commitment Parties pursuant to this Agreement under applicable securities and “Blue Sky” Laws of the states of the United States (or to obtain an exemption from such qualification) and any applicable foreign jurisdictions, and shall provide evidence of any such action so taken to the Commitment Parties on or prior to the Closing Date. The Company shall use reasonable best efforts to timely make all filings and reports relating to the offer and sale of the Unsubscribed Notes issued hereunder required under applicable securities and “Blue Sky” Laws of the states of the United States. The Company shall pay all fees and expenses in connection with satisfying its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78"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Debtors will apply the proceeds from the exercise of the Subscription Rights and the sale of the Unsubscribed Notes for the purposes identified in the Plan.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Unsubscribed Notes Legend</w:t>
      </w:r>
      <w:r>
        <w:rPr>
          <w:rFonts w:ascii="Arial" w:cs="Arial" w:eastAsia="Arial" w:hAnsi="Arial"/>
          <w:sz w:val="18"/>
          <w:szCs w:val="18"/>
          <w:color w:val="auto"/>
        </w:rPr>
        <w:t>. Each certificate evidencing any Unsubscribed Notes shall be stamped or otherwise imprinted with a legend (the “</w:t>
      </w:r>
      <w:r>
        <w:rPr>
          <w:rFonts w:ascii="Arial" w:cs="Arial" w:eastAsia="Arial" w:hAnsi="Arial"/>
          <w:sz w:val="18"/>
          <w:szCs w:val="18"/>
          <w:u w:val="single" w:color="auto"/>
          <w:color w:val="auto"/>
        </w:rPr>
        <w:t>Legend</w:t>
      </w:r>
      <w:r>
        <w:rPr>
          <w:rFonts w:ascii="Arial" w:cs="Arial" w:eastAsia="Arial" w:hAnsi="Arial"/>
          <w:sz w:val="18"/>
          <w:szCs w:val="18"/>
          <w:color w:val="auto"/>
        </w:rPr>
        <w:t>”) in substantially the following form:</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SECURITIES REPRESENTED BY THIS CERTIFICATE WERE ORIGINALLY ISSUED ON [DATE OF ISSUANCE], HAVE NOT BEEN REGISTERED UNDER THE UNITED STATES SECURITIES ACT OF 1933, AS AMENDED (THE “ACT”), OR ANY OTHER APPLICABLE STATE SECURITIES LAWS, AND MAY NOT BE SOLD OR TRANSFERRED IN THE ABSENCE OF AN EFFECTIVE REGISTRATION STATEMENT UNDER THE ACT OR AN AVAILABLE EXEMPTION FROM REGISTRATION THEREUNDER.”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Commitment Party Termination; Replacement of Terminating Commitment Parties</w:t>
      </w:r>
      <w:r>
        <w:rPr>
          <w:rFonts w:ascii="Arial" w:cs="Arial" w:eastAsia="Arial" w:hAnsi="Arial"/>
          <w:sz w:val="16"/>
          <w:szCs w:val="16"/>
          <w:color w:val="auto"/>
        </w:rPr>
        <w:t>.</w:t>
      </w:r>
    </w:p>
    <w:p>
      <w:pPr>
        <w:spacing w:after="0" w:line="225" w:lineRule="exact"/>
        <w:rPr>
          <w:sz w:val="20"/>
          <w:szCs w:val="20"/>
          <w:color w:val="auto"/>
        </w:rPr>
      </w:pPr>
    </w:p>
    <w:p>
      <w:pPr>
        <w:ind w:firstLine="1386"/>
        <w:spacing w:after="0" w:line="264" w:lineRule="auto"/>
        <w:tabs>
          <w:tab w:leader="none" w:pos="1942" w:val="left"/>
        </w:tabs>
        <w:numPr>
          <w:ilvl w:val="0"/>
          <w:numId w:val="559"/>
        </w:numPr>
        <w:rPr>
          <w:rFonts w:ascii="Arial" w:cs="Arial" w:eastAsia="Arial" w:hAnsi="Arial"/>
          <w:sz w:val="18"/>
          <w:szCs w:val="18"/>
          <w:color w:val="auto"/>
        </w:rPr>
      </w:pPr>
      <w:r>
        <w:rPr>
          <w:rFonts w:ascii="Arial" w:cs="Arial" w:eastAsia="Arial" w:hAnsi="Arial"/>
          <w:sz w:val="18"/>
          <w:szCs w:val="18"/>
          <w:color w:val="auto"/>
        </w:rPr>
        <w:t>Upon the exercise of a Partial Noteholder Termination, the Commitment Parties and their respective Related Purchasers (other than any Terminating Commitment Parties) shall have the right and opportunity (but not the obligation), within ten (10) days (or such shorter period as may be necessary to consummate the Rights Offering in compliance with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8" w:name="page439"/>
    <w:bookmarkEnd w:id="438"/>
    <w:p>
      <w:pPr>
        <w:spacing w:after="0"/>
        <w:rPr>
          <w:sz w:val="20"/>
          <w:szCs w:val="20"/>
          <w:color w:val="auto"/>
        </w:rPr>
      </w:pPr>
      <w:r>
        <w:rPr>
          <w:rFonts w:ascii="Arial" w:cs="Arial" w:eastAsia="Arial" w:hAnsi="Arial"/>
          <w:sz w:val="16"/>
          <w:szCs w:val="16"/>
          <w:color w:val="auto"/>
        </w:rPr>
        <w:t>securities laws and regulations) after receipt of written notice from the Company to all Commitment Parties of such Partial Noteholder Termination,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notice shall be given promptly following the occurrence of such Partial Noteholder Termination and to all Commitment Parties substantially concurrently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period, the “</w:t>
      </w:r>
      <w:r>
        <w:rPr>
          <w:rFonts w:ascii="Arial" w:cs="Arial" w:eastAsia="Arial" w:hAnsi="Arial"/>
          <w:sz w:val="16"/>
          <w:szCs w:val="16"/>
          <w:b w:val="1"/>
          <w:bCs w:val="1"/>
          <w:u w:val="single" w:color="auto"/>
          <w:color w:val="auto"/>
        </w:rPr>
        <w:t>Terminating Commitment Party Replacement Period</w:t>
      </w:r>
      <w:r>
        <w:rPr>
          <w:rFonts w:ascii="Arial" w:cs="Arial" w:eastAsia="Arial" w:hAnsi="Arial"/>
          <w:sz w:val="16"/>
          <w:szCs w:val="16"/>
          <w:color w:val="auto"/>
        </w:rPr>
        <w:t>”), to make arrangements for one or more of the remaining Commitment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and/or their respective Related Purchasers (other than the Terminating Commitment Parties) to purchase all or any portion of the Available Notes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 “</w:t>
      </w:r>
      <w:r>
        <w:rPr>
          <w:rFonts w:ascii="Arial" w:cs="Arial" w:eastAsia="Arial" w:hAnsi="Arial"/>
          <w:sz w:val="16"/>
          <w:szCs w:val="16"/>
          <w:b w:val="1"/>
          <w:bCs w:val="1"/>
          <w:u w:val="single" w:color="auto"/>
          <w:color w:val="auto"/>
        </w:rPr>
        <w:t>Terminating Commitment Party Replacement</w:t>
      </w:r>
      <w:r>
        <w:rPr>
          <w:rFonts w:ascii="Arial" w:cs="Arial" w:eastAsia="Arial" w:hAnsi="Arial"/>
          <w:sz w:val="16"/>
          <w:szCs w:val="16"/>
          <w:color w:val="auto"/>
        </w:rPr>
        <w:t>”) on the terms and subject to the conditions set forth in this Agreement and in such amounts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agreed upon by all of the Commitment Parties electing to purchase all or any portion of the Available Notes (such Commitment Parties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Replacing Terminating Commitment Parties</w:t>
      </w:r>
      <w:r>
        <w:rPr>
          <w:rFonts w:ascii="Arial" w:cs="Arial" w:eastAsia="Arial" w:hAnsi="Arial"/>
          <w:sz w:val="16"/>
          <w:szCs w:val="16"/>
          <w:color w:val="auto"/>
        </w:rPr>
        <w:t>”). Any Available Notes purchased by a Replacing Terminating Commitment Party (and any commitment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applicable aggregate Note Purchase Price associated therewith) shall be included, among other things, in the determination of (x) the Unsubscribed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Replacing Terminating Commitment Party for all purposes hereunder, (y) the Commitment Percentage of such Replacing Terminating Commitment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for purposes of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(z) the Rights Offering Backstop Commitment of such Replacing Terminating Commitment Party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of the definition of “Requisite Commitment Parties.” In the event the Commitment Parties and their respective Related Purchasers (other than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Terminating Commitment Parties), fail to make arrangements for one or more of the Commitment Parties and/or their respective Related Purchasers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than the Terminating Commitment Parties) to purchase all of the Available Notes as described in this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within the Terminating Commitment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Party Replacement Period, then each of the Company and the Requisite Commitment Parties Shall have the right to terminate this Agreement.</w:t>
      </w:r>
    </w:p>
    <w:p>
      <w:pPr>
        <w:spacing w:after="0" w:line="211" w:lineRule="exact"/>
        <w:rPr>
          <w:sz w:val="20"/>
          <w:szCs w:val="20"/>
          <w:color w:val="auto"/>
        </w:rPr>
      </w:pPr>
    </w:p>
    <w:p>
      <w:pPr>
        <w:ind w:left="180" w:firstLine="1287"/>
        <w:spacing w:after="0" w:line="272" w:lineRule="auto"/>
        <w:tabs>
          <w:tab w:leader="none" w:pos="2132" w:val="left"/>
        </w:tabs>
        <w:numPr>
          <w:ilvl w:val="0"/>
          <w:numId w:val="56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if this Agreement is terminated with respect to a Commitment Party that is a Terminating Commitment Party hereunder, it shall not be entitled to any of the Commitment Payment applicable to such Terminating Commitment Party and it shall be obligated to repay its ratable portion of the Commitment Payment to any Replacing Terminating Commitment Parties ratably in proportion to their respective Commitment Party Replacements (or, if there are no such Replacing Commitment Parties and this Agreement is not terminated by the Debtors as to all Commitment Parties under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hereof, whether or not the Commitment Parties terminate the Agreement under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above,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for the avoidance of doubt, such reduction shall not reduce the amount of the Commitment Payment payable to each Commitment Party that is not a Terminating Commitment Party.</w:t>
      </w:r>
    </w:p>
    <w:p>
      <w:pPr>
        <w:spacing w:after="0" w:line="177" w:lineRule="exact"/>
        <w:rPr>
          <w:rFonts w:ascii="Arial" w:cs="Arial" w:eastAsia="Arial" w:hAnsi="Arial"/>
          <w:sz w:val="17"/>
          <w:szCs w:val="17"/>
          <w:color w:val="auto"/>
        </w:rPr>
      </w:pPr>
    </w:p>
    <w:p>
      <w:pPr>
        <w:ind w:left="180" w:right="140" w:firstLine="1287"/>
        <w:spacing w:after="0" w:line="277" w:lineRule="auto"/>
        <w:tabs>
          <w:tab w:leader="none" w:pos="2135"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deemed to require a Commitment Party to pay more than its Commitment Percentage in its purchase of the Unsubscribed Notes.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THE OBLIGATIONS OF THE PARTIES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the Obligations of the Commitment Parties</w:t>
      </w:r>
      <w:r>
        <w:rPr>
          <w:rFonts w:ascii="Arial" w:cs="Arial" w:eastAsia="Arial" w:hAnsi="Arial"/>
          <w:sz w:val="18"/>
          <w:szCs w:val="18"/>
          <w:color w:val="auto"/>
        </w:rPr>
        <w:t xml:space="preserve">. The obligations of each Commitment Party to consummate the transactions contemplated hereby shall be subject to (unless waived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the satisfaction of the following conditions prior to or at the Closing: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9" w:name="page440"/>
    <w:bookmarkEnd w:id="439"/>
    <w:p>
      <w:pPr>
        <w:ind w:firstLine="1306"/>
        <w:spacing w:after="0" w:line="277" w:lineRule="auto"/>
        <w:tabs>
          <w:tab w:leader="none" w:pos="1942" w:val="left"/>
        </w:tabs>
        <w:numPr>
          <w:ilvl w:val="2"/>
          <w:numId w:val="561"/>
        </w:numPr>
        <w:rPr>
          <w:rFonts w:ascii="Arial" w:cs="Arial" w:eastAsia="Arial" w:hAnsi="Arial"/>
          <w:sz w:val="18"/>
          <w:szCs w:val="18"/>
          <w:color w:val="auto"/>
        </w:rPr>
      </w:pPr>
      <w:r>
        <w:rPr>
          <w:rFonts w:ascii="Arial" w:cs="Arial" w:eastAsia="Arial" w:hAnsi="Arial"/>
          <w:sz w:val="18"/>
          <w:szCs w:val="18"/>
          <w:u w:val="single" w:color="auto"/>
          <w:color w:val="auto"/>
        </w:rPr>
        <w:t>Rights Offering Approval Order</w:t>
      </w:r>
      <w:r>
        <w:rPr>
          <w:rFonts w:ascii="Arial" w:cs="Arial" w:eastAsia="Arial" w:hAnsi="Arial"/>
          <w:sz w:val="18"/>
          <w:szCs w:val="18"/>
          <w:color w:val="auto"/>
        </w:rPr>
        <w:t>. The Bankruptcy Court shall have entered the Rights Offering Approval Order, which shall be in form and substance satisfactory to the Requisite Commitment Parties, and such Order shall be a Final Order.</w:t>
      </w:r>
    </w:p>
    <w:p>
      <w:pPr>
        <w:spacing w:after="0" w:line="170" w:lineRule="exact"/>
        <w:rPr>
          <w:rFonts w:ascii="Arial" w:cs="Arial" w:eastAsia="Arial" w:hAnsi="Arial"/>
          <w:sz w:val="18"/>
          <w:szCs w:val="18"/>
          <w:color w:val="auto"/>
        </w:rPr>
      </w:pPr>
    </w:p>
    <w:p>
      <w:pPr>
        <w:ind w:right="300" w:firstLine="1306"/>
        <w:spacing w:after="0" w:line="277" w:lineRule="auto"/>
        <w:tabs>
          <w:tab w:leader="none" w:pos="1952" w:val="left"/>
        </w:tabs>
        <w:numPr>
          <w:ilvl w:val="2"/>
          <w:numId w:val="561"/>
        </w:numPr>
        <w:rPr>
          <w:rFonts w:ascii="Arial" w:cs="Arial" w:eastAsia="Arial" w:hAnsi="Arial"/>
          <w:sz w:val="18"/>
          <w:szCs w:val="18"/>
          <w:color w:val="auto"/>
        </w:rPr>
      </w:pPr>
      <w:r>
        <w:rPr>
          <w:rFonts w:ascii="Arial" w:cs="Arial" w:eastAsia="Arial" w:hAnsi="Arial"/>
          <w:sz w:val="18"/>
          <w:szCs w:val="18"/>
          <w:u w:val="single" w:color="auto"/>
          <w:color w:val="auto"/>
        </w:rPr>
        <w:t>Confirmation Order</w:t>
      </w:r>
      <w:r>
        <w:rPr>
          <w:rFonts w:ascii="Arial" w:cs="Arial" w:eastAsia="Arial" w:hAnsi="Arial"/>
          <w:sz w:val="18"/>
          <w:szCs w:val="18"/>
          <w:color w:val="auto"/>
        </w:rPr>
        <w:t>. The Bankruptcy Court shall have entered the Confirmation Order, which shall be in form and substance reasonably satisfactory to the Requisite Commitment Parties, and such Order shall be a Final Order.</w:t>
      </w:r>
    </w:p>
    <w:p>
      <w:pPr>
        <w:spacing w:after="0" w:line="170" w:lineRule="exact"/>
        <w:rPr>
          <w:rFonts w:ascii="Arial" w:cs="Arial" w:eastAsia="Arial" w:hAnsi="Arial"/>
          <w:sz w:val="18"/>
          <w:szCs w:val="18"/>
          <w:color w:val="auto"/>
        </w:rPr>
      </w:pPr>
    </w:p>
    <w:p>
      <w:pPr>
        <w:ind w:right="60" w:firstLine="1306"/>
        <w:spacing w:after="0" w:line="277" w:lineRule="auto"/>
        <w:tabs>
          <w:tab w:leader="none" w:pos="1955" w:val="left"/>
        </w:tabs>
        <w:numPr>
          <w:ilvl w:val="2"/>
          <w:numId w:val="561"/>
        </w:numPr>
        <w:rPr>
          <w:rFonts w:ascii="Arial" w:cs="Arial" w:eastAsia="Arial" w:hAnsi="Arial"/>
          <w:sz w:val="18"/>
          <w:szCs w:val="18"/>
          <w:color w:val="auto"/>
        </w:rPr>
      </w:pPr>
      <w:r>
        <w:rPr>
          <w:rFonts w:ascii="Arial" w:cs="Arial" w:eastAsia="Arial" w:hAnsi="Arial"/>
          <w:sz w:val="18"/>
          <w:szCs w:val="18"/>
          <w:u w:val="single" w:color="auto"/>
          <w:color w:val="auto"/>
        </w:rPr>
        <w:t>Rights Offering</w:t>
      </w:r>
      <w:r>
        <w:rPr>
          <w:rFonts w:ascii="Arial" w:cs="Arial" w:eastAsia="Arial" w:hAnsi="Arial"/>
          <w:sz w:val="18"/>
          <w:szCs w:val="18"/>
          <w:color w:val="auto"/>
        </w:rPr>
        <w:t>. The Rights Offering shall have been conducted, in all material respects, in accordance with the Rights Offering Approval Order, the Rights Offering Procedures, the Plan and this Agreement, as applicable.</w:t>
      </w:r>
    </w:p>
    <w:p>
      <w:pPr>
        <w:spacing w:after="0" w:line="170" w:lineRule="exact"/>
        <w:rPr>
          <w:rFonts w:ascii="Arial" w:cs="Arial" w:eastAsia="Arial" w:hAnsi="Arial"/>
          <w:sz w:val="18"/>
          <w:szCs w:val="18"/>
          <w:color w:val="auto"/>
        </w:rPr>
      </w:pPr>
    </w:p>
    <w:p>
      <w:pPr>
        <w:ind w:right="240" w:firstLine="1306"/>
        <w:spacing w:after="0" w:line="277" w:lineRule="auto"/>
        <w:tabs>
          <w:tab w:leader="none" w:pos="1952" w:val="left"/>
        </w:tabs>
        <w:numPr>
          <w:ilvl w:val="2"/>
          <w:numId w:val="56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shall have occurred, or shall be deemed to have occurred concurrently with the Closing, as applicable, in accordance with the terms and conditions in the Plan and in the Confirmation Order.</w:t>
      </w:r>
    </w:p>
    <w:p>
      <w:pPr>
        <w:spacing w:after="0" w:line="170" w:lineRule="exact"/>
        <w:rPr>
          <w:rFonts w:ascii="Arial" w:cs="Arial" w:eastAsia="Arial" w:hAnsi="Arial"/>
          <w:sz w:val="18"/>
          <w:szCs w:val="18"/>
          <w:color w:val="auto"/>
        </w:rPr>
      </w:pPr>
    </w:p>
    <w:p>
      <w:pPr>
        <w:ind w:right="40" w:firstLine="1306"/>
        <w:spacing w:after="0" w:line="291" w:lineRule="auto"/>
        <w:tabs>
          <w:tab w:leader="none" w:pos="1955" w:val="left"/>
        </w:tabs>
        <w:numPr>
          <w:ilvl w:val="2"/>
          <w:numId w:val="561"/>
        </w:numPr>
        <w:rPr>
          <w:rFonts w:ascii="Arial" w:cs="Arial" w:eastAsia="Arial" w:hAnsi="Arial"/>
          <w:sz w:val="16"/>
          <w:szCs w:val="16"/>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xml:space="preserve">. The Debtors shall have paid all Expense Reimbursements accrued or anticipated to accrue through the Closing Date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provided, that invoices for such Expense Reimbursement must have been received by the Debtors at least three</w:t>
      </w:r>
    </w:p>
    <w:p>
      <w:pPr>
        <w:ind w:left="260" w:hanging="251"/>
        <w:spacing w:after="0"/>
        <w:tabs>
          <w:tab w:leader="none" w:pos="26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Business Days prior to the Closing Date in order to be required to be paid as a condition to Closing.</w:t>
      </w:r>
    </w:p>
    <w:p>
      <w:pPr>
        <w:spacing w:after="0" w:line="210" w:lineRule="exact"/>
        <w:rPr>
          <w:rFonts w:ascii="Arial" w:cs="Arial" w:eastAsia="Arial" w:hAnsi="Arial"/>
          <w:sz w:val="18"/>
          <w:szCs w:val="18"/>
          <w:color w:val="auto"/>
        </w:rPr>
      </w:pPr>
    </w:p>
    <w:p>
      <w:pPr>
        <w:ind w:right="260" w:firstLine="1306"/>
        <w:spacing w:after="0" w:line="259" w:lineRule="auto"/>
        <w:tabs>
          <w:tab w:leader="none" w:pos="1949" w:val="left"/>
        </w:tabs>
        <w:numPr>
          <w:ilvl w:val="2"/>
          <w:numId w:val="562"/>
        </w:numPr>
        <w:rPr>
          <w:rFonts w:ascii="Arial" w:cs="Arial" w:eastAsia="Arial" w:hAnsi="Arial"/>
          <w:sz w:val="18"/>
          <w:szCs w:val="18"/>
          <w:color w:val="auto"/>
        </w:rPr>
      </w:pPr>
      <w:r>
        <w:rPr>
          <w:rFonts w:ascii="Arial" w:cs="Arial" w:eastAsia="Arial" w:hAnsi="Arial"/>
          <w:sz w:val="18"/>
          <w:szCs w:val="18"/>
          <w:u w:val="single" w:color="auto"/>
          <w:color w:val="auto"/>
        </w:rPr>
        <w:t>Antitrust Approvals</w:t>
      </w:r>
      <w:r>
        <w:rPr>
          <w:rFonts w:ascii="Arial" w:cs="Arial" w:eastAsia="Arial" w:hAnsi="Arial"/>
          <w:sz w:val="18"/>
          <w:szCs w:val="18"/>
          <w:color w:val="auto"/>
        </w:rPr>
        <w:t>. All applicable waiting periods under any Antitrust Laws, or imposed by any Antitrust Authority, in connection with the transactions contemplated by this Agreement shall have been terminated or expired and all authorizations, approvals, consents or clearances under the Antitrust Laws or otherwise required by a Governmental Entity in connection with the transactions contemplated by this Agreement shall have been obtained.</w:t>
      </w:r>
    </w:p>
    <w:p>
      <w:pPr>
        <w:spacing w:after="0" w:line="186" w:lineRule="exact"/>
        <w:rPr>
          <w:rFonts w:ascii="Arial" w:cs="Arial" w:eastAsia="Arial" w:hAnsi="Arial"/>
          <w:sz w:val="18"/>
          <w:szCs w:val="18"/>
          <w:color w:val="auto"/>
        </w:rPr>
      </w:pPr>
    </w:p>
    <w:p>
      <w:pPr>
        <w:ind w:right="400" w:firstLine="1306"/>
        <w:spacing w:after="0" w:line="277" w:lineRule="auto"/>
        <w:tabs>
          <w:tab w:leader="none" w:pos="1966" w:val="left"/>
        </w:tabs>
        <w:numPr>
          <w:ilvl w:val="2"/>
          <w:numId w:val="562"/>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Law or Order shall have become effective or been enacted, adopted or issued by any Governmental Entity that prohibits the implementation of the Plan or the transactions contemplated by this Agreement;</w:t>
      </w:r>
    </w:p>
    <w:p>
      <w:pPr>
        <w:spacing w:after="0" w:line="170" w:lineRule="exact"/>
        <w:rPr>
          <w:rFonts w:ascii="Arial" w:cs="Arial" w:eastAsia="Arial" w:hAnsi="Arial"/>
          <w:sz w:val="18"/>
          <w:szCs w:val="18"/>
          <w:color w:val="auto"/>
        </w:rPr>
      </w:pPr>
    </w:p>
    <w:p>
      <w:pPr>
        <w:ind w:left="1960" w:hanging="654"/>
        <w:spacing w:after="0"/>
        <w:tabs>
          <w:tab w:leader="none" w:pos="1960" w:val="left"/>
        </w:tabs>
        <w:numPr>
          <w:ilvl w:val="2"/>
          <w:numId w:val="5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right="20" w:firstLine="653"/>
        <w:spacing w:after="0" w:line="297" w:lineRule="auto"/>
        <w:tabs>
          <w:tab w:leader="none" w:pos="2538" w:val="left"/>
        </w:tabs>
        <w:numPr>
          <w:ilvl w:val="3"/>
          <w:numId w:val="56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Debtors contained in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(Organization and Qualification),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(Corporate Power and Authority),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(Execution and Delivery; Enforceability),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(Authorized and Issued Equity Interests),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(Issuance), </w:t>
      </w:r>
      <w:r>
        <w:rPr>
          <w:rFonts w:ascii="Arial" w:cs="Arial" w:eastAsia="Arial" w:hAnsi="Arial"/>
          <w:sz w:val="16"/>
          <w:szCs w:val="16"/>
          <w:u w:val="single" w:color="auto"/>
          <w:color w:val="auto"/>
        </w:rPr>
        <w:t>4.6(b)</w:t>
      </w:r>
      <w:r>
        <w:rPr>
          <w:rFonts w:ascii="Arial" w:cs="Arial" w:eastAsia="Arial" w:hAnsi="Arial"/>
          <w:sz w:val="16"/>
          <w:szCs w:val="16"/>
          <w:color w:val="auto"/>
        </w:rPr>
        <w:t xml:space="preserve"> (No Conflict), </w:t>
      </w:r>
      <w:r>
        <w:rPr>
          <w:rFonts w:ascii="Arial" w:cs="Arial" w:eastAsia="Arial" w:hAnsi="Arial"/>
          <w:sz w:val="16"/>
          <w:szCs w:val="16"/>
          <w:u w:val="single" w:color="auto"/>
          <w:color w:val="auto"/>
        </w:rPr>
        <w:t>4.14</w:t>
      </w:r>
      <w:r>
        <w:rPr>
          <w:rFonts w:ascii="Arial" w:cs="Arial" w:eastAsia="Arial" w:hAnsi="Arial"/>
          <w:sz w:val="16"/>
          <w:szCs w:val="16"/>
          <w:color w:val="auto"/>
        </w:rPr>
        <w:t xml:space="preserve"> (Labor Relations), </w:t>
      </w:r>
      <w:r>
        <w:rPr>
          <w:rFonts w:ascii="Arial" w:cs="Arial" w:eastAsia="Arial" w:hAnsi="Arial"/>
          <w:sz w:val="16"/>
          <w:szCs w:val="16"/>
          <w:u w:val="single" w:color="auto"/>
          <w:color w:val="auto"/>
        </w:rPr>
        <w:t>4.19</w:t>
      </w:r>
      <w:r>
        <w:rPr>
          <w:rFonts w:ascii="Arial" w:cs="Arial" w:eastAsia="Arial" w:hAnsi="Arial"/>
          <w:sz w:val="16"/>
          <w:szCs w:val="16"/>
          <w:color w:val="auto"/>
        </w:rPr>
        <w:t xml:space="preserve"> (Environmental), </w:t>
      </w:r>
      <w:r>
        <w:rPr>
          <w:rFonts w:ascii="Arial" w:cs="Arial" w:eastAsia="Arial" w:hAnsi="Arial"/>
          <w:sz w:val="16"/>
          <w:szCs w:val="16"/>
          <w:u w:val="single" w:color="auto"/>
          <w:color w:val="auto"/>
        </w:rPr>
        <w:t>4.21</w:t>
      </w:r>
      <w:r>
        <w:rPr>
          <w:rFonts w:ascii="Arial" w:cs="Arial" w:eastAsia="Arial" w:hAnsi="Arial"/>
          <w:sz w:val="16"/>
          <w:szCs w:val="16"/>
          <w:color w:val="auto"/>
        </w:rPr>
        <w:t xml:space="preserve"> (Employee Benefit Plans) and </w:t>
      </w:r>
      <w:r>
        <w:rPr>
          <w:rFonts w:ascii="Arial" w:cs="Arial" w:eastAsia="Arial" w:hAnsi="Arial"/>
          <w:sz w:val="16"/>
          <w:szCs w:val="16"/>
          <w:u w:val="single" w:color="auto"/>
          <w:color w:val="auto"/>
        </w:rPr>
        <w:t>4.27</w:t>
      </w:r>
      <w:r>
        <w:rPr>
          <w:rFonts w:ascii="Arial" w:cs="Arial" w:eastAsia="Arial" w:hAnsi="Arial"/>
          <w:sz w:val="16"/>
          <w:szCs w:val="16"/>
          <w:color w:val="auto"/>
        </w:rPr>
        <w:t xml:space="preserve"> (No Broker’s Fees) shall be true and correct in all material respects on and as of the Closing Date after giving effect to the Plan (except for such representations and warranties made as of a specified date, which shall be true and correct in all material respects only as of the specified date).</w:t>
      </w:r>
    </w:p>
    <w:p>
      <w:pPr>
        <w:spacing w:after="0" w:line="158" w:lineRule="exact"/>
        <w:rPr>
          <w:rFonts w:ascii="Arial" w:cs="Arial" w:eastAsia="Arial" w:hAnsi="Arial"/>
          <w:sz w:val="16"/>
          <w:szCs w:val="16"/>
          <w:color w:val="auto"/>
        </w:rPr>
      </w:pPr>
    </w:p>
    <w:p>
      <w:pPr>
        <w:ind w:left="2560" w:hanging="687"/>
        <w:spacing w:after="0"/>
        <w:tabs>
          <w:tab w:leader="none" w:pos="2560" w:val="left"/>
        </w:tabs>
        <w:numPr>
          <w:ilvl w:val="3"/>
          <w:numId w:val="562"/>
        </w:numPr>
        <w:rPr>
          <w:rFonts w:ascii="Arial" w:cs="Arial" w:eastAsia="Arial" w:hAnsi="Arial"/>
          <w:sz w:val="16"/>
          <w:szCs w:val="16"/>
          <w:color w:val="auto"/>
        </w:rPr>
      </w:pPr>
      <w:r>
        <w:rPr>
          <w:rFonts w:ascii="Arial" w:cs="Arial" w:eastAsia="Arial" w:hAnsi="Arial"/>
          <w:sz w:val="16"/>
          <w:szCs w:val="16"/>
          <w:color w:val="auto"/>
        </w:rPr>
        <w:t>The representations and warranties of the Debtors contained in this Agreement other than those referred to in clauses</w:t>
      </w:r>
    </w:p>
    <w:p>
      <w:pPr>
        <w:spacing w:after="0" w:line="46" w:lineRule="exact"/>
        <w:rPr>
          <w:rFonts w:ascii="Arial" w:cs="Arial" w:eastAsia="Arial" w:hAnsi="Arial"/>
          <w:sz w:val="16"/>
          <w:szCs w:val="16"/>
          <w:color w:val="auto"/>
        </w:rPr>
      </w:pPr>
    </w:p>
    <w:p>
      <w:pPr>
        <w:ind w:left="1220" w:right="100" w:firstLine="5"/>
        <w:spacing w:after="0" w:line="261" w:lineRule="auto"/>
        <w:tabs>
          <w:tab w:leader="none" w:pos="143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and (ii) above shall be true and correct (disregarding all materiality or Material Adverse Effect qualifiers) on and as of the Closing Date after giving effect to the Plan with the same effect as if made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440" w:name="page441"/>
    <w:bookmarkEnd w:id="440"/>
    <w:p>
      <w:pPr>
        <w:ind w:left="1300" w:right="280"/>
        <w:spacing w:after="0" w:line="264" w:lineRule="auto"/>
        <w:rPr>
          <w:sz w:val="20"/>
          <w:szCs w:val="20"/>
          <w:color w:val="auto"/>
        </w:rPr>
      </w:pPr>
      <w:r>
        <w:rPr>
          <w:rFonts w:ascii="Arial" w:cs="Arial" w:eastAsia="Arial" w:hAnsi="Arial"/>
          <w:sz w:val="18"/>
          <w:szCs w:val="18"/>
          <w:color w:val="auto"/>
        </w:rPr>
        <w:t>on and as of the Closing Date after giving effect to the Plan (except for such representations and warranties made as of a specified date, which shall be true and correct only as of the specified date), except where the failure to be so true and correct does not constitute, individually or in the aggregate, a Material Adverse Effect.</w:t>
      </w:r>
    </w:p>
    <w:p>
      <w:pPr>
        <w:spacing w:after="0" w:line="181" w:lineRule="exact"/>
        <w:rPr>
          <w:sz w:val="20"/>
          <w:szCs w:val="20"/>
          <w:color w:val="auto"/>
        </w:rPr>
      </w:pPr>
    </w:p>
    <w:p>
      <w:pPr>
        <w:ind w:left="80" w:right="140" w:firstLine="1306"/>
        <w:spacing w:after="0" w:line="308" w:lineRule="auto"/>
        <w:tabs>
          <w:tab w:leader="none" w:pos="2046" w:val="left"/>
        </w:tabs>
        <w:numPr>
          <w:ilvl w:val="1"/>
          <w:numId w:val="563"/>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 The Debtors shall have performed and complied, in all material respects, with all of their respective covenants and agreements contained in this Agreement that contemplate, by their terms, performance or compliance prior to the Closing Date.</w:t>
      </w:r>
    </w:p>
    <w:p>
      <w:pPr>
        <w:spacing w:after="0" w:line="146" w:lineRule="exact"/>
        <w:rPr>
          <w:rFonts w:ascii="Arial" w:cs="Arial" w:eastAsia="Arial" w:hAnsi="Arial"/>
          <w:sz w:val="17"/>
          <w:szCs w:val="17"/>
          <w:color w:val="auto"/>
        </w:rPr>
      </w:pPr>
    </w:p>
    <w:p>
      <w:pPr>
        <w:ind w:left="80" w:right="40" w:firstLine="1306"/>
        <w:spacing w:after="0" w:line="264" w:lineRule="auto"/>
        <w:tabs>
          <w:tab w:leader="none" w:pos="2033" w:val="left"/>
        </w:tabs>
        <w:numPr>
          <w:ilvl w:val="1"/>
          <w:numId w:val="563"/>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the date of this Agreement, there shall not have occurred, and there shall not exist, any event, development, occurrence, circumstance, effect, condition, result, state of facts or change that has had or would be reasonably expected to have, individually or in the aggregate, a Material Adverse Effect.</w:t>
      </w:r>
    </w:p>
    <w:p>
      <w:pPr>
        <w:spacing w:after="0" w:line="181" w:lineRule="exact"/>
        <w:rPr>
          <w:rFonts w:ascii="Arial" w:cs="Arial" w:eastAsia="Arial" w:hAnsi="Arial"/>
          <w:sz w:val="18"/>
          <w:szCs w:val="18"/>
          <w:color w:val="auto"/>
        </w:rPr>
      </w:pPr>
    </w:p>
    <w:p>
      <w:pPr>
        <w:ind w:left="80" w:right="380" w:firstLine="1306"/>
        <w:spacing w:after="0" w:line="291" w:lineRule="auto"/>
        <w:tabs>
          <w:tab w:leader="none" w:pos="2032" w:val="left"/>
        </w:tabs>
        <w:numPr>
          <w:ilvl w:val="1"/>
          <w:numId w:val="56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The Commitment Parties shall have received on and as of the Closing Date a certificate of the chief executive officer or chief financial officer of the Company confirming that the conditions set forth in </w:t>
      </w:r>
      <w:r>
        <w:rPr>
          <w:rFonts w:ascii="Arial" w:cs="Arial" w:eastAsia="Arial" w:hAnsi="Arial"/>
          <w:sz w:val="16"/>
          <w:szCs w:val="16"/>
          <w:u w:val="single" w:color="auto"/>
          <w:color w:val="auto"/>
        </w:rPr>
        <w:t>Sections 7.1(h)</w:t>
      </w:r>
      <w:r>
        <w:rPr>
          <w:rFonts w:ascii="Arial" w:cs="Arial" w:eastAsia="Arial" w:hAnsi="Arial"/>
          <w:sz w:val="16"/>
          <w:szCs w:val="16"/>
          <w:color w:val="auto"/>
        </w:rPr>
        <w:t xml:space="preserve"> (Representations and Warranties),</w:t>
      </w:r>
    </w:p>
    <w:p>
      <w:pPr>
        <w:ind w:left="300" w:hanging="211"/>
        <w:spacing w:after="0"/>
        <w:tabs>
          <w:tab w:leader="none" w:pos="300" w:val="left"/>
        </w:tabs>
        <w:numPr>
          <w:ilvl w:val="0"/>
          <w:numId w:val="564"/>
        </w:numPr>
        <w:rPr>
          <w:rFonts w:ascii="Arial" w:cs="Arial" w:eastAsia="Arial" w:hAnsi="Arial"/>
          <w:sz w:val="18"/>
          <w:szCs w:val="18"/>
          <w:u w:val="single" w:color="auto"/>
          <w:color w:val="auto"/>
        </w:rPr>
      </w:pPr>
      <w:r>
        <w:rPr>
          <w:rFonts w:ascii="Arial" w:cs="Arial" w:eastAsia="Arial" w:hAnsi="Arial"/>
          <w:sz w:val="18"/>
          <w:szCs w:val="18"/>
          <w:color w:val="auto"/>
        </w:rPr>
        <w:t xml:space="preserve">(Covenants)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(Material Adverse Effect) have been satisfied.</w:t>
      </w:r>
    </w:p>
    <w:p>
      <w:pPr>
        <w:spacing w:after="0" w:line="210" w:lineRule="exact"/>
        <w:rPr>
          <w:rFonts w:ascii="Arial" w:cs="Arial" w:eastAsia="Arial" w:hAnsi="Arial"/>
          <w:sz w:val="18"/>
          <w:szCs w:val="18"/>
          <w:u w:val="single" w:color="auto"/>
          <w:color w:val="auto"/>
        </w:rPr>
      </w:pPr>
    </w:p>
    <w:p>
      <w:pPr>
        <w:ind w:left="2060" w:hanging="674"/>
        <w:spacing w:after="0"/>
        <w:tabs>
          <w:tab w:leader="none" w:pos="2060" w:val="left"/>
        </w:tabs>
        <w:numPr>
          <w:ilvl w:val="1"/>
          <w:numId w:val="564"/>
        </w:numPr>
        <w:rPr>
          <w:rFonts w:ascii="Arial" w:cs="Arial" w:eastAsia="Arial" w:hAnsi="Arial"/>
          <w:sz w:val="16"/>
          <w:szCs w:val="16"/>
          <w:color w:val="auto"/>
        </w:rPr>
      </w:pPr>
      <w:r>
        <w:rPr>
          <w:rFonts w:ascii="Arial" w:cs="Arial" w:eastAsia="Arial" w:hAnsi="Arial"/>
          <w:sz w:val="16"/>
          <w:szCs w:val="16"/>
          <w:u w:val="single" w:color="auto"/>
          <w:color w:val="auto"/>
        </w:rPr>
        <w:t>Funding Notice</w:t>
      </w:r>
      <w:r>
        <w:rPr>
          <w:rFonts w:ascii="Arial" w:cs="Arial" w:eastAsia="Arial" w:hAnsi="Arial"/>
          <w:sz w:val="16"/>
          <w:szCs w:val="16"/>
          <w:color w:val="auto"/>
        </w:rPr>
        <w:t xml:space="preserve">. The Commitment Parties shall have received the Funding Notice in accordance with the terms of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80" w:right="240" w:firstLine="1306"/>
        <w:spacing w:after="0" w:line="286" w:lineRule="auto"/>
        <w:tabs>
          <w:tab w:leader="none" w:pos="2028" w:val="left"/>
        </w:tabs>
        <w:numPr>
          <w:ilvl w:val="1"/>
          <w:numId w:val="564"/>
        </w:numPr>
        <w:rPr>
          <w:rFonts w:ascii="Arial" w:cs="Arial" w:eastAsia="Arial" w:hAnsi="Arial"/>
          <w:sz w:val="17"/>
          <w:szCs w:val="17"/>
          <w:color w:val="auto"/>
        </w:rPr>
      </w:pPr>
      <w:r>
        <w:rPr>
          <w:rFonts w:ascii="Arial" w:cs="Arial" w:eastAsia="Arial" w:hAnsi="Arial"/>
          <w:sz w:val="17"/>
          <w:szCs w:val="17"/>
          <w:u w:val="single" w:color="auto"/>
          <w:color w:val="auto"/>
        </w:rPr>
        <w:t>Exit Facilities</w:t>
      </w:r>
      <w:r>
        <w:rPr>
          <w:rFonts w:ascii="Arial" w:cs="Arial" w:eastAsia="Arial" w:hAnsi="Arial"/>
          <w:sz w:val="17"/>
          <w:szCs w:val="17"/>
          <w:color w:val="auto"/>
        </w:rPr>
        <w:t>. Each Exit Facility shall have become effective, shall be for the amount set forth for such Exit Facility in the Restructuring Support Agreement, if applicable, and shall otherwise be in form and substance substantially in accordance with the Restructuring Support Agreement, or as otherwise set forth in the Plan and reasonably acceptable to the Requisite Commitment Parties.</w:t>
      </w:r>
    </w:p>
    <w:p>
      <w:pPr>
        <w:spacing w:after="0" w:line="165" w:lineRule="exact"/>
        <w:rPr>
          <w:rFonts w:ascii="Arial" w:cs="Arial" w:eastAsia="Arial" w:hAnsi="Arial"/>
          <w:sz w:val="17"/>
          <w:szCs w:val="17"/>
          <w:color w:val="auto"/>
        </w:rPr>
      </w:pPr>
    </w:p>
    <w:p>
      <w:pPr>
        <w:ind w:left="80" w:right="80" w:firstLine="1306"/>
        <w:spacing w:after="0" w:line="277" w:lineRule="auto"/>
        <w:tabs>
          <w:tab w:leader="none" w:pos="2032" w:val="left"/>
        </w:tabs>
        <w:numPr>
          <w:ilvl w:val="1"/>
          <w:numId w:val="564"/>
        </w:numPr>
        <w:rPr>
          <w:rFonts w:ascii="Arial" w:cs="Arial" w:eastAsia="Arial" w:hAnsi="Arial"/>
          <w:sz w:val="18"/>
          <w:szCs w:val="18"/>
          <w:color w:val="auto"/>
        </w:rPr>
      </w:pP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The Restructuring Support Agreement remains in full force and effect in accordance with its terms and shall not have been terminated in accordance with its terms.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Waiver of Conditions to Obligations of Commitment Parties</w:t>
      </w:r>
      <w:r>
        <w:rPr>
          <w:rFonts w:ascii="Arial" w:cs="Arial" w:eastAsia="Arial" w:hAnsi="Arial"/>
          <w:sz w:val="18"/>
          <w:szCs w:val="18"/>
          <w:color w:val="auto"/>
        </w:rPr>
        <w:t xml:space="preserve">. All or any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may only be waived in whole or in part with respect to all Commitment Parties by a written instrument executed by the Requisite Commitment Parties in their sole discretion and if so waived, all Commitment Parties shall be bound by such waiver,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that would have the effect of amending, restating, modifying, or changing this Agreement or any of such Commitment Party’s rights hereunder in a manner that would otherwise require any Commitment Party’s consent pursuant to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(other than any such consent predicated on </w:t>
      </w:r>
      <w:r>
        <w:rPr>
          <w:rFonts w:ascii="Arial" w:cs="Arial" w:eastAsia="Arial" w:hAnsi="Arial"/>
          <w:sz w:val="18"/>
          <w:szCs w:val="18"/>
          <w:u w:val="single" w:color="auto"/>
          <w:color w:val="auto"/>
        </w:rPr>
        <w:t>Section 10.8(d)(ii)</w:t>
      </w:r>
      <w:r>
        <w:rPr>
          <w:rFonts w:ascii="Arial" w:cs="Arial" w:eastAsia="Arial" w:hAnsi="Arial"/>
          <w:sz w:val="18"/>
          <w:szCs w:val="18"/>
          <w:color w:val="auto"/>
        </w:rPr>
        <w:t>) shall also require the consent of such Commitment Party.</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the Obligations of the Debtors</w:t>
      </w:r>
      <w:r>
        <w:rPr>
          <w:rFonts w:ascii="Arial" w:cs="Arial" w:eastAsia="Arial" w:hAnsi="Arial"/>
          <w:sz w:val="18"/>
          <w:szCs w:val="18"/>
          <w:color w:val="auto"/>
        </w:rPr>
        <w:t>. The obligations of the Debtors to consummate the transactions contemplated hereby with the Commitment Parties is subject to (unless waived by the Debtors) the satisfaction of each of the following conditions: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41" w:name="page442"/>
    <w:bookmarkEnd w:id="441"/>
    <w:p>
      <w:pPr>
        <w:ind w:right="460" w:firstLine="1305"/>
        <w:spacing w:after="0" w:line="277" w:lineRule="auto"/>
        <w:tabs>
          <w:tab w:leader="none" w:pos="2023"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Rights Offering Approval Order</w:t>
      </w:r>
      <w:r>
        <w:rPr>
          <w:rFonts w:ascii="Arial" w:cs="Arial" w:eastAsia="Arial" w:hAnsi="Arial"/>
          <w:sz w:val="18"/>
          <w:szCs w:val="18"/>
          <w:color w:val="auto"/>
        </w:rPr>
        <w:t>. The Bankruptcy Court shall have entered the Rights Offering Approval Order in form and substance satisfactory to the Debtors.</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Confirmation Order</w:t>
      </w:r>
      <w:r>
        <w:rPr>
          <w:rFonts w:ascii="Arial" w:cs="Arial" w:eastAsia="Arial" w:hAnsi="Arial"/>
          <w:sz w:val="16"/>
          <w:szCs w:val="16"/>
          <w:color w:val="auto"/>
        </w:rPr>
        <w:t>. The Bankruptcy Court shall have entered the Confirmation Order in form and substance satisfactory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Debtors.</w:t>
      </w:r>
    </w:p>
    <w:p>
      <w:pPr>
        <w:spacing w:after="0" w:line="210" w:lineRule="exact"/>
        <w:rPr>
          <w:rFonts w:ascii="Arial" w:cs="Arial" w:eastAsia="Arial" w:hAnsi="Arial"/>
          <w:sz w:val="16"/>
          <w:szCs w:val="16"/>
          <w:color w:val="auto"/>
        </w:rPr>
      </w:pPr>
    </w:p>
    <w:p>
      <w:pPr>
        <w:ind w:right="280" w:firstLine="1305"/>
        <w:spacing w:after="0" w:line="277" w:lineRule="auto"/>
        <w:tabs>
          <w:tab w:leader="none" w:pos="2036"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shall have occurred, or shall be deemed to have occurred concurrently with the Closing, as applicable, in accordance with the terms and conditions in the Plan and in the Confirmation Order.</w:t>
      </w:r>
    </w:p>
    <w:p>
      <w:pPr>
        <w:spacing w:after="0" w:line="170" w:lineRule="exact"/>
        <w:rPr>
          <w:rFonts w:ascii="Arial" w:cs="Arial" w:eastAsia="Arial" w:hAnsi="Arial"/>
          <w:sz w:val="18"/>
          <w:szCs w:val="18"/>
          <w:color w:val="auto"/>
        </w:rPr>
      </w:pPr>
    </w:p>
    <w:p>
      <w:pPr>
        <w:jc w:val="both"/>
        <w:ind w:right="200" w:firstLine="1305"/>
        <w:spacing w:after="0" w:line="259" w:lineRule="auto"/>
        <w:tabs>
          <w:tab w:leader="none" w:pos="2033"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Antitrust Approvals</w:t>
      </w:r>
      <w:r>
        <w:rPr>
          <w:rFonts w:ascii="Arial" w:cs="Arial" w:eastAsia="Arial" w:hAnsi="Arial"/>
          <w:sz w:val="18"/>
          <w:szCs w:val="18"/>
          <w:color w:val="auto"/>
        </w:rPr>
        <w:t>. All applicable waiting periods under any Antitrust Laws, or imposed by any Antitrust Authority in connection with the transactions contemplated by this Agreement shall have been terminated or expired and all authorizations, approvals, consents or clearances under the Antitrust Laws or otherwise required by any Governmental Entity in connection with the transactions contemplated by this Agreement shall have been obtained.</w:t>
      </w:r>
    </w:p>
    <w:p>
      <w:pPr>
        <w:spacing w:after="0" w:line="186" w:lineRule="exact"/>
        <w:rPr>
          <w:rFonts w:ascii="Arial" w:cs="Arial" w:eastAsia="Arial" w:hAnsi="Arial"/>
          <w:sz w:val="18"/>
          <w:szCs w:val="18"/>
          <w:color w:val="auto"/>
        </w:rPr>
      </w:pPr>
    </w:p>
    <w:p>
      <w:pPr>
        <w:ind w:right="460" w:firstLine="1305"/>
        <w:spacing w:after="0" w:line="277" w:lineRule="auto"/>
        <w:tabs>
          <w:tab w:leader="none" w:pos="2036"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Law or Order shall have become effective or been enacted, adopted or issued by any Governmental Entity that prohibits the implementation of the Plan or the transactions contemplated by this Agreement.</w:t>
      </w:r>
    </w:p>
    <w:p>
      <w:pPr>
        <w:spacing w:after="0" w:line="170" w:lineRule="exact"/>
        <w:rPr>
          <w:rFonts w:ascii="Arial" w:cs="Arial" w:eastAsia="Arial" w:hAnsi="Arial"/>
          <w:sz w:val="18"/>
          <w:szCs w:val="18"/>
          <w:color w:val="auto"/>
        </w:rPr>
      </w:pPr>
    </w:p>
    <w:p>
      <w:pPr>
        <w:ind w:firstLine="1305"/>
        <w:spacing w:after="0" w:line="257" w:lineRule="auto"/>
        <w:tabs>
          <w:tab w:leader="none" w:pos="203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Commitment Parties contained in this Agreement shall be true and correct in all material respects on and as of the Closing Date with the same effect as if made on and as of the Closing Date (except for such representations and warranties made as of a specified date, which shall be true and correct in all material respects only as of the specified date), except where the failure to be so true and correct would not, individually or in the aggregate, prevent or materially impede the Commitment Parties from consummating the transactions contemplated by this Agreement.</w:t>
      </w:r>
    </w:p>
    <w:p>
      <w:pPr>
        <w:spacing w:after="0" w:line="188" w:lineRule="exact"/>
        <w:rPr>
          <w:rFonts w:ascii="Arial" w:cs="Arial" w:eastAsia="Arial" w:hAnsi="Arial"/>
          <w:sz w:val="18"/>
          <w:szCs w:val="18"/>
          <w:color w:val="auto"/>
        </w:rPr>
      </w:pPr>
    </w:p>
    <w:p>
      <w:pPr>
        <w:ind w:right="80" w:firstLine="1305"/>
        <w:spacing w:after="0" w:line="259" w:lineRule="auto"/>
        <w:tabs>
          <w:tab w:leader="none" w:pos="2047"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Commitment Parties shall have performed and complied, in all material respects, with all of their covenants and agreements contained in this Agreement and in any other document delivered pursuant to this Agreement, except where the failure to perform or comply would not, individually or in the aggregate, prevent or materially impede the Commitment Parties from consummating the transactions contemplated by this Agreement.</w:t>
      </w:r>
    </w:p>
    <w:p>
      <w:pPr>
        <w:spacing w:after="0" w:line="186" w:lineRule="exact"/>
        <w:rPr>
          <w:rFonts w:ascii="Arial" w:cs="Arial" w:eastAsia="Arial" w:hAnsi="Arial"/>
          <w:sz w:val="18"/>
          <w:szCs w:val="18"/>
          <w:color w:val="auto"/>
        </w:rPr>
      </w:pPr>
    </w:p>
    <w:p>
      <w:pPr>
        <w:ind w:right="380" w:firstLine="1305"/>
        <w:spacing w:after="0" w:line="302" w:lineRule="auto"/>
        <w:tabs>
          <w:tab w:leader="none" w:pos="2033"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Exit Facilities</w:t>
      </w:r>
      <w:r>
        <w:rPr>
          <w:rFonts w:ascii="Arial" w:cs="Arial" w:eastAsia="Arial" w:hAnsi="Arial"/>
          <w:sz w:val="16"/>
          <w:szCs w:val="16"/>
          <w:color w:val="auto"/>
        </w:rPr>
        <w:t>. Each Exit Facility shall have become effective, shall be for the amount set forth for such Exit Facility in the Restructuring Support Agreement, if applicable, and shall otherwise be in form and substance substantially in accordance with the Restructuring Support Agreement, or as otherwise set forth in the Plan and reasonably acceptable to the Debtors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inconsistent with the Restructuring Support Agreement or this Agreement, any economic treatment provided thereunder shall be acceptable to the Company in its sole discretion).</w:t>
      </w:r>
    </w:p>
    <w:p>
      <w:pPr>
        <w:spacing w:after="0" w:line="154" w:lineRule="exact"/>
        <w:rPr>
          <w:rFonts w:ascii="Arial" w:cs="Arial" w:eastAsia="Arial" w:hAnsi="Arial"/>
          <w:sz w:val="16"/>
          <w:szCs w:val="16"/>
          <w:color w:val="auto"/>
        </w:rPr>
      </w:pPr>
    </w:p>
    <w:p>
      <w:pPr>
        <w:ind w:right="140" w:firstLine="1305"/>
        <w:spacing w:after="0" w:line="277" w:lineRule="auto"/>
        <w:tabs>
          <w:tab w:leader="none" w:pos="2047"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The Restructuring Support Agreement remains in full force and effect in accordance with its terms and shall not have been terminated in accordance with its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2" w:name="page443"/>
    <w:bookmarkEnd w:id="442"/>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Indemnification Obligations</w:t>
      </w:r>
      <w:r>
        <w:rPr>
          <w:rFonts w:ascii="Arial" w:cs="Arial" w:eastAsia="Arial" w:hAnsi="Arial"/>
          <w:sz w:val="17"/>
          <w:szCs w:val="17"/>
          <w:color w:val="auto"/>
        </w:rPr>
        <w:t>. The Company and the other Debtors (the “</w:t>
      </w:r>
      <w:r>
        <w:rPr>
          <w:rFonts w:ascii="Arial" w:cs="Arial" w:eastAsia="Arial" w:hAnsi="Arial"/>
          <w:sz w:val="17"/>
          <w:szCs w:val="17"/>
          <w:b w:val="1"/>
          <w:bCs w:val="1"/>
          <w:u w:val="single" w:color="auto"/>
          <w:color w:val="auto"/>
        </w:rPr>
        <w:t>Indemnifying Parties</w:t>
      </w:r>
      <w:r>
        <w:rPr>
          <w:rFonts w:ascii="Arial" w:cs="Arial" w:eastAsia="Arial" w:hAnsi="Arial"/>
          <w:sz w:val="17"/>
          <w:szCs w:val="17"/>
          <w:color w:val="auto"/>
        </w:rPr>
        <w:t>” and each, an “</w:t>
      </w:r>
      <w:r>
        <w:rPr>
          <w:rFonts w:ascii="Arial" w:cs="Arial" w:eastAsia="Arial" w:hAnsi="Arial"/>
          <w:sz w:val="17"/>
          <w:szCs w:val="17"/>
          <w:b w:val="1"/>
          <w:bCs w:val="1"/>
          <w:u w:val="single" w:color="auto"/>
          <w:color w:val="auto"/>
        </w:rPr>
        <w:t>Indemnifying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Party</w:t>
      </w:r>
      <w:r>
        <w:rPr>
          <w:rFonts w:ascii="Arial" w:cs="Arial" w:eastAsia="Arial" w:hAnsi="Arial"/>
          <w:sz w:val="17"/>
          <w:szCs w:val="17"/>
          <w:color w:val="auto"/>
        </w:rPr>
        <w:t>”) shall, jointly and severally, indemnify and hold harmless each Commitment Party and its Affiliates, equity holders, members, partners,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managers and its and their respective Representatives and controlling persons (each, an “</w:t>
      </w:r>
      <w:r>
        <w:rPr>
          <w:rFonts w:ascii="Arial" w:cs="Arial" w:eastAsia="Arial" w:hAnsi="Arial"/>
          <w:sz w:val="17"/>
          <w:szCs w:val="17"/>
          <w:b w:val="1"/>
          <w:bCs w:val="1"/>
          <w:u w:val="single" w:color="auto"/>
          <w:color w:val="auto"/>
        </w:rPr>
        <w:t>Indemnified Person</w:t>
      </w:r>
      <w:r>
        <w:rPr>
          <w:rFonts w:ascii="Arial" w:cs="Arial" w:eastAsia="Arial" w:hAnsi="Arial"/>
          <w:sz w:val="17"/>
          <w:szCs w:val="17"/>
          <w:color w:val="auto"/>
        </w:rPr>
        <w:t>”) from and against any and all losses, claims, damages, liabilities and costs and expenses (other than Taxes of the Commitment Parties except to the extent otherwise provided for in this Agreement) arising out of a claim asserted by a third-party (collectively, “</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xml:space="preserve">”) that any such Indemnified Person may incur or to which any such Indemnified Person may become subject arising out of or in connection with this Agreement, including the Rights Offering Backstop Commitment, the Rights Offering, the payment of the Commitment Payment or the use of the proceeds of the Rights Offering, or any claim, challenge, litigation, investigation or proceeding relating to any of the foregoing, regardless of whether any Indemnified Person is a party thereto, whether or not such proceedings are brought by the Company, the other Debtors, their respective equity holders, Affiliates, creditors or any other Person, and reimburse each Indemnified Person upon demand for reasonable documented (with such documentation subject to redaction to preserve attorney client and work product privileges) legal or other third-party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or the Plan are consummated or whether or not this Agreement is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indemnity will not, as to any Indemnified Person, apply to Losses (a) as to a Defaulting Commitment Party, its Related Parties or any Indemnified Person related thereto, caused by a Commitment Party Default by such Commitment Party, or (b) to the extent they are found by a final, non-appealable judgment of a court of competent jurisdiction to arise from the fraud, bad faith, willful misconduct or gross negligence of such Indemnified Person.</w:t>
      </w:r>
    </w:p>
    <w:p>
      <w:pPr>
        <w:spacing w:after="0" w:line="18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Promptly after receipt by an Indemnified Person of notice of the commencement of any claim, challenge, litigation, investigation or proceeding (an “</w:t>
      </w:r>
      <w:r>
        <w:rPr>
          <w:rFonts w:ascii="Arial" w:cs="Arial" w:eastAsia="Arial" w:hAnsi="Arial"/>
          <w:sz w:val="18"/>
          <w:szCs w:val="18"/>
          <w:b w:val="1"/>
          <w:bCs w:val="1"/>
          <w:u w:val="single" w:color="auto"/>
          <w:color w:val="auto"/>
        </w:rPr>
        <w:t>Indemnified Claim</w:t>
      </w:r>
      <w:r>
        <w:rPr>
          <w:rFonts w:ascii="Arial" w:cs="Arial" w:eastAsia="Arial" w:hAnsi="Arial"/>
          <w:sz w:val="18"/>
          <w:szCs w:val="18"/>
          <w:color w:val="auto"/>
        </w:rPr>
        <w:t xml:space="preserve">”), such Indemnified Person will, if a claim is to be made hereunder against the Indemnifying Party in respect thereof, notify the Indemnifying Party in writing of the commencement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 case any such Indemnified Claims are brought against any Indemnified Person and it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parties (including any impleaded parties) to any such Indemnified Claims include both such Indemnified Person and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3" w:name="page444"/>
    <w:bookmarkEnd w:id="443"/>
    <w:p>
      <w:pPr>
        <w:ind w:right="20"/>
        <w:spacing w:after="0" w:line="268" w:lineRule="auto"/>
        <w:rPr>
          <w:sz w:val="20"/>
          <w:szCs w:val="20"/>
          <w:color w:val="auto"/>
        </w:rPr>
      </w:pPr>
      <w:r>
        <w:rPr>
          <w:rFonts w:ascii="Arial" w:cs="Arial" w:eastAsia="Arial" w:hAnsi="Arial"/>
          <w:sz w:val="17"/>
          <w:szCs w:val="17"/>
          <w:color w:val="auto"/>
        </w:rPr>
        <w:t>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Persons who are parties to such Indemnified Claims (in addition to one local counsel in each jurisdiction in which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ten (10) Business Days of receipt of such notice, or (iv) the Indemnifying Party shall have authorized in writing the employment of counsel for such Indemnified Person.</w:t>
      </w:r>
    </w:p>
    <w:p>
      <w:pPr>
        <w:spacing w:after="0" w:line="1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Settlement of Indemnified Claims</w:t>
      </w:r>
      <w:r>
        <w:rPr>
          <w:rFonts w:ascii="Arial" w:cs="Arial" w:eastAsia="Arial" w:hAnsi="Arial"/>
          <w:sz w:val="17"/>
          <w:szCs w:val="17"/>
          <w:color w:val="auto"/>
        </w:rPr>
        <w:t xml:space="preserve">. In connection with any Indemnified Claim for which an Indemnified Person is assuming the defense in accordance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Indemnifying Party shall not be liable for any settlement of any Indemnified Claims 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(a) such settlement includes an unconditional release of such Indemnified Person in form and substance satisfactory to such Indemnified Person from all liability on the claims that are the subject matter of such Indemnified Claims and (b) such settlement does not include any statement as to or any admission of fault, culpability or a failure to act by or on behalf of any Indemnified Person.</w:t>
      </w:r>
    </w:p>
    <w:p>
      <w:pPr>
        <w:spacing w:after="0" w:line="18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foregoing indemnification is unavailable to any Indemnified Person or insufficient to hold it harmless from Losses that are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4" w:name="page445"/>
    <w:bookmarkEnd w:id="444"/>
    <w:p>
      <w:pPr>
        <w:spacing w:after="0" w:line="270" w:lineRule="auto"/>
        <w:rPr>
          <w:sz w:val="20"/>
          <w:szCs w:val="20"/>
          <w:color w:val="auto"/>
        </w:rPr>
      </w:pPr>
      <w:r>
        <w:rPr>
          <w:rFonts w:ascii="Arial" w:cs="Arial" w:eastAsia="Arial" w:hAnsi="Arial"/>
          <w:sz w:val="17"/>
          <w:szCs w:val="17"/>
          <w:color w:val="auto"/>
        </w:rPr>
        <w:t xml:space="preserve">indemnification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then the Indemnifying Party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It is hereby agreed that the relative benefits to the Indemnifying Party, on the one hand, and all Indemnified Persons, on the other hand, shall be deemed to be in the same proportion as (a) the total value received or proposed to be received by the Company pursuant to the issuance and sale of the Unsubscribed Notes in the Rights Offering contemplated by this Agreement and the Plan bears to (b) the Commitment Payment paid to the Commitment Parties. The Indemnifying Parties also agree that no Indemnified Person shall have any liability based on their comparative or contributory negligence or otherwise to the Indemnifying Parties, any Person asserting claims on behalf of or in right of any of the Indemnifying Parties, or any other Person in connection with an Indemnified Claim.</w:t>
      </w:r>
    </w:p>
    <w:p>
      <w:pPr>
        <w:spacing w:after="0" w:line="1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Treatment of Indemnification Payments</w:t>
      </w:r>
      <w:r>
        <w:rPr>
          <w:rFonts w:ascii="Arial" w:cs="Arial" w:eastAsia="Arial" w:hAnsi="Arial"/>
          <w:sz w:val="16"/>
          <w:szCs w:val="16"/>
          <w:color w:val="auto"/>
        </w:rPr>
        <w:t>. All amounts paid by an Indemnifying Party to an Indemnified Person under this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to the extent permitted by applicable Law, be treated as adjustments to the Per Note Purchase Price for all Tax purposes.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an integral part of the transactions contemplated by this Agreement and without these provisions the Commitment Parties would not have entered into this Agreement.</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No Survival</w:t>
      </w:r>
      <w:r>
        <w:rPr>
          <w:rFonts w:ascii="Arial" w:cs="Arial" w:eastAsia="Arial" w:hAnsi="Arial"/>
          <w:sz w:val="18"/>
          <w:szCs w:val="18"/>
          <w:color w:val="auto"/>
        </w:rPr>
        <w:t>. All representations, warranties, covenants and agreements made in this Agreement shall not survive the Closing Date except for covenants and agreements that by their terms are to be satisfied after the Closing Date, which covenants and agreements shall survive until satisfied in accordance with their terms.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Consensual Termination</w:t>
      </w:r>
      <w:r>
        <w:rPr>
          <w:rFonts w:ascii="Arial" w:cs="Arial" w:eastAsia="Arial" w:hAnsi="Arial"/>
          <w:sz w:val="18"/>
          <w:szCs w:val="18"/>
          <w:color w:val="auto"/>
        </w:rPr>
        <w:t>. This Agreement may be terminated and the transactions contemplated hereby may be abandoned at any time prior to the Closing Date by mutual written consent of the Debtors and the Requisite Commitment Parties.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Automatic Termination; Termination by the Commitment Parties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82" w:lineRule="auto"/>
        <w:tabs>
          <w:tab w:leader="none" w:pos="1942" w:val="left"/>
        </w:tabs>
        <w:numPr>
          <w:ilvl w:val="0"/>
          <w:numId w:val="56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this Agreement shall terminate automatically without any further action or notice by any Party at 5:00 p.m., New York City time on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occurrence of any of the following events; provided that, the Requisite Commitment Parties may waive such termination or extend any applicable dates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5620" w:right="400" w:hanging="3667"/>
        <w:spacing w:after="0" w:line="532" w:lineRule="auto"/>
        <w:tabs>
          <w:tab w:leader="none" w:pos="261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Closing Date has not occurred by 11:59 p.m., New York City time on November 30, 2019 (the “</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5" w:name="page446"/>
    <w:bookmarkEnd w:id="445"/>
    <w:p>
      <w:pPr>
        <w:ind w:left="600" w:right="140" w:firstLine="1293"/>
        <w:spacing w:after="0" w:line="277" w:lineRule="auto"/>
        <w:tabs>
          <w:tab w:leader="none" w:pos="2576"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Restructuring Support Agreement is terminated in accordance with its terms (other than any termination pursuant to Section 10(b) or Section 10(c) of the Restructuring Support Agreement);</w:t>
      </w:r>
    </w:p>
    <w:p>
      <w:pPr>
        <w:spacing w:after="0" w:line="170" w:lineRule="exact"/>
        <w:rPr>
          <w:rFonts w:ascii="Arial" w:cs="Arial" w:eastAsia="Arial" w:hAnsi="Arial"/>
          <w:sz w:val="18"/>
          <w:szCs w:val="18"/>
          <w:color w:val="auto"/>
        </w:rPr>
      </w:pPr>
    </w:p>
    <w:p>
      <w:pPr>
        <w:ind w:left="600" w:firstLine="1293"/>
        <w:spacing w:after="0" w:line="259" w:lineRule="auto"/>
        <w:tabs>
          <w:tab w:leader="none" w:pos="2585"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 Commitment Party exercises its termination rights pursuant to Section 10(b) or Section 10(c) of the Restructuring Support Agreement (a “</w:t>
      </w:r>
      <w:r>
        <w:rPr>
          <w:rFonts w:ascii="Arial" w:cs="Arial" w:eastAsia="Arial" w:hAnsi="Arial"/>
          <w:sz w:val="18"/>
          <w:szCs w:val="18"/>
          <w:b w:val="1"/>
          <w:bCs w:val="1"/>
          <w:u w:val="single" w:color="auto"/>
          <w:color w:val="auto"/>
        </w:rPr>
        <w:t>Partial Noteholder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termination of this Agreement on account thereof shall only be effective with respect to such Commitment Party that exercised its termination rights under the Restructuring Support Agreement (the “</w:t>
      </w:r>
      <w:r>
        <w:rPr>
          <w:rFonts w:ascii="Arial" w:cs="Arial" w:eastAsia="Arial" w:hAnsi="Arial"/>
          <w:sz w:val="18"/>
          <w:szCs w:val="18"/>
          <w:b w:val="1"/>
          <w:bCs w:val="1"/>
          <w:u w:val="single" w:color="auto"/>
          <w:color w:val="auto"/>
        </w:rPr>
        <w:t>Terminating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Commitment Parties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00" w:right="140" w:firstLine="1293"/>
        <w:spacing w:after="0" w:line="264" w:lineRule="auto"/>
        <w:tabs>
          <w:tab w:leader="none" w:pos="2562"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Company or any of the other Debtors files any motion, application or adversary proceeding (or any of the Company or any of the other Debtors supports any such motion, application, or adversary proceeding filed or commenced by any third party) challenging the validity or enforceability, or seeking avoidance or subordination, of the Prepetition Notes Claims; or</w:t>
      </w:r>
    </w:p>
    <w:p>
      <w:pPr>
        <w:spacing w:after="0" w:line="181" w:lineRule="exact"/>
        <w:rPr>
          <w:rFonts w:ascii="Arial" w:cs="Arial" w:eastAsia="Arial" w:hAnsi="Arial"/>
          <w:sz w:val="18"/>
          <w:szCs w:val="18"/>
          <w:color w:val="auto"/>
        </w:rPr>
      </w:pPr>
    </w:p>
    <w:p>
      <w:pPr>
        <w:ind w:left="2540" w:hanging="647"/>
        <w:spacing w:after="0"/>
        <w:tabs>
          <w:tab w:leader="none" w:pos="254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an acceleration of the obligations or termination of commitments under the DIP Facility.</w:t>
      </w:r>
    </w:p>
    <w:p>
      <w:pPr>
        <w:spacing w:after="0" w:line="225" w:lineRule="exact"/>
        <w:rPr>
          <w:rFonts w:ascii="Arial" w:cs="Arial" w:eastAsia="Arial" w:hAnsi="Arial"/>
          <w:sz w:val="18"/>
          <w:szCs w:val="18"/>
          <w:color w:val="auto"/>
        </w:rPr>
      </w:pPr>
    </w:p>
    <w:p>
      <w:pPr>
        <w:ind w:left="-60" w:right="780" w:firstLine="1305"/>
        <w:spacing w:after="0" w:line="277" w:lineRule="auto"/>
        <w:tabs>
          <w:tab w:leader="none" w:pos="1892"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This Agreement may be terminated by the Requisite Commitment Parties, upon written notice to the Company upon the occurrence of any of the following events:</w:t>
      </w:r>
    </w:p>
    <w:p>
      <w:pPr>
        <w:spacing w:after="0" w:line="170" w:lineRule="exact"/>
        <w:rPr>
          <w:rFonts w:ascii="Arial" w:cs="Arial" w:eastAsia="Arial" w:hAnsi="Arial"/>
          <w:sz w:val="18"/>
          <w:szCs w:val="18"/>
          <w:color w:val="auto"/>
        </w:rPr>
      </w:pPr>
    </w:p>
    <w:p>
      <w:pPr>
        <w:ind w:left="600" w:right="100" w:firstLine="1293"/>
        <w:spacing w:after="0" w:line="288" w:lineRule="auto"/>
        <w:tabs>
          <w:tab w:leader="none" w:pos="2566" w:val="left"/>
        </w:tabs>
        <w:numPr>
          <w:ilvl w:val="1"/>
          <w:numId w:val="568"/>
        </w:numPr>
        <w:rPr>
          <w:rFonts w:ascii="Arial" w:cs="Arial" w:eastAsia="Arial" w:hAnsi="Arial"/>
          <w:sz w:val="16"/>
          <w:szCs w:val="16"/>
          <w:color w:val="auto"/>
        </w:rPr>
      </w:pPr>
      <w:r>
        <w:rPr>
          <w:rFonts w:ascii="Arial" w:cs="Arial" w:eastAsia="Arial" w:hAnsi="Arial"/>
          <w:sz w:val="16"/>
          <w:szCs w:val="16"/>
          <w:color w:val="auto"/>
        </w:rPr>
        <w:t xml:space="preserve">(A) the Company or the other Debtors shall have breached any representation, warranty, covenant or other agreement made by the Company or the other Debtors in this Agreement or any such representation or warranty shall have become inaccurate and such breach or inaccuracy would, individually or in the aggregate, cause a condition set forth in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(Representations and Warranties),</w:t>
      </w:r>
    </w:p>
    <w:p>
      <w:pPr>
        <w:ind w:left="600" w:right="80"/>
        <w:spacing w:after="0" w:line="255" w:lineRule="auto"/>
        <w:rPr>
          <w:rFonts w:ascii="Arial" w:cs="Arial" w:eastAsia="Arial" w:hAnsi="Arial"/>
          <w:sz w:val="16"/>
          <w:szCs w:val="16"/>
          <w:color w:val="auto"/>
        </w:rPr>
      </w:pPr>
      <w:r>
        <w:rPr>
          <w:rFonts w:ascii="Arial" w:cs="Arial" w:eastAsia="Arial" w:hAnsi="Arial"/>
          <w:sz w:val="17"/>
          <w:szCs w:val="17"/>
          <w:u w:val="single" w:color="auto"/>
          <w:color w:val="auto"/>
        </w:rPr>
        <w:t>Section 7.1(j)</w:t>
      </w:r>
      <w:r>
        <w:rPr>
          <w:rFonts w:ascii="Arial" w:cs="Arial" w:eastAsia="Arial" w:hAnsi="Arial"/>
          <w:sz w:val="17"/>
          <w:szCs w:val="17"/>
          <w:color w:val="auto"/>
        </w:rPr>
        <w:t xml:space="preserve"> (Covenants) or </w:t>
      </w:r>
      <w:r>
        <w:rPr>
          <w:rFonts w:ascii="Arial" w:cs="Arial" w:eastAsia="Arial" w:hAnsi="Arial"/>
          <w:sz w:val="17"/>
          <w:szCs w:val="17"/>
          <w:u w:val="single" w:color="auto"/>
          <w:color w:val="auto"/>
        </w:rPr>
        <w:t>Section 7.1(k)</w:t>
      </w:r>
      <w:r>
        <w:rPr>
          <w:rFonts w:ascii="Arial" w:cs="Arial" w:eastAsia="Arial" w:hAnsi="Arial"/>
          <w:sz w:val="17"/>
          <w:szCs w:val="17"/>
          <w:color w:val="auto"/>
        </w:rPr>
        <w:t xml:space="preserve"> (Material Adverse Effect) not to be satisfied, (B) the Commitment Parties shall have delivered written notice of such breach or inaccuracy to the Debtors, (C) notwithstanding anything to the contrary in Section 9.2(b), such breach or inaccuracy is not cured by the Company or the other Debtors by the tenth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after receipt of such notice and (D) as a result of such failure to cure, any condition set forth in Section 7.1(j) (Representations and Warranties), Section 7.1(k) (Covenants), or Section 7.1(l) (Material Adverse Effect) is not capable of being satisfied; provided, that, this Agreement shall not terminate automatically pursuant to this </w:t>
      </w:r>
      <w:r>
        <w:rPr>
          <w:rFonts w:ascii="Arial" w:cs="Arial" w:eastAsia="Arial" w:hAnsi="Arial"/>
          <w:sz w:val="17"/>
          <w:szCs w:val="17"/>
          <w:u w:val="single" w:color="auto"/>
          <w:color w:val="auto"/>
        </w:rPr>
        <w:t>Section 9.2(b)(i)</w:t>
      </w:r>
      <w:r>
        <w:rPr>
          <w:rFonts w:ascii="Arial" w:cs="Arial" w:eastAsia="Arial" w:hAnsi="Arial"/>
          <w:sz w:val="17"/>
          <w:szCs w:val="17"/>
          <w:color w:val="auto"/>
        </w:rPr>
        <w:t xml:space="preserve"> if the Commitment Parties are then in willful or intentional breach of this Agreement;</w:t>
      </w:r>
    </w:p>
    <w:p>
      <w:pPr>
        <w:spacing w:after="0" w:line="191" w:lineRule="exact"/>
        <w:rPr>
          <w:rFonts w:ascii="Arial" w:cs="Arial" w:eastAsia="Arial" w:hAnsi="Arial"/>
          <w:sz w:val="16"/>
          <w:szCs w:val="16"/>
          <w:color w:val="auto"/>
        </w:rPr>
      </w:pPr>
    </w:p>
    <w:p>
      <w:pPr>
        <w:ind w:left="600" w:right="40" w:firstLine="1293"/>
        <w:spacing w:after="0" w:line="259" w:lineRule="auto"/>
        <w:tabs>
          <w:tab w:leader="none" w:pos="2576" w:val="left"/>
        </w:tabs>
        <w:numPr>
          <w:ilvl w:val="1"/>
          <w:numId w:val="568"/>
        </w:numPr>
        <w:rPr>
          <w:rFonts w:ascii="Arial" w:cs="Arial" w:eastAsia="Arial" w:hAnsi="Arial"/>
          <w:sz w:val="18"/>
          <w:szCs w:val="18"/>
          <w:color w:val="auto"/>
        </w:rPr>
      </w:pPr>
      <w:r>
        <w:rPr>
          <w:rFonts w:ascii="Arial" w:cs="Arial" w:eastAsia="Arial" w:hAnsi="Arial"/>
          <w:sz w:val="18"/>
          <w:szCs w:val="18"/>
          <w:color w:val="auto"/>
        </w:rPr>
        <w:t>any Law or final and non-appealable Order shall have been enacted, adopted or issued by any Governmental Entity that prohibits the implementation of the Plan, the Rights Offering or the transactions contemplated by this Agreement or the other Transaction Agreements, in each case, on substantially the terms provided for therein, in a way that cannot be remedied in all material respects by the Debtors in a manner reasonably satisfactory to the Requisite Commitment Parties;</w:t>
      </w:r>
    </w:p>
    <w:p>
      <w:pPr>
        <w:spacing w:after="0" w:line="186" w:lineRule="exact"/>
        <w:rPr>
          <w:rFonts w:ascii="Arial" w:cs="Arial" w:eastAsia="Arial" w:hAnsi="Arial"/>
          <w:sz w:val="18"/>
          <w:szCs w:val="18"/>
          <w:color w:val="auto"/>
        </w:rPr>
      </w:pPr>
    </w:p>
    <w:p>
      <w:pPr>
        <w:ind w:left="600" w:right="60" w:firstLine="1293"/>
        <w:spacing w:after="0" w:line="277" w:lineRule="auto"/>
        <w:tabs>
          <w:tab w:leader="none" w:pos="2585"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the Company or any other Debtor (A) amends or modifies, or files a pleading seeking authority to amend or modify, the Definitive Documentation in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446" w:name="page447"/>
    <w:bookmarkEnd w:id="446"/>
    <w:p>
      <w:pPr>
        <w:ind w:left="660" w:right="500"/>
        <w:spacing w:after="0" w:line="342" w:lineRule="auto"/>
        <w:rPr>
          <w:sz w:val="20"/>
          <w:szCs w:val="20"/>
          <w:color w:val="auto"/>
        </w:rPr>
      </w:pPr>
      <w:r>
        <w:rPr>
          <w:rFonts w:ascii="Arial" w:cs="Arial" w:eastAsia="Arial" w:hAnsi="Arial"/>
          <w:sz w:val="16"/>
          <w:szCs w:val="16"/>
          <w:color w:val="auto"/>
        </w:rPr>
        <w:t>manner that is materially inconsistent with this Agreement and the Restructuring Support Agreement; (B) suspends or revokes the Transaction Agreements; or (C) publicly announces its intention to take any such action listed in sub-clauses (A) or (B) of this subsection;</w:t>
      </w:r>
    </w:p>
    <w:p>
      <w:pPr>
        <w:spacing w:after="0" w:line="124" w:lineRule="exact"/>
        <w:rPr>
          <w:sz w:val="20"/>
          <w:szCs w:val="20"/>
          <w:color w:val="auto"/>
        </w:rPr>
      </w:pPr>
    </w:p>
    <w:p>
      <w:pPr>
        <w:ind w:left="660" w:right="120" w:firstLine="1293"/>
        <w:spacing w:after="0" w:line="342" w:lineRule="auto"/>
        <w:tabs>
          <w:tab w:leader="none" w:pos="2622" w:val="left"/>
        </w:tabs>
        <w:numPr>
          <w:ilvl w:val="0"/>
          <w:numId w:val="569"/>
        </w:numPr>
        <w:rPr>
          <w:rFonts w:ascii="Arial" w:cs="Arial" w:eastAsia="Arial" w:hAnsi="Arial"/>
          <w:sz w:val="16"/>
          <w:szCs w:val="16"/>
          <w:color w:val="auto"/>
        </w:rPr>
      </w:pPr>
      <w:r>
        <w:rPr>
          <w:rFonts w:ascii="Arial" w:cs="Arial" w:eastAsia="Arial" w:hAnsi="Arial"/>
          <w:sz w:val="16"/>
          <w:szCs w:val="16"/>
          <w:color w:val="auto"/>
        </w:rPr>
        <w:t>any of the Rights Offering Approval Order or Confirmation Order is terminated, reversed, stayed, dismissed, vacated, or reconsidered, or any such Order is modified or amended after entry without the prior written consent of the Requisite Commitment Parties; or</w:t>
      </w:r>
    </w:p>
    <w:p>
      <w:pPr>
        <w:spacing w:after="0" w:line="123" w:lineRule="exact"/>
        <w:rPr>
          <w:rFonts w:ascii="Arial" w:cs="Arial" w:eastAsia="Arial" w:hAnsi="Arial"/>
          <w:sz w:val="16"/>
          <w:szCs w:val="16"/>
          <w:color w:val="auto"/>
        </w:rPr>
      </w:pPr>
    </w:p>
    <w:p>
      <w:pPr>
        <w:ind w:left="660" w:right="140" w:firstLine="1293"/>
        <w:spacing w:after="0" w:line="277" w:lineRule="auto"/>
        <w:tabs>
          <w:tab w:leader="none" w:pos="2612"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of the Milestones have not been achieved, extended, or waived within three (3) Business Days after the date of such Milestone as set forth in the Restructuring Support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Termination by the Debtors</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This Agreement may be terminated by the Debtors upon written notice to each Commitment Party upon the occurrence of any of the following events, subject to the rights of the Debtors to fully and conditionally waive, in writing, on a prospective or retroactive basis the occurrence of such event:</w:t>
      </w:r>
    </w:p>
    <w:p>
      <w:pPr>
        <w:spacing w:after="0" w:line="181" w:lineRule="exact"/>
        <w:rPr>
          <w:sz w:val="20"/>
          <w:szCs w:val="20"/>
          <w:color w:val="auto"/>
        </w:rPr>
      </w:pPr>
    </w:p>
    <w:p>
      <w:pPr>
        <w:jc w:val="both"/>
        <w:ind w:right="40" w:firstLine="1305"/>
        <w:spacing w:after="0" w:line="259" w:lineRule="auto"/>
        <w:tabs>
          <w:tab w:leader="none" w:pos="194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any Law or final and non-appealable Order shall have been enacted, adopted or issued by any Governmental Entity that prohibits the implementation of the Plan or the Rights Offering or the transactions contemplated by this Agreement or the other Transaction Agreements, in each case, on substantially the terms provided for therein, in a way that cannot be remedied in all material respects by the Debtors in a manner reasonably satisfactory to the Requisite Commitment Parties;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subject to the right of the Commitment Parties to arrange a Commitment Party Replacement in accordance with</w:t>
      </w:r>
    </w:p>
    <w:p>
      <w:pPr>
        <w:spacing w:after="0" w:line="2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(which will be deemed to cure any breach by the replaced Commitment Party pursuant to this subsection (b)), (i) any Commitment Party shall have breached any representation, warranty, covenant or other agreement made by such Commitment Party in this Agreement or any such representation or warranty shall have become inaccurate and such breach or inaccuracy would, individually or in the aggregate, cause a condition set forth in</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6"/>
          <w:szCs w:val="16"/>
          <w:u w:val="single" w:color="auto"/>
          <w:color w:val="auto"/>
        </w:rPr>
        <w:t>Section 7.3(g)</w:t>
      </w:r>
      <w:r>
        <w:rPr>
          <w:rFonts w:ascii="Arial" w:cs="Arial" w:eastAsia="Arial" w:hAnsi="Arial"/>
          <w:sz w:val="16"/>
          <w:szCs w:val="16"/>
          <w:color w:val="auto"/>
        </w:rPr>
        <w:t xml:space="preserve"> (Representations and Warranties) or </w:t>
      </w:r>
      <w:r>
        <w:rPr>
          <w:rFonts w:ascii="Arial" w:cs="Arial" w:eastAsia="Arial" w:hAnsi="Arial"/>
          <w:sz w:val="16"/>
          <w:szCs w:val="16"/>
          <w:u w:val="single" w:color="auto"/>
          <w:color w:val="auto"/>
        </w:rPr>
        <w:t>Section 7.3(h)</w:t>
      </w:r>
      <w:r>
        <w:rPr>
          <w:rFonts w:ascii="Arial" w:cs="Arial" w:eastAsia="Arial" w:hAnsi="Arial"/>
          <w:sz w:val="16"/>
          <w:szCs w:val="16"/>
          <w:color w:val="auto"/>
        </w:rPr>
        <w:t xml:space="preserve"> (Covenants) not to be satisfied, (ii) the Debtors shall have delivered written notice of such breach or inaccuracy to such Commitment Party, (iii) such breach or inaccuracy is not cured by such Commitment Party by the tenth (10</w:t>
      </w:r>
      <w:r>
        <w:rPr>
          <w:rFonts w:ascii="Arial" w:cs="Arial" w:eastAsia="Arial" w:hAnsi="Arial"/>
          <w:sz w:val="20"/>
          <w:szCs w:val="20"/>
          <w:color w:val="auto"/>
          <w:vertAlign w:val="superscript"/>
        </w:rPr>
        <w:t>th</w:t>
      </w:r>
      <w:r>
        <w:rPr>
          <w:rFonts w:ascii="Arial" w:cs="Arial" w:eastAsia="Arial" w:hAnsi="Arial"/>
          <w:sz w:val="16"/>
          <w:szCs w:val="16"/>
          <w:color w:val="auto"/>
        </w:rPr>
        <w:t>) Business Day after receipt of such notice and (iv) as a result of such failure to cure, any condition set forth in Section 7.3(g) (Representations and Warranties) or</w:t>
      </w:r>
    </w:p>
    <w:p>
      <w:pPr>
        <w:ind w:right="100"/>
        <w:spacing w:after="0" w:line="261" w:lineRule="auto"/>
        <w:rPr>
          <w:sz w:val="20"/>
          <w:szCs w:val="20"/>
          <w:color w:val="auto"/>
        </w:rPr>
      </w:pPr>
      <w:r>
        <w:rPr>
          <w:rFonts w:ascii="Arial" w:cs="Arial" w:eastAsia="Arial" w:hAnsi="Arial"/>
          <w:sz w:val="18"/>
          <w:szCs w:val="18"/>
          <w:color w:val="auto"/>
        </w:rPr>
        <w:t xml:space="preserve">Section 7.3(h) (Covenants) is not capable of being satisfied; provided, that this Agreement shall not terminate automatically pursuant to this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if any Debtor is then in willful or intentional breach of this Agreement; or</w:t>
      </w:r>
    </w:p>
    <w:p>
      <w:pPr>
        <w:spacing w:after="0" w:line="184" w:lineRule="exact"/>
        <w:rPr>
          <w:sz w:val="20"/>
          <w:szCs w:val="20"/>
          <w:color w:val="auto"/>
        </w:rPr>
      </w:pPr>
    </w:p>
    <w:p>
      <w:pPr>
        <w:ind w:right="60" w:firstLine="1305"/>
        <w:spacing w:after="0" w:line="264" w:lineRule="auto"/>
        <w:tabs>
          <w:tab w:leader="none" w:pos="195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Rights Offering Approval Order or Confirmation Order is terminated, reversed, stayed, dismissed, vacated, or reconsidered, or any such Order is modified or amended after entry without the prior acquiescence or written consent (not to be unreasonably withheld, conditioned or delayed) of the Debtors in a manner that prevents or prohibits the consummation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47" w:name="page448"/>
    <w:bookmarkEnd w:id="447"/>
    <w:p>
      <w:pPr>
        <w:ind w:right="140"/>
        <w:spacing w:after="0" w:line="277" w:lineRule="auto"/>
        <w:rPr>
          <w:sz w:val="20"/>
          <w:szCs w:val="20"/>
          <w:color w:val="auto"/>
        </w:rPr>
      </w:pPr>
      <w:r>
        <w:rPr>
          <w:rFonts w:ascii="Arial" w:cs="Arial" w:eastAsia="Arial" w:hAnsi="Arial"/>
          <w:sz w:val="18"/>
          <w:szCs w:val="18"/>
          <w:color w:val="auto"/>
        </w:rPr>
        <w:t>of the Restructuring Transactions contemplated in this Agreement or any of the Definitive Documents in a way that cannot be remedied by the Commitment Parties subject to the reasonable satisfaction of the Debtors.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4" w:lineRule="auto"/>
        <w:tabs>
          <w:tab w:leader="none" w:pos="1942" w:val="left"/>
        </w:tabs>
        <w:numPr>
          <w:ilvl w:val="1"/>
          <w:numId w:val="572"/>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this Agreement shall forthwith become void and there shall be no further obligations or liabilities on the part of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obligations of the Debtors to pay the Expense Reimbursement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to satisfy their indemnification obligations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the termination of this Agreement and shall remain in full force and effect, in each case, until such obligations have been satisfied, (ii) the provisions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survive the termination of this Agreement in accordance with their terms, (iii) pursuant to and in accordance with Sections 2.3(b) and 6.5(b), the obligations of the Commitment Parties to repay the Commitment Payment in the event of termination of this Agreement under the circumstances set forth in Section 2.3 and Section 6.5 shall survive the termination of this Agreement and shall remain in full force and effect until such obligations have been satisfied and</w:t>
      </w:r>
    </w:p>
    <w:p>
      <w:pPr>
        <w:spacing w:after="0" w:line="2" w:lineRule="exact"/>
        <w:rPr>
          <w:rFonts w:ascii="Arial" w:cs="Arial" w:eastAsia="Arial" w:hAnsi="Arial"/>
          <w:sz w:val="16"/>
          <w:szCs w:val="16"/>
          <w:color w:val="auto"/>
        </w:rPr>
      </w:pPr>
    </w:p>
    <w:p>
      <w:pPr>
        <w:ind w:right="180" w:firstLine="8"/>
        <w:spacing w:after="0" w:line="254" w:lineRule="auto"/>
        <w:tabs>
          <w:tab w:leader="none" w:pos="30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(Damages), nothing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relieve any Party from liability for its fraud, gross negligence or any willful or intentional breach of this Agreement. For purposes of this Agreement, “</w:t>
      </w:r>
      <w:r>
        <w:rPr>
          <w:rFonts w:ascii="Arial" w:cs="Arial" w:eastAsia="Arial" w:hAnsi="Arial"/>
          <w:sz w:val="18"/>
          <w:szCs w:val="18"/>
          <w:b w:val="1"/>
          <w:bCs w:val="1"/>
          <w:u w:val="single" w:color="auto"/>
          <w:color w:val="auto"/>
        </w:rPr>
        <w:t>willful or intentional breach</w:t>
      </w:r>
      <w:r>
        <w:rPr>
          <w:rFonts w:ascii="Arial" w:cs="Arial" w:eastAsia="Arial" w:hAnsi="Arial"/>
          <w:sz w:val="18"/>
          <w:szCs w:val="18"/>
          <w:color w:val="auto"/>
        </w:rPr>
        <w:t>” means a breach of this Agreement that is a consequence of an act undertaken by the breaching Party with the knowledge that the taking of such act would, or would reasonably be expected to, cause a breach of this Agreement.</w:t>
      </w:r>
    </w:p>
    <w:p>
      <w:pPr>
        <w:spacing w:after="0" w:line="189" w:lineRule="exact"/>
        <w:rPr>
          <w:rFonts w:ascii="Arial" w:cs="Arial" w:eastAsia="Arial" w:hAnsi="Arial"/>
          <w:sz w:val="18"/>
          <w:szCs w:val="18"/>
          <w:color w:val="auto"/>
        </w:rPr>
      </w:pPr>
    </w:p>
    <w:p>
      <w:pPr>
        <w:ind w:firstLine="1305"/>
        <w:spacing w:after="0" w:line="270" w:lineRule="auto"/>
        <w:tabs>
          <w:tab w:leader="none" w:pos="1952" w:val="left"/>
        </w:tabs>
        <w:numPr>
          <w:ilvl w:val="1"/>
          <w:numId w:val="573"/>
        </w:numPr>
        <w:rPr>
          <w:rFonts w:ascii="Arial" w:cs="Arial" w:eastAsia="Arial" w:hAnsi="Arial"/>
          <w:sz w:val="17"/>
          <w:szCs w:val="17"/>
          <w:color w:val="auto"/>
        </w:rPr>
      </w:pPr>
      <w:r>
        <w:rPr>
          <w:rFonts w:ascii="Arial" w:cs="Arial" w:eastAsia="Arial" w:hAnsi="Arial"/>
          <w:sz w:val="17"/>
          <w:szCs w:val="17"/>
          <w:color w:val="auto"/>
        </w:rPr>
        <w:t>If this Agreement is terminated for any reason other than by the Debtors pursuant to Section 9.3(b), the Commitment Parties shall be entitled to keep the full Commitment Payment. If this Agreement is terminated by the Debtors pursuant to Section 9.3(b), the Commitment Parties shall be required to, within two (2) Business Days following such proper termination, return the full Commitment Payment to the Company. For the avoidance of doubt, other than the Company’s payment of the Commitment Payment, which has been paid to the Commitment Parties at or prior to the effectiveness of this Agreement, the Commitment Parties shall not and do not have any additional recourse against the Debtors for any obligations or liabilities relating to or arising from this Agreement, except for liability for gross negligence or willful or intentional breach of this Agreement pursuant to Section 9.2(a). For the avoidance of doubt, the automatic stay arising pursuant to section 362 of the Bankruptcy Code shall be deemed waived or modified solely for purposes of providing notice or exercising termination rights hereunder and under the Restructuring Support Agreement and shall not prohibit a party from taking any action necessary to effectuate the termination of this Agreement pursuant to and in accordance with its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in connection with this Agreement shall be in writing and shall be deemed given if delivered personally, sent via electronic facsimile (with confirmation), mailed by registered or certified mail (return receipt requested)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8" w:name="page449"/>
    <w:bookmarkEnd w:id="448"/>
    <w:p>
      <w:pPr>
        <w:ind w:right="160"/>
        <w:spacing w:after="0" w:line="277" w:lineRule="auto"/>
        <w:rPr>
          <w:sz w:val="20"/>
          <w:szCs w:val="20"/>
          <w:color w:val="auto"/>
        </w:rPr>
      </w:pPr>
      <w:r>
        <w:rPr>
          <w:rFonts w:ascii="Arial" w:cs="Arial" w:eastAsia="Arial" w:hAnsi="Arial"/>
          <w:sz w:val="18"/>
          <w:szCs w:val="18"/>
          <w:color w:val="auto"/>
        </w:rPr>
        <w:t>delivered by an express courier (with confirmation) to the Parties at the following addresses (or at such other address for a Party as may be specified by like notice):</w:t>
      </w:r>
    </w:p>
    <w:p>
      <w:pPr>
        <w:spacing w:after="0" w:line="170" w:lineRule="exact"/>
        <w:rPr>
          <w:sz w:val="20"/>
          <w:szCs w:val="20"/>
          <w:color w:val="auto"/>
        </w:rPr>
      </w:pPr>
    </w:p>
    <w:p>
      <w:pPr>
        <w:ind w:left="1940" w:hanging="635"/>
        <w:spacing w:after="0"/>
        <w:tabs>
          <w:tab w:leader="none" w:pos="19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If to any Debtor:</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Weatherford</w:t>
      </w:r>
    </w:p>
    <w:p>
      <w:pPr>
        <w:spacing w:after="0" w:line="23" w:lineRule="exact"/>
        <w:rPr>
          <w:rFonts w:ascii="Arial" w:cs="Arial" w:eastAsia="Arial" w:hAnsi="Arial"/>
          <w:sz w:val="18"/>
          <w:szCs w:val="18"/>
          <w:color w:val="auto"/>
        </w:rPr>
      </w:pPr>
    </w:p>
    <w:p>
      <w:pPr>
        <w:ind w:left="1960" w:right="7820"/>
        <w:spacing w:after="0" w:line="300" w:lineRule="auto"/>
        <w:rPr>
          <w:rFonts w:ascii="Arial" w:cs="Arial" w:eastAsia="Arial" w:hAnsi="Arial"/>
          <w:sz w:val="18"/>
          <w:szCs w:val="18"/>
          <w:color w:val="auto"/>
        </w:rPr>
      </w:pPr>
      <w:r>
        <w:rPr>
          <w:rFonts w:ascii="Arial" w:cs="Arial" w:eastAsia="Arial" w:hAnsi="Arial"/>
          <w:sz w:val="15"/>
          <w:szCs w:val="15"/>
          <w:color w:val="auto"/>
        </w:rPr>
        <w:t>2000 St. James Place Houston, Texas 77056</w:t>
      </w:r>
    </w:p>
    <w:p>
      <w:pPr>
        <w:ind w:left="1960"/>
        <w:spacing w:after="0"/>
        <w:rPr>
          <w:rFonts w:ascii="Arial" w:cs="Arial" w:eastAsia="Arial" w:hAnsi="Arial"/>
          <w:sz w:val="18"/>
          <w:szCs w:val="18"/>
          <w:color w:val="auto"/>
        </w:rPr>
      </w:pPr>
      <w:r>
        <w:rPr>
          <w:rFonts w:ascii="Arial" w:cs="Arial" w:eastAsia="Arial" w:hAnsi="Arial"/>
          <w:sz w:val="18"/>
          <w:szCs w:val="18"/>
          <w:color w:val="auto"/>
        </w:rPr>
        <w:t>Attn: Christina Ibrahim, EVP, General Counsel &amp; Chief Compliance Officer</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Phone: (713) 836-4000</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(713) 836-5032</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 Christina.Ibrahim@Weatherford.com</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Attn:   Douglas Johns</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i w:val="1"/>
          <w:iCs w:val="1"/>
          <w:color w:val="auto"/>
        </w:rPr>
        <w:t>with copies (which shall not constitute notice) to:</w:t>
      </w:r>
    </w:p>
    <w:p>
      <w:pPr>
        <w:spacing w:after="0" w:line="225" w:lineRule="exact"/>
        <w:rPr>
          <w:rFonts w:ascii="Arial" w:cs="Arial" w:eastAsia="Arial" w:hAnsi="Arial"/>
          <w:sz w:val="18"/>
          <w:szCs w:val="18"/>
          <w:color w:val="auto"/>
        </w:rPr>
      </w:pPr>
    </w:p>
    <w:p>
      <w:pPr>
        <w:ind w:left="1960" w:right="7700"/>
        <w:spacing w:after="0" w:line="274" w:lineRule="auto"/>
        <w:rPr>
          <w:rFonts w:ascii="Arial" w:cs="Arial" w:eastAsia="Arial" w:hAnsi="Arial"/>
          <w:sz w:val="18"/>
          <w:szCs w:val="18"/>
          <w:color w:val="auto"/>
        </w:rPr>
      </w:pPr>
      <w:r>
        <w:rPr>
          <w:rFonts w:ascii="Arial" w:cs="Arial" w:eastAsia="Arial" w:hAnsi="Arial"/>
          <w:sz w:val="17"/>
          <w:szCs w:val="17"/>
          <w:color w:val="auto"/>
        </w:rPr>
        <w:t>Latham &amp; Watkins LLP 885 Third Avenue</w:t>
      </w: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(212) 906-1200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960"/>
        <w:spacing w:after="0"/>
        <w:tabs>
          <w:tab w:leader="none" w:pos="3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George Davis (george.davis@lw.com)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Keith Simon (keith.simon@lw.com)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David Hammerman (david.hammerman@lw.com)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Andrew Sorkin (Andrew.sorkin@lw.com)</w:t>
      </w:r>
    </w:p>
    <w:p>
      <w:pPr>
        <w:spacing w:after="0" w:line="211" w:lineRule="exact"/>
        <w:rPr>
          <w:sz w:val="20"/>
          <w:szCs w:val="20"/>
          <w:color w:val="auto"/>
        </w:rPr>
      </w:pPr>
    </w:p>
    <w:p>
      <w:pPr>
        <w:ind w:left="1960" w:hanging="655"/>
        <w:spacing w:after="0"/>
        <w:tabs>
          <w:tab w:leader="none" w:pos="196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If to the Commitment Parties:</w:t>
      </w:r>
    </w:p>
    <w:p>
      <w:pPr>
        <w:spacing w:after="0" w:line="225" w:lineRule="exact"/>
        <w:rPr>
          <w:rFonts w:ascii="Arial" w:cs="Arial" w:eastAsia="Arial" w:hAnsi="Arial"/>
          <w:sz w:val="18"/>
          <w:szCs w:val="18"/>
          <w:color w:val="auto"/>
        </w:rPr>
      </w:pPr>
    </w:p>
    <w:p>
      <w:pPr>
        <w:ind w:left="1960" w:right="100"/>
        <w:spacing w:after="0" w:line="277" w:lineRule="auto"/>
        <w:rPr>
          <w:rFonts w:ascii="Arial" w:cs="Arial" w:eastAsia="Arial" w:hAnsi="Arial"/>
          <w:sz w:val="18"/>
          <w:szCs w:val="18"/>
          <w:color w:val="auto"/>
        </w:rPr>
      </w:pPr>
      <w:r>
        <w:rPr>
          <w:rFonts w:ascii="Arial" w:cs="Arial" w:eastAsia="Arial" w:hAnsi="Arial"/>
          <w:sz w:val="18"/>
          <w:szCs w:val="18"/>
          <w:color w:val="auto"/>
        </w:rPr>
        <w:t>To each Commitment Party at the addresses or e-mail addresses set forth below the Commitment Party’s signature in its signature page to this Agreement.</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i w:val="1"/>
          <w:iCs w:val="1"/>
          <w:color w:val="auto"/>
        </w:rPr>
        <w:t>with a copy (which shall not constitute notice) to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6600"/>
        <w:spacing w:after="0" w:line="258" w:lineRule="auto"/>
        <w:rPr>
          <w:rFonts w:ascii="Arial" w:cs="Arial" w:eastAsia="Arial" w:hAnsi="Arial"/>
          <w:sz w:val="18"/>
          <w:szCs w:val="18"/>
          <w:color w:val="auto"/>
        </w:rPr>
      </w:pPr>
      <w:r>
        <w:rPr>
          <w:rFonts w:ascii="Arial" w:cs="Arial" w:eastAsia="Arial" w:hAnsi="Arial"/>
          <w:sz w:val="18"/>
          <w:szCs w:val="18"/>
          <w:color w:val="auto"/>
        </w:rPr>
        <w:t>Akin Gump Strauss Hauer &amp; Feld LLP One Bryant Park</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(212) 872-1000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960"/>
        <w:spacing w:after="0"/>
        <w:tabs>
          <w:tab w:leader="none" w:pos="3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S. Stamer, Esq. (mstamer@akingump.com)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Meredith Lahaie, Esq. (mlahaie@akingump.com)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B. Kuhn, Esq. (skuhn@akingump.com)</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Assignment; Third Party Beneficiaries</w:t>
      </w:r>
      <w:r>
        <w:rPr>
          <w:rFonts w:ascii="Arial" w:cs="Arial" w:eastAsia="Arial" w:hAnsi="Arial"/>
          <w:sz w:val="18"/>
          <w:szCs w:val="18"/>
          <w:color w:val="auto"/>
        </w:rPr>
        <w:t>. Neither this Agreement nor any of the rights, interests or obligations under this Agreement shall be assigned by any Party (whether by operation of Law or otherwise) without the prior written consent of the Debtors and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9" w:name="page450"/>
    <w:bookmarkEnd w:id="449"/>
    <w:p>
      <w:pPr>
        <w:ind w:right="20"/>
        <w:spacing w:after="0" w:line="255" w:lineRule="auto"/>
        <w:rPr>
          <w:sz w:val="20"/>
          <w:szCs w:val="20"/>
          <w:color w:val="auto"/>
        </w:rPr>
      </w:pPr>
      <w:r>
        <w:rPr>
          <w:rFonts w:ascii="Arial" w:cs="Arial" w:eastAsia="Arial" w:hAnsi="Arial"/>
          <w:sz w:val="18"/>
          <w:szCs w:val="18"/>
          <w:color w:val="auto"/>
        </w:rPr>
        <w:t xml:space="preserve">Requisite Commitment Parties, other than an assignment by a Commitment Party expressly permitted by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any purported assignment in violation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the Indemnified Persons, this Agreement (including the documents and instruments referred to in this Agreement) is not intended to and does not confer upon any Person any rights or remedies under this Agreement other than the Parties. Notwithstanding anything to the contrary herein, each Party hereto recognizes, acknowledges and agrees that this Agreement binds only the desk or business unit that executes this Agreement and shall not be binding on any other desk, business unit or affiliate, unless such desk, business unit or affiliate separately becomes a Party hereto.</w:t>
      </w:r>
    </w:p>
    <w:p>
      <w:pPr>
        <w:spacing w:after="0" w:line="19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Prior Negotiations; Entire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9" w:lineRule="auto"/>
        <w:tabs>
          <w:tab w:leader="none" w:pos="1294" w:val="left"/>
        </w:tabs>
        <w:numPr>
          <w:ilvl w:val="0"/>
          <w:numId w:val="576"/>
        </w:numPr>
        <w:rPr>
          <w:rFonts w:ascii="Arial" w:cs="Arial" w:eastAsia="Arial" w:hAnsi="Arial"/>
          <w:sz w:val="17"/>
          <w:szCs w:val="17"/>
          <w:color w:val="auto"/>
        </w:rPr>
      </w:pPr>
      <w:r>
        <w:rPr>
          <w:rFonts w:ascii="Arial" w:cs="Arial" w:eastAsia="Arial" w:hAnsi="Arial"/>
          <w:sz w:val="17"/>
          <w:szCs w:val="17"/>
          <w:color w:val="auto"/>
        </w:rPr>
        <w:t>This Agreement (including the agreements attached as Exhibits to and the documents and instruments referred to in this Agreement) and the Restructuring Support Agreement constitute the entire agreement of the Parties and supersede all prior agreements, arrangements or understandings, whether written or oral, among the Parties with respect to the subject matter of this Agreement, except that the Parties hereto acknowledge that any confidentiality agreements heretofore executed among the Parties will each continue in full force and effect.</w:t>
      </w:r>
    </w:p>
    <w:p>
      <w:pPr>
        <w:spacing w:after="0" w:line="171" w:lineRule="exact"/>
        <w:rPr>
          <w:rFonts w:ascii="Arial" w:cs="Arial" w:eastAsia="Arial" w:hAnsi="Arial"/>
          <w:sz w:val="17"/>
          <w:szCs w:val="17"/>
          <w:color w:val="auto"/>
        </w:rPr>
      </w:pPr>
    </w:p>
    <w:p>
      <w:pPr>
        <w:ind w:right="200" w:firstLine="656"/>
        <w:spacing w:after="0" w:line="257" w:lineRule="auto"/>
        <w:tabs>
          <w:tab w:leader="none" w:pos="1304"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Plan (including any amendments, supplements or modifications thereto) or the Confirmation Order (and any amendments, supplements or modifications thereto) or an affirmative vote to accept the Plan submitted by any Commitment Party, nothing contained in the Plan (including any amendments, supplements or modifications thereto) or Confirmation Order (including any amendments, supplements or modifications thereto) shall alter, amend or modify the rights of the Commitment Parties under this Agreement unless such alteration, amendment or modification has been made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7"/>
          <w:szCs w:val="17"/>
          <w:u w:val="single" w:color="auto"/>
          <w:color w:val="auto"/>
        </w:rPr>
        <w:t>Governing Law; Venue</w:t>
      </w:r>
      <w:r>
        <w:rPr>
          <w:rFonts w:ascii="Arial" w:cs="Arial" w:eastAsia="Arial" w:hAnsi="Arial"/>
          <w:sz w:val="17"/>
          <w:szCs w:val="17"/>
          <w:color w:val="auto"/>
        </w:rPr>
        <w:t>. THIS AGREEMENT SHALL BE GOVERNED BY, AND CONSTRUED IN ACCORDANCE WITH,</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LAWS OF THE STATE OF NEW YORK, WITHOUT REGARD TO SUCH STATE’S CHOICE OF LAW PROVISIONS WHICH WOULD REQUIRE OR PERMIT THE APPLICATION OF THE LAW OF ANY OTHER JURISDICTION. BY ITS EXECUTION AND DELIVERY OF THIS AGREEMENT, EACH OF THE PARTIES IRREVOCABLY AND UNCONDITIONALLY AGREES FOR ITSELF THAT ANY LEGAL ACTION, SUIT, OR PROCEEDING AGAINST IT WITH RESPECT TO ANY MATTER ARISING UNDER, ARISING OUT OF, OR IN CONNECTION WITH THIS AGREEMENT OR FOR RECOGNITION OR ENFORCEMENT OF ANY JUDGMENT RENDERED IN ANY SUCH ACTION, SUIT, OR PROCEEDING, SHALL BE BROUGHT IN THE BANKRUPTCY COURT, OR IF THE BANKRUPTCY COURT DOES NOT HAVE JURISDICTION TO HEAR SUCH ACTION, SUIT OR PROCEEDING, ANY STATE OR FEDERAL COURT LOCATED IN NEW YORK COUNTY, NEW YORK, AND BY EXECUTING AND DELIVERING THIS AGREEMENT, EACH OF THE PARTIES IRREVOCABLY ACCEPTS AND SUBMITS ITSELF TO THE EXCLUSIVE JURISDICTION OF SUCH COURT, GENERALLY AND UNCONDITIONALLY, WITH RESPECT TO ANY SUCH ACTION, SUIT OR PROCEEDING. THE PARTIES HEREBY AGREE THAT MAILING OF PROCESS OR OTHER PAPERS IN CONNECTION WITH ANY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0" w:name="page451"/>
    <w:bookmarkEnd w:id="450"/>
    <w:p>
      <w:pPr>
        <w:ind w:right="740"/>
        <w:spacing w:after="0" w:line="264" w:lineRule="auto"/>
        <w:rPr>
          <w:sz w:val="20"/>
          <w:szCs w:val="20"/>
          <w:color w:val="auto"/>
        </w:rPr>
      </w:pPr>
      <w:r>
        <w:rPr>
          <w:rFonts w:ascii="Arial" w:cs="Arial" w:eastAsia="Arial" w:hAnsi="Arial"/>
          <w:sz w:val="18"/>
          <w:szCs w:val="18"/>
          <w:color w:val="auto"/>
        </w:rPr>
        <w:t>ACTION OF PROCEEDING TO AN ADDRESS PROVIDED IN WRITING BY THE RECIPIENT OF SUCH MAILING, OR IN SUCH OTHER MANNER AS MAY BE PERMITTED BY LAW, SHALL BE VALID AND SUFFICIENT SERVICE THEREOF AND HEREBY WAIVE ANY OBJECTIONS TO SERVICE ACCOMPLISHED IN THE MANNER HEREIN PROVIDED.</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Binding Agreement</w:t>
      </w:r>
      <w:r>
        <w:rPr>
          <w:rFonts w:ascii="Arial" w:cs="Arial" w:eastAsia="Arial" w:hAnsi="Arial"/>
          <w:sz w:val="18"/>
          <w:szCs w:val="18"/>
          <w:color w:val="auto"/>
        </w:rPr>
        <w:t>. Each party hereto agrees that this Agreement is a binding and enforceable agreement with respect to the subject matter contained herein or therein (including an obligation to negotiate in good faith).</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WAIVES ALL RIGHTS TO TRIAL BY JURY IN ANY JURISDICTION IN ANY ACTION, SUIT OR PROCEEDING BROUGHT TO RESOLVE ANY DISPUTE AMONG THE PARTIES UNDER THIS AGREEMENT, WHETHER IN CONTRACT, TORT OR OTHERWISE.</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facsimile, portable document format (pdf) or other electronic transmission, in any number of counterparts, all of which will be considered one and the same agreement and will become effective when counterparts have been signed by each of the Parties and delivered to each other Party (including via facsimile or other electronic transmission), it being understood that each Party need not sign the same counterpart.</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Waivers and Amendments; Rights Cumulative; Consent</w:t>
      </w:r>
      <w:r>
        <w:rPr>
          <w:rFonts w:ascii="Arial" w:cs="Arial" w:eastAsia="Arial" w:hAnsi="Arial"/>
          <w:sz w:val="16"/>
          <w:szCs w:val="16"/>
          <w:color w:val="auto"/>
        </w:rPr>
        <w:t xml:space="preserve">. This Agreement may be amended, restated, modified, or changed only by a written instrument signed by the Debtors and the Requisite Commitment Parties (other than a Defaulting Commitment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addition, each Commitment Party’s prior written consent shall be required for any amendment that would have the effect of: (a) modifying such Commitment Party’s Commitment Percentage, (b) increasing the Per Note Purchase Price to be paid in respect of the Rights Offering Notes, (c) increasing the Rights Offering Amount without each Commitment Party having the opportunity (but not the obligation) to participate pro rata in such increase; (d) amending any of the following: (i)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or (ii) the definition of “Requisite Commitment Parties”; or (e) otherwise having a materially adverse and disproportionate effect on such Commitment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written instrument signed by the Debtors and the Requisite Commitment Parties (other than a Defaulting Commitment Party) shall be required to amend, restate, modify or change any provision that gives the Requisite Commitment Parties consent rights with respect to any matter. The terms and conditions of this Agreement may be waived (i) by the Debtors only by a written instrument executed by the Debtors and (ii) by the Commitment Parties only by a written instrument executed by the Requisite Commitment Parties (provided that each Commitment Party’s prior written consent shall be required for any waiver having the effects referred to in the first proviso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No delay on the part of any Party in exercising any right, power or privilege pursuant to this Agreement will operate as a waiver thereof, nor will any waiver on the part of any Party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 Except as otherwise provided in this Agreement, the rights and remedies provided pursuant to this Agreement are cumulative and are not exclusive of any rights or remedies which any Party otherwise may have at law or in equity.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1" w:name="page452"/>
    <w:bookmarkEnd w:id="451"/>
    <w:p>
      <w:pPr>
        <w:ind w:right="140"/>
        <w:spacing w:after="0" w:line="277" w:lineRule="auto"/>
        <w:rPr>
          <w:sz w:val="20"/>
          <w:szCs w:val="20"/>
          <w:color w:val="auto"/>
        </w:rPr>
      </w:pPr>
      <w:r>
        <w:rPr>
          <w:rFonts w:ascii="Arial" w:cs="Arial" w:eastAsia="Arial" w:hAnsi="Arial"/>
          <w:sz w:val="18"/>
          <w:szCs w:val="18"/>
          <w:color w:val="auto"/>
        </w:rPr>
        <w:t>For the avoidance of doubt, nothing in this Agreement shall affect or otherwise impair the rights, including consent rights, of the Commitment Parties under the Restructuring Support Agreement or any other Definitive Document.</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will not in any way affect the meaning or interpretation of this Agreement.</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agree that irreparable damage would occur if any provision of this Agreement were not performed in accordance with the terms hereof and that the Parties shall be entitled to an injunction or injunctions without the necessity of posting a bond to prevent breaches of this Agreement or to enforce specifically the performance of the terms and provisions hereof, in addition to any other remedy to which they are entitled at law or in equity. Unless otherwise expressly stated in this Agreement, no right or remedy described or provided in this Agreement is intended to be exclusive or to preclude a Party from pursuing other rights and remedies to the extent available under this Agreement, at law or in equity.</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Notwithstanding anything to the contrary in this Agreement, none of the Parties will be liable for, and none of the Parties shall claim or seek to recover, any punitive, special, indirect or consequential damages or damages for lost profits. Notwithstanding anything to the contrary in this Agreement, each Commitment Party agrees that in the event of any breach of this Agreement by a Related Purchaser of such Commitment Party to whom such Commitment Party has Transferred all or a portion of its Rights Offering Backstop Commitment hereunder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such Commitment Party and its Related Purchaser will be jointly and severally liable for any damages caused by such breach of this Agreement.</w:t>
      </w:r>
    </w:p>
    <w:p>
      <w:pPr>
        <w:spacing w:after="0" w:line="15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No Reliance</w:t>
      </w:r>
      <w:r>
        <w:rPr>
          <w:rFonts w:ascii="Arial" w:cs="Arial" w:eastAsia="Arial" w:hAnsi="Arial"/>
          <w:sz w:val="16"/>
          <w:szCs w:val="16"/>
          <w:color w:val="auto"/>
        </w:rPr>
        <w:t>. No Commitment Party or any of its Related Parties shall have any duties or obligations to the other Commitment Parties in respect of this Agreement, the Plan or the transactions contemplated hereby or thereby, except those expressly set forth herein. Without limiting the generality of the foregoing, (a) no Commitment Party or any of its Related Parties shall be subject to any fiduciary or other implied duties to the other Commitment Parties, (b) no Commitment Party or any of its Related Parties shall have any duty to take any discretionary action or exercise any discretionary powers on behalf of any other Commitment Party, (c) no Commitment Party or any of its Related Parties shall have any duty to the other Commitment Parties to obtain, through the exercise of diligence or otherwise, to investigate, confirm, or disclose to the other Commitment Parties any information relating to the Company or any of its Subsidiaries that may have been communicated to or obtained by such Commitment Party or any of its Affiliates in any capacity,</w:t>
      </w:r>
    </w:p>
    <w:p>
      <w:pPr>
        <w:spacing w:after="0" w:line="3" w:lineRule="exact"/>
        <w:rPr>
          <w:sz w:val="20"/>
          <w:szCs w:val="20"/>
          <w:color w:val="auto"/>
        </w:rPr>
      </w:pPr>
    </w:p>
    <w:p>
      <w:pPr>
        <w:ind w:right="80" w:firstLine="8"/>
        <w:spacing w:after="0" w:line="295" w:lineRule="auto"/>
        <w:tabs>
          <w:tab w:leader="none" w:pos="255" w:val="left"/>
        </w:tabs>
        <w:numPr>
          <w:ilvl w:val="0"/>
          <w:numId w:val="577"/>
        </w:numPr>
        <w:rPr>
          <w:rFonts w:ascii="Arial" w:cs="Arial" w:eastAsia="Arial" w:hAnsi="Arial"/>
          <w:sz w:val="16"/>
          <w:szCs w:val="16"/>
          <w:color w:val="auto"/>
        </w:rPr>
      </w:pPr>
      <w:r>
        <w:rPr>
          <w:rFonts w:ascii="Arial" w:cs="Arial" w:eastAsia="Arial" w:hAnsi="Arial"/>
          <w:sz w:val="16"/>
          <w:szCs w:val="16"/>
          <w:color w:val="auto"/>
        </w:rPr>
        <w:t>no Commitment Party may rely, and each Commitment Party confirms that it has not relied, on any due diligence investigation that any other Commitment Party or any Person acting on behalf of such other Commitment Party may have conducted with respect to the Company or any of its Affiliates or any of their respective securities, and (e) each Commitment Party acknowledges that no other Commitment Party is acting as a placement agent, initial purchaser, underwriter, broker or finder with respect to its Unsubscribed Notes or Commitment Percentage of its Rights Offering Backstop Commitment.</w:t>
      </w:r>
    </w:p>
    <w:p>
      <w:pPr>
        <w:spacing w:after="0" w:line="16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Publicity</w:t>
      </w:r>
      <w:r>
        <w:rPr>
          <w:rFonts w:ascii="Arial" w:cs="Arial" w:eastAsia="Arial" w:hAnsi="Arial"/>
          <w:sz w:val="17"/>
          <w:szCs w:val="17"/>
          <w:color w:val="auto"/>
        </w:rPr>
        <w:t>. At all times prior to the Closing Date or the earlier termination of this Agreement in accordance with its terms, the Debtors and the Commitment Parties shall consult with each other prior to issuing any press releases (and provide each other a reasonable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2" w:name="page453"/>
    <w:bookmarkEnd w:id="452"/>
    <w:p>
      <w:pPr>
        <w:ind w:right="200"/>
        <w:spacing w:after="0" w:line="276" w:lineRule="auto"/>
        <w:rPr>
          <w:sz w:val="20"/>
          <w:szCs w:val="20"/>
          <w:color w:val="auto"/>
        </w:rPr>
      </w:pPr>
      <w:r>
        <w:rPr>
          <w:rFonts w:ascii="Arial" w:cs="Arial" w:eastAsia="Arial" w:hAnsi="Arial"/>
          <w:sz w:val="17"/>
          <w:szCs w:val="17"/>
          <w:color w:val="auto"/>
        </w:rPr>
        <w:t xml:space="preserve">opportunity to review and comment upon such release) or otherwise making public announcements with respect to the transactions contemplated by this Agreement, it being understood that nothing in this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shall prohibit any Party from filing any motions or other pleadings or documents with the Bankruptcy Court in connection with the Cases. Except as required by applicable Law or as ordered by the Bankruptcy Court or other court of competent jurisdiction, no Party or its advisors shall disclose to any Person (including, for the avoidance of doubt, any other Party) the Commitment Percentage of any Commitment Party set forth on the Commitment Schedule without such Commitment Party’s prior written consent.</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Settlement Discussions</w:t>
      </w:r>
      <w:r>
        <w:rPr>
          <w:rFonts w:ascii="Arial" w:cs="Arial" w:eastAsia="Arial" w:hAnsi="Arial"/>
          <w:sz w:val="18"/>
          <w:szCs w:val="18"/>
          <w:color w:val="auto"/>
        </w:rPr>
        <w:t>. This Agreement and the transactions contemplated herein are part of a proposed settlement of a dispute between the Parties. Nothing herein shall be deemed an admission of any kind. Pursuant to Section 408 of the U.S. Federal Rules of Evidence and any applicable state rules of evidence, this Agreement and all negotiations relating thereto shall not be admissible into evidence in any Legal Proceeding, except to the extent filed with, or disclosed to, the Bankruptcy Court in connection with the Cases (other than a Legal Proceeding to approve or enforce the terms of this Agreement).</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No Recourse</w:t>
      </w:r>
      <w:r>
        <w:rPr>
          <w:rFonts w:ascii="Arial" w:cs="Arial" w:eastAsia="Arial" w:hAnsi="Arial"/>
          <w:sz w:val="16"/>
          <w:szCs w:val="16"/>
          <w:color w:val="auto"/>
        </w:rPr>
        <w:t xml:space="preserve">. Notwithstanding anything that may be expressed or implied in this Agreement, and notwithstanding the fact that certain of the Parties may be partnerships or limited liability companies, each Party covenants, agrees and acknowledges that no recourse under this Agreement or any documents or instruments delivered in connection with this Agreement shall be had against any Party’s Affiliates, or any of such Party’s Affiliates’ or respective Related Parties in each case other than the Parties to this Agreement and each of their respective successors and permitted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under this Agreement or any documents or instruments delivered in connection herewith for any claim based on, in respect of or by reason of such obligations or liabilities or their creation;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shall relieve or otherwise limit the liability of any Party hereto, any Related Purchaser, or any of their respective successors or permitted assigns for any breach or violation of its obligations under this Agreement or such other documents or instruments. For the avoidance of doubt, prior to the Effective Date, none of the Parties will have any recourse, be entitled to commence any proceeding or make any claim under this Agreement or in connection with the transactions contemplated hereby except against any of the Parties, any Related Purchaser, or their respective successors and permitted assigns, as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3" w:name="page454"/>
    <w:bookmarkEnd w:id="453"/>
    <w:p>
      <w:pPr>
        <w:ind w:left="100"/>
        <w:spacing w:after="0"/>
        <w:rPr>
          <w:sz w:val="20"/>
          <w:szCs w:val="20"/>
          <w:color w:val="auto"/>
        </w:rPr>
      </w:pPr>
      <w:r>
        <w:rPr>
          <w:rFonts w:ascii="Arial" w:cs="Arial" w:eastAsia="Arial" w:hAnsi="Arial"/>
          <w:sz w:val="16"/>
          <w:szCs w:val="16"/>
          <w:color w:val="auto"/>
        </w:rPr>
        <w:t>IN WITNESS WHEREOF, the undersigned Parties have duly executed this Agreement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Muller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Valentin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Backstop Commitment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54" w:name="page455"/>
    <w:bookmarkEnd w:id="454"/>
    <w:p>
      <w:pPr>
        <w:ind w:left="4520"/>
        <w:spacing w:after="0"/>
        <w:rPr>
          <w:sz w:val="20"/>
          <w:szCs w:val="20"/>
          <w:color w:val="auto"/>
        </w:rPr>
      </w:pPr>
      <w:r>
        <w:rPr>
          <w:rFonts w:ascii="Arial" w:cs="Arial" w:eastAsia="Arial" w:hAnsi="Arial"/>
          <w:sz w:val="16"/>
          <w:szCs w:val="16"/>
          <w:color w:val="auto"/>
        </w:rPr>
        <w:t>[Commitment Parties Signatures]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Backstop Commitment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55" w:name="page456"/>
    <w:bookmarkEnd w:id="455"/>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Rights Offering Procedures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6" w:name="page457"/>
    <w:bookmarkEnd w:id="456"/>
    <w:p>
      <w:pPr>
        <w:jc w:val="center"/>
        <w:ind w:right="-59"/>
        <w:spacing w:after="0"/>
        <w:rPr>
          <w:sz w:val="20"/>
          <w:szCs w:val="20"/>
          <w:color w:val="auto"/>
        </w:rPr>
      </w:pPr>
      <w:r>
        <w:rPr>
          <w:rFonts w:ascii="Arial" w:cs="Arial" w:eastAsia="Arial" w:hAnsi="Arial"/>
          <w:sz w:val="18"/>
          <w:szCs w:val="18"/>
          <w:b w:val="1"/>
          <w:bCs w:val="1"/>
          <w:color w:val="auto"/>
        </w:rPr>
        <w:t>WEATHERFORD RIGHTS OFFERING PROCEDURES</w:t>
      </w:r>
    </w:p>
    <w:p>
      <w:pPr>
        <w:spacing w:after="0" w:line="225"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 xml:space="preserve">Pursuant to the </w:t>
      </w:r>
      <w:r>
        <w:rPr>
          <w:rFonts w:ascii="Arial" w:cs="Arial" w:eastAsia="Arial" w:hAnsi="Arial"/>
          <w:sz w:val="17"/>
          <w:szCs w:val="17"/>
          <w:b w:val="1"/>
          <w:bCs w:val="1"/>
          <w:i w:val="1"/>
          <w:iCs w:val="1"/>
          <w:color w:val="auto"/>
        </w:rPr>
        <w:t>Joint Prepackaged Plan of Reorganization for Weatherford International plc and Its Affiliate Debtors Under Chapter 11 of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Bankruptcy Code </w:t>
      </w:r>
      <w:r>
        <w:rPr>
          <w:rFonts w:ascii="Arial" w:cs="Arial" w:eastAsia="Arial" w:hAnsi="Arial"/>
          <w:sz w:val="17"/>
          <w:szCs w:val="17"/>
          <w:b w:val="1"/>
          <w:bCs w:val="1"/>
          <w:color w:val="auto"/>
        </w:rPr>
        <w:t>(as such plan of reorganization may be amended or modified from time to time, the “Plan”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of Weatherford International plc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its affiliated debtors (the “Debtors”), each Holder of an Allowed Prepetition Notes Claim</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is being granted a subscription right (each, a “Subscription Right”) to purchase its Pro Rata share of New Tranche A Senior Unsecured Notes (the “Offered Securities”) to be issued by Weatherford International, LLC and Weatherford International Ltd., each as reorganized pursuant to the Plan on the Effective Date (collectively, the “Companies”), pursuant to the Plan, as more fully described in these Rights Offering Procedures. The Allowed Prepetition Notes Claims are claims arising under or based upon the Prepetition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 of the Offered Securities is referred to as the “Rights Offering.”</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Offered Securities are being solicited and will be distributed and issued by the Debtors without registration under the Securities Act of 1933, as amended (the “Securities Act”), or any state or local law requiring registration for offer and sale of a security, in reliance upon the exemption provided in section 1145 of the Bankruptcy Code.</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None of the Subscription Rights distributed in connection with these Rights Offering Procedures have been or will be registered under the Securities Act, nor any state or local law requiring registration for offer and sale of a security. To exercise the Subscription Rights, the Holder of the underlying Prepetition Notes must electronically deliver such Prepetition Notes into an account maintained by Prime Clerk LLC, the Subscription Agent for the Rights Offering (the “Subscription Agent”) through the Automated Tender Offer Program (“ATOP”) of the Depository Trust Company (“DTC”), so that they are received by the Subscription Expiration Deadline (as defined below). The Subscription Rights will not be detachable or otherwise transferable separately from the underlying Prepetition Notes. Rather, the Subscription Rights, together with the underlying Prepetition Notes with respect to which such Subscription Rights were allocated, will trade together and will be evidenced by the underlying Prepetition Notes until the Subscription Expiration Deadline, subject to such limitations, if any, that would be applicable to the transferability of the underlying Prepetition Notes; </w:t>
      </w:r>
      <w:r>
        <w:rPr>
          <w:rFonts w:ascii="Arial" w:cs="Arial" w:eastAsia="Arial" w:hAnsi="Arial"/>
          <w:sz w:val="17"/>
          <w:szCs w:val="17"/>
          <w:b w:val="1"/>
          <w:bCs w:val="1"/>
          <w:i w:val="1"/>
          <w:iCs w:val="1"/>
          <w:color w:val="auto"/>
        </w:rPr>
        <w:t>provided</w:t>
      </w:r>
      <w:r>
        <w:rPr>
          <w:rFonts w:ascii="Arial" w:cs="Arial" w:eastAsia="Arial" w:hAnsi="Arial"/>
          <w:sz w:val="17"/>
          <w:szCs w:val="17"/>
          <w:b w:val="1"/>
          <w:bCs w:val="1"/>
          <w:color w:val="auto"/>
        </w:rPr>
        <w:t>, that following the exercise of any Subscription Rights, the Holder thereof shall be prohibited from selling, transferring, assigning, pledging, hypothecating, participating, donating or otherwise encumbering or disposing of, directly or indirectly (including through derivatives, options, swaps, forward sales or other transactions in which any person receives the right to own or acquire any current or future interest in the Subscription Rights, the Allowed Prepetition Notes Claims, the Offered Securities, or the New Tranche A Senior Unsecured Notes) (each of the above, a “Transfer”) the Prepetition Notes corresponding to such Subscription Rights until the termination of the Rights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0"/>
          <w:szCs w:val="20"/>
          <w:color w:val="auto"/>
        </w:rPr>
      </w:pPr>
    </w:p>
    <w:p>
      <w:pPr>
        <w:ind w:left="160" w:hanging="152"/>
        <w:spacing w:after="0"/>
        <w:tabs>
          <w:tab w:leader="none" w:pos="160" w:val="left"/>
        </w:tabs>
        <w:numPr>
          <w:ilvl w:val="0"/>
          <w:numId w:val="578"/>
        </w:numPr>
        <w:rPr>
          <w:rFonts w:ascii="Arial" w:cs="Arial" w:eastAsia="Arial" w:hAnsi="Arial"/>
          <w:sz w:val="23"/>
          <w:szCs w:val="23"/>
          <w:color w:val="auto"/>
          <w:vertAlign w:val="superscript"/>
        </w:rPr>
      </w:pPr>
      <w:r>
        <w:rPr>
          <w:rFonts w:ascii="Arial" w:cs="Arial" w:eastAsia="Arial" w:hAnsi="Arial"/>
          <w:sz w:val="18"/>
          <w:szCs w:val="18"/>
          <w:color w:val="auto"/>
        </w:rPr>
        <w:t>Capitalized terms used but not defined herein shall have the meanings assigned to them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57" w:name="page458"/>
    <w:bookmarkEnd w:id="457"/>
    <w:p>
      <w:pPr>
        <w:ind w:right="140"/>
        <w:spacing w:after="0" w:line="289" w:lineRule="auto"/>
        <w:rPr>
          <w:sz w:val="20"/>
          <w:szCs w:val="20"/>
          <w:color w:val="auto"/>
        </w:rPr>
      </w:pPr>
      <w:r>
        <w:rPr>
          <w:rFonts w:ascii="Arial" w:cs="Arial" w:eastAsia="Arial" w:hAnsi="Arial"/>
          <w:sz w:val="17"/>
          <w:szCs w:val="17"/>
          <w:b w:val="1"/>
          <w:bCs w:val="1"/>
          <w:color w:val="auto"/>
        </w:rPr>
        <w:t xml:space="preserve">Resale restrictions are discussed in more detail in Section IX of the </w:t>
      </w:r>
      <w:r>
        <w:rPr>
          <w:rFonts w:ascii="Arial" w:cs="Arial" w:eastAsia="Arial" w:hAnsi="Arial"/>
          <w:sz w:val="17"/>
          <w:szCs w:val="17"/>
          <w:b w:val="1"/>
          <w:bCs w:val="1"/>
          <w:i w:val="1"/>
          <w:iCs w:val="1"/>
          <w:color w:val="auto"/>
        </w:rPr>
        <w:t>Disclosure Statement for Joint Prepackaged Plan of Reorganization for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Weatherford International plc and Its Affiliate Debtors Under Chapter 11 of the Bankruptcy Code </w:t>
      </w:r>
      <w:r>
        <w:rPr>
          <w:rFonts w:ascii="Arial" w:cs="Arial" w:eastAsia="Arial" w:hAnsi="Arial"/>
          <w:sz w:val="17"/>
          <w:szCs w:val="17"/>
          <w:b w:val="1"/>
          <w:bCs w:val="1"/>
          <w:color w:val="auto"/>
        </w:rPr>
        <w:t>(as such disclosure statement may be amended from</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time to time, the “Disclosure Statement</w:t>
      </w:r>
      <w:r>
        <w:rPr>
          <w:rFonts w:ascii="Arial" w:cs="Arial" w:eastAsia="Arial" w:hAnsi="Arial"/>
          <w:sz w:val="17"/>
          <w:szCs w:val="17"/>
          <w:color w:val="auto"/>
        </w:rPr>
        <w:t>”)</w:t>
      </w:r>
      <w:r>
        <w:rPr>
          <w:rFonts w:ascii="Arial" w:cs="Arial" w:eastAsia="Arial" w:hAnsi="Arial"/>
          <w:sz w:val="17"/>
          <w:szCs w:val="17"/>
          <w:b w:val="1"/>
          <w:bCs w:val="1"/>
          <w:color w:val="auto"/>
        </w:rPr>
        <w:t>, entitled “Exemptions from Securities Act Registration.”</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The Rights Offering is being conducted by the Companies in good faith and in compliance with the Bankruptcy Code. In accordance with section 1125(e) of the Bankruptcy Code, a debtor or any of its agents that participate, in good faith and in compliance with the applicable provisions of the Bankruptcy Code, in the offer, issuance, sale, or purchase of a security, offered or sold under the plan of the debtor, of an affiliate participating in a joint plan with the debtor, or of a newly organized debtor under the plan, is not liable, on account of such participation, for violation of any applicable law, rule, or regulation governing the offer, issuance, sale or purchase of securities.</w:t>
      </w:r>
    </w:p>
    <w:p>
      <w:pPr>
        <w:spacing w:after="0" w:line="168"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The Rights Offering is not being made into any jurisdiction outside the United States of America and the European Economic Area where it is, or would be, either (i) unlawful or illegal to do so or (ii) such Rights Offering cannot be made unless a prospectus is issued or published (“Restricted Jurisdiction”).</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This document is not a prospectus within the meaning of the EU Prospectus Directive (Directive 2003/71/EC), as amended, the EU Prospectus Regulation (Regulation (EU) 2017/1129) or any implementing legislation or rules relating thereto of any member state of the European Economic Area, or elsewhere. This document has not been approved or reviewed by any competent authority or any regulatory authority of any member state of the European Economic Area. No offer of securities to the public is made or will be made, in any Member State of the European Economic Area or in, or to, any other jurisdiction that requires the publication of a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Noteholders and Nominees of Noteholders (each as defined below) should note the following dates and times relating to the Rights Offering: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840" w:type="dxa"/>
            <w:vAlign w:val="bottom"/>
          </w:tcPr>
          <w:p>
            <w:pPr>
              <w:ind w:left="960"/>
              <w:spacing w:after="0"/>
              <w:rPr>
                <w:sz w:val="20"/>
                <w:szCs w:val="20"/>
                <w:color w:val="auto"/>
              </w:rPr>
            </w:pPr>
            <w:r>
              <w:rPr>
                <w:rFonts w:ascii="Arial" w:cs="Arial" w:eastAsia="Arial" w:hAnsi="Arial"/>
                <w:sz w:val="14"/>
                <w:szCs w:val="14"/>
                <w:b w:val="1"/>
                <w:bCs w:val="1"/>
                <w:color w:val="auto"/>
              </w:rPr>
              <w:t>Calendar Date</w:t>
            </w:r>
          </w:p>
        </w:tc>
        <w:tc>
          <w:tcPr>
            <w:tcW w:w="280" w:type="dxa"/>
            <w:vAlign w:val="bottom"/>
          </w:tcPr>
          <w:p>
            <w:pPr>
              <w:spacing w:after="0"/>
              <w:rPr>
                <w:sz w:val="14"/>
                <w:szCs w:val="14"/>
                <w:color w:val="auto"/>
              </w:rPr>
            </w:pPr>
          </w:p>
        </w:tc>
        <w:tc>
          <w:tcPr>
            <w:tcW w:w="5320" w:type="dxa"/>
            <w:vAlign w:val="bottom"/>
          </w:tcPr>
          <w:p>
            <w:pPr>
              <w:ind w:left="2480"/>
              <w:spacing w:after="0"/>
              <w:rPr>
                <w:sz w:val="20"/>
                <w:szCs w:val="20"/>
                <w:color w:val="auto"/>
              </w:rPr>
            </w:pPr>
            <w:r>
              <w:rPr>
                <w:rFonts w:ascii="Arial" w:cs="Arial" w:eastAsia="Arial" w:hAnsi="Arial"/>
                <w:sz w:val="14"/>
                <w:szCs w:val="14"/>
                <w:b w:val="1"/>
                <w:bCs w:val="1"/>
                <w:color w:val="auto"/>
              </w:rPr>
              <w:t>Event</w:t>
            </w: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Subscription Commencement Date</w:t>
            </w:r>
          </w:p>
        </w:tc>
        <w:tc>
          <w:tcPr>
            <w:tcW w:w="2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 2019</w:t>
            </w:r>
          </w:p>
        </w:tc>
        <w:tc>
          <w:tcPr>
            <w:tcW w:w="28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Commencement of the Rights Offering.</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Subscription Expiration Deadline</w:t>
            </w:r>
          </w:p>
        </w:tc>
        <w:tc>
          <w:tcPr>
            <w:tcW w:w="2840" w:type="dxa"/>
            <w:vAlign w:val="bottom"/>
          </w:tcPr>
          <w:p>
            <w:pPr>
              <w:spacing w:after="0"/>
              <w:rPr>
                <w:sz w:val="20"/>
                <w:szCs w:val="20"/>
                <w:color w:val="auto"/>
              </w:rPr>
            </w:pPr>
            <w:r>
              <w:rPr>
                <w:rFonts w:ascii="Arial" w:cs="Arial" w:eastAsia="Arial" w:hAnsi="Arial"/>
                <w:sz w:val="18"/>
                <w:szCs w:val="18"/>
                <w:color w:val="auto"/>
                <w:w w:val="91"/>
              </w:rPr>
              <w:t>5:00 p.m. (Prevailing Eastern Time) on</w:t>
            </w: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w w:val="93"/>
              </w:rPr>
              <w:t>The deadline for Noteholders to subscribe for Offered Securities. On or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 · ], 2019</w:t>
            </w: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w w:val="94"/>
              </w:rPr>
              <w:t>before the Subscription Expiration Deadline, (i) the Subscription Agent</w:t>
            </w:r>
          </w:p>
        </w:tc>
      </w:tr>
      <w:tr>
        <w:trPr>
          <w:trHeight w:val="230"/>
        </w:trPr>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w w:val="97"/>
              </w:rPr>
              <w:t>must receive a Noteholder’s duly completed and executed Beneficial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22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Holder Subscription Form (with accompanying IRS Form W-9 or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appropriate IRS Form W-8, as applicable), and (ii) the bank, broker, or</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other financial institution holding the Prepetition Notes in “street name”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for the Noteholder at DTC (each, a “Nominee”) must deliver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Prepetition Notes into the appropriate “envelope” on DTC’s ATOP</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platform.. Prepetition Notes delivered into ATOP will be frozen and may</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not thereafter be transferred.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8" w:name="page459"/>
    <w:bookmarkEnd w:id="458"/>
    <w:p>
      <w:pPr>
        <w:ind w:left="6100"/>
        <w:spacing w:after="0"/>
        <w:rPr>
          <w:sz w:val="20"/>
          <w:szCs w:val="20"/>
          <w:color w:val="auto"/>
        </w:rPr>
      </w:pPr>
      <w:r>
        <w:rPr>
          <w:rFonts w:ascii="Arial" w:cs="Arial" w:eastAsia="Arial" w:hAnsi="Arial"/>
          <w:sz w:val="17"/>
          <w:szCs w:val="17"/>
          <w:color w:val="auto"/>
        </w:rPr>
        <w:t>Noteholders who are not Backstop Parties must deliver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2350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Price (as defined below) by the Subscription Expiration Deadline.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All Noteholders must confirm that they are not located in a Restricted</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Jurisdiction. Noteholders who are located in the European Economic</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Area must confirm that they are “qualified investors”.</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Noteholders who are Backstop Parties must deliver the Purchase Price no</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later than the Backstop Funding Deadline (as defined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Noteholders and Nominees of Noteholders: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June 28, 2019, the Debtors filed the Plan and the Disclosure Statement. Pursuant to the Plan, each Holder of an Allowed Prepetition Notes Claim from the Subscription Commencement Date to the Subscription Expiration Deadline (each such Holder, a “</w:t>
      </w:r>
      <w:r>
        <w:rPr>
          <w:rFonts w:ascii="Arial" w:cs="Arial" w:eastAsia="Arial" w:hAnsi="Arial"/>
          <w:sz w:val="17"/>
          <w:szCs w:val="17"/>
          <w:b w:val="1"/>
          <w:bCs w:val="1"/>
          <w:color w:val="auto"/>
        </w:rPr>
        <w:t>Noteholder</w:t>
      </w:r>
      <w:r>
        <w:rPr>
          <w:rFonts w:ascii="Arial" w:cs="Arial" w:eastAsia="Arial" w:hAnsi="Arial"/>
          <w:sz w:val="17"/>
          <w:szCs w:val="17"/>
          <w:color w:val="auto"/>
        </w:rPr>
        <w:t>”) has the right to participate in the Rights Offering in accordance with the terms and conditions of the Plan and these Rights Offering Procedures.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Pursuant to the Plan and these Rights Offering Procedures, each Noteholder will be allocated Subscription Rights to subscribe for its Pro Rata share of Offered Securities, and may irrevocably exercise such Subscription Rights by (x) timely and properly executing and delivering its Beneficial Holder Subscription Form (with accompanying IRS Form W-9 or appropriate IRS Form W-8, as applicable), the form of which is attached to these Rights Offering Procedures as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(the “</w:t>
      </w:r>
      <w:r>
        <w:rPr>
          <w:rFonts w:ascii="Arial" w:cs="Arial" w:eastAsia="Arial" w:hAnsi="Arial"/>
          <w:sz w:val="17"/>
          <w:szCs w:val="17"/>
          <w:b w:val="1"/>
          <w:bCs w:val="1"/>
          <w:color w:val="auto"/>
        </w:rPr>
        <w:t>Beneficial Holder Subscription Form</w:t>
      </w:r>
      <w:r>
        <w:rPr>
          <w:rFonts w:ascii="Arial" w:cs="Arial" w:eastAsia="Arial" w:hAnsi="Arial"/>
          <w:sz w:val="17"/>
          <w:szCs w:val="17"/>
          <w:color w:val="auto"/>
        </w:rPr>
        <w:t>”) to the Subscription Agent, (y) having its Prepetition Notes delivered into the appropriate “envelope” on DTC’s ATOP platform, and (z) funding in cash the aggregate purchase price (the “</w:t>
      </w:r>
      <w:r>
        <w:rPr>
          <w:rFonts w:ascii="Arial" w:cs="Arial" w:eastAsia="Arial" w:hAnsi="Arial"/>
          <w:sz w:val="17"/>
          <w:szCs w:val="17"/>
          <w:b w:val="1"/>
          <w:bCs w:val="1"/>
          <w:color w:val="auto"/>
        </w:rPr>
        <w:t>Purchase Price</w:t>
      </w:r>
      <w:r>
        <w:rPr>
          <w:rFonts w:ascii="Arial" w:cs="Arial" w:eastAsia="Arial" w:hAnsi="Arial"/>
          <w:sz w:val="17"/>
          <w:szCs w:val="17"/>
          <w:color w:val="auto"/>
        </w:rPr>
        <w:t>”) for its Subscribed Securities (as defined below) in accordance with the instructions provided herein. Please note that all Beneficial Holder Subscription Forms (with accompanying IRS Form W-9 or appropriate IRS Form W-8, as applicable) must be returned to the Subscription Agent prior to the Subscription Expiration Deadline. In addition, Beneficial Holders must direct their Nominees to submit the necessary instructions into ATOP and receive the corresponding ATOP confirmation number (also known as a “voluntary offering instruction” or “VOI”) on or before the Subscription Expiration Deadline. Therefore, Beneficial Holders should allocate sufficient time to coordinate with their Nominee on the submission of the appropriate instructions into ATOP and the delivery of Beneficial Holder Subscription Forms (with accompanying IRS Forms) to the Subscription Agent.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Noteholders who are located in the European Economic Area must confirm that they are “qualified investors” within the meaning of Article 2</w:t>
      </w:r>
    </w:p>
    <w:p>
      <w:pPr>
        <w:spacing w:after="0" w:line="35" w:lineRule="exact"/>
        <w:rPr>
          <w:sz w:val="20"/>
          <w:szCs w:val="20"/>
          <w:color w:val="auto"/>
        </w:rPr>
      </w:pPr>
    </w:p>
    <w:p>
      <w:pPr>
        <w:jc w:val="both"/>
        <w:ind w:right="120" w:firstLine="8"/>
        <w:spacing w:after="0" w:line="302" w:lineRule="auto"/>
        <w:tabs>
          <w:tab w:leader="none" w:pos="255" w:val="left"/>
        </w:tabs>
        <w:numPr>
          <w:ilvl w:val="0"/>
          <w:numId w:val="579"/>
        </w:numPr>
        <w:rPr>
          <w:rFonts w:ascii="Arial" w:cs="Arial" w:eastAsia="Arial" w:hAnsi="Arial"/>
          <w:sz w:val="16"/>
          <w:szCs w:val="16"/>
          <w:color w:val="auto"/>
        </w:rPr>
      </w:pPr>
      <w:r>
        <w:rPr>
          <w:rFonts w:ascii="Arial" w:cs="Arial" w:eastAsia="Arial" w:hAnsi="Arial"/>
          <w:sz w:val="16"/>
          <w:szCs w:val="16"/>
          <w:color w:val="auto"/>
        </w:rPr>
        <w:t>(e) of the EU Prospectus Directive (Directive 2003/71/EC), as amended and Article 2 (e) of the EU Prospectus Regulation (Regulation (EU) 2017/1129). Otherwise such Noteholders will not be entitled to participate in the Rights Offering unless the issuer is satisfied that there would be no obligation on its part to publish or issue a prospectus. Noteholders located in a Restricted Jurisdiction will not be entitled to participate in the Rights Offering.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9" w:name="page460"/>
    <w:bookmarkEnd w:id="459"/>
    <w:p>
      <w:pPr>
        <w:ind w:right="20" w:firstLine="648"/>
        <w:spacing w:after="0" w:line="270" w:lineRule="auto"/>
        <w:rPr>
          <w:sz w:val="20"/>
          <w:szCs w:val="20"/>
          <w:color w:val="auto"/>
        </w:rPr>
      </w:pPr>
      <w:r>
        <w:rPr>
          <w:rFonts w:ascii="Arial" w:cs="Arial" w:eastAsia="Arial" w:hAnsi="Arial"/>
          <w:sz w:val="17"/>
          <w:szCs w:val="17"/>
          <w:b w:val="1"/>
          <w:bCs w:val="1"/>
          <w:color w:val="auto"/>
        </w:rPr>
        <w:t>As part of the exercise process, following exercise of Subscription Rights, the underlying Prepetition Notes held through DTC will be frozen from trading, as described below</w:t>
      </w:r>
      <w:r>
        <w:rPr>
          <w:rFonts w:ascii="Arial" w:cs="Arial" w:eastAsia="Arial" w:hAnsi="Arial"/>
          <w:sz w:val="17"/>
          <w:szCs w:val="17"/>
          <w:color w:val="auto"/>
        </w:rPr>
        <w:t>. All Beneficial Holder Subscription Forms and/or other instructions required by the Nominee must be returned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Nominee in sufficient time to allow such Nominee to process and deliver the applicable underlying Prepetition Notes through ATOP. By instructing its Nominee to submit the underlying Prepetition Notes through ATOP, the Holder is (i) authorizing its Nominee to irrevocably exercise Subscription Rights associated with the amount of Prepetition Notes as to which the instruction pertains; and (ii) certifying that it understands that, once submitted, the underlying Prepetition Notes will be frozen from trading until the Effective Date or the termination of the Rights Offering. Beneficial Holders that participate in the Rights Offering shall be prohibited from transferring the underlying Prepetition Notes, and the Prepetition Notes Indenture Trustee shall be prohibited from effectuating any such requested transfers. If the Rights Offering is not terminated, on the Effective Date (a) the underlying Prepetition Notes will be cancelled pursuant to the Plan; (b) the Holder will receive any Subscribed Securities (as defined below) and (c) the Holder will additionally receive other recoveries distributed to its applicable Class(es) pursuant to the Plan.</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 Noteholder holds Prepetition Notes underlying the Subscription Rights that it wishes to exercise through multiple Nominees, it must complete, execute and deliver a separate Beneficial Holder Subscription Form with respect to each such Nominee.</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amount of time necessary for a Nominee to process and deliver the applicable Prepetition Notes through ATOP may vary. Holders are urged to consult with their Nominees to determine the necessary deadline to return their Beneficial Holder Subscription Forms to their Nominee, which may be earlier than the Subscription Expiration Deadline, as well as any other steps required by such Nominee, which may vary from Nominee to Nominee. Failure to submit such Beneficial Holder Subscription Form (or other instructions required by the Nominee) on a timely basis will result in forfeiture of a Noteholder’s Subscription Rights. None of the Debtors, the Subscription Agent or any of the Backstop Parties will have any liability for any such failure.</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 Noteholder shall be entitled to participate in the Rights Offering unless cash in an amount equal to the Purchase Price of its Subscribed Securities, calculated in accordance with its Beneficial Holder Subscription Form, is received by the Subscription Agent (i) in the case of a Noteholder that is not a Backstop Party, on or before the Subscription Expiration Deadline and (ii) in the case of a Noteholder that is a Backstop Party, no later than the Backstop Funding Deadline, provided that the Backstop Parties may deposit their Purchase Price in the Escrow Account (as defined in the Backstop Commitment Agreement), in accordance with the terms of the Backstop Commitment Agreement. If the Rights Offering is terminated for any reason, the Purchase Price previously received by the Subscription Agent will be returned to the applicable Noteholders as provided in Section 7 hereof and the deposited Prepetition Notes will be released by the Subscription Agent. No interest will be paid on any advanced funding of the Purchase Price or on any returned Purchase Price.</w:t>
      </w:r>
    </w:p>
    <w:p>
      <w:pPr>
        <w:spacing w:after="0" w:line="19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Before electing to participate in the Rights Offering, all Noteholders should review the Disclosure Statement (including the risk factors described in the section entitled “Plan-Related Risk Factors”) and the Plan, and, in each case, any amendments, supplements or other modifications thereto, in addition to these Rights Offering Procedures and the instructions contained in the Beneficial Holder Subscription Form. A copy of the Disclosure Statement 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0" w:name="page461"/>
    <w:bookmarkEnd w:id="460"/>
    <w:p>
      <w:pPr>
        <w:spacing w:after="0"/>
        <w:rPr>
          <w:sz w:val="20"/>
          <w:szCs w:val="20"/>
          <w:color w:val="auto"/>
        </w:rPr>
      </w:pPr>
      <w:r>
        <w:rPr>
          <w:rFonts w:ascii="Arial" w:cs="Arial" w:eastAsia="Arial" w:hAnsi="Arial"/>
          <w:sz w:val="18"/>
          <w:szCs w:val="18"/>
          <w:color w:val="auto"/>
        </w:rPr>
        <w:t>available from the Subscription Agent and on the Debtors’ restructuring website at http://www.primeclerk.com/Weatherford.</w:t>
      </w:r>
    </w:p>
    <w:p>
      <w:pPr>
        <w:spacing w:after="0" w:line="221"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In order to participate in the Rights Offering, you must complete all the steps outlined below. If all of the steps outlined below are not completed by the Subscription Expiration Deadline, you shall be deemed to have forever and irrevocably relinquished and waived your right to participate in the Rights Offering.</w:t>
      </w:r>
    </w:p>
    <w:p>
      <w:pPr>
        <w:spacing w:after="0" w:line="176" w:lineRule="exact"/>
        <w:rPr>
          <w:sz w:val="20"/>
          <w:szCs w:val="20"/>
          <w:color w:val="auto"/>
        </w:rPr>
      </w:pPr>
    </w:p>
    <w:p>
      <w:pPr>
        <w:ind w:left="660" w:hanging="652"/>
        <w:spacing w:after="0"/>
        <w:tabs>
          <w:tab w:leader="none" w:pos="660"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Rights Offering</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Noteholders have the right, but not the obligation, to participate in the Rights Offering.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Subject to the terms and conditions set forth in the Plan and these Rights Offering Procedures, each Noteholder is entitled to subscribe for up to its Pro Rata share of Offered Securities at the Purchase Price.</w:t>
      </w:r>
    </w:p>
    <w:p>
      <w:pPr>
        <w:spacing w:after="0" w:line="166" w:lineRule="exact"/>
        <w:rPr>
          <w:sz w:val="20"/>
          <w:szCs w:val="20"/>
          <w:color w:val="auto"/>
        </w:rPr>
      </w:pPr>
    </w:p>
    <w:p>
      <w:pPr>
        <w:ind w:right="1020" w:firstLine="648"/>
        <w:spacing w:after="0" w:line="282" w:lineRule="auto"/>
        <w:rPr>
          <w:sz w:val="20"/>
          <w:szCs w:val="20"/>
          <w:color w:val="auto"/>
        </w:rPr>
      </w:pPr>
      <w:r>
        <w:rPr>
          <w:rFonts w:ascii="Arial" w:cs="Arial" w:eastAsia="Arial" w:hAnsi="Arial"/>
          <w:sz w:val="18"/>
          <w:szCs w:val="18"/>
          <w:b w:val="1"/>
          <w:bCs w:val="1"/>
          <w:color w:val="auto"/>
        </w:rPr>
        <w:t>SUBJECT TO THE TERMS AND CONDITIONS OF THE PLAN AND THESE RIGHTS OFFERING PROCEDURES, ALL SUBSCRIPTIONS SET FORTH IN THE BENEFICIAL HOLDER SUBSCRIPTION FORM ARE IRREVOCABLE.</w:t>
      </w:r>
    </w:p>
    <w:p>
      <w:pPr>
        <w:spacing w:after="0" w:line="162" w:lineRule="exact"/>
        <w:rPr>
          <w:sz w:val="20"/>
          <w:szCs w:val="20"/>
          <w:color w:val="auto"/>
        </w:rPr>
      </w:pPr>
    </w:p>
    <w:p>
      <w:pPr>
        <w:ind w:left="660" w:hanging="652"/>
        <w:spacing w:after="0"/>
        <w:tabs>
          <w:tab w:leader="none" w:pos="660"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Period</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Rights Offering will commence on the Subscription Commencement Date and will expire on the Subscription Expiration Deadline. Each Noteholder intending to purchase Offered Securities in the Rights Offering must affirmatively elect to exercise its Subscription Rights in the manner set forth in the Rights Offering Instructions (consistent herewith, including as described in Section 5 hereof) on or prior to the Subscription Expiration Deadline and must pay for any exercised Subscription Rights by the applicable deadline.</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exercise (including payment by any Noteholder that is not a Backstop Party) of Subscription Rights after the Subscription Expiration Deadline will not be allowed and any purported exercise received by the Subscription Agent after the Subscription Expiration Deadline, regardless of when the documents or payment relating to such exercise were sent, will not be honored.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Subscription Expiration Deadline may be extended by the Debtors with the consent of the Required Consenting Noteholders or as required by law. Any such extension will be followed by a public announcement thereof no later than 9:00 a.m. (Prevailing Eastern Time) on the next Business Day after the previously scheduled Subscription Expiration Deadline.</w:t>
      </w:r>
    </w:p>
    <w:p>
      <w:pPr>
        <w:spacing w:after="0" w:line="177" w:lineRule="exact"/>
        <w:rPr>
          <w:sz w:val="20"/>
          <w:szCs w:val="20"/>
          <w:color w:val="auto"/>
        </w:rPr>
      </w:pPr>
    </w:p>
    <w:p>
      <w:pPr>
        <w:ind w:left="660" w:hanging="652"/>
        <w:spacing w:after="0"/>
        <w:tabs>
          <w:tab w:leader="none" w:pos="660"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the Beneficial Holder Subscription Form</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Each Noteholder may exercise all or any portion of such Noteholder’s Subscription Rights, but subject to the terms and conditions of the Plan and these Rights Offering Procedures, the exercise of any Subscription Rights will be irrevocable. In order to facilitate the exercise of the Subscription Rights, beginning on the Subscription Commencement Date, the Subscription Agent will furnish, or cause to be furnished, to each Noteholder or its Nominee, as applicable, the Beneficial Holder Subscription Form, together with appropriate instructions for the proper completion and due execution by, and timely delivery by or on behalf of, the Noteholder of the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61" w:name="page462"/>
    <w:bookmarkEnd w:id="461"/>
    <w:p>
      <w:pPr>
        <w:spacing w:after="0" w:line="255" w:lineRule="auto"/>
        <w:rPr>
          <w:sz w:val="20"/>
          <w:szCs w:val="20"/>
          <w:color w:val="auto"/>
        </w:rPr>
      </w:pPr>
      <w:r>
        <w:rPr>
          <w:rFonts w:ascii="Arial" w:cs="Arial" w:eastAsia="Arial" w:hAnsi="Arial"/>
          <w:sz w:val="18"/>
          <w:szCs w:val="18"/>
          <w:color w:val="auto"/>
        </w:rPr>
        <w:t>Beneficial Holder Subscription Form and the payment of the Purchase Price for that amount of Offered Securities set forth in Item 2 of such Noteholder’s Beneficial Holder Subscription Form (the “</w:t>
      </w:r>
      <w:r>
        <w:rPr>
          <w:rFonts w:ascii="Arial" w:cs="Arial" w:eastAsia="Arial" w:hAnsi="Arial"/>
          <w:sz w:val="18"/>
          <w:szCs w:val="18"/>
          <w:b w:val="1"/>
          <w:bCs w:val="1"/>
          <w:color w:val="auto"/>
        </w:rPr>
        <w:t>Subscribed Securities</w:t>
      </w:r>
      <w:r>
        <w:rPr>
          <w:rFonts w:ascii="Arial" w:cs="Arial" w:eastAsia="Arial" w:hAnsi="Arial"/>
          <w:sz w:val="18"/>
          <w:szCs w:val="18"/>
          <w:color w:val="auto"/>
        </w:rPr>
        <w:t>”). To effectuate delivery of the aforementioned documents, the Subscription Agent is authorized to rely on (i) information or registers provided by the Prepetition Notes Indenture Trustee and (ii) securities position reports requested and obtained from DTC for purposes of distribution. In addition, appropriate service of the aforementioned documents will be deemed completed by the Subscription Agent upon delivery of such documents to DTC and the applicable Nominees (or such Nominees’ agents); provided, however, that the Subscription Agent will instruct such Nominees (or their agents) to immediately distribute such documents to the underlying Noteholders in accordance with their customary procedures.</w:t>
      </w:r>
    </w:p>
    <w:p>
      <w:pPr>
        <w:spacing w:after="0" w:line="185" w:lineRule="exact"/>
        <w:rPr>
          <w:sz w:val="20"/>
          <w:szCs w:val="20"/>
          <w:color w:val="auto"/>
        </w:rPr>
      </w:pPr>
    </w:p>
    <w:p>
      <w:pPr>
        <w:ind w:left="660" w:hanging="652"/>
        <w:spacing w:after="0"/>
        <w:tabs>
          <w:tab w:leader="none" w:pos="66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Subscription Rights</w:t>
      </w:r>
    </w:p>
    <w:p>
      <w:pPr>
        <w:spacing w:after="0" w:line="229" w:lineRule="exact"/>
        <w:rPr>
          <w:rFonts w:ascii="Arial" w:cs="Arial" w:eastAsia="Arial" w:hAnsi="Arial"/>
          <w:sz w:val="18"/>
          <w:szCs w:val="18"/>
          <w:b w:val="1"/>
          <w:bCs w:val="1"/>
          <w:color w:val="auto"/>
        </w:rPr>
      </w:pPr>
    </w:p>
    <w:p>
      <w:pPr>
        <w:ind w:left="1300" w:hanging="806"/>
        <w:spacing w:after="0"/>
        <w:tabs>
          <w:tab w:leader="none" w:pos="130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In order to validly exercise Subscription Rights, each Noteholder that is not a Backstop Party must:</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21" w:val="left"/>
        </w:tabs>
        <w:numPr>
          <w:ilvl w:val="2"/>
          <w:numId w:val="583"/>
        </w:numPr>
        <w:rPr>
          <w:rFonts w:ascii="Arial" w:cs="Arial" w:eastAsia="Arial" w:hAnsi="Arial"/>
          <w:sz w:val="18"/>
          <w:szCs w:val="18"/>
          <w:color w:val="auto"/>
        </w:rPr>
      </w:pPr>
      <w:r>
        <w:rPr>
          <w:rFonts w:ascii="Arial" w:cs="Arial" w:eastAsia="Arial" w:hAnsi="Arial"/>
          <w:sz w:val="18"/>
          <w:szCs w:val="18"/>
          <w:color w:val="auto"/>
        </w:rPr>
        <w:t>instruct its Nominees to electronically deliver the Prepetition Notes underlying the Subscription Rights that are being exercised through ATOP such that they are received by the Subscription Expiration Deadline;</w:t>
      </w:r>
    </w:p>
    <w:p>
      <w:pPr>
        <w:spacing w:after="0" w:line="170" w:lineRule="exact"/>
        <w:rPr>
          <w:rFonts w:ascii="Arial" w:cs="Arial" w:eastAsia="Arial" w:hAnsi="Arial"/>
          <w:sz w:val="18"/>
          <w:szCs w:val="18"/>
          <w:color w:val="auto"/>
        </w:rPr>
      </w:pPr>
    </w:p>
    <w:p>
      <w:pPr>
        <w:ind w:left="1300" w:right="520" w:hanging="644"/>
        <w:spacing w:after="0" w:line="286" w:lineRule="auto"/>
        <w:tabs>
          <w:tab w:leader="none" w:pos="1331" w:val="left"/>
        </w:tabs>
        <w:numPr>
          <w:ilvl w:val="2"/>
          <w:numId w:val="583"/>
        </w:numPr>
        <w:rPr>
          <w:rFonts w:ascii="Arial" w:cs="Arial" w:eastAsia="Arial" w:hAnsi="Arial"/>
          <w:sz w:val="17"/>
          <w:szCs w:val="17"/>
          <w:color w:val="auto"/>
        </w:rPr>
      </w:pPr>
      <w:r>
        <w:rPr>
          <w:rFonts w:ascii="Arial" w:cs="Arial" w:eastAsia="Arial" w:hAnsi="Arial"/>
          <w:sz w:val="17"/>
          <w:szCs w:val="17"/>
          <w:color w:val="auto"/>
        </w:rPr>
        <w:t>return a duly completed and executed Beneficial Holder Subscription Form (with accompanying IRS Form W-9 or appropriate IRS Form W-8, as applicable) to the Subscription Agent (or its Nominee if otherwise directed by its Nominee) so that such documents are actually received by the Subscription Agent on or before the Subscription Expiration Deadline; and</w:t>
      </w:r>
    </w:p>
    <w:p>
      <w:pPr>
        <w:spacing w:after="0" w:line="165" w:lineRule="exact"/>
        <w:rPr>
          <w:rFonts w:ascii="Arial" w:cs="Arial" w:eastAsia="Arial" w:hAnsi="Arial"/>
          <w:sz w:val="17"/>
          <w:szCs w:val="17"/>
          <w:color w:val="auto"/>
        </w:rPr>
      </w:pPr>
    </w:p>
    <w:p>
      <w:pPr>
        <w:jc w:val="both"/>
        <w:ind w:left="1300" w:right="140" w:hanging="644"/>
        <w:spacing w:after="0" w:line="342" w:lineRule="auto"/>
        <w:tabs>
          <w:tab w:leader="none" w:pos="1340" w:val="left"/>
        </w:tabs>
        <w:numPr>
          <w:ilvl w:val="2"/>
          <w:numId w:val="583"/>
        </w:numPr>
        <w:rPr>
          <w:rFonts w:ascii="Arial" w:cs="Arial" w:eastAsia="Arial" w:hAnsi="Arial"/>
          <w:sz w:val="16"/>
          <w:szCs w:val="16"/>
          <w:color w:val="auto"/>
        </w:rPr>
      </w:pPr>
      <w:r>
        <w:rPr>
          <w:rFonts w:ascii="Arial" w:cs="Arial" w:eastAsia="Arial" w:hAnsi="Arial"/>
          <w:sz w:val="16"/>
          <w:szCs w:val="16"/>
          <w:color w:val="auto"/>
        </w:rPr>
        <w:t>no later than the Subscription Expiration Deadline, pay the Purchase Price for all Subscribed Securities to the Subscription Agent by wire transfer of immediately available funds in accordance with the instructions included in Item 4 of the Beneficial Holder Subscription Form.</w:t>
      </w:r>
    </w:p>
    <w:p>
      <w:pPr>
        <w:spacing w:after="0" w:line="123" w:lineRule="exact"/>
        <w:rPr>
          <w:rFonts w:ascii="Arial" w:cs="Arial" w:eastAsia="Arial" w:hAnsi="Arial"/>
          <w:sz w:val="16"/>
          <w:szCs w:val="16"/>
          <w:color w:val="auto"/>
        </w:rPr>
      </w:pPr>
    </w:p>
    <w:p>
      <w:pPr>
        <w:ind w:left="1320" w:hanging="826"/>
        <w:spacing w:after="0"/>
        <w:tabs>
          <w:tab w:leader="none" w:pos="132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In order to validly exercise Subscription Rights, each Noteholder that is a Backstop Party must:</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21" w:val="left"/>
        </w:tabs>
        <w:numPr>
          <w:ilvl w:val="2"/>
          <w:numId w:val="583"/>
        </w:numPr>
        <w:rPr>
          <w:rFonts w:ascii="Arial" w:cs="Arial" w:eastAsia="Arial" w:hAnsi="Arial"/>
          <w:sz w:val="18"/>
          <w:szCs w:val="18"/>
          <w:color w:val="auto"/>
        </w:rPr>
      </w:pPr>
      <w:r>
        <w:rPr>
          <w:rFonts w:ascii="Arial" w:cs="Arial" w:eastAsia="Arial" w:hAnsi="Arial"/>
          <w:sz w:val="18"/>
          <w:szCs w:val="18"/>
          <w:color w:val="auto"/>
        </w:rPr>
        <w:t>instruct its Nominees to electronically deliver the Prepetition Notes underlying the Subscription Rights that are being exercised through ATOP, such that they are received by the Subscription Expiration Deadline;</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2"/>
          <w:numId w:val="583"/>
        </w:numPr>
        <w:rPr>
          <w:rFonts w:ascii="Arial" w:cs="Arial" w:eastAsia="Arial" w:hAnsi="Arial"/>
          <w:sz w:val="17"/>
          <w:szCs w:val="17"/>
          <w:color w:val="auto"/>
        </w:rPr>
      </w:pPr>
      <w:r>
        <w:rPr>
          <w:rFonts w:ascii="Arial" w:cs="Arial" w:eastAsia="Arial" w:hAnsi="Arial"/>
          <w:sz w:val="17"/>
          <w:szCs w:val="17"/>
          <w:color w:val="auto"/>
        </w:rPr>
        <w:t>return a duly completed and executed Beneficial Holder Subscription Form (with accompanying IRS Form W-9 or appropriate IRS</w:t>
      </w:r>
    </w:p>
    <w:p>
      <w:pPr>
        <w:spacing w:after="0" w:line="35" w:lineRule="exact"/>
        <w:rPr>
          <w:sz w:val="20"/>
          <w:szCs w:val="20"/>
          <w:color w:val="auto"/>
        </w:rPr>
      </w:pPr>
    </w:p>
    <w:p>
      <w:pPr>
        <w:ind w:left="1300" w:right="560"/>
        <w:spacing w:after="0" w:line="261" w:lineRule="auto"/>
        <w:rPr>
          <w:sz w:val="20"/>
          <w:szCs w:val="20"/>
          <w:color w:val="auto"/>
        </w:rPr>
      </w:pPr>
      <w:r>
        <w:rPr>
          <w:rFonts w:ascii="Arial" w:cs="Arial" w:eastAsia="Arial" w:hAnsi="Arial"/>
          <w:sz w:val="18"/>
          <w:szCs w:val="18"/>
          <w:color w:val="auto"/>
        </w:rPr>
        <w:t>Form W-8, as applicable) to the Subscription Agent or its Nominee (as directed by its Nominee), so that such documents are actually received by the Subscription Agent on or before the Subscription Expiration Deadline; and</w:t>
      </w:r>
    </w:p>
    <w:p>
      <w:pPr>
        <w:spacing w:after="0" w:line="184" w:lineRule="exact"/>
        <w:rPr>
          <w:sz w:val="20"/>
          <w:szCs w:val="20"/>
          <w:color w:val="auto"/>
        </w:rPr>
      </w:pPr>
    </w:p>
    <w:p>
      <w:pPr>
        <w:ind w:left="1340" w:hanging="684"/>
        <w:spacing w:after="0"/>
        <w:tabs>
          <w:tab w:leader="none" w:pos="134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no later than the deadline specified in the Funding Notice (as defined in the Backstop Commitment Agreement) (such deadline, the</w:t>
      </w:r>
    </w:p>
    <w:p>
      <w:pPr>
        <w:spacing w:after="0" w:line="35" w:lineRule="exact"/>
        <w:rPr>
          <w:sz w:val="20"/>
          <w:szCs w:val="20"/>
          <w:color w:val="auto"/>
        </w:rPr>
      </w:pPr>
    </w:p>
    <w:p>
      <w:pPr>
        <w:ind w:left="1300" w:right="18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Backstop Funding Deadline</w:t>
      </w:r>
      <w:r>
        <w:rPr>
          <w:rFonts w:ascii="Arial" w:cs="Arial" w:eastAsia="Arial" w:hAnsi="Arial"/>
          <w:sz w:val="17"/>
          <w:szCs w:val="17"/>
          <w:color w:val="auto"/>
        </w:rPr>
        <w:t>”), pay the Purchase Price for all Subscribed Securities to the Subscription Agent or to the Escrow Account established and maintained by a third party satisfactory to the Backstop Parties and the Companies by wire transfer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2" w:name="page463"/>
    <w:bookmarkEnd w:id="462"/>
    <w:p>
      <w:pPr>
        <w:ind w:left="1260"/>
        <w:spacing w:after="0"/>
        <w:rPr>
          <w:sz w:val="20"/>
          <w:szCs w:val="20"/>
          <w:color w:val="auto"/>
        </w:rPr>
      </w:pPr>
      <w:r>
        <w:rPr>
          <w:rFonts w:ascii="Arial" w:cs="Arial" w:eastAsia="Arial" w:hAnsi="Arial"/>
          <w:sz w:val="18"/>
          <w:szCs w:val="18"/>
          <w:color w:val="auto"/>
        </w:rPr>
        <w:t>immediately available funds in accordance with the instructions included in the Funding Notice.</w:t>
      </w:r>
    </w:p>
    <w:p>
      <w:pPr>
        <w:spacing w:after="0" w:line="225" w:lineRule="exact"/>
        <w:rPr>
          <w:sz w:val="20"/>
          <w:szCs w:val="20"/>
          <w:color w:val="auto"/>
        </w:rPr>
      </w:pPr>
    </w:p>
    <w:p>
      <w:pPr>
        <w:ind w:left="-40" w:right="40" w:firstLine="494"/>
        <w:spacing w:after="0" w:line="293" w:lineRule="auto"/>
        <w:tabs>
          <w:tab w:leader="none" w:pos="1267" w:val="left"/>
        </w:tabs>
        <w:numPr>
          <w:ilvl w:val="0"/>
          <w:numId w:val="585"/>
        </w:numPr>
        <w:rPr>
          <w:rFonts w:ascii="Arial" w:cs="Arial" w:eastAsia="Arial" w:hAnsi="Arial"/>
          <w:sz w:val="16"/>
          <w:szCs w:val="16"/>
          <w:color w:val="auto"/>
        </w:rPr>
      </w:pPr>
      <w:r>
        <w:rPr>
          <w:rFonts w:ascii="Arial" w:cs="Arial" w:eastAsia="Arial" w:hAnsi="Arial"/>
          <w:sz w:val="16"/>
          <w:szCs w:val="16"/>
          <w:color w:val="auto"/>
        </w:rPr>
        <w:t>With respect to 5(a) and 5(b) above, a Noteholder that holds Allowed Prepetition Notes Claims through a Nominee must duly complete, execute and return its Beneficial Holder Subscription Form in accordance with the instructions herein directly to its Nominee (or as otherwise directed by its Nominee) in sufficient time to allow its Nominee to process its instructions and deliver to the Subscription Agent its completed Beneficial Holder Subscription Form (with accompanying IRS Form W-9 or appropriate IRS Form W-8, as applicable) on or before the Subscription Expiration Deadline. Noteholders that are Backstop Parties must deliver their payment of the Purchase Price for their Subscribed Securities directly to the Subscription Agent or to the Escrow Account, as applicable, and in accordance with the instructions in the Funding Notice no later than Backstop Funding Deadline.</w:t>
      </w:r>
    </w:p>
    <w:p>
      <w:pPr>
        <w:spacing w:after="0" w:line="160" w:lineRule="exact"/>
        <w:rPr>
          <w:rFonts w:ascii="Arial" w:cs="Arial" w:eastAsia="Arial" w:hAnsi="Arial"/>
          <w:sz w:val="16"/>
          <w:szCs w:val="16"/>
          <w:color w:val="auto"/>
        </w:rPr>
      </w:pPr>
    </w:p>
    <w:p>
      <w:pPr>
        <w:ind w:left="-40" w:right="100" w:firstLine="494"/>
        <w:spacing w:after="0" w:line="266" w:lineRule="auto"/>
        <w:tabs>
          <w:tab w:leader="none" w:pos="126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Any Noteholder that is not a Backstop Party and that </w:t>
      </w:r>
      <w:r>
        <w:rPr>
          <w:rFonts w:ascii="Arial" w:cs="Arial" w:eastAsia="Arial" w:hAnsi="Arial"/>
          <w:sz w:val="18"/>
          <w:szCs w:val="18"/>
          <w:b w:val="1"/>
          <w:bCs w:val="1"/>
          <w:u w:val="single" w:color="auto"/>
          <w:color w:val="auto"/>
        </w:rPr>
        <w:t>does not</w:t>
      </w:r>
      <w:r>
        <w:rPr>
          <w:rFonts w:ascii="Arial" w:cs="Arial" w:eastAsia="Arial" w:hAnsi="Arial"/>
          <w:sz w:val="18"/>
          <w:szCs w:val="18"/>
          <w:color w:val="auto"/>
        </w:rPr>
        <w:t xml:space="preserve"> hold an Allowed Prepetition Notes Claim through a Nominee must deliver their completed Beneficial Holder Subscription Form (with accompanying IRS Form W-9 or appropriate IRS Form W-8, as applicable) and payment directly to the Subscription Agent on or before the Subscription Expiration Deadline.</w:t>
      </w:r>
    </w:p>
    <w:p>
      <w:pPr>
        <w:spacing w:after="0" w:line="180" w:lineRule="exact"/>
        <w:rPr>
          <w:rFonts w:ascii="Arial" w:cs="Arial" w:eastAsia="Arial" w:hAnsi="Arial"/>
          <w:sz w:val="18"/>
          <w:szCs w:val="18"/>
          <w:color w:val="auto"/>
        </w:rPr>
      </w:pPr>
    </w:p>
    <w:p>
      <w:pPr>
        <w:ind w:left="-40" w:right="60" w:firstLine="494"/>
        <w:spacing w:after="0" w:line="259" w:lineRule="auto"/>
        <w:tabs>
          <w:tab w:leader="none" w:pos="1267" w:val="left"/>
        </w:tabs>
        <w:numPr>
          <w:ilvl w:val="0"/>
          <w:numId w:val="585"/>
        </w:numPr>
        <w:rPr>
          <w:rFonts w:ascii="Arial" w:cs="Arial" w:eastAsia="Arial" w:hAnsi="Arial"/>
          <w:sz w:val="18"/>
          <w:szCs w:val="18"/>
          <w:color w:val="auto"/>
        </w:rPr>
      </w:pPr>
      <w:r>
        <w:rPr>
          <w:rFonts w:ascii="Arial" w:cs="Arial" w:eastAsia="Arial" w:hAnsi="Arial"/>
          <w:sz w:val="18"/>
          <w:szCs w:val="18"/>
          <w:color w:val="auto"/>
        </w:rPr>
        <w:t>Noteholders who are located in the European Economic Area must confirm and certify that they are “qualified investors” within the meaning of Article 2(1)(e) of the EU Prospectus Directive (Directive 2003/71/(EC), as amended and Article 2 (e) of the EU Prospectus Regulation (Regulation (EU) 2017/1129). All Noteholders located outside the United States of America and the European Economic Area must confirm that they are not located in a Restricted Jurisdiction.</w:t>
      </w:r>
    </w:p>
    <w:p>
      <w:pPr>
        <w:spacing w:after="0" w:line="186" w:lineRule="exact"/>
        <w:rPr>
          <w:rFonts w:ascii="Arial" w:cs="Arial" w:eastAsia="Arial" w:hAnsi="Arial"/>
          <w:sz w:val="18"/>
          <w:szCs w:val="18"/>
          <w:color w:val="auto"/>
        </w:rPr>
      </w:pPr>
    </w:p>
    <w:p>
      <w:pPr>
        <w:ind w:left="-40" w:firstLine="494"/>
        <w:spacing w:after="0" w:line="255" w:lineRule="auto"/>
        <w:tabs>
          <w:tab w:leader="none" w:pos="1261"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In the event that funds received by the Subscription Agent in payment for such Noteholder’s Subscribed Securities are less than the Purchase Price for the Subscribed Securities of such Noteholder, the amount of Subscribed Securities deemed to be purchased by the Noteholder will be equal to the quotient of (i) the amount of such funds received and (ii) the Purchase Price, up to such Noteholder’s Pro Rata share of Offered Securities. For the avoidance of doubt, the principal amount(s) of underlying Prepetition Notes held by a Noteholder that is electronically delivered through ATOP will control, regardless of the principal amount(s) reflected on the Beneficial Holder Subscription Form, for purposes of making any Subscription Rights calculations or otherwise.</w:t>
      </w:r>
    </w:p>
    <w:p>
      <w:pPr>
        <w:spacing w:after="0" w:line="193" w:lineRule="exact"/>
        <w:rPr>
          <w:rFonts w:ascii="Arial" w:cs="Arial" w:eastAsia="Arial" w:hAnsi="Arial"/>
          <w:sz w:val="18"/>
          <w:szCs w:val="18"/>
          <w:color w:val="auto"/>
        </w:rPr>
      </w:pPr>
    </w:p>
    <w:p>
      <w:pPr>
        <w:ind w:left="-40" w:right="20" w:firstLine="494"/>
        <w:spacing w:after="0" w:line="297" w:lineRule="auto"/>
        <w:tabs>
          <w:tab w:leader="none" w:pos="1277"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payments of cash made in accordance with the Rights Offering will be deposited and held by the Subscription Agent in a segregated bank account established by the Subscription Agent for this purpose, until disbursed to the Companies in connection with the settlement of the Rights Offering on the Effective Date or returned to subscribing Noteholders as provided in Section 7. The Subscription Agent may not use such funds for any other purpose prior to such Effective Date and may not encumber or permit such funds to be encumbered with any lien or similar encumbrance. Such funds held in the segregated bank account or otherwise by the Subscription Agent shall not be deemed part of the Debtors’ bankruptcy estate.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463" w:name="page464"/>
    <w:bookmarkEnd w:id="463"/>
    <w:p>
      <w:pPr>
        <w:ind w:left="660" w:hanging="652"/>
        <w:spacing w:after="0"/>
        <w:tabs>
          <w:tab w:leader="none" w:pos="66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 Revocation</w:t>
      </w:r>
    </w:p>
    <w:p>
      <w:pPr>
        <w:spacing w:after="0" w:line="229" w:lineRule="exact"/>
        <w:rPr>
          <w:rFonts w:ascii="Arial" w:cs="Arial" w:eastAsia="Arial" w:hAnsi="Arial"/>
          <w:sz w:val="18"/>
          <w:szCs w:val="18"/>
          <w:b w:val="1"/>
          <w:bCs w:val="1"/>
          <w:color w:val="auto"/>
        </w:rPr>
      </w:pPr>
    </w:p>
    <w:p>
      <w:pPr>
        <w:ind w:right="160" w:firstLine="494"/>
        <w:spacing w:after="0" w:line="286" w:lineRule="auto"/>
        <w:tabs>
          <w:tab w:leader="none" w:pos="1294" w:val="left"/>
        </w:tabs>
        <w:numPr>
          <w:ilvl w:val="1"/>
          <w:numId w:val="586"/>
        </w:numPr>
        <w:rPr>
          <w:rFonts w:ascii="Arial" w:cs="Arial" w:eastAsia="Arial" w:hAnsi="Arial"/>
          <w:sz w:val="17"/>
          <w:szCs w:val="17"/>
          <w:color w:val="auto"/>
        </w:rPr>
      </w:pPr>
      <w:r>
        <w:rPr>
          <w:rFonts w:ascii="Arial" w:cs="Arial" w:eastAsia="Arial" w:hAnsi="Arial"/>
          <w:sz w:val="17"/>
          <w:szCs w:val="17"/>
          <w:color w:val="auto"/>
        </w:rPr>
        <w:t>The Subscription Rights will not be detachable or otherwise transferable separately from the Prepetition Notes. If any Subscription Rights are transferred by a Noteholder in contravention of the foregoing, the Subscription Rights will be cancelled, and neither such Noteholder nor the purported transferee will receive any Offered Securities otherwise purchasable on account of such transferred Subscription Rights.</w:t>
      </w:r>
    </w:p>
    <w:p>
      <w:pPr>
        <w:spacing w:after="0" w:line="165" w:lineRule="exact"/>
        <w:rPr>
          <w:rFonts w:ascii="Arial" w:cs="Arial" w:eastAsia="Arial" w:hAnsi="Arial"/>
          <w:sz w:val="17"/>
          <w:szCs w:val="17"/>
          <w:color w:val="auto"/>
        </w:rPr>
      </w:pPr>
    </w:p>
    <w:p>
      <w:pPr>
        <w:ind w:right="60" w:firstLine="494"/>
        <w:spacing w:after="0" w:line="308" w:lineRule="auto"/>
        <w:tabs>
          <w:tab w:leader="none" w:pos="1304" w:val="left"/>
        </w:tabs>
        <w:numPr>
          <w:ilvl w:val="1"/>
          <w:numId w:val="586"/>
        </w:numPr>
        <w:rPr>
          <w:rFonts w:ascii="Arial" w:cs="Arial" w:eastAsia="Arial" w:hAnsi="Arial"/>
          <w:sz w:val="17"/>
          <w:szCs w:val="17"/>
          <w:color w:val="auto"/>
        </w:rPr>
      </w:pPr>
      <w:r>
        <w:rPr>
          <w:rFonts w:ascii="Arial" w:cs="Arial" w:eastAsia="Arial" w:hAnsi="Arial"/>
          <w:sz w:val="17"/>
          <w:szCs w:val="17"/>
          <w:color w:val="auto"/>
        </w:rPr>
        <w:t>The Subscription Rights together with the underlying Prepetition Notes with respect to which such Subscription Rights were allocated, will trade together as a unit, subject to such limitations, if any, that would be applicable to the transferability of the underlying Prepetition Notes.</w:t>
      </w:r>
    </w:p>
    <w:p>
      <w:pPr>
        <w:spacing w:after="0" w:line="146" w:lineRule="exact"/>
        <w:rPr>
          <w:rFonts w:ascii="Arial" w:cs="Arial" w:eastAsia="Arial" w:hAnsi="Arial"/>
          <w:sz w:val="17"/>
          <w:szCs w:val="17"/>
          <w:color w:val="auto"/>
        </w:rPr>
      </w:pPr>
    </w:p>
    <w:p>
      <w:pPr>
        <w:ind w:right="100" w:firstLine="494"/>
        <w:spacing w:after="0" w:line="259" w:lineRule="auto"/>
        <w:tabs>
          <w:tab w:leader="none" w:pos="1307" w:val="left"/>
        </w:tabs>
        <w:numPr>
          <w:ilvl w:val="1"/>
          <w:numId w:val="586"/>
        </w:numPr>
        <w:rPr>
          <w:rFonts w:ascii="Arial" w:cs="Arial" w:eastAsia="Arial" w:hAnsi="Arial"/>
          <w:sz w:val="18"/>
          <w:szCs w:val="18"/>
          <w:color w:val="auto"/>
        </w:rPr>
      </w:pPr>
      <w:r>
        <w:rPr>
          <w:rFonts w:ascii="Arial" w:cs="Arial" w:eastAsia="Arial" w:hAnsi="Arial"/>
          <w:sz w:val="18"/>
          <w:szCs w:val="18"/>
          <w:color w:val="auto"/>
        </w:rPr>
        <w:t>Once a Noteholder has properly exercised its Subscription Rights, subject to the terms and conditions contained in these Rights Offering Procedures and the Backstop Commitment Agreement in the case of any Backstop Party, such exercise will be irrevocable. Moreover, following the exercise of any Subscription Rights, the Holder thereof shall be prohibited from transferring or assigning the Prepetition Notes, as applicable, corresponding to such Subscription Rights until the termination of the Rights Offering.</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Termination/Return of Payment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Unless the Effective Date has occurred, the Rights Offering will be deemed automatically terminated without any action of any party upon the earlier of (i) revocation of the Plan or rejection of the Plan by all classes entitled to vote, (ii) termination of the Restructuring Support Agreement in accordance with its terms (other than termination on and as a result of the occurrence of the Effective Date), (iii) termination of the Backstop Commitment Agreement in accordance with its terms, and (iv) November 30, 2019, if the closing of the Rights Offering has not occurred on or prior to that date, which may be extended by the Debtors with the consent of the Required Consenting Noteholders. If the Rights Offering is terminated, any cash paid to the Subscription Agent will be returned, without interest, and all deposited Prepetition Notes shall be released by the Subscription Agent, to the applicable Noteholder as soon as reasonably practicable thereafter, but in any event within six (6) Business Days after the date on which the Rights Offering is terminated.</w:t>
      </w:r>
    </w:p>
    <w:p>
      <w:pPr>
        <w:spacing w:after="0" w:line="163" w:lineRule="exact"/>
        <w:rPr>
          <w:sz w:val="20"/>
          <w:szCs w:val="20"/>
          <w:color w:val="auto"/>
        </w:rPr>
      </w:pPr>
    </w:p>
    <w:p>
      <w:pPr>
        <w:ind w:left="660" w:hanging="652"/>
        <w:spacing w:after="0"/>
        <w:tabs>
          <w:tab w:leader="none" w:pos="66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the Rights Offering and Distribution of the Subscribed Securities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settlement of the Rights Offering is conditioned on confirmation of the Plan by the Bankruptcy Court, compliance by the Debtors with these Rights Offering Procedures, satisfaction of the conditions precedent set forth in the Backstop Commitment Agreement and the occurrence of the Effective Date. The Debtors intend that the Subscribed Securities will be issued in book-entry form in accordance with the practices and procedures of DTC, and that DTC, or its nominee, will be the holder of record of such Subscribed Securities. The Companies will cause the Subscribed Securities to be credited to the accounts at DTC through which the respective Noteholders or Nominees, as applicable, held the Prepetition Notes underlying the applicable Allowed Prepetition Notes Claims (as evidenced by the Noteholder’s ATOP submission), and, for Prepetition Notes held through Nominees, the Nominees will arrange for the credit of the Subscribed Securities to the individual accounts of the applicable Noteholders.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4" w:name="page465"/>
    <w:bookmarkEnd w:id="464"/>
    <w:p>
      <w:pPr>
        <w:ind w:right="260" w:firstLine="648"/>
        <w:spacing w:after="0" w:line="257" w:lineRule="auto"/>
        <w:rPr>
          <w:sz w:val="20"/>
          <w:szCs w:val="20"/>
          <w:color w:val="auto"/>
        </w:rPr>
      </w:pPr>
      <w:r>
        <w:rPr>
          <w:rFonts w:ascii="Arial" w:cs="Arial" w:eastAsia="Arial" w:hAnsi="Arial"/>
          <w:sz w:val="18"/>
          <w:szCs w:val="18"/>
          <w:color w:val="auto"/>
        </w:rPr>
        <w:t>If for any reason the Subscribed Securities cannot be issued in book-entry form in accordance with the practices and procedures of DTC, the Subscribed Securities will be issued directly to the subscribing Noteholders, subject to the terms of the Plan and applicable law, including compliance with section 1145 of the Bankruptcy Code. After the initial issuance of the Subscribed Securities, however, Noteholders may freely transfer such Subscribed Securities in accordance with the procedures of [•], the indenture trustee for the New Tranche A Senior Unsecured Notes (the “</w:t>
      </w:r>
      <w:r>
        <w:rPr>
          <w:rFonts w:ascii="Arial" w:cs="Arial" w:eastAsia="Arial" w:hAnsi="Arial"/>
          <w:sz w:val="18"/>
          <w:szCs w:val="18"/>
          <w:u w:val="single" w:color="auto"/>
          <w:color w:val="auto"/>
        </w:rPr>
        <w:t>Tranche A Notes Trustee</w:t>
      </w:r>
      <w:r>
        <w:rPr>
          <w:rFonts w:ascii="Arial" w:cs="Arial" w:eastAsia="Arial" w:hAnsi="Arial"/>
          <w:sz w:val="18"/>
          <w:szCs w:val="18"/>
          <w:color w:val="auto"/>
        </w:rPr>
        <w:t>”), subject to any applicable transfer restrictions under applicable law.</w:t>
      </w:r>
    </w:p>
    <w:p>
      <w:pPr>
        <w:spacing w:after="0" w:line="184" w:lineRule="exact"/>
        <w:rPr>
          <w:sz w:val="20"/>
          <w:szCs w:val="20"/>
          <w:color w:val="auto"/>
        </w:rPr>
      </w:pPr>
    </w:p>
    <w:p>
      <w:pPr>
        <w:ind w:left="660" w:hanging="652"/>
        <w:spacing w:after="0"/>
        <w:tabs>
          <w:tab w:leader="none" w:pos="66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Rights; Minimum Denominations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 fractional Subscription Rights will be issued in the Rights Offering. All security allocations (including each Noteholder’s Subscribed Securities) will be calculated and rounded down to the nearest minimum denomination of $1,000 and integral multiples of $1,000 in excess thereof. No compensation shall be paid, whether in cash or otherwise, in respect of any rounded-down amounts.</w:t>
      </w:r>
    </w:p>
    <w:p>
      <w:pPr>
        <w:spacing w:after="0" w:line="177" w:lineRule="exact"/>
        <w:rPr>
          <w:sz w:val="20"/>
          <w:szCs w:val="20"/>
          <w:color w:val="auto"/>
        </w:rPr>
      </w:pPr>
    </w:p>
    <w:p>
      <w:pPr>
        <w:ind w:left="660" w:hanging="652"/>
        <w:spacing w:after="0"/>
        <w:tabs>
          <w:tab w:leader="none" w:pos="660"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Exercise of Subscription Rights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All questions concerning the timeliness, viability, form, and eligibility of any exercise of Subscription Rights (including each Noteholder’s Subscribed Securities) will be determined in good faith by the Debtors in consultation with the Required Consenting Noteholders and, if necessary, subject to a final and binding determination by the Bankruptcy Court. The Debtors, with the consent of the Required Consenting Noteholders, may waive any defect or irregularity, or permit a defect or irregularity to be corrected within such time as they may determine in good faith, or reject the purported exercise of any Subscription Rights. Beneficial Holder Subscription Forms will be deemed not to have been received or accepted until all irregularities have been waived or cured within such time as the Debtors determine in good faith and with the consent of the Required Consenting Noteholders. In addition, the Debtors, with the consent of the Required Consenting Noteholders, may permit any such defect or irregularity to be cured within such time as they may determine in good faith to be appropriate.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and notwithstanding the above, the Debtors and their agents are not required to inform parties of any defect or irregularity with their submission of documents or payments and may reject such submissions without previously notifying the party prior to such rejection. Additionally, each such irregularity or defect if reviewed, will be done so on an individual submission basis.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Before exercising any Subscription Rights, Noteholders should read the Disclosure Statement and the Plan for information relating to the Debtors and risk factors to be considered.</w:t>
      </w:r>
    </w:p>
    <w:p>
      <w:pPr>
        <w:spacing w:after="0" w:line="166" w:lineRule="exact"/>
        <w:rPr>
          <w:sz w:val="20"/>
          <w:szCs w:val="20"/>
          <w:color w:val="auto"/>
        </w:rPr>
      </w:pPr>
    </w:p>
    <w:p>
      <w:pPr>
        <w:ind w:left="660" w:hanging="652"/>
        <w:spacing w:after="0"/>
        <w:tabs>
          <w:tab w:leader="none" w:pos="660"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Procedures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to modify or adopt additional procedures consistent with the provisions of these Rights Offering Procedures to effectuate the Rights Offering and to issue the Subscribed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Debtors shall provide prompt written notice to each Noteholder (which may be through such Noteholder’s applicable Nominee) of any material modification to these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5" w:name="page466"/>
    <w:bookmarkEnd w:id="465"/>
    <w:p>
      <w:pPr>
        <w:ind w:right="220"/>
        <w:spacing w:after="0" w:line="259" w:lineRule="auto"/>
        <w:rPr>
          <w:sz w:val="20"/>
          <w:szCs w:val="20"/>
          <w:color w:val="auto"/>
        </w:rPr>
      </w:pPr>
      <w:r>
        <w:rPr>
          <w:rFonts w:ascii="Arial" w:cs="Arial" w:eastAsia="Arial" w:hAnsi="Arial"/>
          <w:sz w:val="18"/>
          <w:szCs w:val="18"/>
          <w:color w:val="auto"/>
        </w:rPr>
        <w:t>Offering Procedures made after the commencement of the Rights Offering, which such notice may be provided through posting such notice on the Subscription Agent’s website at https://cases.primeclerk.com/weatherford. In so doing, the Debtors, with the consent of the Required Consenting Noteholders, may execute and enter into agreements and take further action that the Debtors determine in good faith are necessary and appropriate to effect and implement the Rights Offering and the issuance of the Subscribed Securities.</w:t>
      </w:r>
    </w:p>
    <w:p>
      <w:pPr>
        <w:spacing w:after="0" w:line="183" w:lineRule="exact"/>
        <w:rPr>
          <w:sz w:val="20"/>
          <w:szCs w:val="20"/>
          <w:color w:val="auto"/>
        </w:rPr>
      </w:pPr>
    </w:p>
    <w:p>
      <w:pPr>
        <w:ind w:left="640" w:hanging="632"/>
        <w:spacing w:after="0"/>
        <w:tabs>
          <w:tab w:leader="none" w:pos="64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Some or all of the Prepetition Notes are held in book-entry form in accordance with the practices and procedures of the DTC. The Debtors intend to comply with the practices and procedures of DTC for the purpose of conducting the Rights Offering, and, subject to compliance with Section 11 hereof, these Rights Offering Procedures will be deemed appropriately modified to achieve such compliance.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Without limiting the foregoing, the Companies intend that, to the extent practicable, the Offered Securities will be issued in book entry form, and that DTC, or its nominee, will be the holder of record of such Offered Securities. The ownership interest of each Holder of such Offered Securities, and transfers of ownership interests therein, is expected to be recorded on the records of the direct and indirect participants in DTC. It is expected that all Subscribed Securities will be allocated to exercising Noteholders through DTC on or as soon as practicable after the Effective Date. To the extent the Offered Securities are not eligible to be held through DTC, the Offered Securities allocated to Noteholders shall be reflected on the records of the Debtors or the Tranche A Notes Trustee (as applicable) based on the information provided in Item 6 on the Beneficial Holder Subscription Form.</w:t>
      </w:r>
    </w:p>
    <w:p>
      <w:pPr>
        <w:spacing w:after="0" w:line="174" w:lineRule="exact"/>
        <w:rPr>
          <w:sz w:val="20"/>
          <w:szCs w:val="20"/>
          <w:color w:val="auto"/>
        </w:rPr>
      </w:pPr>
    </w:p>
    <w:p>
      <w:pPr>
        <w:ind w:left="660" w:hanging="652"/>
        <w:spacing w:after="0"/>
        <w:tabs>
          <w:tab w:leader="none" w:pos="66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Inquiries and Transmittal of Documents; Subscription Agent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Rights Offering Instructions should be carefully read and strictly followed.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Questions relating to the Rights Offering should be directed to the Subscription Agent at the following phone number or email address:</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 (844) 233-5155 (domestic toll-free) or +1 (917) 942-6392 (for international calls) or weatherfordsubscription@primeclerk.com. To obtain copies of the documents, please visit https://cases.primeclerk.com/weatherford.</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risk of non-delivery of all documents and payments to the Subscription Agent and any Nominee is on the Noteholder electing to exercise its Subscription Rights and not the Debtors or the Subscription Agent.</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10165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weatherfordsubscription@primeclerk.com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6" w:name="page467"/>
    <w:bookmarkEnd w:id="466"/>
    <w:p>
      <w:pPr>
        <w:ind w:firstLine="648"/>
        <w:spacing w:after="0" w:line="342" w:lineRule="auto"/>
        <w:rPr>
          <w:sz w:val="20"/>
          <w:szCs w:val="20"/>
          <w:color w:val="auto"/>
        </w:rPr>
      </w:pPr>
      <w:r>
        <w:rPr>
          <w:rFonts w:ascii="Arial" w:cs="Arial" w:eastAsia="Arial" w:hAnsi="Arial"/>
          <w:sz w:val="16"/>
          <w:szCs w:val="16"/>
          <w:color w:val="auto"/>
        </w:rPr>
        <w:t>All documents relating to the Rights Offering are available from the Subscription Agent at this address. In addition, these documents, together with all filing made with the Court by the Debtors, are available free of charge from the Debtors’ restructuring website at http://www.primeclerk.com/Weatherford.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Only choose </w:t>
      </w:r>
      <w:r>
        <w:rPr>
          <w:rFonts w:ascii="Arial" w:cs="Arial" w:eastAsia="Arial" w:hAnsi="Arial"/>
          <w:sz w:val="18"/>
          <w:szCs w:val="18"/>
          <w:b w:val="1"/>
          <w:bCs w:val="1"/>
          <w:u w:val="single" w:color="auto"/>
          <w:color w:val="auto"/>
        </w:rPr>
        <w:t>one</w:t>
      </w:r>
      <w:r>
        <w:rPr>
          <w:rFonts w:ascii="Arial" w:cs="Arial" w:eastAsia="Arial" w:hAnsi="Arial"/>
          <w:sz w:val="18"/>
          <w:szCs w:val="18"/>
          <w:b w:val="1"/>
          <w:bCs w:val="1"/>
          <w:color w:val="auto"/>
        </w:rPr>
        <w:t xml:space="preserve"> method of return. If you choose to return the applicable documents via email, do not follow up with hard copies.</w:t>
      </w:r>
    </w:p>
    <w:p>
      <w:pPr>
        <w:spacing w:after="0" w:line="225" w:lineRule="exact"/>
        <w:rPr>
          <w:sz w:val="20"/>
          <w:szCs w:val="20"/>
          <w:color w:val="auto"/>
        </w:rPr>
      </w:pPr>
    </w:p>
    <w:p>
      <w:pPr>
        <w:ind w:left="660" w:hanging="652"/>
        <w:spacing w:after="0"/>
        <w:tabs>
          <w:tab w:leader="none" w:pos="66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Backstop Commitment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The Debtors are party to that certain Backstop Commitment Agreement (the “</w:t>
      </w:r>
      <w:r>
        <w:rPr>
          <w:rFonts w:ascii="Arial" w:cs="Arial" w:eastAsia="Arial" w:hAnsi="Arial"/>
          <w:sz w:val="18"/>
          <w:szCs w:val="18"/>
          <w:b w:val="1"/>
          <w:bCs w:val="1"/>
          <w:color w:val="auto"/>
        </w:rPr>
        <w:t>Backstop Commitment Agreement</w:t>
      </w:r>
      <w:r>
        <w:rPr>
          <w:rFonts w:ascii="Arial" w:cs="Arial" w:eastAsia="Arial" w:hAnsi="Arial"/>
          <w:sz w:val="18"/>
          <w:szCs w:val="18"/>
          <w:color w:val="auto"/>
        </w:rPr>
        <w:t>”) dated July 1, 2019 with the Backstop Parties. In the event of any conflict between these Rights Offering Procedures and the terms of the Backstop Commitment Agreement, the terms of the Backstop Commitment Agreement will control.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7" w:name="page468"/>
    <w:bookmarkEnd w:id="467"/>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New Tranche A Senior Unsecured Notes Term Sheet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8" w:name="page469"/>
    <w:bookmarkEnd w:id="468"/>
    <w:p>
      <w:pPr>
        <w:ind w:left="3420"/>
        <w:spacing w:after="0"/>
        <w:rPr>
          <w:sz w:val="20"/>
          <w:szCs w:val="20"/>
          <w:color w:val="auto"/>
        </w:rPr>
      </w:pPr>
      <w:r>
        <w:rPr>
          <w:rFonts w:ascii="Arial" w:cs="Arial" w:eastAsia="Arial" w:hAnsi="Arial"/>
          <w:sz w:val="18"/>
          <w:szCs w:val="18"/>
          <w:b w:val="1"/>
          <w:bCs w:val="1"/>
          <w:color w:val="auto"/>
        </w:rPr>
        <w:t>WEATHERFORD RIGHTS OFFERING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used and not defined herein shall have the meaning assigned to them in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elect to participate in the Rights Offering, you must follow the instructions set out below:</w:t>
      </w:r>
    </w:p>
    <w:p>
      <w:pPr>
        <w:spacing w:after="0" w:line="225" w:lineRule="exact"/>
        <w:rPr>
          <w:sz w:val="20"/>
          <w:szCs w:val="20"/>
          <w:color w:val="auto"/>
        </w:rPr>
      </w:pPr>
    </w:p>
    <w:p>
      <w:pPr>
        <w:ind w:left="660" w:right="20" w:hanging="652"/>
        <w:spacing w:after="0" w:line="261"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Insert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amount of your Prepetition Notes that you hold in Item 1 of your Beneficial Holder Subscription Form. If your Nominee holds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Prepetition Notes issued by the Debtors on your behalf and you do not know the principal amount, please contact your Nominee immediately. Please note that the principal amount of your Prepetition Notes electronically delivered by your Nominee through ATOP will control for all purposes to the extent of any discrepancies.</w:t>
      </w:r>
    </w:p>
    <w:p>
      <w:pPr>
        <w:spacing w:after="0" w:line="180" w:lineRule="exact"/>
        <w:rPr>
          <w:rFonts w:ascii="Arial" w:cs="Arial" w:eastAsia="Arial" w:hAnsi="Arial"/>
          <w:sz w:val="18"/>
          <w:szCs w:val="18"/>
          <w:color w:val="auto"/>
        </w:rPr>
      </w:pPr>
    </w:p>
    <w:p>
      <w:pPr>
        <w:jc w:val="both"/>
        <w:ind w:left="660" w:right="120" w:hanging="652"/>
        <w:spacing w:after="0" w:line="266"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the calculation in Item 1a-1m of your Beneficial Holder Subscription Form, which calculates your Maximum Participation Amount (i.e.,</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amount of Offered Securities you are entitled to purchase in the Rights Offering). Such amount must be rounded down to the nearest $1,000 increment.</w:t>
      </w:r>
    </w:p>
    <w:p>
      <w:pPr>
        <w:spacing w:after="0" w:line="176" w:lineRule="exact"/>
        <w:rPr>
          <w:rFonts w:ascii="Arial" w:cs="Arial" w:eastAsia="Arial" w:hAnsi="Arial"/>
          <w:sz w:val="18"/>
          <w:szCs w:val="18"/>
          <w:color w:val="auto"/>
        </w:rPr>
      </w:pPr>
    </w:p>
    <w:p>
      <w:pPr>
        <w:ind w:left="660" w:hanging="652"/>
        <w:spacing w:after="0" w:line="256"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the calculation in Item 2a-2m of your Beneficial Holder Subscription Form, which calculates the Purchase Price for the amount of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which you elect to purchase. If you do not wish to purchase all of the Offered Securities to which you are entitled, you must provide instructions to your Nominee to submit ONLY the relevant portion of your Prepetition Notes into the ATOP system (as reflected in Item 5 of your Beneficial Holder Subscription Form). For example, if you only wish to subscribe for 50% of your Offered Securities, then submit, or request that your Nominee submit, only 50% of your Prepetition Notes through ATOP. Beneficial Holders will be prohibited from trading only the portion of their underlying Prepetition Notes on account of which they wish to subscribe.</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Read</w:t>
      </w:r>
      <w:r>
        <w:rPr>
          <w:rFonts w:ascii="Arial" w:cs="Arial" w:eastAsia="Arial" w:hAnsi="Arial"/>
          <w:sz w:val="18"/>
          <w:szCs w:val="18"/>
          <w:b w:val="1"/>
          <w:bCs w:val="1"/>
          <w:color w:val="auto"/>
        </w:rPr>
        <w:t xml:space="preserve"> </w:t>
      </w:r>
      <w:r>
        <w:rPr>
          <w:rFonts w:ascii="Arial" w:cs="Arial" w:eastAsia="Arial" w:hAnsi="Arial"/>
          <w:sz w:val="18"/>
          <w:szCs w:val="18"/>
          <w:color w:val="auto"/>
        </w:rPr>
        <w:t>Item 4 of your Beneficial Holder Subscription Form.</w:t>
      </w:r>
    </w:p>
    <w:p>
      <w:pPr>
        <w:spacing w:after="0" w:line="225" w:lineRule="exact"/>
        <w:rPr>
          <w:rFonts w:ascii="Arial" w:cs="Arial" w:eastAsia="Arial" w:hAnsi="Arial"/>
          <w:sz w:val="18"/>
          <w:szCs w:val="18"/>
          <w:color w:val="auto"/>
        </w:rPr>
      </w:pPr>
    </w:p>
    <w:p>
      <w:pPr>
        <w:ind w:left="660" w:right="680" w:hanging="652"/>
        <w:spacing w:after="0" w:line="282"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Read, complete and sign</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certification in Item 5 of your Beneficial Holder Subscription Form and all other requested information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items.</w:t>
      </w:r>
    </w:p>
    <w:p>
      <w:pPr>
        <w:spacing w:after="0" w:line="161" w:lineRule="exact"/>
        <w:rPr>
          <w:rFonts w:ascii="Arial" w:cs="Arial" w:eastAsia="Arial" w:hAnsi="Arial"/>
          <w:sz w:val="18"/>
          <w:szCs w:val="18"/>
          <w:color w:val="auto"/>
        </w:rPr>
      </w:pPr>
    </w:p>
    <w:p>
      <w:pPr>
        <w:ind w:left="660" w:right="460" w:hanging="652"/>
        <w:spacing w:after="0" w:line="282"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Read, complete and sign</w:t>
      </w:r>
      <w:r>
        <w:rPr>
          <w:rFonts w:ascii="Arial" w:cs="Arial" w:eastAsia="Arial" w:hAnsi="Arial"/>
          <w:sz w:val="18"/>
          <w:szCs w:val="18"/>
          <w:b w:val="1"/>
          <w:bCs w:val="1"/>
          <w:color w:val="auto"/>
        </w:rPr>
        <w:t xml:space="preserve"> </w:t>
      </w:r>
      <w:r>
        <w:rPr>
          <w:rFonts w:ascii="Arial" w:cs="Arial" w:eastAsia="Arial" w:hAnsi="Arial"/>
          <w:sz w:val="18"/>
          <w:szCs w:val="18"/>
          <w:color w:val="auto"/>
        </w:rPr>
        <w:t>an IRS Form W-9 if you are a U.S. person. If you are a non-U.S. person, read, complete and sign an appropriate IRS</w:t>
      </w:r>
      <w:r>
        <w:rPr>
          <w:rFonts w:ascii="Arial" w:cs="Arial" w:eastAsia="Arial" w:hAnsi="Arial"/>
          <w:sz w:val="18"/>
          <w:szCs w:val="18"/>
          <w:b w:val="1"/>
          <w:bCs w:val="1"/>
          <w:color w:val="auto"/>
        </w:rPr>
        <w:t xml:space="preserve"> </w:t>
      </w:r>
      <w:r>
        <w:rPr>
          <w:rFonts w:ascii="Arial" w:cs="Arial" w:eastAsia="Arial" w:hAnsi="Arial"/>
          <w:sz w:val="18"/>
          <w:szCs w:val="18"/>
          <w:color w:val="auto"/>
        </w:rPr>
        <w:t>Form IRS Form W-8. These forms may be obtained from the IRS at its website: www.irs.gov.</w:t>
      </w:r>
    </w:p>
    <w:p>
      <w:pPr>
        <w:spacing w:after="0" w:line="161" w:lineRule="exact"/>
        <w:rPr>
          <w:rFonts w:ascii="Arial" w:cs="Arial" w:eastAsia="Arial" w:hAnsi="Arial"/>
          <w:sz w:val="18"/>
          <w:szCs w:val="18"/>
          <w:color w:val="auto"/>
        </w:rPr>
      </w:pPr>
    </w:p>
    <w:p>
      <w:pPr>
        <w:ind w:left="660" w:right="720" w:hanging="652"/>
        <w:spacing w:after="0" w:line="282"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Instruct</w:t>
      </w:r>
      <w:r>
        <w:rPr>
          <w:rFonts w:ascii="Arial" w:cs="Arial" w:eastAsia="Arial" w:hAnsi="Arial"/>
          <w:sz w:val="18"/>
          <w:szCs w:val="18"/>
          <w:b w:val="1"/>
          <w:bCs w:val="1"/>
          <w:color w:val="auto"/>
        </w:rPr>
        <w:t xml:space="preserve"> </w:t>
      </w:r>
      <w:r>
        <w:rPr>
          <w:rFonts w:ascii="Arial" w:cs="Arial" w:eastAsia="Arial" w:hAnsi="Arial"/>
          <w:sz w:val="18"/>
          <w:szCs w:val="18"/>
          <w:color w:val="auto"/>
        </w:rPr>
        <w:t>your Nominee to electronically deliver via ATOP your Prepetition Notes to the Subscription Agent by the Subscription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w:t>
      </w:r>
    </w:p>
    <w:p>
      <w:pPr>
        <w:spacing w:after="0" w:line="161" w:lineRule="exact"/>
        <w:rPr>
          <w:rFonts w:ascii="Arial" w:cs="Arial" w:eastAsia="Arial" w:hAnsi="Arial"/>
          <w:sz w:val="18"/>
          <w:szCs w:val="18"/>
          <w:color w:val="auto"/>
        </w:rPr>
      </w:pPr>
    </w:p>
    <w:p>
      <w:pPr>
        <w:ind w:left="660" w:right="240" w:hanging="652"/>
        <w:spacing w:after="0" w:line="261" w:lineRule="auto"/>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w:t>
      </w:r>
      <w:r>
        <w:rPr>
          <w:rFonts w:ascii="Arial" w:cs="Arial" w:eastAsia="Arial" w:hAnsi="Arial"/>
          <w:sz w:val="18"/>
          <w:szCs w:val="18"/>
          <w:b w:val="1"/>
          <w:bCs w:val="1"/>
          <w:color w:val="auto"/>
        </w:rPr>
        <w:t xml:space="preserve"> </w:t>
      </w:r>
      <w:r>
        <w:rPr>
          <w:rFonts w:ascii="Arial" w:cs="Arial" w:eastAsia="Arial" w:hAnsi="Arial"/>
          <w:sz w:val="18"/>
          <w:szCs w:val="18"/>
          <w:color w:val="auto"/>
        </w:rPr>
        <w:t>your signed Beneficial Holder Subscription Form (with accompanying IRS Form W-9 or appropriate IRS Form W-8, as applicable)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Agent prior to the Subscription Expiration Deadline or to your Nominee in sufficient time to allow your Nominee to process your instructions and prepare and deliver your Beneficial Holder Subscription Form to the Subscription Agent (or otherwise follow the instructions of your Nominee) prior to the Subscription Expiration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9" w:name="page470"/>
    <w:bookmarkEnd w:id="469"/>
    <w:p>
      <w:pPr>
        <w:ind w:left="660" w:right="40" w:hanging="652"/>
        <w:spacing w:after="0" w:line="258" w:lineRule="auto"/>
        <w:tabs>
          <w:tab w:leader="none" w:pos="660" w:val="left"/>
        </w:tabs>
        <w:numPr>
          <w:ilvl w:val="0"/>
          <w:numId w:val="595"/>
        </w:numPr>
        <w:rPr>
          <w:rFonts w:ascii="Arial" w:cs="Arial" w:eastAsia="Arial" w:hAnsi="Arial"/>
          <w:sz w:val="18"/>
          <w:szCs w:val="18"/>
          <w:color w:val="auto"/>
        </w:rPr>
      </w:pPr>
      <w:r>
        <w:rPr>
          <w:rFonts w:ascii="Arial" w:cs="Arial" w:eastAsia="Arial" w:hAnsi="Arial"/>
          <w:sz w:val="18"/>
          <w:szCs w:val="18"/>
          <w:b w:val="1"/>
          <w:bCs w:val="1"/>
          <w:u w:val="single" w:color="auto"/>
          <w:color w:val="auto"/>
        </w:rPr>
        <w:t>Arrange for full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 Price in immediately available funds, calculated in accordance with Item 2 of your Beneficial Holder</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Form. A Noteholder who is not a Backstop Party should follow the payment instructions as provided in Item 4 of the Beneficial Holder Subscription Form. Any Backstop Party should follow the payment instructions that will be provided in the Funding Notice, except to the extent of any Purchase Price previously paid by such Backstop Party to the Subscription Agent or the Escrow Account in accordance with the terms of the Backstop Commitment Agreement.</w:t>
      </w:r>
    </w:p>
    <w:p>
      <w:pPr>
        <w:spacing w:after="0" w:line="183" w:lineRule="exact"/>
        <w:rPr>
          <w:rFonts w:ascii="Arial" w:cs="Arial" w:eastAsia="Arial" w:hAnsi="Arial"/>
          <w:sz w:val="18"/>
          <w:szCs w:val="18"/>
          <w:color w:val="auto"/>
        </w:rPr>
      </w:pPr>
    </w:p>
    <w:p>
      <w:pPr>
        <w:ind w:left="660" w:right="540" w:hanging="652"/>
        <w:spacing w:after="0" w:line="266" w:lineRule="auto"/>
        <w:tabs>
          <w:tab w:leader="none" w:pos="655" w:val="left"/>
        </w:tabs>
        <w:numPr>
          <w:ilvl w:val="0"/>
          <w:numId w:val="595"/>
        </w:numPr>
        <w:rPr>
          <w:rFonts w:ascii="Arial" w:cs="Arial" w:eastAsia="Arial" w:hAnsi="Arial"/>
          <w:sz w:val="18"/>
          <w:szCs w:val="18"/>
          <w:color w:val="auto"/>
        </w:rPr>
      </w:pPr>
      <w:r>
        <w:rPr>
          <w:rFonts w:ascii="Arial" w:cs="Arial" w:eastAsia="Arial" w:hAnsi="Arial"/>
          <w:sz w:val="18"/>
          <w:szCs w:val="18"/>
          <w:b w:val="1"/>
          <w:bCs w:val="1"/>
          <w:u w:val="single" w:color="auto"/>
          <w:color w:val="auto"/>
        </w:rPr>
        <w:t>For Backstop Parties ONLY,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are a Backstop Party by checking the appropriate box in Item 5 of your Beneficial Holder</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Form, so that the Nominee will receive confirmation that payment does not have to be made prior to the Subscription Expiration Deadline. (This instruction is only for Backstop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Expiration Deadline is 5:00 p.m. (Prevailing Eastern Time) on [ · ], 2019.</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Beneficial Holder Subscription Forms (with accompanying IRS Form W-9 or appropriate IRS Form W-8, as applicable) must be received by the Subscription Agent and the underlying Prepetition Notes must be delivered into ATOP by the Subscription Expiration Deadline or the subscription represented by your Beneficial Holder Subscription Form will not be recognized, and the associated Subscription Rights will be deemed forever relinquished and waived.</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If you hold your Prepetition Notes through a Nominee, please note that, unless otherwise directed by your Nominee, the Beneficial Holder Subscription Form (with accompanying IRS Form W-9 or appropriate IRS Form W-8, as applicable) must be received by your Nominee in sufficient time to allow such Nominee to process and deliver your underlying Prepetition Notes through ATOP to the Subscription Agent by the Subscription Expiration Deadline or the subscription represented by your Beneficial Holder Subscription Form will not be recognized, and the associated Subscription Rights will be deemed forever relinquished and waived</w:t>
      </w:r>
    </w:p>
    <w:p>
      <w:pPr>
        <w:spacing w:after="0" w:line="184" w:lineRule="exact"/>
        <w:rPr>
          <w:sz w:val="20"/>
          <w:szCs w:val="20"/>
          <w:color w:val="auto"/>
        </w:rPr>
      </w:pPr>
    </w:p>
    <w:p>
      <w:pPr>
        <w:jc w:val="both"/>
        <w:ind w:right="360"/>
        <w:spacing w:after="0" w:line="289" w:lineRule="auto"/>
        <w:rPr>
          <w:sz w:val="20"/>
          <w:szCs w:val="20"/>
          <w:color w:val="auto"/>
        </w:rPr>
      </w:pPr>
      <w:r>
        <w:rPr>
          <w:rFonts w:ascii="Arial" w:cs="Arial" w:eastAsia="Arial" w:hAnsi="Arial"/>
          <w:sz w:val="17"/>
          <w:szCs w:val="17"/>
          <w:b w:val="1"/>
          <w:bCs w:val="1"/>
          <w:color w:val="auto"/>
        </w:rPr>
        <w:t>Further, the full payment of the Purchase Price by Noteholders who are not Backstop Parties must be received by the Subscription Agent by the Subscription Expiration Deadline or the subscription represented by your Beneficial Holder Subscription Form will not be recognized, and the associated Subscription Rights will be deemed forever relinquished and waived.</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Noteholders that are Backstop Parties must deliver the Purchase Price for their Subscribed Securities directly to the Subscription Agent or to the Escrow Account, as applicable, pursuant to the Funding Notice (except to the extent of any funding amounts previously provided by any such Noteholders to the Subscription Agent or the Escrow Account in accordance with the terms of the Backstop Commitment Agreement) no later than the Backstop Funding Deadline.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Questions relating to the Rights Offering should be directed to the Subscription Agent at the following phone number or email address:</w:t>
      </w:r>
    </w:p>
    <w:p>
      <w:pPr>
        <w:spacing w:after="0" w:line="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+1 (844) 233-5155 (domestic toll-free) or +1 (917) 942-6392 (for international calls) or weatherfordsubscription@primeclerk.com. To obtain copies of the documents, please visit https://cases.primeclerk.com/weatherford.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0" w:name="page471"/>
    <w:bookmarkEnd w:id="470"/>
    <w:p>
      <w:pPr>
        <w:ind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New York, NY 10165</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Email: weatherfordsubscription@primeclerk.com</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 xml:space="preserve">Only choose </w:t>
      </w:r>
      <w:r>
        <w:rPr>
          <w:rFonts w:ascii="Arial" w:cs="Arial" w:eastAsia="Arial" w:hAnsi="Arial"/>
          <w:sz w:val="17"/>
          <w:szCs w:val="17"/>
          <w:b w:val="1"/>
          <w:bCs w:val="1"/>
          <w:u w:val="single" w:color="auto"/>
          <w:color w:val="auto"/>
        </w:rPr>
        <w:t>one</w:t>
      </w:r>
      <w:r>
        <w:rPr>
          <w:rFonts w:ascii="Arial" w:cs="Arial" w:eastAsia="Arial" w:hAnsi="Arial"/>
          <w:sz w:val="17"/>
          <w:szCs w:val="17"/>
          <w:b w:val="1"/>
          <w:bCs w:val="1"/>
          <w:color w:val="auto"/>
        </w:rPr>
        <w:t xml:space="preserve"> method of return. If you choose to return the applicable documents via email, do not follow up with hard copies.</w:t>
      </w: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341" w:right="539" w:bottom="1440" w:gutter="0" w:footer="0" w:header="0"/>
        </w:sectPr>
      </w:pPr>
    </w:p>
    <w:bookmarkStart w:id="471" w:name="page472"/>
    <w:bookmarkEnd w:id="471"/>
    <w:p>
      <w:pPr>
        <w:jc w:val="center"/>
        <w:ind w:right="-20"/>
        <w:spacing w:after="0"/>
        <w:rPr>
          <w:sz w:val="20"/>
          <w:szCs w:val="20"/>
          <w:color w:val="auto"/>
        </w:rPr>
      </w:pPr>
      <w:r>
        <w:rPr>
          <w:rFonts w:ascii="Arial" w:cs="Arial" w:eastAsia="Arial" w:hAnsi="Arial"/>
          <w:sz w:val="18"/>
          <w:szCs w:val="18"/>
          <w:b w:val="1"/>
          <w:bCs w:val="1"/>
          <w:u w:val="single" w:color="auto"/>
          <w:color w:val="auto"/>
        </w:rPr>
        <w:t>Annex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Beneficial Holder Subscription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2" w:name="page473"/>
    <w:bookmarkEnd w:id="472"/>
    <w:p>
      <w:pPr>
        <w:jc w:val="center"/>
        <w:ind w:right="-59"/>
        <w:spacing w:after="0"/>
        <w:rPr>
          <w:sz w:val="20"/>
          <w:szCs w:val="20"/>
          <w:color w:val="auto"/>
        </w:rPr>
      </w:pPr>
      <w:r>
        <w:rPr>
          <w:rFonts w:ascii="Arial" w:cs="Arial" w:eastAsia="Arial" w:hAnsi="Arial"/>
          <w:sz w:val="18"/>
          <w:szCs w:val="18"/>
          <w:b w:val="1"/>
          <w:bCs w:val="1"/>
          <w:color w:val="auto"/>
        </w:rPr>
        <w:t>WEATHERFORD RIGHTS OFFERING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BENEFICIAL HOLDER SUBSCRIPTION FORM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USE BY NOTEHOLDERS IN CONNECTION WITH THE DEBTORS’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PROPOSED CONFIRMATION OF THE PLAN AND THE RELATED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STATEMENT DATED June 28, 2019</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SUBSCRIPTION EXPIRATION DEADLINE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Expiration Deadline is 5:00 p.m. (Prevailing Eastern Time) on [ · ], 2019.</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Backstop Parties must deliver the appropriate funding amounts directly to the Subscription Agent or the Escrow Account, as applicable (except to the extent of any funding amounts previously provided by any such Backstop Party to the Subscription Agent or the Escrow Account in accordance with the terms of the Backstop Commitment Agreement), no later than the deadline specified in the Funding Notice (the “Backstop Funding Deadline”).</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If you hold your Prepetition Notes through a Nominee, your duly completed and executed Beneficial Holder Subscription Form (with accompanying IRS Form W-9 or appropriate IRS Form W-8, as applicable) must be received </w:t>
      </w:r>
      <w:r>
        <w:rPr>
          <w:rFonts w:ascii="Arial" w:cs="Arial" w:eastAsia="Arial" w:hAnsi="Arial"/>
          <w:sz w:val="17"/>
          <w:szCs w:val="17"/>
          <w:b w:val="1"/>
          <w:bCs w:val="1"/>
          <w:u w:val="single" w:color="auto"/>
          <w:color w:val="auto"/>
        </w:rPr>
        <w:t>by your Nominee (or as otherwise directed by your Nominee)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sufficient time</w:t>
      </w:r>
      <w:r>
        <w:rPr>
          <w:rFonts w:ascii="Arial" w:cs="Arial" w:eastAsia="Arial" w:hAnsi="Arial"/>
          <w:sz w:val="17"/>
          <w:szCs w:val="17"/>
          <w:b w:val="1"/>
          <w:bCs w:val="1"/>
          <w:color w:val="auto"/>
        </w:rPr>
        <w:t xml:space="preserve"> to allow such Nominee to deliver your underlying Prepetition Notes through ATOP and your Beneficial Holder Subscription Form to the Subscription Agent by the Subscription Expiration Deadline or the subscription represented by your Beneficial Holder Subscription Form will not be recognized and will be deemed forever relinquished and waived.</w:t>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Further, you must complete (or otherwise coordinate for the completion of) a wire transfer of the Purchase Price to the Subscription Agent in accordance with the wire instructions by the Subscription Expiration Deadline, or in accordance with the Funding Notice if you are a Backstop Party, or the subscription represented by your Beneficial Holder Subscription Form will not be recognized and will be deemed forever relinquished and waived.</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The Offered Securities are being solicited under and will be distributed and issued by the Debtors without registration under the Securities Act of 1933, as amended (the “Securities Act”), in reliance upon the exemption provided in section 1145 of the Bankruptcy Code. None of the Offered Securities have been registered under the Securities Act, nor any state or local law requiring registration for offer or sale of a security. No offer of securities to the public is being made, or will be made, in any Member State of the European Economic Area that requires the publication of a prospectus or in, or to, any Restricted Jurisdiction.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consult the Plan and the Rights Offering Procedures for additional information with respect to this Beneficial Holder Subscription Form.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terms capitalized but not defined herein shall have the meaning as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73" w:name="page474"/>
    <w:bookmarkEnd w:id="473"/>
    <w:p>
      <w:pPr>
        <w:ind w:firstLine="648"/>
        <w:spacing w:after="0" w:line="264" w:lineRule="auto"/>
        <w:rPr>
          <w:sz w:val="20"/>
          <w:szCs w:val="20"/>
          <w:color w:val="auto"/>
        </w:rPr>
      </w:pPr>
      <w:r>
        <w:rPr>
          <w:rFonts w:ascii="Arial" w:cs="Arial" w:eastAsia="Arial" w:hAnsi="Arial"/>
          <w:sz w:val="18"/>
          <w:szCs w:val="18"/>
          <w:color w:val="auto"/>
        </w:rPr>
        <w:t>Each Noteholder is entitled to subscribe for its Pro Rata share of Offered Securities. The maximum amount of Offered Securities for which a Noteholder is entitled to subscribe (calculated based on the principal amount of underlying Prepetition Notes electronically delivered via ATOP) is referred to as the “</w:t>
      </w:r>
      <w:r>
        <w:rPr>
          <w:rFonts w:ascii="Arial" w:cs="Arial" w:eastAsia="Arial" w:hAnsi="Arial"/>
          <w:sz w:val="18"/>
          <w:szCs w:val="18"/>
          <w:b w:val="1"/>
          <w:bCs w:val="1"/>
          <w:color w:val="auto"/>
        </w:rPr>
        <w:t>Maximum Participation Amount</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subscribe, fill out all Items below (unless marked as optional).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b w:val="1"/>
          <w:bCs w:val="1"/>
          <w:color w:val="auto"/>
        </w:rPr>
        <w:t>Item 1. Amount of Prepetition Notes and Calculation of Maximum Amount of Offered Securities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undersigned Noteholder certifies that it is a beneficial Holder of Prepetition Notes in the following principal amount and that the person executing this form is an authorized signatory of that beneficial Holder. For purposes of this Beneficial Holder Subscription Form, do not adjust the principal (face) amount for any accrued or unmatured interest. The amounts below must correspond to the principal amounts of Prepetition Notes that your Nominee electronically delivers via ATOP. If there is a discrepancy between Item 1 and the amount delivered via ATOP, the amount submitted through ATOP shall control. (If a Nominee holds your Prepetition Notes on your behalf and you do not know the principal amount, please contact your Nominee immediately). The undersigned Noteholder also certifies that (i) in the event it is located in the European Economic Area, it is a “qualified investor” and that (ii) it is not otherwise located in a Restricted Jurisdiction.</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IMPORTANT NOTE: IF YOU HOLD YOUR NOTES THROUGH MORE THAN ONE NOMINEE,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AND RETURN A SEPARATE BENEFICIAL HOLDER SUBSCRIPTION FORM TO EACH APPLICABLE NOMINEE. YOU MAY NOT AGGREGATE POSITIONS HELD BY DIFFERENT NOMINEES ON A SINGLE BENEFICIAL HOLDER SUBSCRIPTION FORM.</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principal amount of Prepetition Notes electronically delivered through ATOP and calculate Maximum Amount of Offered Securities for each CUSIP</w:t>
      </w:r>
      <w:r>
        <w:rPr>
          <w:rFonts w:ascii="Arial" w:cs="Arial" w:eastAsia="Arial" w:hAnsi="Arial"/>
          <w:sz w:val="18"/>
          <w:szCs w:val="18"/>
          <w:color w:val="auto"/>
        </w:rPr>
        <w:t xml:space="preserve"> </w:t>
      </w:r>
      <w:r>
        <w:rPr>
          <w:rFonts w:ascii="Arial" w:cs="Arial" w:eastAsia="Arial" w:hAnsi="Arial"/>
          <w:sz w:val="18"/>
          <w:szCs w:val="18"/>
          <w:i w:val="1"/>
          <w:iCs w:val="1"/>
          <w:color w:val="auto"/>
        </w:rPr>
        <w:t>held</w:t>
      </w:r>
      <w:r>
        <w:rPr>
          <w:rFonts w:ascii="Arial" w:cs="Arial" w:eastAsia="Arial" w:hAnsi="Arial"/>
          <w:sz w:val="18"/>
          <w:szCs w:val="18"/>
          <w:color w:val="auto"/>
        </w:rPr>
        <w: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8" w:right="339" w:bottom="1440" w:gutter="0" w:footer="0" w:header="0"/>
        </w:sectPr>
      </w:pPr>
    </w:p>
    <w:bookmarkStart w:id="475" w:name="page476"/>
    <w:bookmarkEnd w:id="475"/>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5.125% senior unsecured notes due 2020, issued by Weatherford International Ltd.</w:t>
      </w:r>
    </w:p>
    <w:p>
      <w:pPr>
        <w:spacing w:after="0" w:line="154"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7.750% senior unsecured notes due 2021, issued by Weatherford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82689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0" w:hanging="152"/>
        <w:spacing w:after="0"/>
        <w:tabs>
          <w:tab w:leader="none" w:pos="160" w:val="left"/>
        </w:tabs>
        <w:numPr>
          <w:ilvl w:val="0"/>
          <w:numId w:val="596"/>
        </w:numPr>
        <w:rPr>
          <w:rFonts w:ascii="Arial" w:cs="Arial" w:eastAsia="Arial" w:hAnsi="Arial"/>
          <w:sz w:val="21"/>
          <w:szCs w:val="21"/>
          <w:color w:val="auto"/>
          <w:vertAlign w:val="superscript"/>
        </w:rPr>
      </w:pPr>
      <w:r>
        <w:rPr>
          <w:rFonts w:ascii="Arial" w:cs="Arial" w:eastAsia="Arial" w:hAnsi="Arial"/>
          <w:sz w:val="16"/>
          <w:szCs w:val="16"/>
          <w:color w:val="auto"/>
        </w:rPr>
        <w:t>Trustee to provide CUSIPs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68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Arial" w:cs="Arial" w:eastAsia="Arial" w:hAnsi="Arial"/>
                <w:sz w:val="18"/>
                <w:szCs w:val="18"/>
                <w:color w:val="auto"/>
              </w:rPr>
              <w:t>[ · ] / [ · ]</w:t>
            </w:r>
            <w:r>
              <w:rPr>
                <w:rFonts w:ascii="Arial" w:cs="Arial" w:eastAsia="Arial" w:hAnsi="Arial"/>
                <w:sz w:val="23"/>
                <w:szCs w:val="23"/>
                <w:color w:val="auto"/>
                <w:vertAlign w:val="superscript"/>
              </w:rPr>
              <w:t>2</w:t>
            </w:r>
          </w:p>
        </w:tc>
        <w:tc>
          <w:tcPr>
            <w:tcW w:w="16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3"/>
              </w:rPr>
              <w:t>Item 1a</w:t>
            </w:r>
          </w:p>
        </w:tc>
      </w:tr>
      <w:tr>
        <w:trPr>
          <w:trHeight w:val="20"/>
        </w:trPr>
        <w:tc>
          <w:tcPr>
            <w:tcW w:w="1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80" w:type="dxa"/>
            <w:vAlign w:val="bottom"/>
          </w:tcPr>
          <w:p>
            <w:pPr>
              <w:ind w:left="20"/>
              <w:spacing w:after="0"/>
              <w:rPr>
                <w:sz w:val="20"/>
                <w:szCs w:val="20"/>
                <w:color w:val="auto"/>
              </w:rPr>
            </w:pPr>
            <w:r>
              <w:rPr>
                <w:rFonts w:ascii="Arial" w:cs="Arial" w:eastAsia="Arial" w:hAnsi="Arial"/>
                <w:sz w:val="18"/>
                <w:szCs w:val="18"/>
                <w:color w:val="auto"/>
              </w:rPr>
              <w:t>[ · ] / [ · ]</w:t>
            </w:r>
          </w:p>
        </w:tc>
        <w:tc>
          <w:tcPr>
            <w:tcW w:w="16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Item 1b</w:t>
            </w:r>
          </w:p>
        </w:tc>
        <w:tc>
          <w:tcPr>
            <w:tcW w:w="68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90"/>
              </w:rPr>
              <w:t>$1,000 increment)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81280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100" w:space="260"/>
            <w:col w:w="9060"/>
          </w:cols>
          <w:pgMar w:left="240" w:top="320" w:right="239" w:bottom="1440" w:gutter="0" w:footer="0" w:header="0"/>
        </w:sectPr>
      </w:pPr>
    </w:p>
    <w:bookmarkStart w:id="476" w:name="page477"/>
    <w:bookmarkEnd w:id="476"/>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5.875% exchangeable senior unsecured notes due 2021, issued by Weatherford International Ltd.</w:t>
      </w:r>
    </w:p>
    <w:p>
      <w:pPr>
        <w:spacing w:after="0" w:line="154" w:lineRule="exact"/>
        <w:rPr>
          <w:sz w:val="20"/>
          <w:szCs w:val="20"/>
          <w:color w:val="auto"/>
        </w:rPr>
      </w:pPr>
    </w:p>
    <w:p>
      <w:pPr>
        <w:jc w:val="center"/>
        <w:ind w:left="20" w:right="100"/>
        <w:spacing w:after="0" w:line="302" w:lineRule="auto"/>
        <w:rPr>
          <w:sz w:val="20"/>
          <w:szCs w:val="20"/>
          <w:color w:val="auto"/>
        </w:rPr>
      </w:pPr>
      <w:r>
        <w:rPr>
          <w:rFonts w:ascii="Arial" w:cs="Arial" w:eastAsia="Arial" w:hAnsi="Arial"/>
          <w:sz w:val="16"/>
          <w:szCs w:val="16"/>
          <w:color w:val="auto"/>
        </w:rPr>
        <w:t>4.500% senior unsecured notes due 2022, issued by Weatherford International Ltd.</w:t>
      </w:r>
    </w:p>
    <w:p>
      <w:pPr>
        <w:spacing w:after="0" w:line="154" w:lineRule="exact"/>
        <w:rPr>
          <w:sz w:val="20"/>
          <w:szCs w:val="20"/>
          <w:color w:val="auto"/>
        </w:rPr>
      </w:pPr>
    </w:p>
    <w:p>
      <w:pPr>
        <w:jc w:val="center"/>
        <w:ind w:left="20" w:right="100"/>
        <w:spacing w:after="0" w:line="302" w:lineRule="auto"/>
        <w:rPr>
          <w:sz w:val="20"/>
          <w:szCs w:val="20"/>
          <w:color w:val="auto"/>
        </w:rPr>
      </w:pPr>
      <w:r>
        <w:rPr>
          <w:rFonts w:ascii="Arial" w:cs="Arial" w:eastAsia="Arial" w:hAnsi="Arial"/>
          <w:sz w:val="16"/>
          <w:szCs w:val="16"/>
          <w:color w:val="auto"/>
        </w:rPr>
        <w:t>8.250% senior unsecured notes due 2023, issued by Weatherford International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0"/>
              </w:rPr>
              <w:t>Item 1c</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Item 1d</w:t>
            </w:r>
          </w:p>
        </w:tc>
        <w:tc>
          <w:tcPr>
            <w:tcW w:w="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0"/>
              </w:rPr>
              <w:t>Item 1e</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432"/>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66675</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080" w:space="280"/>
            <w:col w:w="9060"/>
          </w:cols>
          <w:pgMar w:left="240" w:top="320" w:right="239" w:bottom="1440" w:gutter="0" w:footer="0" w:header="0"/>
        </w:sectPr>
      </w:pPr>
    </w:p>
    <w:bookmarkStart w:id="477" w:name="page478"/>
    <w:bookmarkEnd w:id="477"/>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9.875% senior unsecured notes due 2024,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6.500% senior unsecured notes due 2036,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7.000% senior unsecured notes due 2038, issued by Weatherford International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Item 1f</w:t>
            </w:r>
          </w:p>
        </w:tc>
        <w:tc>
          <w:tcPr>
            <w:tcW w:w="700" w:type="dxa"/>
            <w:vAlign w:val="bottom"/>
            <w:gridSpan w:val="2"/>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28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1"/>
              </w:rPr>
              <w:t>Item 1g</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Item 1h</w:t>
            </w:r>
          </w:p>
        </w:tc>
        <w:tc>
          <w:tcPr>
            <w:tcW w:w="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432"/>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6</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66675</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980" w:space="380"/>
            <w:col w:w="9060"/>
          </w:cols>
          <w:pgMar w:left="240" w:top="320" w:right="239" w:bottom="1440" w:gutter="0" w:footer="0" w:header="0"/>
        </w:sectPr>
      </w:pPr>
    </w:p>
    <w:bookmarkStart w:id="478" w:name="page479"/>
    <w:bookmarkEnd w:id="478"/>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9.875% senior unsecured notes due 2039,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6.750% senior unsecured notes due 2040,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5.950% senior unsecured notes due 2042, issued by Weatherford International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94"/>
              </w:rPr>
              <w:t>Item 1i</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Item 1j</w:t>
            </w:r>
          </w:p>
        </w:tc>
        <w:tc>
          <w:tcPr>
            <w:tcW w:w="700" w:type="dxa"/>
            <w:vAlign w:val="bottom"/>
            <w:gridSpan w:val="2"/>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Item 1k</w:t>
            </w:r>
          </w:p>
        </w:tc>
        <w:tc>
          <w:tcPr>
            <w:tcW w:w="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0"/>
              </w:rPr>
              <w:t>$1,000 increment)</w:t>
            </w:r>
          </w:p>
        </w:tc>
      </w:tr>
      <w:tr>
        <w:trPr>
          <w:trHeight w:val="432"/>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7</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66675</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980" w:space="380"/>
            <w:col w:w="9060"/>
          </w:cols>
          <w:pgMar w:left="240" w:top="320" w:right="239" w:bottom="1440" w:gutter="0" w:footer="0" w:header="0"/>
        </w:sectPr>
      </w:pPr>
    </w:p>
    <w:bookmarkStart w:id="479" w:name="page480"/>
    <w:bookmarkEnd w:id="479"/>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ind w:left="80"/>
        <w:spacing w:after="0" w:line="302" w:lineRule="auto"/>
        <w:rPr>
          <w:sz w:val="20"/>
          <w:szCs w:val="20"/>
          <w:color w:val="auto"/>
        </w:rPr>
      </w:pPr>
      <w:r>
        <w:rPr>
          <w:rFonts w:ascii="Arial" w:cs="Arial" w:eastAsia="Arial" w:hAnsi="Arial"/>
          <w:sz w:val="16"/>
          <w:szCs w:val="16"/>
          <w:color w:val="auto"/>
        </w:rPr>
        <w:t>9.875% senior unsecured notes due 2025, issued by Weatherford International, LLC</w:t>
      </w:r>
    </w:p>
    <w:p>
      <w:pPr>
        <w:spacing w:after="0" w:line="154" w:lineRule="exact"/>
        <w:rPr>
          <w:sz w:val="20"/>
          <w:szCs w:val="20"/>
          <w:color w:val="auto"/>
        </w:rPr>
      </w:pPr>
    </w:p>
    <w:p>
      <w:pPr>
        <w:jc w:val="center"/>
        <w:ind w:left="80"/>
        <w:spacing w:after="0" w:line="302" w:lineRule="auto"/>
        <w:rPr>
          <w:sz w:val="20"/>
          <w:szCs w:val="20"/>
          <w:color w:val="auto"/>
        </w:rPr>
      </w:pPr>
      <w:r>
        <w:rPr>
          <w:rFonts w:ascii="Arial" w:cs="Arial" w:eastAsia="Arial" w:hAnsi="Arial"/>
          <w:sz w:val="16"/>
          <w:szCs w:val="16"/>
          <w:color w:val="auto"/>
        </w:rPr>
        <w:t>6.800% senior unsecured notes due 2037, issued by Weatherford International,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60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4"/>
              </w:rPr>
              <w:t>Item 1l</w:t>
            </w:r>
          </w:p>
        </w:tc>
      </w:tr>
      <w:tr>
        <w:trPr>
          <w:trHeight w:val="20"/>
        </w:trPr>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60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Item 1m</w:t>
            </w:r>
          </w:p>
        </w:tc>
        <w:tc>
          <w:tcPr>
            <w:tcW w:w="660" w:type="dxa"/>
            <w:vAlign w:val="bottom"/>
          </w:tcPr>
          <w:p>
            <w:pPr>
              <w:spacing w:after="0"/>
              <w:rPr>
                <w:sz w:val="24"/>
                <w:szCs w:val="24"/>
                <w:color w:val="auto"/>
              </w:rPr>
            </w:pPr>
          </w:p>
        </w:tc>
      </w:tr>
    </w:tbl>
    <w:p>
      <w:pPr>
        <w:spacing w:after="0" w:line="13" w:lineRule="exact"/>
        <w:rPr>
          <w:sz w:val="20"/>
          <w:szCs w:val="20"/>
          <w:color w:val="auto"/>
        </w:rPr>
      </w:pPr>
    </w:p>
    <w:p>
      <w:pPr>
        <w:jc w:val="center"/>
        <w:ind w:left="-6739"/>
        <w:spacing w:after="0"/>
        <w:rPr>
          <w:sz w:val="20"/>
          <w:szCs w:val="20"/>
          <w:color w:val="auto"/>
        </w:rPr>
      </w:pPr>
      <w:r>
        <w:rPr>
          <w:rFonts w:ascii="Arial" w:cs="Arial" w:eastAsia="Arial" w:hAnsi="Arial"/>
          <w:sz w:val="16"/>
          <w:szCs w:val="16"/>
          <w:color w:val="auto"/>
        </w:rPr>
        <w:t>(Round down to the nearest</w:t>
      </w:r>
    </w:p>
    <w:p>
      <w:pPr>
        <w:spacing w:after="0" w:line="46" w:lineRule="exact"/>
        <w:rPr>
          <w:sz w:val="20"/>
          <w:szCs w:val="20"/>
          <w:color w:val="auto"/>
        </w:rPr>
      </w:pPr>
    </w:p>
    <w:p>
      <w:pPr>
        <w:jc w:val="center"/>
        <w:ind w:left="-6739"/>
        <w:spacing w:after="0"/>
        <w:rPr>
          <w:sz w:val="20"/>
          <w:szCs w:val="20"/>
          <w:color w:val="auto"/>
        </w:rPr>
      </w:pPr>
      <w:r>
        <w:rPr>
          <w:rFonts w:ascii="Arial" w:cs="Arial" w:eastAsia="Arial" w:hAnsi="Arial"/>
          <w:sz w:val="18"/>
          <w:szCs w:val="18"/>
          <w:color w:val="auto"/>
        </w:rPr>
        <w:t>$1,000 increment)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i w:val="1"/>
          <w:iCs w:val="1"/>
          <w:color w:val="auto"/>
        </w:rPr>
        <w:t>Total Maximum Participation Amount (Total of Items 1a-1m):</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000" w:space="380"/>
            <w:col w:w="9040"/>
          </w:cols>
          <w:pgMar w:left="240" w:top="321" w:right="23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b w:val="1"/>
          <w:bCs w:val="1"/>
          <w:color w:val="auto"/>
        </w:rPr>
        <w:t>Item 2. Purchase Price for Offered Securities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By filling in the following blanks, you are subscribing for the amount of Offered Securities specified below (specify an amount of Offered Securities, which is not greater than the Maximum Participation Amount calculated in Item 1 above), on the terms and subject to the conditions set forth in the Plan and the Rights Offering Procedures.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60" w:type="dxa"/>
            <w:vAlign w:val="bottom"/>
          </w:tcPr>
          <w:p>
            <w:pPr>
              <w:spacing w:after="0"/>
              <w:rPr>
                <w:sz w:val="18"/>
                <w:szCs w:val="18"/>
                <w:color w:val="auto"/>
              </w:rPr>
            </w:pP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60"/>
              <w:spacing w:after="0"/>
              <w:rPr>
                <w:sz w:val="20"/>
                <w:szCs w:val="20"/>
                <w:color w:val="auto"/>
              </w:rPr>
            </w:pPr>
            <w:r>
              <w:rPr>
                <w:rFonts w:ascii="Arial" w:cs="Arial" w:eastAsia="Arial" w:hAnsi="Arial"/>
                <w:sz w:val="18"/>
                <w:szCs w:val="18"/>
                <w:color w:val="auto"/>
              </w:rPr>
              <w:t>2a</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89"/>
              </w:rPr>
              <w:t>purchase — not to exceed the amount in Item 1a</w:t>
            </w:r>
          </w:p>
        </w:tc>
        <w:tc>
          <w:tcPr>
            <w:tcW w:w="360" w:type="dxa"/>
            <w:vAlign w:val="bottom"/>
          </w:tcPr>
          <w:p>
            <w:pPr>
              <w:ind w:left="200"/>
              <w:spacing w:after="0"/>
              <w:rPr>
                <w:sz w:val="20"/>
                <w:szCs w:val="20"/>
                <w:color w:val="auto"/>
              </w:rPr>
            </w:pPr>
            <w:r>
              <w:rPr>
                <w:rFonts w:ascii="Arial" w:cs="Arial" w:eastAsia="Arial" w:hAnsi="Arial"/>
                <w:sz w:val="18"/>
                <w:szCs w:val="18"/>
                <w:color w:val="auto"/>
              </w:rPr>
              <w:t>x</w:t>
            </w: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2a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60" w:type="dxa"/>
            <w:vAlign w:val="bottom"/>
          </w:tcPr>
          <w:p>
            <w:pPr>
              <w:spacing w:after="0"/>
              <w:rPr>
                <w:sz w:val="7"/>
                <w:szCs w:val="7"/>
                <w:color w:val="auto"/>
              </w:rPr>
            </w:pPr>
          </w:p>
        </w:tc>
        <w:tc>
          <w:tcPr>
            <w:tcW w:w="294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60" w:type="dxa"/>
            <w:vAlign w:val="bottom"/>
          </w:tcPr>
          <w:p>
            <w:pPr>
              <w:spacing w:after="0"/>
              <w:rPr>
                <w:sz w:val="24"/>
                <w:szCs w:val="24"/>
                <w:color w:val="auto"/>
              </w:rPr>
            </w:pP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2b</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1b</w:t>
            </w:r>
          </w:p>
        </w:tc>
        <w:tc>
          <w:tcPr>
            <w:tcW w:w="360" w:type="dxa"/>
            <w:vAlign w:val="bottom"/>
          </w:tcPr>
          <w:p>
            <w:pPr>
              <w:ind w:left="200"/>
              <w:spacing w:after="0"/>
              <w:rPr>
                <w:sz w:val="20"/>
                <w:szCs w:val="20"/>
                <w:color w:val="auto"/>
              </w:rPr>
            </w:pPr>
            <w:r>
              <w:rPr>
                <w:rFonts w:ascii="Arial" w:cs="Arial" w:eastAsia="Arial" w:hAnsi="Arial"/>
                <w:sz w:val="18"/>
                <w:szCs w:val="18"/>
                <w:color w:val="auto"/>
              </w:rPr>
              <w:t>x</w:t>
            </w: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2b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60" w:type="dxa"/>
            <w:vAlign w:val="bottom"/>
          </w:tcPr>
          <w:p>
            <w:pPr>
              <w:spacing w:after="0"/>
              <w:rPr>
                <w:sz w:val="7"/>
                <w:szCs w:val="7"/>
                <w:color w:val="auto"/>
              </w:rPr>
            </w:pPr>
          </w:p>
        </w:tc>
        <w:tc>
          <w:tcPr>
            <w:tcW w:w="294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jc w:val="right"/>
              <w:ind w:right="269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18"/>
                <w:szCs w:val="18"/>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60"/>
              <w:spacing w:after="0"/>
              <w:rPr>
                <w:sz w:val="20"/>
                <w:szCs w:val="20"/>
                <w:color w:val="auto"/>
              </w:rPr>
            </w:pPr>
            <w:r>
              <w:rPr>
                <w:rFonts w:ascii="Arial" w:cs="Arial" w:eastAsia="Arial" w:hAnsi="Arial"/>
                <w:sz w:val="18"/>
                <w:szCs w:val="18"/>
                <w:color w:val="auto"/>
              </w:rPr>
              <w:t>2c</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89"/>
              </w:rPr>
              <w:t>purchase — not to exceed the amount in Item 1c</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2c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2d</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1d</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2d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60"/>
              <w:spacing w:after="0"/>
              <w:rPr>
                <w:sz w:val="20"/>
                <w:szCs w:val="20"/>
                <w:color w:val="auto"/>
              </w:rPr>
            </w:pPr>
            <w:r>
              <w:rPr>
                <w:rFonts w:ascii="Arial" w:cs="Arial" w:eastAsia="Arial" w:hAnsi="Arial"/>
                <w:sz w:val="18"/>
                <w:szCs w:val="18"/>
                <w:color w:val="auto"/>
              </w:rPr>
              <w:t>2e</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89"/>
              </w:rPr>
              <w:t>purchase — not to exceed the amount in Item 1e</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2e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right"/>
              <w:ind w:right="2650"/>
              <w:spacing w:after="0"/>
              <w:rPr>
                <w:sz w:val="20"/>
                <w:szCs w:val="20"/>
                <w:color w:val="auto"/>
              </w:rPr>
            </w:pPr>
            <w:r>
              <w:rPr>
                <w:rFonts w:ascii="Arial" w:cs="Arial" w:eastAsia="Arial" w:hAnsi="Arial"/>
                <w:sz w:val="18"/>
                <w:szCs w:val="18"/>
                <w:color w:val="auto"/>
                <w:w w:val="99"/>
              </w:rPr>
              <w:t>10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18"/>
                <w:szCs w:val="18"/>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70"/>
              <w:spacing w:after="0"/>
              <w:rPr>
                <w:sz w:val="20"/>
                <w:szCs w:val="20"/>
                <w:color w:val="auto"/>
              </w:rPr>
            </w:pPr>
            <w:r>
              <w:rPr>
                <w:rFonts w:ascii="Arial" w:cs="Arial" w:eastAsia="Arial" w:hAnsi="Arial"/>
                <w:sz w:val="18"/>
                <w:szCs w:val="18"/>
                <w:color w:val="auto"/>
              </w:rPr>
              <w:t>2f</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0"/>
              </w:rPr>
              <w:t>purchase — not to exceed the amount in Item 1f</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 xml:space="preserve">Item 2f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2g</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1g</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2g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2h</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1h</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2h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right"/>
              <w:ind w:right="2650"/>
              <w:spacing w:after="0"/>
              <w:rPr>
                <w:sz w:val="20"/>
                <w:szCs w:val="20"/>
                <w:color w:val="auto"/>
              </w:rPr>
            </w:pPr>
            <w:r>
              <w:rPr>
                <w:rFonts w:ascii="Arial" w:cs="Arial" w:eastAsia="Arial" w:hAnsi="Arial"/>
                <w:sz w:val="18"/>
                <w:szCs w:val="18"/>
                <w:color w:val="auto"/>
                <w:w w:val="99"/>
              </w:rPr>
              <w:t>11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18"/>
                <w:szCs w:val="18"/>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99"/>
              </w:rPr>
              <w:t>2i</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90"/>
              </w:rPr>
              <w:t>purchase — not to exceed the amount in Item 1i</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2i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99"/>
              </w:rPr>
              <w:t>2j</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90"/>
              </w:rPr>
              <w:t>purchase — not to exceed the amount in Item 1j</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 xml:space="preserve">Item 2j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94"/>
              </w:rPr>
              <w:t>2k</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90"/>
              </w:rPr>
              <w:t>purchase — not to exceed the amount in Item 1k</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 xml:space="preserve">Item 2k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right"/>
              <w:ind w:right="2650"/>
              <w:spacing w:after="0"/>
              <w:rPr>
                <w:sz w:val="20"/>
                <w:szCs w:val="20"/>
                <w:color w:val="auto"/>
              </w:rPr>
            </w:pPr>
            <w:r>
              <w:rPr>
                <w:rFonts w:ascii="Arial" w:cs="Arial" w:eastAsia="Arial" w:hAnsi="Arial"/>
                <w:sz w:val="18"/>
                <w:szCs w:val="18"/>
                <w:color w:val="auto"/>
                <w:w w:val="99"/>
              </w:rPr>
              <w:t>12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4600" w:type="dxa"/>
            <w:vAlign w:val="bottom"/>
            <w:gridSpan w:val="2"/>
          </w:tcPr>
          <w:p>
            <w:pPr>
              <w:jc w:val="center"/>
              <w:ind w:right="370"/>
              <w:spacing w:after="0" w:line="194" w:lineRule="exact"/>
              <w:rPr>
                <w:sz w:val="20"/>
                <w:szCs w:val="20"/>
                <w:color w:val="auto"/>
              </w:rPr>
            </w:pPr>
            <w:r>
              <w:rPr>
                <w:rFonts w:ascii="Arial" w:cs="Arial" w:eastAsia="Arial" w:hAnsi="Arial"/>
                <w:sz w:val="18"/>
                <w:szCs w:val="18"/>
                <w:color w:val="auto"/>
                <w:w w:val="91"/>
              </w:rPr>
              <w:t>(Insert amount of Offered Securities you elect to</w:t>
            </w:r>
          </w:p>
        </w:tc>
        <w:tc>
          <w:tcPr>
            <w:tcW w:w="1660" w:type="dxa"/>
            <w:vAlign w:val="bottom"/>
          </w:tcPr>
          <w:p>
            <w:pPr>
              <w:spacing w:after="0"/>
              <w:rPr>
                <w:sz w:val="16"/>
                <w:szCs w:val="16"/>
                <w:color w:val="auto"/>
              </w:rPr>
            </w:pPr>
          </w:p>
        </w:tc>
        <w:tc>
          <w:tcPr>
            <w:tcW w:w="3280" w:type="dxa"/>
            <w:vAlign w:val="bottom"/>
          </w:tcPr>
          <w:p>
            <w:pPr>
              <w:jc w:val="center"/>
              <w:ind w:left="610"/>
              <w:spacing w:after="0" w:line="194" w:lineRule="exact"/>
              <w:rPr>
                <w:sz w:val="20"/>
                <w:szCs w:val="20"/>
                <w:color w:val="auto"/>
              </w:rPr>
            </w:pPr>
            <w:r>
              <w:rPr>
                <w:rFonts w:ascii="Arial" w:cs="Arial" w:eastAsia="Arial" w:hAnsi="Arial"/>
                <w:sz w:val="18"/>
                <w:szCs w:val="18"/>
                <w:color w:val="auto"/>
                <w:w w:val="95"/>
              </w:rPr>
              <w:t>$[1,000]</w:t>
            </w:r>
          </w:p>
        </w:tc>
        <w:tc>
          <w:tcPr>
            <w:tcW w:w="240" w:type="dxa"/>
            <w:vAlign w:val="bottom"/>
          </w:tcPr>
          <w:p>
            <w:pPr>
              <w:spacing w:after="0"/>
              <w:rPr>
                <w:sz w:val="16"/>
                <w:szCs w:val="16"/>
                <w:color w:val="auto"/>
              </w:rPr>
            </w:pPr>
          </w:p>
        </w:tc>
        <w:tc>
          <w:tcPr>
            <w:tcW w:w="6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4"/>
              </w:rPr>
              <w:t>Item 2l</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99"/>
              </w:rPr>
              <w:t>2l</w:t>
            </w:r>
          </w:p>
        </w:tc>
        <w:tc>
          <w:tcPr>
            <w:tcW w:w="4600" w:type="dxa"/>
            <w:vAlign w:val="bottom"/>
            <w:gridSpan w:val="2"/>
          </w:tcPr>
          <w:p>
            <w:pPr>
              <w:jc w:val="center"/>
              <w:ind w:right="370"/>
              <w:spacing w:after="0"/>
              <w:rPr>
                <w:sz w:val="20"/>
                <w:szCs w:val="20"/>
                <w:color w:val="auto"/>
              </w:rPr>
            </w:pPr>
            <w:r>
              <w:rPr>
                <w:rFonts w:ascii="Arial" w:cs="Arial" w:eastAsia="Arial" w:hAnsi="Arial"/>
                <w:sz w:val="18"/>
                <w:szCs w:val="18"/>
                <w:color w:val="auto"/>
                <w:w w:val="90"/>
              </w:rPr>
              <w:t>purchase — not to exceed the amount in Item 1l</w:t>
            </w:r>
          </w:p>
        </w:tc>
        <w:tc>
          <w:tcPr>
            <w:tcW w:w="1660" w:type="dxa"/>
            <w:vAlign w:val="bottom"/>
          </w:tcPr>
          <w:p>
            <w:pPr>
              <w:ind w:left="740"/>
              <w:spacing w:after="0"/>
              <w:rPr>
                <w:sz w:val="20"/>
                <w:szCs w:val="20"/>
                <w:color w:val="auto"/>
              </w:rPr>
            </w:pPr>
            <w:r>
              <w:rPr>
                <w:rFonts w:ascii="Arial" w:cs="Arial" w:eastAsia="Arial" w:hAnsi="Arial"/>
                <w:sz w:val="18"/>
                <w:szCs w:val="18"/>
                <w:color w:val="auto"/>
              </w:rPr>
              <w:t>x</w:t>
            </w: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(Per $1,000 principal amount of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1450"/>
              <w:spacing w:after="0"/>
              <w:rPr>
                <w:sz w:val="20"/>
                <w:szCs w:val="20"/>
                <w:color w:val="auto"/>
              </w:rPr>
            </w:pPr>
            <w:r>
              <w:rPr>
                <w:rFonts w:ascii="Arial" w:cs="Arial" w:eastAsia="Arial" w:hAnsi="Arial"/>
                <w:sz w:val="18"/>
                <w:szCs w:val="18"/>
                <w:color w:val="auto"/>
                <w:w w:val="91"/>
              </w:rPr>
              <w:t>calculated in Item 1 above)</w:t>
            </w:r>
          </w:p>
        </w:tc>
        <w:tc>
          <w:tcPr>
            <w:tcW w:w="1660" w:type="dxa"/>
            <w:vAlign w:val="bottom"/>
          </w:tcPr>
          <w:p>
            <w:pPr>
              <w:spacing w:after="0"/>
              <w:rPr>
                <w:sz w:val="18"/>
                <w:szCs w:val="18"/>
                <w:color w:val="auto"/>
              </w:rPr>
            </w:pP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Offered Securities)</w:t>
            </w:r>
          </w:p>
        </w:tc>
        <w:tc>
          <w:tcPr>
            <w:tcW w:w="2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6"/>
              </w:rPr>
              <w:t>Purchase</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Price</w:t>
            </w:r>
          </w:p>
        </w:tc>
      </w:tr>
      <w:tr>
        <w:trPr>
          <w:trHeight w:val="414"/>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4600" w:type="dxa"/>
            <w:vAlign w:val="bottom"/>
            <w:gridSpan w:val="2"/>
          </w:tcPr>
          <w:p>
            <w:pPr>
              <w:jc w:val="center"/>
              <w:ind w:right="370"/>
              <w:spacing w:after="0" w:line="194" w:lineRule="exact"/>
              <w:rPr>
                <w:sz w:val="20"/>
                <w:szCs w:val="20"/>
                <w:color w:val="auto"/>
              </w:rPr>
            </w:pPr>
            <w:r>
              <w:rPr>
                <w:rFonts w:ascii="Arial" w:cs="Arial" w:eastAsia="Arial" w:hAnsi="Arial"/>
                <w:sz w:val="18"/>
                <w:szCs w:val="18"/>
                <w:color w:val="auto"/>
                <w:w w:val="91"/>
              </w:rPr>
              <w:t>(Insert amount of Offered Securities you elect to</w:t>
            </w:r>
          </w:p>
        </w:tc>
        <w:tc>
          <w:tcPr>
            <w:tcW w:w="1660" w:type="dxa"/>
            <w:vAlign w:val="bottom"/>
          </w:tcPr>
          <w:p>
            <w:pPr>
              <w:spacing w:after="0"/>
              <w:rPr>
                <w:sz w:val="16"/>
                <w:szCs w:val="16"/>
                <w:color w:val="auto"/>
              </w:rPr>
            </w:pPr>
          </w:p>
        </w:tc>
        <w:tc>
          <w:tcPr>
            <w:tcW w:w="3280" w:type="dxa"/>
            <w:vAlign w:val="bottom"/>
          </w:tcPr>
          <w:p>
            <w:pPr>
              <w:jc w:val="center"/>
              <w:ind w:left="610"/>
              <w:spacing w:after="0" w:line="194" w:lineRule="exact"/>
              <w:rPr>
                <w:sz w:val="20"/>
                <w:szCs w:val="20"/>
                <w:color w:val="auto"/>
              </w:rPr>
            </w:pPr>
            <w:r>
              <w:rPr>
                <w:rFonts w:ascii="Arial" w:cs="Arial" w:eastAsia="Arial" w:hAnsi="Arial"/>
                <w:sz w:val="18"/>
                <w:szCs w:val="18"/>
                <w:color w:val="auto"/>
                <w:w w:val="95"/>
              </w:rPr>
              <w:t>$[1,000]</w:t>
            </w:r>
          </w:p>
        </w:tc>
        <w:tc>
          <w:tcPr>
            <w:tcW w:w="240" w:type="dxa"/>
            <w:vAlign w:val="bottom"/>
          </w:tcPr>
          <w:p>
            <w:pPr>
              <w:spacing w:after="0"/>
              <w:rPr>
                <w:sz w:val="16"/>
                <w:szCs w:val="16"/>
                <w:color w:val="auto"/>
              </w:rPr>
            </w:pPr>
          </w:p>
        </w:tc>
        <w:tc>
          <w:tcPr>
            <w:tcW w:w="66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6"/>
              </w:rPr>
              <w:t>Item 2m</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7"/>
              </w:rPr>
              <w:t>2m</w:t>
            </w:r>
          </w:p>
        </w:tc>
        <w:tc>
          <w:tcPr>
            <w:tcW w:w="460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purchase — not to exceed the amount in Item 1m</w:t>
            </w:r>
          </w:p>
        </w:tc>
        <w:tc>
          <w:tcPr>
            <w:tcW w:w="1660" w:type="dxa"/>
            <w:vAlign w:val="bottom"/>
          </w:tcPr>
          <w:p>
            <w:pPr>
              <w:ind w:left="740"/>
              <w:spacing w:after="0"/>
              <w:rPr>
                <w:sz w:val="20"/>
                <w:szCs w:val="20"/>
                <w:color w:val="auto"/>
              </w:rPr>
            </w:pPr>
            <w:r>
              <w:rPr>
                <w:rFonts w:ascii="Arial" w:cs="Arial" w:eastAsia="Arial" w:hAnsi="Arial"/>
                <w:sz w:val="18"/>
                <w:szCs w:val="18"/>
                <w:color w:val="auto"/>
              </w:rPr>
              <w:t>x</w:t>
            </w: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(Per $1,000 principal amount of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1450"/>
              <w:spacing w:after="0"/>
              <w:rPr>
                <w:sz w:val="20"/>
                <w:szCs w:val="20"/>
                <w:color w:val="auto"/>
              </w:rPr>
            </w:pPr>
            <w:r>
              <w:rPr>
                <w:rFonts w:ascii="Arial" w:cs="Arial" w:eastAsia="Arial" w:hAnsi="Arial"/>
                <w:sz w:val="18"/>
                <w:szCs w:val="18"/>
                <w:color w:val="auto"/>
                <w:w w:val="91"/>
              </w:rPr>
              <w:t>calculated in Item 1 above)</w:t>
            </w:r>
          </w:p>
        </w:tc>
        <w:tc>
          <w:tcPr>
            <w:tcW w:w="1660" w:type="dxa"/>
            <w:vAlign w:val="bottom"/>
          </w:tcPr>
          <w:p>
            <w:pPr>
              <w:spacing w:after="0"/>
              <w:rPr>
                <w:sz w:val="18"/>
                <w:szCs w:val="18"/>
                <w:color w:val="auto"/>
              </w:rPr>
            </w:pP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Offered Securities)</w:t>
            </w:r>
          </w:p>
        </w:tc>
        <w:tc>
          <w:tcPr>
            <w:tcW w:w="2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6"/>
              </w:rPr>
              <w:t>Purchase</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Price</w:t>
            </w:r>
          </w:p>
        </w:tc>
      </w:tr>
      <w:tr>
        <w:trPr>
          <w:trHeight w:val="414"/>
        </w:trPr>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Offered Securities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2"/>
              </w:rPr>
              <w:t>(Indicate total amount of Offered</w:t>
            </w:r>
          </w:p>
        </w:tc>
        <w:tc>
          <w:tcPr>
            <w:tcW w:w="494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 Purchase Price for Offered Securities: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Electing to Purchase:</w:t>
            </w:r>
          </w:p>
        </w:tc>
        <w:tc>
          <w:tcPr>
            <w:tcW w:w="3540" w:type="dxa"/>
            <w:vAlign w:val="bottom"/>
          </w:tcPr>
          <w:p>
            <w:pPr>
              <w:jc w:val="center"/>
              <w:ind w:right="50"/>
              <w:spacing w:after="0"/>
              <w:rPr>
                <w:sz w:val="20"/>
                <w:szCs w:val="20"/>
                <w:color w:val="auto"/>
              </w:rPr>
            </w:pPr>
            <w:r>
              <w:rPr>
                <w:rFonts w:ascii="Arial" w:cs="Arial" w:eastAsia="Arial" w:hAnsi="Arial"/>
                <w:sz w:val="18"/>
                <w:szCs w:val="18"/>
                <w:color w:val="auto"/>
                <w:w w:val="89"/>
              </w:rPr>
              <w:t>Securities you elect to purchase</w:t>
            </w:r>
          </w:p>
        </w:tc>
        <w:tc>
          <w:tcPr>
            <w:tcW w:w="1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0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(Indicate</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1"/>
              </w:rPr>
              <w:t>from Items 2a-2m in each row</w:t>
            </w: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total</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0"/>
              </w:rPr>
              <w:t>above)</w:t>
            </w: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gridSpan w:val="4"/>
          </w:tcPr>
          <w:p>
            <w:pPr>
              <w:jc w:val="center"/>
              <w:ind w:left="70"/>
              <w:spacing w:after="0"/>
              <w:rPr>
                <w:sz w:val="20"/>
                <w:szCs w:val="20"/>
                <w:color w:val="auto"/>
              </w:rPr>
            </w:pPr>
            <w:r>
              <w:rPr>
                <w:rFonts w:ascii="Arial" w:cs="Arial" w:eastAsia="Arial" w:hAnsi="Arial"/>
                <w:sz w:val="18"/>
                <w:szCs w:val="18"/>
                <w:color w:val="auto"/>
                <w:w w:val="86"/>
              </w:rPr>
              <w:t>Purchase</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Price of</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Offered</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gridSpan w:val="4"/>
          </w:tcPr>
          <w:p>
            <w:pPr>
              <w:jc w:val="center"/>
              <w:ind w:left="70"/>
              <w:spacing w:after="0"/>
              <w:rPr>
                <w:sz w:val="20"/>
                <w:szCs w:val="20"/>
                <w:color w:val="auto"/>
              </w:rPr>
            </w:pPr>
            <w:r>
              <w:rPr>
                <w:rFonts w:ascii="Arial" w:cs="Arial" w:eastAsia="Arial" w:hAnsi="Arial"/>
                <w:sz w:val="18"/>
                <w:szCs w:val="18"/>
                <w:color w:val="auto"/>
                <w:w w:val="88"/>
              </w:rPr>
              <w:t>Securities</w:t>
            </w:r>
          </w:p>
        </w:tc>
      </w:tr>
    </w:tbl>
    <w:p>
      <w:pPr>
        <w:jc w:val="center"/>
        <w:ind w:left="10680"/>
        <w:spacing w:after="0"/>
        <w:rPr>
          <w:sz w:val="20"/>
          <w:szCs w:val="20"/>
          <w:color w:val="auto"/>
        </w:rPr>
      </w:pPr>
      <w:r>
        <w:rPr>
          <w:rFonts w:ascii="Arial" w:cs="Arial" w:eastAsia="Arial" w:hAnsi="Arial"/>
          <w:sz w:val="18"/>
          <w:szCs w:val="18"/>
          <w:color w:val="auto"/>
        </w:rPr>
        <w:t>you elect</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7"/>
          <w:szCs w:val="17"/>
          <w:color w:val="auto"/>
        </w:rPr>
        <w:t>purchase</w:t>
      </w:r>
    </w:p>
    <w:p>
      <w:pPr>
        <w:spacing w:after="0" w:line="21" w:lineRule="exact"/>
        <w:rPr>
          <w:sz w:val="20"/>
          <w:szCs w:val="20"/>
          <w:color w:val="auto"/>
        </w:rPr>
      </w:pPr>
    </w:p>
    <w:p>
      <w:pPr>
        <w:jc w:val="center"/>
        <w:ind w:left="10680"/>
        <w:spacing w:after="0"/>
        <w:rPr>
          <w:sz w:val="20"/>
          <w:szCs w:val="20"/>
          <w:color w:val="auto"/>
        </w:rPr>
      </w:pPr>
      <w:r>
        <w:rPr>
          <w:rFonts w:ascii="Arial" w:cs="Arial" w:eastAsia="Arial" w:hAnsi="Arial"/>
          <w:sz w:val="17"/>
          <w:szCs w:val="17"/>
          <w:color w:val="auto"/>
        </w:rPr>
        <w:t>by adding</w:t>
      </w:r>
    </w:p>
    <w:p>
      <w:pPr>
        <w:spacing w:after="0" w:line="21" w:lineRule="exact"/>
        <w:rPr>
          <w:sz w:val="20"/>
          <w:szCs w:val="20"/>
          <w:color w:val="auto"/>
        </w:rPr>
      </w:pPr>
    </w:p>
    <w:p>
      <w:pPr>
        <w:jc w:val="center"/>
        <w:ind w:left="10680"/>
        <w:spacing w:after="0"/>
        <w:rPr>
          <w:sz w:val="20"/>
          <w:szCs w:val="20"/>
          <w:color w:val="auto"/>
        </w:rPr>
      </w:pPr>
      <w:r>
        <w:rPr>
          <w:rFonts w:ascii="Arial" w:cs="Arial" w:eastAsia="Arial" w:hAnsi="Arial"/>
          <w:sz w:val="17"/>
          <w:szCs w:val="17"/>
          <w:color w:val="auto"/>
        </w:rPr>
        <w:t>Items 2a-</w:t>
      </w:r>
    </w:p>
    <w:p>
      <w:pPr>
        <w:spacing w:after="0" w:line="21"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2m in</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each row</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2" w:right="239" w:bottom="1440" w:gutter="0" w:footer="0" w:header="0"/>
        </w:sectPr>
      </w:pPr>
    </w:p>
    <w:bookmarkStart w:id="485" w:name="page486"/>
    <w:bookmarkEnd w:id="485"/>
    <w:p>
      <w:pPr>
        <w:ind w:right="280"/>
        <w:spacing w:after="0" w:line="313" w:lineRule="auto"/>
        <w:rPr>
          <w:sz w:val="20"/>
          <w:szCs w:val="20"/>
          <w:color w:val="auto"/>
        </w:rPr>
      </w:pPr>
      <w:r>
        <w:rPr>
          <w:rFonts w:ascii="Arial" w:cs="Arial" w:eastAsia="Arial" w:hAnsi="Arial"/>
          <w:sz w:val="17"/>
          <w:szCs w:val="17"/>
          <w:b w:val="1"/>
          <w:bCs w:val="1"/>
          <w:color w:val="auto"/>
        </w:rPr>
        <w:t>Item 3. Principal Amount and Nominee/ DTC Information. Holders electing to participate in the Rights Offering must electronically deliver their applicable underlying Prepetition Notes via DTC’s Automated Tender Offer Program (“ATOP”) or your applicable depository.</w:t>
      </w:r>
    </w:p>
    <w:p>
      <w:pPr>
        <w:spacing w:after="0" w:line="142" w:lineRule="exact"/>
        <w:rPr>
          <w:sz w:val="20"/>
          <w:szCs w:val="20"/>
          <w:color w:val="auto"/>
        </w:rPr>
      </w:pPr>
    </w:p>
    <w:p>
      <w:pPr>
        <w:jc w:val="both"/>
        <w:ind w:right="760"/>
        <w:spacing w:after="0" w:line="312" w:lineRule="auto"/>
        <w:rPr>
          <w:sz w:val="20"/>
          <w:szCs w:val="20"/>
          <w:color w:val="auto"/>
        </w:rPr>
      </w:pPr>
      <w:r>
        <w:rPr>
          <w:rFonts w:ascii="Arial" w:cs="Arial" w:eastAsia="Arial" w:hAnsi="Arial"/>
          <w:sz w:val="16"/>
          <w:szCs w:val="16"/>
          <w:color w:val="auto"/>
        </w:rPr>
        <w:t>The undersigned hereby certifies that the undersigned has electronically delivered their underlying Prepetition Notes via DTC’s ATOP system in the following principal amount(s). (Noteholders must coordinate with their Nominee to tender their Prepetition Notes in order to obtain the DTC ATOP Confirmation Number from their Nominee, as applicable, to complete this table prior to returning this Beneficial Holder Subscription Form):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Nominee Holding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Position at DTC,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DTC ATOP Confirmation</w:t>
            </w:r>
          </w:p>
        </w:tc>
        <w:tc>
          <w:tcPr>
            <w:tcW w:w="2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Euroclear or Clearstream</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jc w:val="right"/>
              <w:ind w:right="971"/>
              <w:spacing w:after="0"/>
              <w:rPr>
                <w:sz w:val="20"/>
                <w:szCs w:val="20"/>
                <w:color w:val="auto"/>
              </w:rPr>
            </w:pPr>
            <w:r>
              <w:rPr>
                <w:rFonts w:ascii="Arial" w:cs="Arial" w:eastAsia="Arial" w:hAnsi="Arial"/>
                <w:sz w:val="14"/>
                <w:szCs w:val="14"/>
                <w:b w:val="1"/>
                <w:bCs w:val="1"/>
                <w:color w:val="auto"/>
              </w:rPr>
              <w:t>CUSIP/ISIN</w:t>
            </w:r>
          </w:p>
        </w:tc>
        <w:tc>
          <w:tcPr>
            <w:tcW w:w="300" w:type="dxa"/>
            <w:vAlign w:val="bottom"/>
          </w:tcPr>
          <w:p>
            <w:pPr>
              <w:spacing w:after="0"/>
              <w:rPr>
                <w:sz w:val="12"/>
                <w:szCs w:val="12"/>
                <w:color w:val="auto"/>
              </w:rPr>
            </w:pPr>
          </w:p>
        </w:tc>
        <w:tc>
          <w:tcPr>
            <w:tcW w:w="25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Principal Amount Tendered</w:t>
            </w:r>
          </w:p>
        </w:tc>
        <w:tc>
          <w:tcPr>
            <w:tcW w:w="234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Applicable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Ref Number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Depository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20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b w:val="1"/>
          <w:bCs w:val="1"/>
          <w:color w:val="auto"/>
        </w:rPr>
        <w:t>Item 4. Payment and Delivery Instructions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 of the Purchase Price calculated pursuant to Item 2 above shall be made by wire transfer ONLY of immediately available funds.</w:t>
      </w:r>
    </w:p>
    <w:p>
      <w:pPr>
        <w:spacing w:after="0" w:line="23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YOUR BENEFICIAL HOLDER SUBSCRIPTION FORM (WITH ACCOMPANYING IRS FORM W-9 OR APPROPRIATE IRS FORM W-8, AS APPLICABLE) MUST BE RECEIVED BY THE SUBSCRIPTION AGENT AND THE UNDERLYING PREPETITION NOTES MUST BE DELIVERED INTO ATOP BY THE SUBSCRIPTION EXPIRATION DEADLINE OR THE SUBSCRIPTION REPRESENTED BY YOUR BENEFICIAL HOLDER SUBSCRIPTION FORM WILL NOT BE RECOGNIZED, AND THE ASSOCIATED SUBSCRIPTION RIGHTS WILL BE DEEMED FOREVER RELINQUISHED AND WAIVED.</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IF YOU HOLD YOUR PREPETITION NOTES THROUGH A NOMINEE, PLEASE NOTE THAT, UNLESS OTHERWISE DIRECTED BY YOUR NOMINEE, THE BENEFICIAL HOLDER SUBSCRIPTION FORM (WITH ACCOMPANYING IRS FORM W-9 OR APPROPRIATE IRS FORM W-8, AS APPLICABLE) MUST BE RECEIVED BY YOUR NOMINEE </w:t>
      </w:r>
      <w:r>
        <w:rPr>
          <w:rFonts w:ascii="Arial" w:cs="Arial" w:eastAsia="Arial" w:hAnsi="Arial"/>
          <w:sz w:val="18"/>
          <w:szCs w:val="18"/>
          <w:b w:val="1"/>
          <w:bCs w:val="1"/>
          <w:u w:val="single" w:color="auto"/>
          <w:color w:val="auto"/>
        </w:rPr>
        <w:t>IN SUFFICIENT TIME</w:t>
      </w:r>
      <w:r>
        <w:rPr>
          <w:rFonts w:ascii="Arial" w:cs="Arial" w:eastAsia="Arial" w:hAnsi="Arial"/>
          <w:sz w:val="18"/>
          <w:szCs w:val="18"/>
          <w:b w:val="1"/>
          <w:bCs w:val="1"/>
          <w:color w:val="auto"/>
        </w:rPr>
        <w:t xml:space="preserve"> TO ALLOW SUCH NOMINEE TO PROCESS AND DELIVER YOUR UNDERLYING PREPETITION NOTES THROUGH ATOP TO THE SUBSCRIPTION AGENT BY THE SUBSCRIPTION EXPIRATION DEADLINE OR THE SUBSCRIPTION REPRESENTED BY YOUR BENEFICIAL HOLDER SUBSCRIPTION FORM WILL NOT BE RECOGNIZED, AND THE ASSOCIATED SUBSCRIPTION RIGHTS WILL BE DEEMED FOREVER RELINQUISHED AND WAIVED.</w:t>
      </w:r>
    </w:p>
    <w:p>
      <w:pPr>
        <w:spacing w:after="0" w:line="200" w:lineRule="exact"/>
        <w:rPr>
          <w:sz w:val="20"/>
          <w:szCs w:val="20"/>
          <w:color w:val="auto"/>
        </w:rPr>
      </w:pPr>
    </w:p>
    <w:p>
      <w:pPr>
        <w:spacing w:after="0" w:line="2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NOTEHOLDERS WHO ARE NOT BACKSTOP PARTIES MUST DELIVER FULL PAYMENT OF THE PURCHASE PRICE SO AS TO BE RECEIVED BY THE SUBSCRIPTION AGENT BY THE SUBSCRIPTION EXPIRATION DEADLINE OR THE SUBSCRIPTION REPRESENTED BY SUCH NOTEHOLDER’S BENEFICIAL HOLDER SUBSCRIPTION FORM WILL NOT BE RECOGNIZED, AND THE ASSOCIATED SUBSCRIPTION RIGHTS WILL BE DEEMED FOREVER RELINQUISHED AND WAIVED.</w:t>
      </w:r>
    </w:p>
    <w:p>
      <w:pPr>
        <w:spacing w:after="0" w:line="180" w:lineRule="exact"/>
        <w:rPr>
          <w:sz w:val="20"/>
          <w:szCs w:val="20"/>
          <w:color w:val="auto"/>
        </w:rPr>
      </w:pPr>
    </w:p>
    <w:p>
      <w:pPr>
        <w:ind w:right="1160"/>
        <w:spacing w:after="0" w:line="282" w:lineRule="auto"/>
        <w:rPr>
          <w:sz w:val="20"/>
          <w:szCs w:val="20"/>
          <w:color w:val="auto"/>
        </w:rPr>
      </w:pPr>
      <w:r>
        <w:rPr>
          <w:rFonts w:ascii="Arial" w:cs="Arial" w:eastAsia="Arial" w:hAnsi="Arial"/>
          <w:sz w:val="18"/>
          <w:szCs w:val="18"/>
          <w:b w:val="1"/>
          <w:bCs w:val="1"/>
          <w:color w:val="auto"/>
        </w:rPr>
        <w:t>NOTEHOLDERS WHO ARE BACKSTOP PARTIES MUST DELIVER THE PURCHASE PRICE IN ACCORDANCE WITH THE INSTRUCTIONS IN THE FUNDING NOTICE.</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10165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weatherfordsubscription@primeclerk.com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87" w:name="page488"/>
    <w:bookmarkEnd w:id="487"/>
    <w:p>
      <w:pPr>
        <w:ind w:left="760"/>
        <w:spacing w:after="0"/>
        <w:rPr>
          <w:sz w:val="20"/>
          <w:szCs w:val="20"/>
          <w:color w:val="auto"/>
        </w:rPr>
      </w:pPr>
      <w:r>
        <w:rPr>
          <w:rFonts w:ascii="Arial" w:cs="Arial" w:eastAsia="Arial" w:hAnsi="Arial"/>
          <w:sz w:val="17"/>
          <w:szCs w:val="17"/>
          <w:b w:val="1"/>
          <w:bCs w:val="1"/>
          <w:color w:val="auto"/>
        </w:rPr>
        <w:t xml:space="preserve">Only choose </w:t>
      </w:r>
      <w:r>
        <w:rPr>
          <w:rFonts w:ascii="Arial" w:cs="Arial" w:eastAsia="Arial" w:hAnsi="Arial"/>
          <w:sz w:val="17"/>
          <w:szCs w:val="17"/>
          <w:b w:val="1"/>
          <w:bCs w:val="1"/>
          <w:u w:val="single" w:color="auto"/>
          <w:color w:val="auto"/>
        </w:rPr>
        <w:t>one</w:t>
      </w:r>
      <w:r>
        <w:rPr>
          <w:rFonts w:ascii="Arial" w:cs="Arial" w:eastAsia="Arial" w:hAnsi="Arial"/>
          <w:sz w:val="17"/>
          <w:szCs w:val="17"/>
          <w:b w:val="1"/>
          <w:bCs w:val="1"/>
          <w:color w:val="auto"/>
        </w:rPr>
        <w:t xml:space="preserve"> method of return. If you choose to return the applicable documents via email, do not follow up with hard copies.</w:t>
      </w: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Noteholders other than Backstop Parties, payment of the Purchase Price calculated in Item 2 above shall be made by wire transfer ONLY in accordance with the following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Wire Instructions:</w:t>
      </w:r>
    </w:p>
    <w:p>
      <w:pPr>
        <w:sectPr>
          <w:pgSz w:w="11900" w:h="16838" w:orient="portrait"/>
          <w:cols w:equalWidth="0" w:num="1">
            <w:col w:w="11320"/>
          </w:cols>
          <w:pgMar w:left="24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Bank Account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ABA/Routing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[Insert Form Number in memo field]</w:t>
      </w:r>
      <w:r>
        <w:rPr>
          <w:rFonts w:ascii="Arial" w:cs="Arial" w:eastAsia="Arial" w:hAnsi="Arial"/>
          <w:sz w:val="10"/>
          <w:szCs w:val="10"/>
          <w:color w:val="auto"/>
        </w:rPr>
        <w:t>1</w:t>
      </w:r>
    </w:p>
    <w:p>
      <w:pPr>
        <w:spacing w:after="0" w:line="237" w:lineRule="exact"/>
        <w:rPr>
          <w:sz w:val="20"/>
          <w:szCs w:val="20"/>
          <w:color w:val="auto"/>
        </w:rPr>
      </w:pPr>
    </w:p>
    <w:p>
      <w:pPr>
        <w:sectPr>
          <w:pgSz w:w="11900" w:h="16838" w:orient="portrait"/>
          <w:cols w:equalWidth="0" w:num="2">
            <w:col w:w="3440" w:space="720"/>
            <w:col w:w="7160"/>
          </w:cols>
          <w:pgMar w:left="240" w:top="33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International Wire Instructions:</w:t>
      </w:r>
    </w:p>
    <w:p>
      <w:pPr>
        <w:sectPr>
          <w:pgSz w:w="11900" w:h="16838" w:orient="portrait"/>
          <w:cols w:equalWidth="0" w:num="1">
            <w:col w:w="11320"/>
          </w:cols>
          <w:pgMar w:left="240" w:top="337"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Correspondent/Intermediary Bank SWIFT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Correspondent/Intermediary Bank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Correspondent/Intermediary Bank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Memo, Special Instructions, Originator to Beneficiary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Bank to Bank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[Insert Form Number in memo field]</w:t>
      </w:r>
    </w:p>
    <w:p>
      <w:pPr>
        <w:spacing w:after="0" w:line="453" w:lineRule="exact"/>
        <w:rPr>
          <w:sz w:val="20"/>
          <w:szCs w:val="20"/>
          <w:color w:val="auto"/>
        </w:rPr>
      </w:pPr>
    </w:p>
    <w:p>
      <w:pPr>
        <w:sectPr>
          <w:pgSz w:w="11900" w:h="16838" w:orient="portrait"/>
          <w:cols w:equalWidth="0" w:num="2">
            <w:col w:w="4360" w:space="720"/>
            <w:col w:w="6240"/>
          </w:cols>
          <w:pgMar w:left="240" w:top="337" w:right="339" w:bottom="1440" w:gutter="0" w:footer="0" w:header="0"/>
          <w:type w:val="continuous"/>
        </w:sectPr>
      </w:pPr>
    </w:p>
    <w:p>
      <w:pPr>
        <w:spacing w:after="0" w:line="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Please note that the failure to include the claimant name or form number in the reference field of any domestic or international wire payment may result in the rejection of the corresponding rights offering submission. In addition, please also note that payments cannot be aggregated, and one wire should be sent per Beneficial Holder Subscription Form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340" w:right="120" w:hanging="332"/>
        <w:spacing w:after="0" w:line="227" w:lineRule="auto"/>
        <w:tabs>
          <w:tab w:leader="none" w:pos="164" w:val="left"/>
        </w:tabs>
        <w:numPr>
          <w:ilvl w:val="0"/>
          <w:numId w:val="597"/>
        </w:numPr>
        <w:rPr>
          <w:rFonts w:ascii="Arial" w:cs="Arial" w:eastAsia="Arial" w:hAnsi="Arial"/>
          <w:sz w:val="23"/>
          <w:szCs w:val="23"/>
          <w:color w:val="auto"/>
          <w:vertAlign w:val="superscript"/>
        </w:rPr>
      </w:pPr>
      <w:r>
        <w:rPr>
          <w:rFonts w:ascii="Arial" w:cs="Arial" w:eastAsia="Arial" w:hAnsi="Arial"/>
          <w:sz w:val="18"/>
          <w:szCs w:val="18"/>
          <w:color w:val="auto"/>
        </w:rPr>
        <w:t>Upon submission of your Beneficial Holder Subscription Form, the Subscription Agent will provide you with a form number that must be included in the wire reference section.</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type w:val="continuous"/>
        </w:sectPr>
      </w:pPr>
    </w:p>
    <w:bookmarkStart w:id="488" w:name="page489"/>
    <w:bookmarkEnd w:id="488"/>
    <w:p>
      <w:pPr>
        <w:spacing w:after="0"/>
        <w:rPr>
          <w:sz w:val="20"/>
          <w:szCs w:val="20"/>
          <w:color w:val="auto"/>
        </w:rPr>
      </w:pPr>
      <w:r>
        <w:rPr>
          <w:rFonts w:ascii="Arial" w:cs="Arial" w:eastAsia="Arial" w:hAnsi="Arial"/>
          <w:sz w:val="18"/>
          <w:szCs w:val="18"/>
          <w:b w:val="1"/>
          <w:bCs w:val="1"/>
          <w:color w:val="auto"/>
        </w:rPr>
        <w:t>Item 5. Certification.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Noteholder certifies that (i) as of the date hereof, the undersigned is the beneficial Holder of the Prepetition Notes set forth in Item 1 above and will continue to be the beneficial owner thereof through the Subscription Expiration Deadline, (ii) the undersigned has received a copy of the Plan, the Disclosure Statement, the Rights Offering Procedures and the Rights Offering Instructions, (iii) the undersigned understands that the exercise of its Subscription Rights under the Rights Offering is subject to all the terms and conditions set forth in the Plan and the Rights Offering Procedures and (iv) the undersigned Noteholder is not located in the European Economic Area or is a “qualified investor” within the meaning of Article 2(1)(c) of the EU Prospectus Directive (Directive 2003/71/EC), as amended and Article 2 (e) of the EU Prospectus Regulation (Regulation (EU) 2017/1129) and (v) the undersigned Noteholder is not otherwise located in a Restricted Jurisdiction.</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Noteholders who hold Prepetition Notes through Nominees: By electing to subscribe for the amount of Offered Securities designated under Item 2 above, the undersigned Noteholder is hereby instructing its Nominee to arrange for delivery of its Beneficial Holder Subscription Form and underlying Prepetition Notes shown in Item 1 via ATOP to the Subscription Agent.</w:t>
      </w:r>
    </w:p>
    <w:p>
      <w:pPr>
        <w:spacing w:after="0" w:line="177"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rPr>
        <w:t>The undersigned Noteholder acknowledges that, by executing this Beneficial Holder Subscription Form, the undersigned has elected to subscribe for the amount of Offered Securities associated with the amounts tendered through ATOP and designated under Item 2 above and will be bound to pay for the Offered Securities it has subscribed for and that it may be liable to the Debtors to the extent of any nonpayment.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6620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28041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U.S. Federal Tax EIN/SSN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187833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Non-U.S. person, check here and attach appropriate IRS Form W- 8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U.S. person, check here and attach IRS Form W-9 o</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If Backstop Party, check here o </w:t>
      </w:r>
      <w:r>
        <w:rPr>
          <w:rFonts w:ascii="Arial" w:cs="Arial" w:eastAsia="Arial" w:hAnsi="Arial"/>
          <w:sz w:val="18"/>
          <w:szCs w:val="18"/>
          <w:b w:val="1"/>
          <w:bCs w:val="1"/>
          <w:color w:val="auto"/>
        </w:rPr>
        <w:t>(ONLY CHECK THIS BOX IF YOU ARE CERTAIN THIS APPLIES TO YOU. IF YOU ARE UNSURE, DO NOT</w:t>
      </w:r>
      <w:r>
        <w:rPr>
          <w:rFonts w:ascii="Arial" w:cs="Arial" w:eastAsia="Arial" w:hAnsi="Arial"/>
          <w:sz w:val="18"/>
          <w:szCs w:val="18"/>
          <w:color w:val="auto"/>
        </w:rPr>
        <w:t xml:space="preserve"> </w:t>
      </w:r>
      <w:r>
        <w:rPr>
          <w:rFonts w:ascii="Arial" w:cs="Arial" w:eastAsia="Arial" w:hAnsi="Arial"/>
          <w:sz w:val="18"/>
          <w:szCs w:val="18"/>
          <w:b w:val="1"/>
          <w:bCs w:val="1"/>
          <w:color w:val="auto"/>
        </w:rPr>
        <w:t>CHECK THIS BOX AND PLEASE CONTACT THE SUBSCRIPTION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14605</wp:posOffset>
            </wp:positionV>
            <wp:extent cx="33877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14605</wp:posOffset>
            </wp:positionV>
            <wp:extent cx="288163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42195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9878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14605</wp:posOffset>
            </wp:positionV>
            <wp:extent cx="288163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416814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b w:val="1"/>
          <w:bCs w:val="1"/>
          <w:color w:val="auto"/>
        </w:rPr>
        <w:t>Item 6. Registration Information</w:t>
      </w:r>
      <w:r>
        <w:rPr>
          <w:rFonts w:ascii="Arial" w:cs="Arial" w:eastAsia="Arial" w:hAnsi="Arial"/>
          <w:sz w:val="23"/>
          <w:szCs w:val="23"/>
          <w:b w:val="1"/>
          <w:bCs w:val="1"/>
          <w:color w:val="auto"/>
          <w:vertAlign w:val="superscript"/>
        </w:rPr>
        <w:t>2</w:t>
      </w:r>
    </w:p>
    <w:p>
      <w:pPr>
        <w:spacing w:after="0" w:line="16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In the event the Offered Securities will not be eligible to be initially distributed through DTC, please indicate on the lines provided below the Noteholder’s name and address as you would like it to be reflected on the Debtors’ or the Tranche A Notes Trustee’s records (as applicable) (this will apply to all Offered Securities):</w:t>
      </w:r>
      <w:r>
        <w:rPr>
          <w:rFonts w:ascii="Arial" w:cs="Arial" w:eastAsia="Arial" w:hAnsi="Arial"/>
          <w:sz w:val="23"/>
          <w:szCs w:val="23"/>
          <w:b w:val="1"/>
          <w:bCs w:val="1"/>
          <w:color w:val="auto"/>
          <w:vertAlign w:val="superscript"/>
        </w:rPr>
        <w:t>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 Name:</w:t>
      </w:r>
      <w:r>
        <w:rPr>
          <w:rFonts w:ascii="Arial" w:cs="Arial" w:eastAsia="Arial" w:hAnsi="Arial"/>
          <w:sz w:val="23"/>
          <w:szCs w:val="23"/>
          <w:color w:val="auto"/>
          <w:vertAlign w:val="superscript"/>
        </w:rPr>
        <w:t>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 Name (continued from above, if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 Country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Tax Identification Number:</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here if non-US (no TIN)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here if located in the European Economic Area </w:t>
      </w:r>
      <w:r>
        <w:rPr>
          <w:rFonts w:ascii="MS PGothic" w:cs="MS PGothic" w:eastAsia="MS PGothic" w:hAnsi="MS PGothic"/>
          <w:sz w:val="18"/>
          <w:szCs w:val="18"/>
          <w:color w:val="auto"/>
        </w:rPr>
        <w:t>☐</w:t>
      </w:r>
      <w:r>
        <w:rPr>
          <w:rFonts w:ascii="Arial" w:cs="Arial" w:eastAsia="Arial" w:hAnsi="Arial"/>
          <w:sz w:val="18"/>
          <w:szCs w:val="18"/>
          <w:color w:val="auto"/>
        </w:rPr>
        <w:t xml:space="preserve">. If so, please confirm you are a “qualified investor”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here if located outside the United States of America and the Economic Area. </w:t>
      </w:r>
      <w:r>
        <w:rPr>
          <w:rFonts w:ascii="MS PGothic" w:cs="MS PGothic" w:eastAsia="MS PGothic" w:hAnsi="MS PGothic"/>
          <w:sz w:val="17"/>
          <w:szCs w:val="17"/>
          <w:color w:val="auto"/>
        </w:rPr>
        <w:t>☐</w:t>
      </w:r>
      <w:r>
        <w:rPr>
          <w:rFonts w:ascii="Arial" w:cs="Arial" w:eastAsia="Arial" w:hAnsi="Arial"/>
          <w:sz w:val="17"/>
          <w:szCs w:val="17"/>
          <w:color w:val="auto"/>
        </w:rPr>
        <w:t xml:space="preserve"> If so, please state the jurisdiction in which you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2689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60" w:hanging="5"/>
        <w:spacing w:after="0" w:line="277" w:lineRule="auto"/>
        <w:rPr>
          <w:sz w:val="20"/>
          <w:szCs w:val="20"/>
          <w:color w:val="auto"/>
        </w:rPr>
      </w:pPr>
      <w:r>
        <w:rPr>
          <w:rFonts w:ascii="Arial" w:cs="Arial" w:eastAsia="Arial" w:hAnsi="Arial"/>
          <w:sz w:val="18"/>
          <w:szCs w:val="18"/>
          <w:color w:val="auto"/>
        </w:rPr>
        <w:t>This section is required. If you fail to complete this section (including the “account type” information requested below), we will be unable to register the applicable securities in your name.</w:t>
      </w:r>
    </w:p>
    <w:p>
      <w:pPr>
        <w:spacing w:after="0" w:line="170" w:lineRule="exact"/>
        <w:rPr>
          <w:sz w:val="20"/>
          <w:szCs w:val="20"/>
          <w:color w:val="auto"/>
        </w:rPr>
      </w:pPr>
    </w:p>
    <w:p>
      <w:pPr>
        <w:ind w:hanging="5"/>
        <w:spacing w:after="0" w:line="277" w:lineRule="auto"/>
        <w:rPr>
          <w:sz w:val="20"/>
          <w:szCs w:val="20"/>
          <w:color w:val="auto"/>
        </w:rPr>
      </w:pPr>
      <w:r>
        <w:rPr>
          <w:rFonts w:ascii="Arial" w:cs="Arial" w:eastAsia="Arial" w:hAnsi="Arial"/>
          <w:sz w:val="18"/>
          <w:szCs w:val="18"/>
          <w:color w:val="auto"/>
        </w:rPr>
        <w:t>After the initial issuance of securities, Noteholders may transfer such securities to third parties in accordance with the procedures of the Tranche A Notes Trustee or the Debtors (as applicable).</w:t>
      </w:r>
    </w:p>
    <w:p>
      <w:pPr>
        <w:spacing w:after="0" w:line="170" w:lineRule="exact"/>
        <w:rPr>
          <w:sz w:val="20"/>
          <w:szCs w:val="20"/>
          <w:color w:val="auto"/>
        </w:rPr>
      </w:pPr>
    </w:p>
    <w:p>
      <w:pPr>
        <w:ind w:right="60" w:hanging="5"/>
        <w:spacing w:after="0" w:line="342" w:lineRule="auto"/>
        <w:rPr>
          <w:sz w:val="20"/>
          <w:szCs w:val="20"/>
          <w:color w:val="auto"/>
        </w:rPr>
      </w:pPr>
      <w:r>
        <w:rPr>
          <w:rFonts w:ascii="Arial" w:cs="Arial" w:eastAsia="Arial" w:hAnsi="Arial"/>
          <w:sz w:val="16"/>
          <w:szCs w:val="16"/>
          <w:color w:val="auto"/>
        </w:rPr>
        <w:t>Registration in the name of DTC or Cede &amp; Co. is not permitted in this section. In addition, if the resulting securities are being registered to a trust, you must provide the name of the trustee and the trust date. Failure to provide this information will result in a delay in delivery of the resulting securities.</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60" w:space="340"/>
            <w:col w:w="11020"/>
          </w:cols>
          <w:pgMar w:left="240" w:top="337" w:right="239" w:bottom="1440" w:gutter="0" w:footer="0" w:header="0"/>
          <w:type w:val="continuous"/>
        </w:sectPr>
      </w:pPr>
    </w:p>
    <w:bookmarkStart w:id="490" w:name="page491"/>
    <w:bookmarkEnd w:id="490"/>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left intentionally blank. Please make sure to complete the “account type” on the following page.</w:t>
      </w:r>
      <w:r>
        <w:rPr>
          <w:rFonts w:ascii="Arial" w:cs="Arial" w:eastAsia="Arial" w:hAnsi="Arial"/>
          <w:sz w:val="16"/>
          <w:szCs w:val="16"/>
          <w:color w:val="auto"/>
        </w:rPr>
        <w:t>]</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491" w:name="page492"/>
    <w:bookmarkEnd w:id="491"/>
    <w:p>
      <w:pPr>
        <w:spacing w:after="0"/>
        <w:rPr>
          <w:sz w:val="20"/>
          <w:szCs w:val="20"/>
          <w:color w:val="auto"/>
        </w:rPr>
      </w:pPr>
      <w:r>
        <w:rPr>
          <w:rFonts w:ascii="Arial" w:cs="Arial" w:eastAsia="Arial" w:hAnsi="Arial"/>
          <w:sz w:val="18"/>
          <w:szCs w:val="18"/>
          <w:color w:val="auto"/>
        </w:rPr>
        <w:t>Please indicate the “account type” that may be used in connection with registration of your Subscribed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Please check </w:t>
      </w:r>
      <w:r>
        <w:rPr>
          <w:rFonts w:ascii="Arial" w:cs="Arial" w:eastAsia="Arial" w:hAnsi="Arial"/>
          <w:sz w:val="18"/>
          <w:szCs w:val="18"/>
          <w:i w:val="1"/>
          <w:iCs w:val="1"/>
          <w:u w:val="single" w:color="auto"/>
          <w:color w:val="auto"/>
        </w:rPr>
        <w:t>only one</w:t>
      </w:r>
      <w:r>
        <w:rPr>
          <w:rFonts w:ascii="Arial" w:cs="Arial" w:eastAsia="Arial" w:hAnsi="Arial"/>
          <w:sz w:val="18"/>
          <w:szCs w:val="18"/>
          <w:i w:val="1"/>
          <w:iCs w:val="1"/>
          <w:color w:val="auto"/>
        </w:rPr>
        <w:t xml:space="preserve"> box:</w:t>
      </w:r>
    </w:p>
    <w:p>
      <w:pPr>
        <w:spacing w:after="0" w:line="225" w:lineRule="exact"/>
        <w:rPr>
          <w:sz w:val="20"/>
          <w:szCs w:val="20"/>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INDIVIDUAL ACCOUNT;</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IRA ACCOUNT;</w:t>
      </w:r>
    </w:p>
    <w:p>
      <w:pPr>
        <w:spacing w:after="0" w:line="225" w:lineRule="exact"/>
        <w:rPr>
          <w:rFonts w:ascii="Arial" w:cs="Arial" w:eastAsia="Arial" w:hAnsi="Arial"/>
          <w:sz w:val="18"/>
          <w:szCs w:val="18"/>
          <w:color w:val="auto"/>
        </w:rPr>
      </w:pPr>
    </w:p>
    <w:p>
      <w:pPr>
        <w:ind w:left="660" w:right="340" w:hanging="328"/>
        <w:spacing w:after="0" w:line="264" w:lineRule="auto"/>
        <w:tabs>
          <w:tab w:leader="none" w:pos="588"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CORPORATIONS (S-CORP): (ASSOCIATED, ASSOCIATES, ASSOCIATION, CO, CO. COMPANY, CORP, CORPORATE/PARTNER, ENTERPRISE(S), FUND, GROUP, INCORPORATED, INC, INTERNATIONAL, INTL, LIMITED, LTD, LIFETIME LIMITED COMPANY, LLC, L.L.C., PARTNER, PARTNERS, PLC, PUBLIC LIMITED COMPANY);</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PARTNERSHIP: (LP, L P, L.P., LLP, LIMITED PARTNERSHIP, LIFETIME LIMITED PARTNERSHIP);</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BANK;</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NOMINEE ACCOUNTS;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THE NEW C-CORP;</w:t>
      </w:r>
    </w:p>
    <w:p>
      <w:pPr>
        <w:spacing w:after="0" w:line="225" w:lineRule="exact"/>
        <w:rPr>
          <w:rFonts w:ascii="Arial" w:cs="Arial" w:eastAsia="Arial" w:hAnsi="Arial"/>
          <w:sz w:val="18"/>
          <w:szCs w:val="18"/>
          <w:color w:val="auto"/>
        </w:rPr>
      </w:pPr>
    </w:p>
    <w:p>
      <w:pPr>
        <w:ind w:left="660" w:hanging="328"/>
        <w:spacing w:after="0" w:line="264" w:lineRule="auto"/>
        <w:tabs>
          <w:tab w:leader="none" w:pos="588"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NON-PROFIT: (CEMETERY, CHURCH, COLLEGE, COMMISSION FOR CHILDREN WITH, COMMISSION FOR HANDICAPPED, COMMISSION MINISTRIES INC, COMMISSION OF PUBLIC WORKS, COMMISSION OF BANKING &amp; FOUNDATIONS, HOSPITAL, SCHOOL, SYNAGOGUE, UNIVERSITY);</w:t>
      </w:r>
    </w:p>
    <w:p>
      <w:pPr>
        <w:spacing w:after="0" w:line="181" w:lineRule="exact"/>
        <w:rPr>
          <w:rFonts w:ascii="Arial" w:cs="Arial" w:eastAsia="Arial" w:hAnsi="Arial"/>
          <w:sz w:val="18"/>
          <w:szCs w:val="18"/>
          <w:color w:val="auto"/>
        </w:rPr>
      </w:pPr>
    </w:p>
    <w:p>
      <w:pPr>
        <w:ind w:left="660" w:hanging="328"/>
        <w:spacing w:after="0" w:line="257" w:lineRule="auto"/>
        <w:tabs>
          <w:tab w:leader="none" w:pos="588"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FIDUCIARY ACCOUNT: (CUSTODIAN, CO-TRUSTEE, ESTATE, EXECUTOR, EXECUTRIX, FBO, F/B/O, FAO, FIDUCIARY TRUST, ITF, LIFE TEN, PENSION PLAN, INDIVIDUAL NAME PROFIT SHARING PLAN, RETIREMENT PLAN, 401K PLAN, SELL TRANSFER PLEDGE, STATE UNIFORM TRANSFER TO MINOR’S ACT, TTEE, TTEES, UW, UTMA, UGMA, USUFRUCT, UNIFIED, UNIF GIFT MIN ACT, UNIF TRUST MIN ACT, UNIFIED GIFT TO MINORS ACT, UNIFORM GIFT TO MINORS, UNIFORM TRANSFER TO MINORS, GRANT (GRANTOR ANNUITY TRUST));</w:t>
      </w:r>
    </w:p>
    <w:p>
      <w:pPr>
        <w:spacing w:after="0" w:line="188"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TENANTS IN COMMON;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98"/>
        </w:numPr>
        <w:rPr>
          <w:rFonts w:ascii="Arial" w:cs="Arial" w:eastAsia="Arial" w:hAnsi="Arial"/>
          <w:sz w:val="17"/>
          <w:szCs w:val="17"/>
          <w:color w:val="auto"/>
        </w:rPr>
      </w:pPr>
      <w:r>
        <w:rPr>
          <w:rFonts w:ascii="Arial" w:cs="Arial" w:eastAsia="Arial" w:hAnsi="Arial"/>
          <w:sz w:val="17"/>
          <w:szCs w:val="17"/>
          <w:i w:val="1"/>
          <w:iCs w:val="1"/>
          <w:color w:val="auto"/>
        </w:rPr>
        <w:t>TENANTS BY ENTIRETY: (TEN ENT, TENANTS ENT, TENANTS ENTIRETY, TENANTS BY ENTIRETY, TENANTS BY ENTIRETIES);</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588"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JOINT TENANTS: (JT TEN, JT TEN WROS, JT WROS, J/T/W/R/S, JOINT TENANCY, JOINT TENANTS WITH RIGHT OF SURVIVORSHIP, JT OWNERSHIP, IF JT ACCOUNT WITH TOD); or</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588"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COMMUNITY PROPERTY: (COM PROP, COMM PROP, COM PROPERTY, COMM PROPERTY, MARITAL PROPERTY, HWACP, HUSBAND &amp; WIFE AS COMMUNITY PROPERTY).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b w:val="1"/>
          <w:bCs w:val="1"/>
          <w:color w:val="auto"/>
        </w:rPr>
        <w:t>Item 7. Wire information in the event a refund is needed:</w:t>
      </w:r>
      <w:r>
        <w:rPr>
          <w:rFonts w:ascii="Arial" w:cs="Arial" w:eastAsia="Arial" w:hAnsi="Arial"/>
          <w:sz w:val="23"/>
          <w:szCs w:val="23"/>
          <w:b w:val="1"/>
          <w:bCs w:val="1"/>
          <w:color w:val="auto"/>
          <w:vertAlign w:val="superscript"/>
        </w:rPr>
        <w:t>5</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Account No.: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ABA/Routing No.: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AS INDICATED ABOVE, TO THE EXTENT THE RIGHTS OFFERING SECURITIES ARE DTC ELIGIBLE SUCH SECURITIES WILL </w:t>
      </w:r>
      <w:r>
        <w:rPr>
          <w:rFonts w:ascii="Arial" w:cs="Arial" w:eastAsia="Arial" w:hAnsi="Arial"/>
          <w:sz w:val="18"/>
          <w:szCs w:val="18"/>
          <w:b w:val="1"/>
          <w:bCs w:val="1"/>
          <w:u w:val="single" w:color="auto"/>
          <w:color w:val="auto"/>
        </w:rPr>
        <w:t>ONLY</w:t>
      </w:r>
      <w:r>
        <w:rPr>
          <w:rFonts w:ascii="Arial" w:cs="Arial" w:eastAsia="Arial" w:hAnsi="Arial"/>
          <w:sz w:val="18"/>
          <w:szCs w:val="18"/>
          <w:b w:val="1"/>
          <w:bCs w:val="1"/>
          <w:color w:val="auto"/>
        </w:rPr>
        <w:t xml:space="preserve"> BE DELIVERED TO THE ACCOUNT ASSOCIATED WITH THE UNDERLYING APPLICABLE PREPETITION NOTES POSITION ELECTRONICALLY DELIVERED VIA DTC’S ATOP.</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right="760" w:hanging="392"/>
        <w:spacing w:after="0" w:line="227" w:lineRule="auto"/>
        <w:tabs>
          <w:tab w:leader="none" w:pos="394" w:val="left"/>
        </w:tabs>
        <w:numPr>
          <w:ilvl w:val="0"/>
          <w:numId w:val="599"/>
        </w:numPr>
        <w:rPr>
          <w:rFonts w:ascii="Arial" w:cs="Arial" w:eastAsia="Arial" w:hAnsi="Arial"/>
          <w:sz w:val="23"/>
          <w:szCs w:val="23"/>
          <w:color w:val="auto"/>
          <w:vertAlign w:val="superscript"/>
        </w:rPr>
      </w:pPr>
      <w:r>
        <w:rPr>
          <w:rFonts w:ascii="Arial" w:cs="Arial" w:eastAsia="Arial" w:hAnsi="Arial"/>
          <w:sz w:val="18"/>
          <w:szCs w:val="18"/>
          <w:color w:val="auto"/>
        </w:rPr>
        <w:t>If payment of the Purchase Price will be made by your Nominee on your behalf, the wire information in this Item 7 should be your Nominee’s information, and any refund will be issued to your Nominee.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93" w:name="page494"/>
    <w:bookmarkEnd w:id="493"/>
    <w:p>
      <w:pPr>
        <w:jc w:val="center"/>
        <w:ind w:left="300" w:right="100"/>
        <w:spacing w:after="0" w:line="282" w:lineRule="auto"/>
        <w:rPr>
          <w:sz w:val="20"/>
          <w:szCs w:val="20"/>
          <w:color w:val="auto"/>
        </w:rPr>
      </w:pPr>
      <w:r>
        <w:rPr>
          <w:rFonts w:ascii="Arial" w:cs="Arial" w:eastAsia="Arial" w:hAnsi="Arial"/>
          <w:sz w:val="18"/>
          <w:szCs w:val="18"/>
          <w:b w:val="1"/>
          <w:bCs w:val="1"/>
          <w:color w:val="auto"/>
        </w:rPr>
        <w:t>PLEASE RETURN THIS BENEFICIAL HOLDER SUBSCRIPTION FORM (WITH ACCOMPANYING IRS FORM W-9 OR APPROPRIATE IRS FORM W- 8, AS APPLICABLE) TO THE SUBSCRIPTION AGENT.</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IF YOU HOLD YOUR PREPETITION NOTES THROUGH A NOMINEE</w:t>
      </w:r>
      <w:r>
        <w:rPr>
          <w:rFonts w:ascii="Arial" w:cs="Arial" w:eastAsia="Arial" w:hAnsi="Arial"/>
          <w:sz w:val="18"/>
          <w:szCs w:val="18"/>
          <w:b w:val="1"/>
          <w:bCs w:val="1"/>
          <w:color w:val="auto"/>
        </w:rPr>
        <w:t xml:space="preserve">, PLEASE RETURN THIS BENEFICIAL HOLDER SUBSCRIPTION FORM (WITH ACCOMPANYING IRS FORM W-9 OR APPROPRIATE IRS FORM W- 8, AS APPLICABLE) ONLY TO YOUR NOMINEE (OR AS OTHERWISE DIRECTED BY YOUR NOMINEE). </w:t>
      </w:r>
      <w:r>
        <w:rPr>
          <w:rFonts w:ascii="Arial" w:cs="Arial" w:eastAsia="Arial" w:hAnsi="Arial"/>
          <w:sz w:val="18"/>
          <w:szCs w:val="18"/>
          <w:b w:val="1"/>
          <w:bCs w:val="1"/>
          <w:u w:val="single" w:color="auto"/>
          <w:color w:val="auto"/>
        </w:rPr>
        <w:t>DO NOT</w:t>
      </w:r>
      <w:r>
        <w:rPr>
          <w:rFonts w:ascii="Arial" w:cs="Arial" w:eastAsia="Arial" w:hAnsi="Arial"/>
          <w:sz w:val="18"/>
          <w:szCs w:val="18"/>
          <w:b w:val="1"/>
          <w:bCs w:val="1"/>
          <w:color w:val="auto"/>
        </w:rPr>
        <w:t xml:space="preserve"> RETURN THIS FORM DIRECTLY TO THE SUBSCRIPTION AGENT (UNLESS OTHERWISE DIRECTED TO DO SO BY YOUR NOMINEE).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Questions relating to the Rights Offering should be directed to the Subscription Agent at the following phone number or email address:</w:t>
      </w:r>
    </w:p>
    <w:p>
      <w:pPr>
        <w:spacing w:after="0" w:line="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+1 (844) 233-5155 (domestic toll-free) or +1 (917) 942-6392 (for international calls) or weatherfordsubscription@primeclerk.com. To obtain copies of the documents, please visit https://cases.primeclerk.com/weatherford.</w:t>
      </w:r>
    </w:p>
    <w:p>
      <w:pPr>
        <w:spacing w:after="0" w:line="18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weatherfordsubscription@primeclerk.com</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Only choose </w:t>
      </w:r>
      <w:r>
        <w:rPr>
          <w:rFonts w:ascii="Arial" w:cs="Arial" w:eastAsia="Arial" w:hAnsi="Arial"/>
          <w:sz w:val="18"/>
          <w:szCs w:val="18"/>
          <w:b w:val="1"/>
          <w:bCs w:val="1"/>
          <w:u w:val="single" w:color="auto"/>
          <w:color w:val="auto"/>
        </w:rPr>
        <w:t>one</w:t>
      </w:r>
      <w:r>
        <w:rPr>
          <w:rFonts w:ascii="Arial" w:cs="Arial" w:eastAsia="Arial" w:hAnsi="Arial"/>
          <w:sz w:val="18"/>
          <w:szCs w:val="18"/>
          <w:b w:val="1"/>
          <w:bCs w:val="1"/>
          <w:color w:val="auto"/>
        </w:rPr>
        <w:t xml:space="preserve"> method of return. If you choose to return the applicable documents via email, do not follow up with hard copies.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94" w:name="page495"/>
    <w:bookmarkEnd w:id="494"/>
    <w:p>
      <w:pPr>
        <w:jc w:val="center"/>
        <w:ind w:right="-59"/>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TERMS AND CONDITIONS OF THE TRANCHE A EXIT SENIOR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UNSECURED NOTES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Capitalized terms used but not defined herein shall have the meanings assigned to them in the Restructuring Term Sheet.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860" w:type="dxa"/>
            <w:vAlign w:val="bottom"/>
            <w:gridSpan w:val="13"/>
          </w:tcPr>
          <w:p>
            <w:pPr>
              <w:spacing w:after="0"/>
              <w:rPr>
                <w:sz w:val="20"/>
                <w:szCs w:val="20"/>
                <w:color w:val="auto"/>
              </w:rPr>
            </w:pPr>
            <w:r>
              <w:rPr>
                <w:rFonts w:ascii="Arial" w:cs="Arial" w:eastAsia="Arial" w:hAnsi="Arial"/>
                <w:sz w:val="18"/>
                <w:szCs w:val="18"/>
                <w:color w:val="auto"/>
              </w:rPr>
              <w:t>Weatherford International, LLC (“WIL-Delaware”)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Guarantors: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99"/>
              </w:rPr>
              <w:t>Weatherford International PLC, Weatherford International Ltd. and all of the guarantors of the Exit Revolver (the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8860" w:type="dxa"/>
            <w:vAlign w:val="bottom"/>
            <w:gridSpan w:val="13"/>
          </w:tcPr>
          <w:p>
            <w:pPr>
              <w:spacing w:after="0" w:line="190" w:lineRule="exact"/>
              <w:rPr>
                <w:sz w:val="20"/>
                <w:szCs w:val="20"/>
                <w:color w:val="auto"/>
              </w:rPr>
            </w:pPr>
            <w:r>
              <w:rPr>
                <w:rFonts w:ascii="Arial" w:cs="Arial" w:eastAsia="Arial" w:hAnsi="Arial"/>
                <w:sz w:val="18"/>
                <w:szCs w:val="18"/>
                <w:color w:val="auto"/>
              </w:rPr>
              <w:t>“Guarantors”).</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Issue:</w:t>
            </w: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91"/>
              </w:rPr>
              <w:t>Up to $1.25 billion aggregate principal amount of senior unsecured notes (the “Tranche A Exit Senior Unsecured Notes”).</w:t>
            </w:r>
          </w:p>
        </w:tc>
        <w:tc>
          <w:tcPr>
            <w:tcW w:w="0" w:type="dxa"/>
            <w:vAlign w:val="bottom"/>
          </w:tcPr>
          <w:p>
            <w:pPr>
              <w:spacing w:after="0"/>
              <w:rPr>
                <w:sz w:val="1"/>
                <w:szCs w:val="1"/>
                <w:color w:val="auto"/>
              </w:rPr>
            </w:pPr>
          </w:p>
        </w:tc>
      </w:tr>
      <w:tr>
        <w:trPr>
          <w:trHeight w:val="453"/>
        </w:trPr>
        <w:tc>
          <w:tcPr>
            <w:tcW w:w="250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5700" w:type="dxa"/>
            <w:vAlign w:val="bottom"/>
            <w:gridSpan w:val="9"/>
          </w:tcPr>
          <w:p>
            <w:pPr>
              <w:spacing w:after="0"/>
              <w:rPr>
                <w:sz w:val="20"/>
                <w:szCs w:val="20"/>
                <w:color w:val="auto"/>
              </w:rPr>
            </w:pPr>
            <w:r>
              <w:rPr>
                <w:rFonts w:ascii="Arial" w:cs="Arial" w:eastAsia="Arial" w:hAnsi="Arial"/>
                <w:sz w:val="18"/>
                <w:szCs w:val="18"/>
                <w:color w:val="auto"/>
              </w:rPr>
              <w:t>None.</w:t>
            </w:r>
          </w:p>
        </w:tc>
        <w:tc>
          <w:tcPr>
            <w:tcW w:w="2900" w:type="dxa"/>
            <w:vAlign w:val="bottom"/>
            <w:tcBorders>
              <w:top w:val="single" w:sz="8" w:color="auto"/>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50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8860" w:type="dxa"/>
            <w:vAlign w:val="bottom"/>
            <w:gridSpan w:val="13"/>
          </w:tcPr>
          <w:p>
            <w:pPr>
              <w:spacing w:after="0"/>
              <w:rPr>
                <w:sz w:val="20"/>
                <w:szCs w:val="20"/>
                <w:color w:val="auto"/>
              </w:rPr>
            </w:pPr>
            <w:r>
              <w:rPr>
                <w:rFonts w:ascii="Arial" w:cs="Arial" w:eastAsia="Arial" w:hAnsi="Arial"/>
                <w:sz w:val="18"/>
                <w:szCs w:val="18"/>
                <w:color w:val="auto"/>
              </w:rPr>
              <w:t>144A-for-life.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336"/>
        </w:trPr>
        <w:tc>
          <w:tcPr>
            <w:tcW w:w="25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860" w:type="dxa"/>
            <w:vAlign w:val="bottom"/>
            <w:gridSpan w:val="13"/>
          </w:tcPr>
          <w:p>
            <w:pPr>
              <w:spacing w:after="0"/>
              <w:rPr>
                <w:sz w:val="20"/>
                <w:szCs w:val="20"/>
                <w:color w:val="auto"/>
              </w:rPr>
            </w:pPr>
            <w:r>
              <w:rPr>
                <w:rFonts w:ascii="Arial" w:cs="Arial" w:eastAsia="Arial" w:hAnsi="Arial"/>
                <w:sz w:val="18"/>
                <w:szCs w:val="18"/>
                <w:color w:val="auto"/>
                <w:w w:val="93"/>
              </w:rPr>
              <w:t>Working capital, general corporate purposes, payment of transaction fees and expenses and repayment of outstanding</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rPr>
              <w:t>amounts under DIP Facilities.</w:t>
            </w:r>
          </w:p>
        </w:tc>
        <w:tc>
          <w:tcPr>
            <w:tcW w:w="0" w:type="dxa"/>
            <w:vAlign w:val="bottom"/>
          </w:tcPr>
          <w:p>
            <w:pPr>
              <w:spacing w:after="0"/>
              <w:rPr>
                <w:sz w:val="1"/>
                <w:szCs w:val="1"/>
                <w:color w:val="auto"/>
              </w:rPr>
            </w:pPr>
          </w:p>
        </w:tc>
      </w:tr>
      <w:tr>
        <w:trPr>
          <w:trHeight w:val="392"/>
        </w:trPr>
        <w:tc>
          <w:tcPr>
            <w:tcW w:w="2500" w:type="dxa"/>
            <w:vAlign w:val="bottom"/>
          </w:tcPr>
          <w:p>
            <w:pPr>
              <w:spacing w:after="0"/>
              <w:rPr>
                <w:sz w:val="20"/>
                <w:szCs w:val="20"/>
                <w:color w:val="auto"/>
              </w:rPr>
            </w:pPr>
            <w:r>
              <w:rPr>
                <w:rFonts w:ascii="Arial" w:cs="Arial" w:eastAsia="Arial" w:hAnsi="Arial"/>
                <w:sz w:val="18"/>
                <w:szCs w:val="18"/>
                <w:b w:val="1"/>
                <w:bCs w:val="1"/>
                <w:color w:val="auto"/>
              </w:rPr>
              <w:t>Holders/Backstop</w:t>
            </w:r>
          </w:p>
        </w:tc>
        <w:tc>
          <w:tcPr>
            <w:tcW w:w="8860" w:type="dxa"/>
            <w:vAlign w:val="bottom"/>
            <w:gridSpan w:val="13"/>
          </w:tcPr>
          <w:p>
            <w:pPr>
              <w:spacing w:after="0"/>
              <w:rPr>
                <w:sz w:val="20"/>
                <w:szCs w:val="20"/>
                <w:color w:val="auto"/>
              </w:rPr>
            </w:pPr>
            <w:r>
              <w:rPr>
                <w:rFonts w:ascii="Arial" w:cs="Arial" w:eastAsia="Arial" w:hAnsi="Arial"/>
                <w:sz w:val="18"/>
                <w:szCs w:val="18"/>
                <w:color w:val="auto"/>
                <w:w w:val="93"/>
              </w:rPr>
              <w:t>Certain members of the Noteholder Committee will fully backstop the Tranche A Exit Senior Unsecured Notes (the “Exit</w:t>
            </w:r>
          </w:p>
        </w:tc>
        <w:tc>
          <w:tcPr>
            <w:tcW w:w="0" w:type="dxa"/>
            <w:vAlign w:val="bottom"/>
          </w:tcPr>
          <w:p>
            <w:pPr>
              <w:spacing w:after="0"/>
              <w:rPr>
                <w:sz w:val="1"/>
                <w:szCs w:val="1"/>
                <w:color w:val="auto"/>
              </w:rPr>
            </w:pPr>
          </w:p>
        </w:tc>
      </w:tr>
      <w:tr>
        <w:trPr>
          <w:trHeight w:val="196"/>
        </w:trPr>
        <w:tc>
          <w:tcPr>
            <w:tcW w:w="2500" w:type="dxa"/>
            <w:vAlign w:val="bottom"/>
          </w:tcPr>
          <w:p>
            <w:pPr>
              <w:spacing w:after="0" w:line="196" w:lineRule="exact"/>
              <w:rPr>
                <w:sz w:val="20"/>
                <w:szCs w:val="20"/>
                <w:color w:val="auto"/>
              </w:rPr>
            </w:pPr>
            <w:r>
              <w:rPr>
                <w:rFonts w:ascii="Arial" w:cs="Arial" w:eastAsia="Arial" w:hAnsi="Arial"/>
                <w:sz w:val="18"/>
                <w:szCs w:val="18"/>
                <w:b w:val="1"/>
                <w:bCs w:val="1"/>
                <w:color w:val="auto"/>
              </w:rPr>
              <w:t>Commitments:</w:t>
            </w:r>
          </w:p>
        </w:tc>
        <w:tc>
          <w:tcPr>
            <w:tcW w:w="8440" w:type="dxa"/>
            <w:vAlign w:val="bottom"/>
            <w:gridSpan w:val="10"/>
          </w:tcPr>
          <w:p>
            <w:pPr>
              <w:spacing w:after="0" w:line="196" w:lineRule="exact"/>
              <w:rPr>
                <w:sz w:val="20"/>
                <w:szCs w:val="20"/>
                <w:color w:val="auto"/>
              </w:rPr>
            </w:pPr>
            <w:r>
              <w:rPr>
                <w:rFonts w:ascii="Arial" w:cs="Arial" w:eastAsia="Arial" w:hAnsi="Arial"/>
                <w:sz w:val="18"/>
                <w:szCs w:val="18"/>
                <w:color w:val="auto"/>
              </w:rPr>
              <w:t>Backstop Parties”).</w:t>
            </w:r>
          </w:p>
        </w:tc>
        <w:tc>
          <w:tcPr>
            <w:tcW w:w="30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Backstop Fees:</w:t>
            </w:r>
          </w:p>
        </w:tc>
        <w:tc>
          <w:tcPr>
            <w:tcW w:w="72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89"/>
              </w:rPr>
              <w:t>5.00%, payable to the Exit Backstop Parties on a date to be agreed in the definitive backstop agreement; provided that such</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rPr>
              <w:t>time shall be prior to the commencement of the Chapter 11 Cases.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860" w:type="dxa"/>
            <w:vAlign w:val="bottom"/>
            <w:gridSpan w:val="13"/>
          </w:tcPr>
          <w:p>
            <w:pPr>
              <w:spacing w:after="0"/>
              <w:rPr>
                <w:sz w:val="20"/>
                <w:szCs w:val="20"/>
                <w:color w:val="auto"/>
              </w:rPr>
            </w:pPr>
            <w:r>
              <w:rPr>
                <w:rFonts w:ascii="Arial" w:cs="Arial" w:eastAsia="Arial" w:hAnsi="Arial"/>
                <w:sz w:val="18"/>
                <w:szCs w:val="18"/>
                <w:color w:val="auto"/>
              </w:rPr>
              <w:t>5 years from the Effective Date of the Chapter 11 Plan.</w:t>
            </w: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860" w:type="dxa"/>
            <w:vAlign w:val="bottom"/>
            <w:gridSpan w:val="13"/>
          </w:tcPr>
          <w:p>
            <w:pPr>
              <w:spacing w:after="0"/>
              <w:rPr>
                <w:sz w:val="20"/>
                <w:szCs w:val="20"/>
                <w:color w:val="auto"/>
              </w:rPr>
            </w:pPr>
            <w:r>
              <w:rPr>
                <w:rFonts w:ascii="Arial" w:cs="Arial" w:eastAsia="Arial" w:hAnsi="Arial"/>
                <w:sz w:val="18"/>
                <w:szCs w:val="18"/>
                <w:color w:val="auto"/>
                <w:w w:val="90"/>
              </w:rPr>
              <w:t>8.00% in the event the Tranche A Exit Senior Unsecured Notes are rated Ba2 or better by Moody’s Investors Services, Inc.</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93"/>
              </w:rPr>
              <w:t>(“Moody’s”), and 9.00% in the event the Tranche A Exit Senior Unsecured Notes are rated Ba3 or worse by Moody’s, in</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8860" w:type="dxa"/>
            <w:vAlign w:val="bottom"/>
            <w:gridSpan w:val="13"/>
          </w:tcPr>
          <w:p>
            <w:pPr>
              <w:spacing w:after="0" w:line="190" w:lineRule="exact"/>
              <w:rPr>
                <w:sz w:val="20"/>
                <w:szCs w:val="20"/>
                <w:color w:val="auto"/>
              </w:rPr>
            </w:pPr>
            <w:r>
              <w:rPr>
                <w:rFonts w:ascii="Arial" w:cs="Arial" w:eastAsia="Arial" w:hAnsi="Arial"/>
                <w:sz w:val="18"/>
                <w:szCs w:val="18"/>
                <w:color w:val="auto"/>
              </w:rPr>
              <w:t>each case plus flex as set forth on Annex A hereto.</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Default Rate:</w:t>
            </w:r>
          </w:p>
        </w:tc>
        <w:tc>
          <w:tcPr>
            <w:tcW w:w="7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rPr>
              <w:t>Additional 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60" w:hanging="104"/>
        <w:spacing w:after="0"/>
        <w:tabs>
          <w:tab w:leader="none" w:pos="760" w:val="left"/>
        </w:tabs>
        <w:numPr>
          <w:ilvl w:val="0"/>
          <w:numId w:val="600"/>
        </w:numPr>
        <w:rPr>
          <w:rFonts w:ascii="Arial" w:cs="Arial" w:eastAsia="Arial" w:hAnsi="Arial"/>
          <w:sz w:val="23"/>
          <w:szCs w:val="23"/>
          <w:color w:val="auto"/>
          <w:vertAlign w:val="superscript"/>
        </w:rPr>
      </w:pPr>
      <w:r>
        <w:rPr>
          <w:rFonts w:ascii="Arial" w:cs="Arial" w:eastAsia="Arial" w:hAnsi="Arial"/>
          <w:sz w:val="18"/>
          <w:szCs w:val="18"/>
          <w:color w:val="auto"/>
        </w:rPr>
        <w:t>WFT to confirm which entity will issue the notes.</w:t>
      </w:r>
    </w:p>
    <w:p>
      <w:pPr>
        <w:spacing w:after="0" w:line="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To be discussed with the Exit Backstop Parties.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95" w:name="page496"/>
    <w:bookmarkEnd w:id="495"/>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b w:val="1"/>
                <w:bCs w:val="1"/>
                <w:color w:val="auto"/>
              </w:rPr>
              <w:t>Call Protection:</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5"/>
              </w:rPr>
              <w:t>Prior to the second anniversary of the issuance date, par, plus accrued interest plus a customary make whole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0" w:type="dxa"/>
            <w:vAlign w:val="bottom"/>
            <w:gridSpan w:val="14"/>
          </w:tcPr>
          <w:p>
            <w:pPr>
              <w:ind w:left="140"/>
              <w:spacing w:after="0" w:line="196" w:lineRule="exact"/>
              <w:rPr>
                <w:sz w:val="20"/>
                <w:szCs w:val="20"/>
                <w:color w:val="auto"/>
              </w:rPr>
            </w:pPr>
            <w:r>
              <w:rPr>
                <w:rFonts w:ascii="Arial" w:cs="Arial" w:eastAsia="Arial" w:hAnsi="Arial"/>
                <w:sz w:val="18"/>
                <w:szCs w:val="18"/>
                <w:color w:val="auto"/>
                <w:w w:val="95"/>
              </w:rPr>
              <w:t>premium using a discount rate equal to the treasury rate on a comparable treasury note plus 50 basis points;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16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1"/>
              </w:rPr>
              <w:t>On or after the second anniversary but prior to the third anniversary of the issuance date, the prepayment amount</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0" w:type="dxa"/>
            <w:vAlign w:val="bottom"/>
            <w:gridSpan w:val="14"/>
          </w:tcPr>
          <w:p>
            <w:pPr>
              <w:ind w:left="140"/>
              <w:spacing w:after="0" w:line="190" w:lineRule="exact"/>
              <w:rPr>
                <w:sz w:val="20"/>
                <w:szCs w:val="20"/>
                <w:color w:val="auto"/>
              </w:rPr>
            </w:pPr>
            <w:r>
              <w:rPr>
                <w:rFonts w:ascii="Arial" w:cs="Arial" w:eastAsia="Arial" w:hAnsi="Arial"/>
                <w:sz w:val="18"/>
                <w:szCs w:val="18"/>
                <w:color w:val="auto"/>
              </w:rPr>
              <w:t>shall be at 100% of par plus one-half of the interest rate, plus accrued interest;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16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2"/>
              </w:rPr>
              <w:t>On or after the third anniversary but prior to the fourth anniversary of the issuance date, the prepayment amount</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0" w:type="dxa"/>
            <w:vAlign w:val="bottom"/>
            <w:gridSpan w:val="14"/>
          </w:tcPr>
          <w:p>
            <w:pPr>
              <w:ind w:left="140"/>
              <w:spacing w:after="0" w:line="190" w:lineRule="exact"/>
              <w:rPr>
                <w:sz w:val="20"/>
                <w:szCs w:val="20"/>
                <w:color w:val="auto"/>
              </w:rPr>
            </w:pPr>
            <w:r>
              <w:rPr>
                <w:rFonts w:ascii="Arial" w:cs="Arial" w:eastAsia="Arial" w:hAnsi="Arial"/>
                <w:sz w:val="18"/>
                <w:szCs w:val="18"/>
                <w:color w:val="auto"/>
              </w:rPr>
              <w:t>shall be at 100% of par plus one-quarter of the interest rate, plus accrued interest; and</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6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6"/>
              </w:rPr>
              <w:t>On or after the fourth anniversary of issuance, the prepayment amount shall be at par plus accrued interest.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160" w:type="dxa"/>
            <w:vAlign w:val="bottom"/>
          </w:tcPr>
          <w:p>
            <w:pPr>
              <w:spacing w:after="0"/>
              <w:rPr>
                <w:sz w:val="24"/>
                <w:szCs w:val="24"/>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5"/>
              </w:rPr>
              <w:t>Notwithstanding the foregoing, the Issuer shall be permitted to redeem up to $500 million of the Tranche A Exit Senior</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300" w:type="dxa"/>
            <w:vAlign w:val="bottom"/>
            <w:gridSpan w:val="15"/>
          </w:tcPr>
          <w:p>
            <w:pPr>
              <w:ind w:left="340"/>
              <w:spacing w:after="0" w:line="190" w:lineRule="exact"/>
              <w:rPr>
                <w:sz w:val="20"/>
                <w:szCs w:val="20"/>
                <w:color w:val="auto"/>
              </w:rPr>
            </w:pPr>
            <w:r>
              <w:rPr>
                <w:rFonts w:ascii="Arial" w:cs="Arial" w:eastAsia="Arial" w:hAnsi="Arial"/>
                <w:sz w:val="18"/>
                <w:szCs w:val="18"/>
                <w:color w:val="auto"/>
              </w:rPr>
              <w:t>Unsecured Notes at 103% of par plus accrued interest.</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Representations and</w:t>
            </w:r>
          </w:p>
        </w:tc>
        <w:tc>
          <w:tcPr>
            <w:tcW w:w="27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60" w:type="dxa"/>
            <w:vAlign w:val="bottom"/>
            <w:vMerge w:val="continue"/>
          </w:tcPr>
          <w:p>
            <w:pPr>
              <w:spacing w:after="0"/>
              <w:rPr>
                <w:sz w:val="24"/>
                <w:szCs w:val="24"/>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5"/>
              </w:rPr>
              <w:t>Customary for exit financings of this type to be included in a customary securities purchase agreement to be executed</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Warranties: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1"/>
              </w:rPr>
              <w:t>among the Issuer, the Guarantors, the Exit Backstop Parties and any other purchasers of Exit Senior Secured Notes at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time of initial issuance.</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Affirmative Covenants: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8"/>
              </w:rPr>
              <w:t>Customary for exit financings of this type, including, without limitation, standard public company financial reporting</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requirements.</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Negative Covenants: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2"/>
              </w:rPr>
              <w:t>Customary for exit financings of this type, including but not limited to restrictions on debt, liens, restricted payments, asset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5"/>
              </w:rPr>
              <w:t>sales and investments. Debt covenant shall permit, among other things, up to a $1.0 billion first lien Exit Revolver and</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300" w:type="dxa"/>
            <w:vAlign w:val="bottom"/>
            <w:gridSpan w:val="15"/>
          </w:tcPr>
          <w:p>
            <w:pPr>
              <w:ind w:left="340"/>
              <w:spacing w:after="0" w:line="190" w:lineRule="exact"/>
              <w:rPr>
                <w:sz w:val="20"/>
                <w:szCs w:val="20"/>
                <w:color w:val="auto"/>
              </w:rPr>
            </w:pPr>
            <w:r>
              <w:rPr>
                <w:rFonts w:ascii="Arial" w:cs="Arial" w:eastAsia="Arial" w:hAnsi="Arial"/>
                <w:sz w:val="18"/>
                <w:szCs w:val="18"/>
                <w:color w:val="auto"/>
              </w:rPr>
              <w:t>$1.25 billion of New Unsecured Notes (Tranche B) (plus, in each case, interest and fees accrued thereon).</w:t>
            </w:r>
          </w:p>
        </w:tc>
        <w:tc>
          <w:tcPr>
            <w:tcW w:w="0" w:type="dxa"/>
            <w:vAlign w:val="bottom"/>
          </w:tcPr>
          <w:p>
            <w:pPr>
              <w:spacing w:after="0"/>
              <w:rPr>
                <w:sz w:val="1"/>
                <w:szCs w:val="1"/>
                <w:color w:val="auto"/>
              </w:rPr>
            </w:pPr>
          </w:p>
        </w:tc>
      </w:tr>
      <w:tr>
        <w:trPr>
          <w:trHeight w:val="453"/>
        </w:trPr>
        <w:tc>
          <w:tcPr>
            <w:tcW w:w="2160" w:type="dxa"/>
            <w:vAlign w:val="bottom"/>
          </w:tcPr>
          <w:p>
            <w:pPr>
              <w:spacing w:after="0"/>
              <w:rPr>
                <w:sz w:val="20"/>
                <w:szCs w:val="20"/>
                <w:color w:val="auto"/>
              </w:rPr>
            </w:pPr>
            <w:r>
              <w:rPr>
                <w:rFonts w:ascii="Arial" w:cs="Arial" w:eastAsia="Arial" w:hAnsi="Arial"/>
                <w:sz w:val="18"/>
                <w:szCs w:val="18"/>
                <w:b w:val="1"/>
                <w:bCs w:val="1"/>
                <w:color w:val="auto"/>
              </w:rPr>
              <w:t>Financial Covenants:</w:t>
            </w:r>
          </w:p>
        </w:tc>
        <w:tc>
          <w:tcPr>
            <w:tcW w:w="900" w:type="dxa"/>
            <w:vAlign w:val="bottom"/>
          </w:tcPr>
          <w:p>
            <w:pPr>
              <w:ind w:left="340"/>
              <w:spacing w:after="0"/>
              <w:rPr>
                <w:sz w:val="20"/>
                <w:szCs w:val="20"/>
                <w:color w:val="auto"/>
              </w:rPr>
            </w:pPr>
            <w:r>
              <w:rPr>
                <w:rFonts w:ascii="Arial" w:cs="Arial" w:eastAsia="Arial" w:hAnsi="Arial"/>
                <w:sz w:val="18"/>
                <w:szCs w:val="18"/>
                <w:color w:val="auto"/>
              </w:rPr>
              <w:t>None.</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Amendments: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9"/>
              </w:rPr>
              <w:t>100% approval for pricing changes, maturity extensions, voting rights and other customary “sacred rights” for exit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financings of this type.</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9300" w:type="dxa"/>
            <w:vAlign w:val="bottom"/>
            <w:gridSpan w:val="15"/>
          </w:tcPr>
          <w:p>
            <w:pPr>
              <w:ind w:left="380"/>
              <w:spacing w:after="0"/>
              <w:rPr>
                <w:sz w:val="20"/>
                <w:szCs w:val="20"/>
                <w:color w:val="auto"/>
              </w:rPr>
            </w:pPr>
            <w:r>
              <w:rPr>
                <w:rFonts w:ascii="Arial" w:cs="Arial" w:eastAsia="Arial" w:hAnsi="Arial"/>
                <w:sz w:val="18"/>
                <w:szCs w:val="18"/>
                <w:color w:val="auto"/>
              </w:rPr>
              <w:t>Greater than 50.0% approval for other amendments and waivers.</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2"/>
              </w:rPr>
              <w:t>All reasonable and documented out-of-pocket expenses (including, without limitation, reasonable fees, disbursements and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0"/>
              </w:rPr>
              <w:t>other charges of one outside counsel for the trustee, one outside counsel for the Exit Backstop Parties taken as a whole and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8"/>
              </w:rPr>
              <w:t>one local counsel as reasonably required in each applicable jurisdiction) of the trustee and Exit Backstop Parties in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2"/>
              </w:rPr>
              <w:t>connection with the negotiation and issuance of the Exit Senior Secured Notes and the transactions contemplated thereby</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shall be paid by the Issuer from time to time.</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gridSpan w:val="4"/>
          </w:tcPr>
          <w:p>
            <w:pPr>
              <w:ind w:left="26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7C843E"/>
    <w:multiLevelType w:val="hybridMultilevel"/>
    <w:lvl w:ilvl="0">
      <w:lvlJc w:val="left"/>
      <w:lvlText w:val="*"/>
      <w:numFmt w:val="bullet"/>
      <w:start w:val="1"/>
    </w:lvl>
  </w:abstractNum>
  <w:abstractNum w:abstractNumId="1">
    <w:nsid w:val="7B541FAB"/>
    <w:multiLevelType w:val="hybridMultilevel"/>
    <w:lvl w:ilvl="0">
      <w:lvlJc w:val="left"/>
      <w:lvlText w:val="**"/>
      <w:numFmt w:val="bullet"/>
      <w:start w:val="1"/>
    </w:lvl>
  </w:abstractNum>
  <w:abstractNum w:abstractNumId="2">
    <w:nsid w:val="2A79EC49"/>
    <w:multiLevelType w:val="hybridMultilevel"/>
    <w:lvl w:ilvl="0">
      <w:lvlJc w:val="left"/>
      <w:lvlText w:val="*"/>
      <w:numFmt w:val="bullet"/>
      <w:start w:val="1"/>
    </w:lvl>
  </w:abstractNum>
  <w:abstractNum w:abstractNumId="3">
    <w:nsid w:val="338125CF"/>
    <w:multiLevelType w:val="hybridMultilevel"/>
    <w:lvl w:ilvl="0">
      <w:lvlJc w:val="left"/>
      <w:lvlText w:val="**"/>
      <w:numFmt w:val="bullet"/>
      <w:start w:val="1"/>
    </w:lvl>
  </w:abstractNum>
  <w:abstractNum w:abstractNumId="4">
    <w:nsid w:val="47C7C971"/>
    <w:multiLevelType w:val="hybridMultilevel"/>
    <w:lvl w:ilvl="0">
      <w:lvlJc w:val="left"/>
      <w:lvlText w:val="***"/>
      <w:numFmt w:val="bullet"/>
      <w:start w:val="1"/>
    </w:lvl>
  </w:abstractNum>
  <w:abstractNum w:abstractNumId="5">
    <w:nsid w:val="46F8284B"/>
    <w:multiLevelType w:val="hybridMultilevel"/>
    <w:lvl w:ilvl="0">
      <w:lvlJc w:val="left"/>
      <w:lvlText w:val="(%1)"/>
      <w:numFmt w:val="decimal"/>
      <w:start w:val="1"/>
    </w:lvl>
  </w:abstractNum>
  <w:abstractNum w:abstractNumId="6">
    <w:nsid w:val="4FA327CE"/>
    <w:multiLevelType w:val="hybridMultilevel"/>
    <w:lvl w:ilvl="0">
      <w:lvlJc w:val="left"/>
      <w:lvlText w:val="·"/>
      <w:numFmt w:val="bullet"/>
      <w:start w:val="1"/>
    </w:lvl>
  </w:abstractNum>
  <w:abstractNum w:abstractNumId="7">
    <w:nsid w:val="1873983A"/>
    <w:multiLevelType w:val="hybridMultilevel"/>
    <w:lvl w:ilvl="0">
      <w:lvlJc w:val="left"/>
      <w:lvlText w:val="(%1)"/>
      <w:numFmt w:val="decimal"/>
      <w:start w:val="2"/>
    </w:lvl>
  </w:abstractNum>
  <w:abstractNum w:abstractNumId="8">
    <w:nsid w:val="3D2DD275"/>
    <w:multiLevelType w:val="hybridMultilevel"/>
    <w:lvl w:ilvl="0">
      <w:lvlJc w:val="left"/>
      <w:lvlText w:val="·"/>
      <w:numFmt w:val="bullet"/>
      <w:start w:val="1"/>
    </w:lvl>
  </w:abstractNum>
  <w:abstractNum w:abstractNumId="9">
    <w:nsid w:val="2E17ECA7"/>
    <w:multiLevelType w:val="hybridMultilevel"/>
    <w:lvl w:ilvl="0">
      <w:lvlJc w:val="left"/>
      <w:lvlText w:val="%1"/>
      <w:numFmt w:val="upperLetter"/>
      <w:start w:val="1"/>
    </w:lvl>
    <w:lvl w:ilvl="1">
      <w:lvlJc w:val="left"/>
      <w:lvlText w:val="·"/>
      <w:numFmt w:val="bullet"/>
      <w:start w:val="1"/>
    </w:lvl>
  </w:abstractNum>
  <w:abstractNum w:abstractNumId="10">
    <w:nsid w:val="53B2564F"/>
    <w:multiLevelType w:val="hybridMultilevel"/>
    <w:lvl w:ilvl="0">
      <w:lvlJc w:val="left"/>
      <w:lvlText w:val="%1."/>
      <w:numFmt w:val="decimal"/>
      <w:start w:val="1"/>
    </w:lvl>
  </w:abstractNum>
  <w:abstractNum w:abstractNumId="11">
    <w:nsid w:val="75509D76"/>
    <w:multiLevelType w:val="hybridMultilevel"/>
    <w:lvl w:ilvl="0">
      <w:lvlJc w:val="left"/>
      <w:lvlText w:val="%1."/>
      <w:numFmt w:val="decimal"/>
      <w:start w:val="2"/>
    </w:lvl>
  </w:abstractNum>
  <w:abstractNum w:abstractNumId="12">
    <w:nsid w:val="1AF7F0EA"/>
    <w:multiLevelType w:val="hybridMultilevel"/>
    <w:lvl w:ilvl="0">
      <w:lvlJc w:val="left"/>
      <w:lvlText w:val="·"/>
      <w:numFmt w:val="bullet"/>
      <w:start w:val="1"/>
    </w:lvl>
  </w:abstractNum>
  <w:abstractNum w:abstractNumId="13">
    <w:nsid w:val="4DA32C7E"/>
    <w:multiLevelType w:val="hybridMultilevel"/>
    <w:lvl w:ilvl="0">
      <w:lvlJc w:val="left"/>
      <w:lvlText w:val="·"/>
      <w:numFmt w:val="bullet"/>
      <w:start w:val="1"/>
    </w:lvl>
  </w:abstractNum>
  <w:abstractNum w:abstractNumId="14">
    <w:nsid w:val="6EC68664"/>
    <w:multiLevelType w:val="hybridMultilevel"/>
    <w:lvl w:ilvl="0">
      <w:lvlJc w:val="left"/>
      <w:lvlText w:val="%1."/>
      <w:numFmt w:val="decimal"/>
      <w:start w:val="3"/>
    </w:lvl>
  </w:abstractNum>
  <w:abstractNum w:abstractNumId="15">
    <w:nsid w:val="E0D31FF"/>
    <w:multiLevelType w:val="hybridMultilevel"/>
    <w:lvl w:ilvl="0">
      <w:lvlJc w:val="left"/>
      <w:lvlText w:val="%1."/>
      <w:numFmt w:val="upperLetter"/>
      <w:start w:val="2"/>
    </w:lvl>
  </w:abstractNum>
  <w:abstractNum w:abstractNumId="16">
    <w:nsid w:val="2FD0AD81"/>
    <w:multiLevelType w:val="hybridMultilevel"/>
    <w:lvl w:ilvl="0">
      <w:lvlJc w:val="left"/>
      <w:lvlText w:val="%1."/>
      <w:numFmt w:val="upperLetter"/>
      <w:start w:val="1"/>
    </w:lvl>
  </w:abstractNum>
  <w:abstractNum w:abstractNumId="17">
    <w:nsid w:val="1978EBEB"/>
    <w:multiLevelType w:val="hybridMultilevel"/>
    <w:lvl w:ilvl="0">
      <w:lvlJc w:val="left"/>
      <w:lvlText w:val="%1."/>
      <w:numFmt w:val="upperLetter"/>
      <w:start w:val="2"/>
    </w:lvl>
  </w:abstractNum>
  <w:abstractNum w:abstractNumId="18">
    <w:nsid w:val="52C12C61"/>
    <w:multiLevelType w:val="hybridMultilevel"/>
    <w:lvl w:ilvl="0">
      <w:lvlJc w:val="left"/>
      <w:lvlText w:val="%1."/>
      <w:numFmt w:val="decimal"/>
      <w:start w:val="1"/>
    </w:lvl>
  </w:abstractNum>
  <w:abstractNum w:abstractNumId="19">
    <w:nsid w:val="4BDD53FD"/>
    <w:multiLevelType w:val="hybridMultilevel"/>
    <w:lvl w:ilvl="0">
      <w:lvlJc w:val="left"/>
      <w:lvlText w:val="(%1)"/>
      <w:numFmt w:val="lowerLetter"/>
      <w:start w:val="1"/>
    </w:lvl>
  </w:abstractNum>
  <w:abstractNum w:abstractNumId="20">
    <w:nsid w:val="569951FE"/>
    <w:multiLevelType w:val="hybridMultilevel"/>
    <w:lvl w:ilvl="0">
      <w:lvlJc w:val="left"/>
      <w:lvlText w:val="(%1)"/>
      <w:numFmt w:val="lowerLetter"/>
      <w:start w:val="2"/>
    </w:lvl>
  </w:abstractNum>
  <w:abstractNum w:abstractNumId="21">
    <w:nsid w:val="4C54E2C3"/>
    <w:multiLevelType w:val="hybridMultilevel"/>
    <w:lvl w:ilvl="0">
      <w:lvlJc w:val="left"/>
      <w:lvlText w:val="(%1)"/>
      <w:numFmt w:val="lowerLetter"/>
      <w:start w:val="3"/>
    </w:lvl>
  </w:abstractNum>
  <w:abstractNum w:abstractNumId="22">
    <w:nsid w:val="788BD9B"/>
    <w:multiLevelType w:val="hybridMultilevel"/>
    <w:lvl w:ilvl="0">
      <w:lvlJc w:val="left"/>
      <w:lvlText w:val="(%1)"/>
      <w:numFmt w:val="lowerLetter"/>
      <w:start w:val="4"/>
    </w:lvl>
  </w:abstractNum>
  <w:abstractNum w:abstractNumId="23">
    <w:nsid w:val="47CAA567"/>
    <w:multiLevelType w:val="hybridMultilevel"/>
    <w:lvl w:ilvl="0">
      <w:lvlJc w:val="left"/>
      <w:lvlText w:val="%1."/>
      <w:numFmt w:val="decimal"/>
      <w:start w:val="2"/>
    </w:lvl>
  </w:abstractNum>
  <w:abstractNum w:abstractNumId="24">
    <w:nsid w:val="48249DBF"/>
    <w:multiLevelType w:val="hybridMultilevel"/>
    <w:lvl w:ilvl="0">
      <w:lvlJc w:val="left"/>
      <w:lvlText w:val="%1."/>
      <w:numFmt w:val="decimal"/>
      <w:start w:val="3"/>
    </w:lvl>
  </w:abstractNum>
  <w:abstractNum w:abstractNumId="25">
    <w:nsid w:val="1F0E5D0D"/>
    <w:multiLevelType w:val="hybridMultilevel"/>
    <w:lvl w:ilvl="0">
      <w:lvlJc w:val="left"/>
      <w:lvlText w:val="%1."/>
      <w:numFmt w:val="decimal"/>
      <w:start w:val="4"/>
    </w:lvl>
  </w:abstractNum>
  <w:abstractNum w:abstractNumId="26">
    <w:nsid w:val="26BAAE9"/>
    <w:multiLevelType w:val="hybridMultilevel"/>
    <w:lvl w:ilvl="0">
      <w:lvlJc w:val="left"/>
      <w:lvlText w:val="%1."/>
      <w:numFmt w:val="upperLetter"/>
      <w:start w:val="3"/>
    </w:lvl>
  </w:abstractNum>
  <w:abstractNum w:abstractNumId="27">
    <w:nsid w:val="2C02FE8C"/>
    <w:multiLevelType w:val="hybridMultilevel"/>
    <w:lvl w:ilvl="0">
      <w:lvlJc w:val="left"/>
      <w:lvlText w:val="%1."/>
      <w:numFmt w:val="decimal"/>
      <w:start w:val="1"/>
    </w:lvl>
  </w:abstractNum>
  <w:abstractNum w:abstractNumId="28">
    <w:nsid w:val="129517E"/>
    <w:multiLevelType w:val="hybridMultilevel"/>
    <w:lvl w:ilvl="0">
      <w:lvlJc w:val="left"/>
      <w:lvlText w:val="%1."/>
      <w:numFmt w:val="decimal"/>
      <w:start w:val="2"/>
    </w:lvl>
  </w:abstractNum>
  <w:abstractNum w:abstractNumId="29">
    <w:nsid w:val="763B8C4E"/>
    <w:multiLevelType w:val="hybridMultilevel"/>
    <w:lvl w:ilvl="0">
      <w:lvlJc w:val="left"/>
      <w:lvlText w:val="%1."/>
      <w:numFmt w:val="decimal"/>
      <w:start w:val="3"/>
    </w:lvl>
  </w:abstractNum>
  <w:abstractNum w:abstractNumId="30">
    <w:nsid w:val="4CFB8D32"/>
    <w:multiLevelType w:val="hybridMultilevel"/>
    <w:lvl w:ilvl="0">
      <w:lvlJc w:val="left"/>
      <w:lvlText w:val="%1."/>
      <w:numFmt w:val="decimal"/>
      <w:start w:val="4"/>
    </w:lvl>
  </w:abstractNum>
  <w:abstractNum w:abstractNumId="31">
    <w:nsid w:val="62A5D5BD"/>
    <w:multiLevelType w:val="hybridMultilevel"/>
    <w:lvl w:ilvl="0">
      <w:lvlJc w:val="left"/>
      <w:lvlText w:val="%1."/>
      <w:numFmt w:val="decimal"/>
      <w:start w:val="5"/>
    </w:lvl>
  </w:abstractNum>
  <w:abstractNum w:abstractNumId="32">
    <w:nsid w:val="718FABF9"/>
    <w:multiLevelType w:val="hybridMultilevel"/>
    <w:lvl w:ilvl="0">
      <w:lvlJc w:val="left"/>
      <w:lvlText w:val="%1."/>
      <w:numFmt w:val="decimal"/>
      <w:start w:val="6"/>
    </w:lvl>
  </w:abstractNum>
  <w:abstractNum w:abstractNumId="33">
    <w:nsid w:val="7775797C"/>
    <w:multiLevelType w:val="hybridMultilevel"/>
    <w:lvl w:ilvl="0">
      <w:lvlJc w:val="left"/>
      <w:lvlText w:val="%1."/>
      <w:numFmt w:val="decimal"/>
      <w:start w:val="7"/>
    </w:lvl>
  </w:abstractNum>
  <w:abstractNum w:abstractNumId="34">
    <w:nsid w:val="1626FB8C"/>
    <w:multiLevelType w:val="hybridMultilevel"/>
    <w:lvl w:ilvl="0">
      <w:lvlJc w:val="left"/>
      <w:lvlText w:val="%1."/>
      <w:numFmt w:val="upperLetter"/>
      <w:start w:val="4"/>
    </w:lvl>
    <w:lvl w:ilvl="1">
      <w:lvlJc w:val="left"/>
      <w:lvlText w:val="%2."/>
      <w:numFmt w:val="decimal"/>
      <w:start w:val="1"/>
    </w:lvl>
  </w:abstractNum>
  <w:abstractNum w:abstractNumId="35">
    <w:nsid w:val="3957756A"/>
    <w:multiLevelType w:val="hybridMultilevel"/>
    <w:lvl w:ilvl="0">
      <w:lvlJc w:val="left"/>
      <w:lvlText w:val="%1."/>
      <w:numFmt w:val="decimal"/>
      <w:start w:val="2"/>
    </w:lvl>
  </w:abstractNum>
  <w:abstractNum w:abstractNumId="36">
    <w:nsid w:val="3E6DA1C7"/>
    <w:multiLevelType w:val="hybridMultilevel"/>
    <w:lvl w:ilvl="0">
      <w:lvlJc w:val="left"/>
      <w:lvlText w:val="(%1)"/>
      <w:numFmt w:val="lowerLetter"/>
      <w:start w:val="1"/>
    </w:lvl>
  </w:abstractNum>
  <w:abstractNum w:abstractNumId="37">
    <w:nsid w:val="65CA235B"/>
    <w:multiLevelType w:val="hybridMultilevel"/>
    <w:lvl w:ilvl="0">
      <w:lvlJc w:val="left"/>
      <w:lvlText w:val="(%1)"/>
      <w:numFmt w:val="lowerLetter"/>
      <w:start w:val="2"/>
    </w:lvl>
  </w:abstractNum>
  <w:abstractNum w:abstractNumId="38">
    <w:nsid w:val="51CB0DA4"/>
    <w:multiLevelType w:val="hybridMultilevel"/>
    <w:lvl w:ilvl="0">
      <w:lvlJc w:val="left"/>
      <w:lvlText w:val="%1."/>
      <w:numFmt w:val="decimal"/>
      <w:start w:val="3"/>
    </w:lvl>
  </w:abstractNum>
  <w:abstractNum w:abstractNumId="39">
    <w:nsid w:val="7B9B743C"/>
    <w:multiLevelType w:val="hybridMultilevel"/>
    <w:lvl w:ilvl="0">
      <w:lvlJc w:val="left"/>
      <w:lvlText w:val="%1."/>
      <w:numFmt w:val="decimal"/>
      <w:start w:val="4"/>
    </w:lvl>
  </w:abstractNum>
  <w:abstractNum w:abstractNumId="40">
    <w:nsid w:val="13E21002"/>
    <w:multiLevelType w:val="hybridMultilevel"/>
    <w:lvl w:ilvl="0">
      <w:lvlJc w:val="left"/>
      <w:lvlText w:val="%1."/>
      <w:numFmt w:val="decimal"/>
      <w:start w:val="5"/>
    </w:lvl>
  </w:abstractNum>
  <w:abstractNum w:abstractNumId="41">
    <w:nsid w:val="257D63F4"/>
    <w:multiLevelType w:val="hybridMultilevel"/>
    <w:lvl w:ilvl="0">
      <w:lvlJc w:val="left"/>
      <w:lvlText w:val="(%1)"/>
      <w:numFmt w:val="decimal"/>
      <w:start w:val="2"/>
    </w:lvl>
    <w:lvl w:ilvl="1">
      <w:lvlJc w:val="left"/>
      <w:lvlText w:val="·"/>
      <w:numFmt w:val="bullet"/>
      <w:start w:val="1"/>
    </w:lvl>
  </w:abstractNum>
  <w:abstractNum w:abstractNumId="42">
    <w:nsid w:val="70EC11B2"/>
    <w:multiLevelType w:val="hybridMultilevel"/>
    <w:lvl w:ilvl="0">
      <w:lvlJc w:val="left"/>
      <w:lvlText w:val="·"/>
      <w:numFmt w:val="bullet"/>
      <w:start w:val="1"/>
    </w:lvl>
  </w:abstractNum>
  <w:abstractNum w:abstractNumId="43">
    <w:nsid w:val="2EDA00ED"/>
    <w:multiLevelType w:val="hybridMultilevel"/>
    <w:lvl w:ilvl="0">
      <w:lvlJc w:val="left"/>
      <w:lvlText w:val="(%1)"/>
      <w:numFmt w:val="decimal"/>
      <w:start w:val="4"/>
    </w:lvl>
  </w:abstractNum>
  <w:abstractNum w:abstractNumId="44">
    <w:nsid w:val="73209072"/>
    <w:multiLevelType w:val="hybridMultilevel"/>
    <w:lvl w:ilvl="0">
      <w:lvlJc w:val="left"/>
      <w:lvlText w:val="%1."/>
      <w:numFmt w:val="decimal"/>
      <w:start w:val="6"/>
    </w:lvl>
  </w:abstractNum>
  <w:abstractNum w:abstractNumId="45">
    <w:nsid w:val="5FB29816"/>
    <w:multiLevelType w:val="hybridMultilevel"/>
    <w:lvl w:ilvl="0">
      <w:lvlJc w:val="left"/>
      <w:lvlText w:val="%1."/>
      <w:numFmt w:val="decimal"/>
      <w:start w:val="7"/>
    </w:lvl>
  </w:abstractNum>
  <w:abstractNum w:abstractNumId="46">
    <w:nsid w:val="3CE732EC"/>
    <w:multiLevelType w:val="hybridMultilevel"/>
    <w:lvl w:ilvl="0">
      <w:lvlJc w:val="left"/>
      <w:lvlText w:val="%1."/>
      <w:numFmt w:val="decimal"/>
      <w:start w:val="8"/>
    </w:lvl>
  </w:abstractNum>
  <w:abstractNum w:abstractNumId="47">
    <w:nsid w:val="22F13DF3"/>
    <w:multiLevelType w:val="hybridMultilevel"/>
    <w:lvl w:ilvl="0">
      <w:lvlJc w:val="left"/>
      <w:lvlText w:val="%1."/>
      <w:numFmt w:val="upperLetter"/>
      <w:start w:val="1"/>
    </w:lvl>
  </w:abstractNum>
  <w:abstractNum w:abstractNumId="48">
    <w:nsid w:val="792B8401"/>
    <w:multiLevelType w:val="hybridMultilevel"/>
    <w:lvl w:ilvl="0">
      <w:lvlJc w:val="left"/>
      <w:lvlText w:val="%1."/>
      <w:numFmt w:val="decimal"/>
      <w:start w:val="1"/>
    </w:lvl>
  </w:abstractNum>
  <w:abstractNum w:abstractNumId="49">
    <w:nsid w:val="FA85F4D"/>
    <w:multiLevelType w:val="hybridMultilevel"/>
    <w:lvl w:ilvl="0">
      <w:lvlJc w:val="left"/>
      <w:lvlText w:val="(%1)"/>
      <w:numFmt w:val="lowerLetter"/>
      <w:start w:val="1"/>
    </w:lvl>
  </w:abstractNum>
  <w:abstractNum w:abstractNumId="50">
    <w:nsid w:val="6ECE91F0"/>
    <w:multiLevelType w:val="hybridMultilevel"/>
    <w:lvl w:ilvl="0">
      <w:lvlJc w:val="left"/>
      <w:lvlText w:val="·"/>
      <w:numFmt w:val="bullet"/>
      <w:start w:val="1"/>
    </w:lvl>
    <w:lvl w:ilvl="1">
      <w:lvlJc w:val="left"/>
      <w:lvlText w:val="(%2)"/>
      <w:numFmt w:val="lowerLetter"/>
      <w:start w:val="2"/>
    </w:lvl>
  </w:abstractNum>
  <w:abstractNum w:abstractNumId="51">
    <w:nsid w:val="4FC4D600"/>
    <w:multiLevelType w:val="hybridMultilevel"/>
    <w:lvl w:ilvl="0">
      <w:lvlJc w:val="left"/>
      <w:lvlText w:val="(%1)"/>
      <w:numFmt w:val="lowerLetter"/>
      <w:start w:val="3"/>
    </w:lvl>
  </w:abstractNum>
  <w:abstractNum w:abstractNumId="52">
    <w:nsid w:val="5BFD4210"/>
    <w:multiLevelType w:val="hybridMultilevel"/>
    <w:lvl w:ilvl="0">
      <w:lvlJc w:val="left"/>
      <w:lvlText w:val="%1."/>
      <w:numFmt w:val="decimal"/>
      <w:start w:val="2"/>
    </w:lvl>
  </w:abstractNum>
  <w:abstractNum w:abstractNumId="53">
    <w:nsid w:val="76574F8B"/>
    <w:multiLevelType w:val="hybridMultilevel"/>
    <w:lvl w:ilvl="0">
      <w:lvlJc w:val="left"/>
      <w:lvlText w:val="%1."/>
      <w:numFmt w:val="decimal"/>
      <w:start w:val="3"/>
    </w:lvl>
  </w:abstractNum>
  <w:abstractNum w:abstractNumId="54">
    <w:nsid w:val="178F7B67"/>
    <w:multiLevelType w:val="hybridMultilevel"/>
    <w:lvl w:ilvl="0">
      <w:lvlJc w:val="left"/>
      <w:lvlText w:val="%1."/>
      <w:numFmt w:val="decimal"/>
      <w:start w:val="4"/>
    </w:lvl>
  </w:abstractNum>
  <w:abstractNum w:abstractNumId="55">
    <w:nsid w:val="2421DFCF"/>
    <w:multiLevelType w:val="hybridMultilevel"/>
    <w:lvl w:ilvl="0">
      <w:lvlJc w:val="left"/>
      <w:lvlText w:val="%1."/>
      <w:numFmt w:val="decimal"/>
      <w:start w:val="5"/>
    </w:lvl>
  </w:abstractNum>
  <w:abstractNum w:abstractNumId="56">
    <w:nsid w:val="1565AC99"/>
    <w:multiLevelType w:val="hybridMultilevel"/>
    <w:lvl w:ilvl="0">
      <w:lvlJc w:val="left"/>
      <w:lvlText w:val="·"/>
      <w:numFmt w:val="bullet"/>
      <w:start w:val="1"/>
    </w:lvl>
  </w:abstractNum>
  <w:abstractNum w:abstractNumId="57">
    <w:nsid w:val="19FB2650"/>
    <w:multiLevelType w:val="hybridMultilevel"/>
    <w:lvl w:ilvl="0">
      <w:lvlJc w:val="left"/>
      <w:lvlText w:val="·"/>
      <w:numFmt w:val="bullet"/>
      <w:start w:val="1"/>
    </w:lvl>
  </w:abstractNum>
  <w:abstractNum w:abstractNumId="58">
    <w:nsid w:val="5024DE5B"/>
    <w:multiLevelType w:val="hybridMultilevel"/>
    <w:lvl w:ilvl="0">
      <w:lvlJc w:val="left"/>
      <w:lvlText w:val="%1."/>
      <w:numFmt w:val="decimal"/>
      <w:start w:val="6"/>
    </w:lvl>
  </w:abstractNum>
  <w:abstractNum w:abstractNumId="59">
    <w:nsid w:val="168EFE17"/>
    <w:multiLevelType w:val="hybridMultilevel"/>
    <w:lvl w:ilvl="0">
      <w:lvlJc w:val="left"/>
      <w:lvlText w:val="%1."/>
      <w:numFmt w:val="decimal"/>
      <w:start w:val="7"/>
    </w:lvl>
  </w:abstractNum>
  <w:abstractNum w:abstractNumId="60">
    <w:nsid w:val="1036B29F"/>
    <w:multiLevelType w:val="hybridMultilevel"/>
    <w:lvl w:ilvl="0">
      <w:lvlJc w:val="left"/>
      <w:lvlText w:val="%1."/>
      <w:numFmt w:val="decimal"/>
      <w:start w:val="8"/>
    </w:lvl>
  </w:abstractNum>
  <w:abstractNum w:abstractNumId="61">
    <w:nsid w:val="1D206B8E"/>
    <w:multiLevelType w:val="hybridMultilevel"/>
    <w:lvl w:ilvl="0">
      <w:lvlJc w:val="left"/>
      <w:lvlText w:val="%1."/>
      <w:numFmt w:val="upperLetter"/>
      <w:start w:val="2"/>
    </w:lvl>
  </w:abstractNum>
  <w:abstractNum w:abstractNumId="62">
    <w:nsid w:val="7934D3D4"/>
    <w:multiLevelType w:val="hybridMultilevel"/>
    <w:lvl w:ilvl="0">
      <w:lvlJc w:val="left"/>
      <w:lvlText w:val="%1."/>
      <w:numFmt w:val="upperLetter"/>
      <w:start w:val="3"/>
    </w:lvl>
  </w:abstractNum>
  <w:abstractNum w:abstractNumId="63">
    <w:nsid w:val="1C65E98"/>
    <w:multiLevelType w:val="hybridMultilevel"/>
    <w:lvl w:ilvl="0">
      <w:lvlJc w:val="left"/>
      <w:lvlText w:val="%1."/>
      <w:numFmt w:val="decimal"/>
      <w:start w:val="1"/>
    </w:lvl>
  </w:abstractNum>
  <w:abstractNum w:abstractNumId="64">
    <w:nsid w:val="1495E50A"/>
    <w:multiLevelType w:val="hybridMultilevel"/>
    <w:lvl w:ilvl="0">
      <w:lvlJc w:val="left"/>
      <w:lvlText w:val="%1."/>
      <w:numFmt w:val="decimal"/>
      <w:start w:val="2"/>
    </w:lvl>
  </w:abstractNum>
  <w:abstractNum w:abstractNumId="65">
    <w:nsid w:val="F5BCF61"/>
    <w:multiLevelType w:val="hybridMultilevel"/>
    <w:lvl w:ilvl="0">
      <w:lvlJc w:val="left"/>
      <w:lvlText w:val="%1."/>
      <w:numFmt w:val="decimal"/>
      <w:start w:val="3"/>
    </w:lvl>
  </w:abstractNum>
  <w:abstractNum w:abstractNumId="66">
    <w:nsid w:val="3B1DD403"/>
    <w:multiLevelType w:val="hybridMultilevel"/>
    <w:lvl w:ilvl="0">
      <w:lvlJc w:val="left"/>
      <w:lvlText w:val="%1."/>
      <w:numFmt w:val="decimal"/>
      <w:start w:val="4"/>
    </w:lvl>
  </w:abstractNum>
  <w:abstractNum w:abstractNumId="67">
    <w:nsid w:val="530386D1"/>
    <w:multiLevelType w:val="hybridMultilevel"/>
    <w:lvl w:ilvl="0">
      <w:lvlJc w:val="left"/>
      <w:lvlText w:val="%1."/>
      <w:numFmt w:val="upperLetter"/>
      <w:start w:val="4"/>
    </w:lvl>
  </w:abstractNum>
  <w:abstractNum w:abstractNumId="68">
    <w:nsid w:val="7525F2BC"/>
    <w:multiLevelType w:val="hybridMultilevel"/>
    <w:lvl w:ilvl="0">
      <w:lvlJc w:val="left"/>
      <w:lvlText w:val="%1."/>
      <w:numFmt w:val="upperLetter"/>
      <w:start w:val="1"/>
    </w:lvl>
  </w:abstractNum>
  <w:abstractNum w:abstractNumId="69">
    <w:nsid w:val="CE8E1A7"/>
    <w:multiLevelType w:val="hybridMultilevel"/>
    <w:lvl w:ilvl="0">
      <w:lvlJc w:val="left"/>
      <w:lvlText w:val="%1."/>
      <w:numFmt w:val="upperLetter"/>
      <w:start w:val="2"/>
    </w:lvl>
  </w:abstractNum>
  <w:abstractNum w:abstractNumId="70">
    <w:nsid w:val="4E9EFB0D"/>
    <w:multiLevelType w:val="hybridMultilevel"/>
    <w:lvl w:ilvl="0">
      <w:lvlJc w:val="left"/>
      <w:lvlText w:val="%1."/>
      <w:numFmt w:val="decimal"/>
      <w:start w:val="1"/>
    </w:lvl>
  </w:abstractNum>
  <w:abstractNum w:abstractNumId="71">
    <w:nsid w:val="90802BE"/>
    <w:multiLevelType w:val="hybridMultilevel"/>
    <w:lvl w:ilvl="0">
      <w:lvlJc w:val="left"/>
      <w:lvlText w:val="(%1)"/>
      <w:numFmt w:val="lowerLetter"/>
      <w:start w:val="1"/>
    </w:lvl>
  </w:abstractNum>
  <w:abstractNum w:abstractNumId="72">
    <w:nsid w:val="3266459B"/>
    <w:multiLevelType w:val="hybridMultilevel"/>
    <w:lvl w:ilvl="0">
      <w:lvlJc w:val="left"/>
      <w:lvlText w:val="%1."/>
      <w:numFmt w:val="decimal"/>
      <w:start w:val="2"/>
    </w:lvl>
  </w:abstractNum>
  <w:abstractNum w:abstractNumId="73">
    <w:nsid w:val="3F8B0CBF"/>
    <w:multiLevelType w:val="hybridMultilevel"/>
    <w:lvl w:ilvl="0">
      <w:lvlJc w:val="left"/>
      <w:lvlText w:val="%1."/>
      <w:numFmt w:val="decimal"/>
      <w:start w:val="3"/>
    </w:lvl>
  </w:abstractNum>
  <w:abstractNum w:abstractNumId="74">
    <w:nsid w:val="37E203AB"/>
    <w:multiLevelType w:val="hybridMultilevel"/>
    <w:lvl w:ilvl="0">
      <w:lvlJc w:val="left"/>
      <w:lvlText w:val="%1."/>
      <w:numFmt w:val="upperLetter"/>
      <w:start w:val="3"/>
    </w:lvl>
    <w:lvl w:ilvl="1">
      <w:lvlJc w:val="left"/>
      <w:lvlText w:val="%2."/>
      <w:numFmt w:val="decimal"/>
      <w:start w:val="1"/>
    </w:lvl>
  </w:abstractNum>
  <w:abstractNum w:abstractNumId="75">
    <w:nsid w:val="2586D60E"/>
    <w:multiLevelType w:val="hybridMultilevel"/>
    <w:lvl w:ilvl="0">
      <w:lvlJc w:val="left"/>
      <w:lvlText w:val="(%1)"/>
      <w:numFmt w:val="decimal"/>
      <w:start w:val="5"/>
    </w:lvl>
  </w:abstractNum>
  <w:abstractNum w:abstractNumId="76">
    <w:nsid w:val="1F3DA4D5"/>
    <w:multiLevelType w:val="hybridMultilevel"/>
    <w:lvl w:ilvl="0">
      <w:lvlJc w:val="left"/>
      <w:lvlText w:val="%1."/>
      <w:numFmt w:val="decimal"/>
      <w:start w:val="2"/>
    </w:lvl>
  </w:abstractNum>
  <w:abstractNum w:abstractNumId="77">
    <w:nsid w:val="74C93698"/>
    <w:multiLevelType w:val="hybridMultilevel"/>
    <w:lvl w:ilvl="0">
      <w:lvlJc w:val="left"/>
      <w:lvlText w:val="(%1)"/>
      <w:numFmt w:val="lowerLetter"/>
      <w:start w:val="1"/>
    </w:lvl>
  </w:abstractNum>
  <w:abstractNum w:abstractNumId="78">
    <w:nsid w:val="48781401"/>
    <w:multiLevelType w:val="hybridMultilevel"/>
    <w:lvl w:ilvl="0">
      <w:lvlJc w:val="left"/>
      <w:lvlText w:val="·"/>
      <w:numFmt w:val="bullet"/>
      <w:start w:val="1"/>
    </w:lvl>
  </w:abstractNum>
  <w:abstractNum w:abstractNumId="79">
    <w:nsid w:val="186928D6"/>
    <w:multiLevelType w:val="hybridMultilevel"/>
    <w:lvl w:ilvl="0">
      <w:lvlJc w:val="left"/>
      <w:lvlText w:val="(%1)"/>
      <w:numFmt w:val="lowerLetter"/>
      <w:start w:val="2"/>
    </w:lvl>
  </w:abstractNum>
  <w:abstractNum w:abstractNumId="80">
    <w:nsid w:val="47195E5"/>
    <w:multiLevelType w:val="hybridMultilevel"/>
    <w:lvl w:ilvl="0">
      <w:lvlJc w:val="left"/>
      <w:lvlText w:val="·"/>
      <w:numFmt w:val="bullet"/>
      <w:start w:val="1"/>
    </w:lvl>
  </w:abstractNum>
  <w:abstractNum w:abstractNumId="81">
    <w:nsid w:val="3746A5F2"/>
    <w:multiLevelType w:val="hybridMultilevel"/>
    <w:lvl w:ilvl="0">
      <w:lvlJc w:val="left"/>
      <w:lvlText w:val="·"/>
      <w:numFmt w:val="bullet"/>
      <w:start w:val="1"/>
    </w:lvl>
  </w:abstractNum>
  <w:abstractNum w:abstractNumId="82">
    <w:nsid w:val="682DFED6"/>
    <w:multiLevelType w:val="hybridMultilevel"/>
    <w:lvl w:ilvl="0">
      <w:lvlJc w:val="left"/>
      <w:lvlText w:val="(%1)"/>
      <w:numFmt w:val="lowerLetter"/>
      <w:start w:val="3"/>
    </w:lvl>
  </w:abstractNum>
  <w:abstractNum w:abstractNumId="83">
    <w:nsid w:val="606ED7F6"/>
    <w:multiLevelType w:val="hybridMultilevel"/>
    <w:lvl w:ilvl="0">
      <w:lvlJc w:val="left"/>
      <w:lvlText w:val="·"/>
      <w:numFmt w:val="bullet"/>
      <w:start w:val="1"/>
    </w:lvl>
  </w:abstractNum>
  <w:abstractNum w:abstractNumId="84">
    <w:nsid w:val="2D9DF57D"/>
    <w:multiLevelType w:val="hybridMultilevel"/>
    <w:lvl w:ilvl="0">
      <w:lvlJc w:val="left"/>
      <w:lvlText w:val="·"/>
      <w:numFmt w:val="bullet"/>
      <w:start w:val="1"/>
    </w:lvl>
  </w:abstractNum>
  <w:abstractNum w:abstractNumId="85">
    <w:nsid w:val="7FBD7A3E"/>
    <w:multiLevelType w:val="hybridMultilevel"/>
    <w:lvl w:ilvl="0">
      <w:lvlJc w:val="left"/>
      <w:lvlText w:val="(%1)"/>
      <w:numFmt w:val="lowerLetter"/>
      <w:start w:val="4"/>
    </w:lvl>
  </w:abstractNum>
  <w:abstractNum w:abstractNumId="86">
    <w:nsid w:val="490B7C5"/>
    <w:multiLevelType w:val="hybridMultilevel"/>
    <w:lvl w:ilvl="0">
      <w:lvlJc w:val="left"/>
      <w:lvlText w:val="·"/>
      <w:numFmt w:val="bullet"/>
      <w:start w:val="1"/>
    </w:lvl>
  </w:abstractNum>
  <w:abstractNum w:abstractNumId="87">
    <w:nsid w:val="4303A216"/>
    <w:multiLevelType w:val="hybridMultilevel"/>
    <w:lvl w:ilvl="0">
      <w:lvlJc w:val="left"/>
      <w:lvlText w:val="(%1)"/>
      <w:numFmt w:val="lowerLetter"/>
      <w:start w:val="5"/>
    </w:lvl>
  </w:abstractNum>
  <w:abstractNum w:abstractNumId="88">
    <w:nsid w:val="19B8A08E"/>
    <w:multiLevelType w:val="hybridMultilevel"/>
    <w:lvl w:ilvl="0">
      <w:lvlJc w:val="left"/>
      <w:lvlText w:val="·"/>
      <w:numFmt w:val="bullet"/>
      <w:start w:val="1"/>
    </w:lvl>
  </w:abstractNum>
  <w:abstractNum w:abstractNumId="89">
    <w:nsid w:val="54B59621"/>
    <w:multiLevelType w:val="hybridMultilevel"/>
    <w:lvl w:ilvl="0">
      <w:lvlJc w:val="left"/>
      <w:lvlText w:val="·"/>
      <w:numFmt w:val="bullet"/>
      <w:start w:val="1"/>
    </w:lvl>
  </w:abstractNum>
  <w:abstractNum w:abstractNumId="90">
    <w:nsid w:val="5992A02E"/>
    <w:multiLevelType w:val="hybridMultilevel"/>
    <w:lvl w:ilvl="0">
      <w:lvlJc w:val="left"/>
      <w:lvlText w:val="(%1)"/>
      <w:numFmt w:val="lowerLetter"/>
      <w:start w:val="6"/>
    </w:lvl>
  </w:abstractNum>
  <w:abstractNum w:abstractNumId="91">
    <w:nsid w:val="29EF532D"/>
    <w:multiLevelType w:val="hybridMultilevel"/>
    <w:lvl w:ilvl="0">
      <w:lvlJc w:val="left"/>
      <w:lvlText w:val="·"/>
      <w:numFmt w:val="bullet"/>
      <w:start w:val="1"/>
    </w:lvl>
  </w:abstractNum>
  <w:abstractNum w:abstractNumId="92">
    <w:nsid w:val="71D601AF"/>
    <w:multiLevelType w:val="hybridMultilevel"/>
    <w:lvl w:ilvl="0">
      <w:lvlJc w:val="left"/>
      <w:lvlText w:val="(%1)"/>
      <w:numFmt w:val="lowerLetter"/>
      <w:start w:val="7"/>
    </w:lvl>
  </w:abstractNum>
  <w:abstractNum w:abstractNumId="93">
    <w:nsid w:val="52C77402"/>
    <w:multiLevelType w:val="hybridMultilevel"/>
    <w:lvl w:ilvl="0">
      <w:lvlJc w:val="left"/>
      <w:lvlText w:val="·"/>
      <w:numFmt w:val="bullet"/>
      <w:start w:val="1"/>
    </w:lvl>
    <w:lvl w:ilvl="1">
      <w:lvlJc w:val="left"/>
      <w:lvlText w:val="·"/>
      <w:numFmt w:val="bullet"/>
      <w:start w:val="1"/>
    </w:lvl>
  </w:abstractNum>
  <w:abstractNum w:abstractNumId="94">
    <w:nsid w:val="2BB5B1C6"/>
    <w:multiLevelType w:val="hybridMultilevel"/>
    <w:lvl w:ilvl="0">
      <w:lvlJc w:val="left"/>
      <w:lvlText w:val="·"/>
      <w:numFmt w:val="bullet"/>
      <w:start w:val="1"/>
    </w:lvl>
    <w:lvl w:ilvl="1">
      <w:lvlJc w:val="left"/>
      <w:lvlText w:val="·"/>
      <w:numFmt w:val="bullet"/>
      <w:start w:val="1"/>
    </w:lvl>
  </w:abstractNum>
  <w:abstractNum w:abstractNumId="95">
    <w:nsid w:val="66BE6B9"/>
    <w:multiLevelType w:val="hybridMultilevel"/>
    <w:lvl w:ilvl="0">
      <w:lvlJc w:val="left"/>
      <w:lvlText w:val="·"/>
      <w:numFmt w:val="bullet"/>
      <w:start w:val="1"/>
    </w:lvl>
  </w:abstractNum>
  <w:abstractNum w:abstractNumId="96">
    <w:nsid w:val="62234363"/>
    <w:multiLevelType w:val="hybridMultilevel"/>
    <w:lvl w:ilvl="0">
      <w:lvlJc w:val="left"/>
      <w:lvlText w:val="(%1)"/>
      <w:numFmt w:val="lowerLetter"/>
      <w:start w:val="8"/>
    </w:lvl>
  </w:abstractNum>
  <w:abstractNum w:abstractNumId="97">
    <w:nsid w:val="66D385C9"/>
    <w:multiLevelType w:val="hybridMultilevel"/>
    <w:lvl w:ilvl="0">
      <w:lvlJc w:val="left"/>
      <w:lvlText w:val="·"/>
      <w:numFmt w:val="bullet"/>
      <w:start w:val="1"/>
    </w:lvl>
  </w:abstractNum>
  <w:abstractNum w:abstractNumId="98">
    <w:nsid w:val="596F6D8A"/>
    <w:multiLevelType w:val="hybridMultilevel"/>
    <w:lvl w:ilvl="0">
      <w:lvlJc w:val="left"/>
      <w:lvlText w:val="(%1)"/>
      <w:numFmt w:val="lowerRoman"/>
      <w:start w:val="1"/>
    </w:lvl>
  </w:abstractNum>
  <w:abstractNum w:abstractNumId="99">
    <w:nsid w:val="5749361F"/>
    <w:multiLevelType w:val="hybridMultilevel"/>
    <w:lvl w:ilvl="0">
      <w:lvlJc w:val="left"/>
      <w:lvlText w:val="·"/>
      <w:numFmt w:val="bullet"/>
      <w:start w:val="1"/>
    </w:lvl>
  </w:abstractNum>
  <w:abstractNum w:abstractNumId="100">
    <w:nsid w:val="73BC6770"/>
    <w:multiLevelType w:val="hybridMultilevel"/>
    <w:lvl w:ilvl="0">
      <w:lvlJc w:val="left"/>
      <w:lvlText w:val="(%1)"/>
      <w:numFmt w:val="lowerLetter"/>
      <w:start w:val="10"/>
    </w:lvl>
  </w:abstractNum>
  <w:abstractNum w:abstractNumId="101">
    <w:nsid w:val="280E6897"/>
    <w:multiLevelType w:val="hybridMultilevel"/>
    <w:lvl w:ilvl="0">
      <w:lvlJc w:val="left"/>
      <w:lvlText w:val="(%1)"/>
      <w:numFmt w:val="decimal"/>
      <w:start w:val="5"/>
    </w:lvl>
    <w:lvl w:ilvl="1">
      <w:lvlJc w:val="left"/>
      <w:lvlText w:val="·"/>
      <w:numFmt w:val="bullet"/>
      <w:start w:val="1"/>
    </w:lvl>
  </w:abstractNum>
  <w:abstractNum w:abstractNumId="102">
    <w:nsid w:val="605138DE"/>
    <w:multiLevelType w:val="hybridMultilevel"/>
    <w:lvl w:ilvl="0">
      <w:lvlJc w:val="left"/>
      <w:lvlText w:val="·"/>
      <w:numFmt w:val="bullet"/>
      <w:start w:val="1"/>
    </w:lvl>
  </w:abstractNum>
  <w:abstractNum w:abstractNumId="103">
    <w:nsid w:val="2622AD0C"/>
    <w:multiLevelType w:val="hybridMultilevel"/>
    <w:lvl w:ilvl="0">
      <w:lvlJc w:val="left"/>
      <w:lvlText w:val="(%1)"/>
      <w:numFmt w:val="lowerLetter"/>
      <w:start w:val="11"/>
    </w:lvl>
  </w:abstractNum>
  <w:abstractNum w:abstractNumId="104">
    <w:nsid w:val="67997556"/>
    <w:multiLevelType w:val="hybridMultilevel"/>
    <w:lvl w:ilvl="0">
      <w:lvlJc w:val="left"/>
      <w:lvlText w:val="·"/>
      <w:numFmt w:val="bullet"/>
      <w:start w:val="1"/>
    </w:lvl>
  </w:abstractNum>
  <w:abstractNum w:abstractNumId="105">
    <w:nsid w:val="18333C89"/>
    <w:multiLevelType w:val="hybridMultilevel"/>
    <w:lvl w:ilvl="0">
      <w:lvlJc w:val="left"/>
      <w:lvlText w:val="(%1)"/>
      <w:numFmt w:val="lowerLetter"/>
      <w:start w:val="12"/>
    </w:lvl>
  </w:abstractNum>
  <w:abstractNum w:abstractNumId="106">
    <w:nsid w:val="4BA9831A"/>
    <w:multiLevelType w:val="hybridMultilevel"/>
    <w:lvl w:ilvl="0">
      <w:lvlJc w:val="left"/>
      <w:lvlText w:val="%1."/>
      <w:numFmt w:val="decimal"/>
      <w:start w:val="2"/>
    </w:lvl>
    <w:lvl w:ilvl="1">
      <w:lvlJc w:val="left"/>
      <w:lvlText w:val="·"/>
      <w:numFmt w:val="bullet"/>
      <w:start w:val="1"/>
    </w:lvl>
  </w:abstractNum>
  <w:abstractNum w:abstractNumId="107">
    <w:nsid w:val="6D71A2B"/>
    <w:multiLevelType w:val="hybridMultilevel"/>
    <w:lvl w:ilvl="0">
      <w:lvlJc w:val="left"/>
      <w:lvlText w:val="%1."/>
      <w:numFmt w:val="decimal"/>
      <w:start w:val="4"/>
    </w:lvl>
  </w:abstractNum>
  <w:abstractNum w:abstractNumId="108">
    <w:nsid w:val="CFC7321"/>
    <w:multiLevelType w:val="hybridMultilevel"/>
    <w:lvl w:ilvl="0">
      <w:lvlJc w:val="left"/>
      <w:lvlText w:val="%1."/>
      <w:numFmt w:val="upperLetter"/>
      <w:start w:val="4"/>
    </w:lvl>
  </w:abstractNum>
  <w:abstractNum w:abstractNumId="109">
    <w:nsid w:val="1421971B"/>
    <w:multiLevelType w:val="hybridMultilevel"/>
    <w:lvl w:ilvl="0">
      <w:lvlJc w:val="left"/>
      <w:lvlText w:val="%1."/>
      <w:numFmt w:val="decimal"/>
      <w:start w:val="1"/>
    </w:lvl>
  </w:abstractNum>
  <w:abstractNum w:abstractNumId="110">
    <w:nsid w:val="1F404301"/>
    <w:multiLevelType w:val="hybridMultilevel"/>
    <w:lvl w:ilvl="0">
      <w:lvlJc w:val="left"/>
      <w:lvlText w:val="%1."/>
      <w:numFmt w:val="decimal"/>
      <w:start w:val="2"/>
    </w:lvl>
  </w:abstractNum>
  <w:abstractNum w:abstractNumId="111">
    <w:nsid w:val="116E0907"/>
    <w:multiLevelType w:val="hybridMultilevel"/>
    <w:lvl w:ilvl="0">
      <w:lvlJc w:val="left"/>
      <w:lvlText w:val="%1."/>
      <w:numFmt w:val="decimal"/>
      <w:start w:val="3"/>
    </w:lvl>
  </w:abstractNum>
  <w:abstractNum w:abstractNumId="112">
    <w:nsid w:val="4B683D0D"/>
    <w:multiLevelType w:val="hybridMultilevel"/>
    <w:lvl w:ilvl="0">
      <w:lvlJc w:val="left"/>
      <w:lvlText w:val="%1."/>
      <w:numFmt w:val="decimal"/>
      <w:start w:val="4"/>
    </w:lvl>
  </w:abstractNum>
  <w:abstractNum w:abstractNumId="113">
    <w:nsid w:val="76E41D8"/>
    <w:multiLevelType w:val="hybridMultilevel"/>
    <w:lvl w:ilvl="0">
      <w:lvlJc w:val="left"/>
      <w:lvlText w:val="%1."/>
      <w:numFmt w:val="decimal"/>
      <w:start w:val="5"/>
    </w:lvl>
  </w:abstractNum>
  <w:abstractNum w:abstractNumId="114">
    <w:nsid w:val="71DCE0FD"/>
    <w:multiLevelType w:val="hybridMultilevel"/>
    <w:lvl w:ilvl="0">
      <w:lvlJc w:val="left"/>
      <w:lvlText w:val="%1."/>
      <w:numFmt w:val="decimal"/>
      <w:start w:val="6"/>
    </w:lvl>
  </w:abstractNum>
  <w:abstractNum w:abstractNumId="115">
    <w:nsid w:val="7906328B"/>
    <w:multiLevelType w:val="hybridMultilevel"/>
    <w:lvl w:ilvl="0">
      <w:lvlJc w:val="left"/>
      <w:lvlText w:val="%1."/>
      <w:numFmt w:val="upperLetter"/>
      <w:start w:val="5"/>
    </w:lvl>
  </w:abstractNum>
  <w:abstractNum w:abstractNumId="116">
    <w:nsid w:val="72BBC16"/>
    <w:multiLevelType w:val="hybridMultilevel"/>
    <w:lvl w:ilvl="0">
      <w:lvlJc w:val="left"/>
      <w:lvlText w:val="%1."/>
      <w:numFmt w:val="decimal"/>
      <w:start w:val="2"/>
    </w:lvl>
  </w:abstractNum>
  <w:abstractNum w:abstractNumId="117">
    <w:nsid w:val="766D98C2"/>
    <w:multiLevelType w:val="hybridMultilevel"/>
    <w:lvl w:ilvl="0">
      <w:lvlJc w:val="left"/>
      <w:lvlText w:val="%1"/>
      <w:numFmt w:val="decimal"/>
      <w:start w:val="11"/>
    </w:lvl>
    <w:lvl w:ilvl="1">
      <w:lvlJc w:val="left"/>
      <w:lvlText w:val="%2."/>
      <w:numFmt w:val="decimal"/>
      <w:start w:val="3"/>
    </w:lvl>
  </w:abstractNum>
  <w:abstractNum w:abstractNumId="118">
    <w:nsid w:val="3C09D4A1"/>
    <w:multiLevelType w:val="hybridMultilevel"/>
    <w:lvl w:ilvl="0">
      <w:lvlJc w:val="left"/>
      <w:lvlText w:val="%1."/>
      <w:numFmt w:val="decimal"/>
      <w:start w:val="4"/>
    </w:lvl>
  </w:abstractNum>
  <w:abstractNum w:abstractNumId="119">
    <w:nsid w:val="20E45CA4"/>
    <w:multiLevelType w:val="hybridMultilevel"/>
    <w:lvl w:ilvl="0">
      <w:lvlJc w:val="left"/>
      <w:lvlText w:val="%1."/>
      <w:numFmt w:val="decimal"/>
      <w:start w:val="5"/>
    </w:lvl>
  </w:abstractNum>
  <w:abstractNum w:abstractNumId="120">
    <w:nsid w:val="4B232EE3"/>
    <w:multiLevelType w:val="hybridMultilevel"/>
    <w:lvl w:ilvl="0">
      <w:lvlJc w:val="left"/>
      <w:lvlText w:val="%1."/>
      <w:numFmt w:val="decimal"/>
      <w:start w:val="6"/>
    </w:lvl>
  </w:abstractNum>
  <w:abstractNum w:abstractNumId="121">
    <w:nsid w:val="159C74CF"/>
    <w:multiLevelType w:val="hybridMultilevel"/>
    <w:lvl w:ilvl="0">
      <w:lvlJc w:val="left"/>
      <w:lvlText w:val="%1."/>
      <w:numFmt w:val="decimal"/>
      <w:start w:val="7"/>
    </w:lvl>
  </w:abstractNum>
  <w:abstractNum w:abstractNumId="122">
    <w:nsid w:val="4AD3AFD2"/>
    <w:multiLevelType w:val="hybridMultilevel"/>
    <w:lvl w:ilvl="0">
      <w:lvlJc w:val="left"/>
      <w:lvlText w:val="%1."/>
      <w:numFmt w:val="decimal"/>
      <w:start w:val="8"/>
    </w:lvl>
  </w:abstractNum>
  <w:abstractNum w:abstractNumId="123">
    <w:nsid w:val="3CF93092"/>
    <w:multiLevelType w:val="hybridMultilevel"/>
    <w:lvl w:ilvl="0">
      <w:lvlJc w:val="left"/>
      <w:lvlText w:val="%1."/>
      <w:numFmt w:val="decimal"/>
      <w:start w:val="9"/>
    </w:lvl>
  </w:abstractNum>
  <w:abstractNum w:abstractNumId="124">
    <w:nsid w:val="6863E8D2"/>
    <w:multiLevelType w:val="hybridMultilevel"/>
    <w:lvl w:ilvl="0">
      <w:lvlJc w:val="left"/>
      <w:lvlText w:val="%1."/>
      <w:numFmt w:val="decimal"/>
      <w:start w:val="10"/>
    </w:lvl>
  </w:abstractNum>
  <w:abstractNum w:abstractNumId="125">
    <w:nsid w:val="76896198"/>
    <w:multiLevelType w:val="hybridMultilevel"/>
    <w:lvl w:ilvl="0">
      <w:lvlJc w:val="left"/>
      <w:lvlText w:val="%1."/>
      <w:numFmt w:val="decimal"/>
      <w:start w:val="11"/>
    </w:lvl>
  </w:abstractNum>
  <w:abstractNum w:abstractNumId="126">
    <w:nsid w:val="4365174B"/>
    <w:multiLevelType w:val="hybridMultilevel"/>
    <w:lvl w:ilvl="0">
      <w:lvlJc w:val="left"/>
      <w:lvlText w:val="%1."/>
      <w:numFmt w:val="decimal"/>
      <w:start w:val="12"/>
    </w:lvl>
  </w:abstractNum>
  <w:abstractNum w:abstractNumId="127">
    <w:nsid w:val="4A872C35"/>
    <w:multiLevelType w:val="hybridMultilevel"/>
    <w:lvl w:ilvl="0">
      <w:lvlJc w:val="left"/>
      <w:lvlText w:val="%1."/>
      <w:numFmt w:val="decimal"/>
      <w:start w:val="13"/>
    </w:lvl>
  </w:abstractNum>
  <w:abstractNum w:abstractNumId="128">
    <w:nsid w:val="5D5CE761"/>
    <w:multiLevelType w:val="hybridMultilevel"/>
    <w:lvl w:ilvl="0">
      <w:lvlJc w:val="left"/>
      <w:lvlText w:val="%1."/>
      <w:numFmt w:val="decimal"/>
      <w:start w:val="14"/>
    </w:lvl>
  </w:abstractNum>
  <w:abstractNum w:abstractNumId="129">
    <w:nsid w:val="1CD484D5"/>
    <w:multiLevelType w:val="hybridMultilevel"/>
    <w:lvl w:ilvl="0">
      <w:lvlJc w:val="left"/>
      <w:lvlText w:val="(%1)"/>
      <w:numFmt w:val="decimal"/>
      <w:start w:val="6"/>
    </w:lvl>
  </w:abstractNum>
  <w:abstractNum w:abstractNumId="130">
    <w:nsid w:val="21D06255"/>
    <w:multiLevelType w:val="hybridMultilevel"/>
    <w:lvl w:ilvl="0">
      <w:lvlJc w:val="left"/>
      <w:lvlText w:val="%1."/>
      <w:numFmt w:val="decimal"/>
      <w:start w:val="15"/>
    </w:lvl>
  </w:abstractNum>
  <w:abstractNum w:abstractNumId="131">
    <w:nsid w:val="51194ED1"/>
    <w:multiLevelType w:val="hybridMultilevel"/>
    <w:lvl w:ilvl="0">
      <w:lvlJc w:val="left"/>
      <w:lvlText w:val="%1."/>
      <w:numFmt w:val="decimal"/>
      <w:start w:val="16"/>
    </w:lvl>
  </w:abstractNum>
  <w:abstractNum w:abstractNumId="132">
    <w:nsid w:val="44E2ED6C"/>
    <w:multiLevelType w:val="hybridMultilevel"/>
    <w:lvl w:ilvl="0">
      <w:lvlJc w:val="left"/>
      <w:lvlText w:val="%1."/>
      <w:numFmt w:val="decimal"/>
      <w:start w:val="17"/>
    </w:lvl>
  </w:abstractNum>
  <w:abstractNum w:abstractNumId="133">
    <w:nsid w:val="2219B33"/>
    <w:multiLevelType w:val="hybridMultilevel"/>
    <w:lvl w:ilvl="0">
      <w:lvlJc w:val="left"/>
      <w:lvlText w:val="%1."/>
      <w:numFmt w:val="decimal"/>
      <w:start w:val="18"/>
    </w:lvl>
  </w:abstractNum>
  <w:abstractNum w:abstractNumId="134">
    <w:nsid w:val="773BFBDD"/>
    <w:multiLevelType w:val="hybridMultilevel"/>
    <w:lvl w:ilvl="0">
      <w:lvlJc w:val="left"/>
      <w:lvlText w:val="%1."/>
      <w:numFmt w:val="decimal"/>
      <w:start w:val="19"/>
    </w:lvl>
  </w:abstractNum>
  <w:abstractNum w:abstractNumId="135">
    <w:nsid w:val="2C7C62C2"/>
    <w:multiLevelType w:val="hybridMultilevel"/>
    <w:lvl w:ilvl="0">
      <w:lvlJc w:val="left"/>
      <w:lvlText w:val="%1."/>
      <w:numFmt w:val="decimal"/>
      <w:start w:val="20"/>
    </w:lvl>
  </w:abstractNum>
  <w:abstractNum w:abstractNumId="136">
    <w:nsid w:val="1A54D7BC"/>
    <w:multiLevelType w:val="hybridMultilevel"/>
    <w:lvl w:ilvl="0">
      <w:lvlJc w:val="left"/>
      <w:lvlText w:val="%1."/>
      <w:numFmt w:val="decimal"/>
      <w:start w:val="21"/>
    </w:lvl>
  </w:abstractNum>
  <w:abstractNum w:abstractNumId="137">
    <w:nsid w:val="42E57EF7"/>
    <w:multiLevelType w:val="hybridMultilevel"/>
    <w:lvl w:ilvl="0">
      <w:lvlJc w:val="left"/>
      <w:lvlText w:val="%1."/>
      <w:numFmt w:val="decimal"/>
      <w:start w:val="22"/>
    </w:lvl>
  </w:abstractNum>
  <w:abstractNum w:abstractNumId="138">
    <w:nsid w:val="33537CED"/>
    <w:multiLevelType w:val="hybridMultilevel"/>
    <w:lvl w:ilvl="0">
      <w:lvlJc w:val="left"/>
      <w:lvlText w:val="%1."/>
      <w:numFmt w:val="decimal"/>
      <w:start w:val="23"/>
    </w:lvl>
  </w:abstractNum>
  <w:abstractNum w:abstractNumId="139">
    <w:nsid w:val="27514ADE"/>
    <w:multiLevelType w:val="hybridMultilevel"/>
    <w:lvl w:ilvl="0">
      <w:lvlJc w:val="left"/>
      <w:lvlText w:val="%1."/>
      <w:numFmt w:val="upperLetter"/>
      <w:start w:val="6"/>
    </w:lvl>
    <w:lvl w:ilvl="1">
      <w:lvlJc w:val="left"/>
      <w:lvlText w:val="%2."/>
      <w:numFmt w:val="decimal"/>
      <w:start w:val="1"/>
    </w:lvl>
  </w:abstractNum>
  <w:abstractNum w:abstractNumId="140">
    <w:nsid w:val="57071613"/>
    <w:multiLevelType w:val="hybridMultilevel"/>
    <w:lvl w:ilvl="0">
      <w:lvlJc w:val="left"/>
      <w:lvlText w:val="(%1)"/>
      <w:numFmt w:val="lowerLetter"/>
      <w:start w:val="1"/>
    </w:lvl>
  </w:abstractNum>
  <w:abstractNum w:abstractNumId="141">
    <w:nsid w:val="5293BFEF"/>
    <w:multiLevelType w:val="hybridMultilevel"/>
    <w:lvl w:ilvl="0">
      <w:lvlJc w:val="left"/>
      <w:lvlText w:val="%1."/>
      <w:numFmt w:val="decimal"/>
      <w:start w:val="2"/>
    </w:lvl>
  </w:abstractNum>
  <w:abstractNum w:abstractNumId="142">
    <w:nsid w:val="38BF53E5"/>
    <w:multiLevelType w:val="hybridMultilevel"/>
    <w:lvl w:ilvl="0">
      <w:lvlJc w:val="left"/>
      <w:lvlText w:val="%1."/>
      <w:numFmt w:val="decimal"/>
      <w:start w:val="3"/>
    </w:lvl>
  </w:abstractNum>
  <w:abstractNum w:abstractNumId="143">
    <w:nsid w:val="226F5320"/>
    <w:multiLevelType w:val="hybridMultilevel"/>
    <w:lvl w:ilvl="0">
      <w:lvlJc w:val="left"/>
      <w:lvlText w:val="%1."/>
      <w:numFmt w:val="decimal"/>
      <w:start w:val="4"/>
    </w:lvl>
  </w:abstractNum>
  <w:abstractNum w:abstractNumId="144">
    <w:nsid w:val="5A0201C7"/>
    <w:multiLevelType w:val="hybridMultilevel"/>
    <w:lvl w:ilvl="0">
      <w:lvlJc w:val="left"/>
      <w:lvlText w:val="%1."/>
      <w:numFmt w:val="decimal"/>
      <w:start w:val="5"/>
    </w:lvl>
  </w:abstractNum>
  <w:abstractNum w:abstractNumId="145">
    <w:nsid w:val="2A9C34E2"/>
    <w:multiLevelType w:val="hybridMultilevel"/>
    <w:lvl w:ilvl="0">
      <w:lvlJc w:val="left"/>
      <w:lvlText w:val="%1."/>
      <w:numFmt w:val="decimal"/>
      <w:start w:val="6"/>
    </w:lvl>
  </w:abstractNum>
  <w:abstractNum w:abstractNumId="146">
    <w:nsid w:val="1B7585AB"/>
    <w:multiLevelType w:val="hybridMultilevel"/>
    <w:lvl w:ilvl="0">
      <w:lvlJc w:val="left"/>
      <w:lvlText w:val="%1."/>
      <w:numFmt w:val="decimal"/>
      <w:start w:val="7"/>
    </w:lvl>
  </w:abstractNum>
  <w:abstractNum w:abstractNumId="147">
    <w:nsid w:val="612DBDDD"/>
    <w:multiLevelType w:val="hybridMultilevel"/>
    <w:lvl w:ilvl="0">
      <w:lvlJc w:val="left"/>
      <w:lvlText w:val="%1."/>
      <w:numFmt w:val="decimal"/>
      <w:start w:val="8"/>
    </w:lvl>
  </w:abstractNum>
  <w:abstractNum w:abstractNumId="148">
    <w:nsid w:val="2109CDA4"/>
    <w:multiLevelType w:val="hybridMultilevel"/>
    <w:lvl w:ilvl="0">
      <w:lvlJc w:val="left"/>
      <w:lvlText w:val="%1."/>
      <w:numFmt w:val="decimal"/>
      <w:start w:val="9"/>
    </w:lvl>
  </w:abstractNum>
  <w:abstractNum w:abstractNumId="149">
    <w:nsid w:val="577F5A4D"/>
    <w:multiLevelType w:val="hybridMultilevel"/>
    <w:lvl w:ilvl="0">
      <w:lvlJc w:val="left"/>
      <w:lvlText w:val="%1."/>
      <w:numFmt w:val="decimal"/>
      <w:start w:val="10"/>
    </w:lvl>
  </w:abstractNum>
  <w:abstractNum w:abstractNumId="150">
    <w:nsid w:val="2121A81"/>
    <w:multiLevelType w:val="hybridMultilevel"/>
    <w:lvl w:ilvl="0">
      <w:lvlJc w:val="left"/>
      <w:lvlText w:val="%1."/>
      <w:numFmt w:val="upperLetter"/>
      <w:start w:val="7"/>
    </w:lvl>
  </w:abstractNum>
  <w:abstractNum w:abstractNumId="151">
    <w:nsid w:val="6C2CFC88"/>
    <w:multiLevelType w:val="hybridMultilevel"/>
    <w:lvl w:ilvl="0">
      <w:lvlJc w:val="left"/>
      <w:lvlText w:val="%1."/>
      <w:numFmt w:val="decimal"/>
      <w:start w:val="2"/>
    </w:lvl>
  </w:abstractNum>
  <w:abstractNum w:abstractNumId="152">
    <w:nsid w:val="6D1BCF1C"/>
    <w:multiLevelType w:val="hybridMultilevel"/>
    <w:lvl w:ilvl="0">
      <w:lvlJc w:val="left"/>
      <w:lvlText w:val="%1."/>
      <w:numFmt w:val="decimal"/>
      <w:start w:val="3"/>
    </w:lvl>
  </w:abstractNum>
  <w:abstractNum w:abstractNumId="153">
    <w:nsid w:val="4CE5CA53"/>
    <w:multiLevelType w:val="hybridMultilevel"/>
    <w:lvl w:ilvl="0">
      <w:lvlJc w:val="left"/>
      <w:lvlText w:val="%1."/>
      <w:numFmt w:val="decimal"/>
      <w:start w:val="4"/>
    </w:lvl>
    <w:lvl w:ilvl="1">
      <w:lvlJc w:val="left"/>
      <w:lvlText w:val="(%2)"/>
      <w:numFmt w:val="lowerLetter"/>
      <w:start w:val="1"/>
    </w:lvl>
  </w:abstractNum>
  <w:abstractNum w:abstractNumId="154">
    <w:nsid w:val="29262D1A"/>
    <w:multiLevelType w:val="hybridMultilevel"/>
    <w:lvl w:ilvl="0">
      <w:lvlJc w:val="left"/>
      <w:lvlText w:val="(%1)"/>
      <w:numFmt w:val="lowerLetter"/>
      <w:start w:val="2"/>
    </w:lvl>
  </w:abstractNum>
  <w:abstractNum w:abstractNumId="155">
    <w:nsid w:val="557FB7EE"/>
    <w:multiLevelType w:val="hybridMultilevel"/>
    <w:lvl w:ilvl="0">
      <w:lvlJc w:val="left"/>
      <w:lvlText w:val="(%1)"/>
      <w:numFmt w:val="lowerLetter"/>
      <w:start w:val="3"/>
    </w:lvl>
  </w:abstractNum>
  <w:abstractNum w:abstractNumId="156">
    <w:nsid w:val="436F2BEB"/>
    <w:multiLevelType w:val="hybridMultilevel"/>
    <w:lvl w:ilvl="0">
      <w:lvlJc w:val="left"/>
      <w:lvlText w:val="(%1)"/>
      <w:numFmt w:val="lowerLetter"/>
      <w:start w:val="4"/>
    </w:lvl>
  </w:abstractNum>
  <w:abstractNum w:abstractNumId="157">
    <w:nsid w:val="6C8B4466"/>
    <w:multiLevelType w:val="hybridMultilevel"/>
    <w:lvl w:ilvl="0">
      <w:lvlJc w:val="left"/>
      <w:lvlText w:val="·"/>
      <w:numFmt w:val="bullet"/>
      <w:start w:val="1"/>
    </w:lvl>
  </w:abstractNum>
  <w:abstractNum w:abstractNumId="158">
    <w:nsid w:val="2006E424"/>
    <w:multiLevelType w:val="hybridMultilevel"/>
    <w:lvl w:ilvl="0">
      <w:lvlJc w:val="left"/>
      <w:lvlText w:val="%1."/>
      <w:numFmt w:val="decimal"/>
      <w:start w:val="4"/>
    </w:lvl>
    <w:lvl w:ilvl="1">
      <w:lvlJc w:val="left"/>
      <w:lvlText w:val="·"/>
      <w:numFmt w:val="bullet"/>
      <w:start w:val="1"/>
    </w:lvl>
  </w:abstractNum>
  <w:abstractNum w:abstractNumId="159">
    <w:nsid w:val="20CC134C"/>
    <w:multiLevelType w:val="hybridMultilevel"/>
    <w:lvl w:ilvl="0">
      <w:lvlJc w:val="left"/>
      <w:lvlText w:val="%1."/>
      <w:numFmt w:val="decimal"/>
      <w:start w:val="6"/>
    </w:lvl>
  </w:abstractNum>
  <w:abstractNum w:abstractNumId="160">
    <w:nsid w:val="95FC93B"/>
    <w:multiLevelType w:val="hybridMultilevel"/>
    <w:lvl w:ilvl="0">
      <w:lvlJc w:val="left"/>
      <w:lvlText w:val="%1."/>
      <w:numFmt w:val="decimal"/>
      <w:start w:val="8"/>
    </w:lvl>
  </w:abstractNum>
  <w:abstractNum w:abstractNumId="161">
    <w:nsid w:val="41D74679"/>
    <w:multiLevelType w:val="hybridMultilevel"/>
    <w:lvl w:ilvl="0">
      <w:lvlJc w:val="left"/>
      <w:lvlText w:val="%1."/>
      <w:numFmt w:val="decimal"/>
      <w:start w:val="9"/>
    </w:lvl>
  </w:abstractNum>
  <w:abstractNum w:abstractNumId="162">
    <w:nsid w:val="71E5621E"/>
    <w:multiLevelType w:val="hybridMultilevel"/>
    <w:lvl w:ilvl="0">
      <w:lvlJc w:val="left"/>
      <w:lvlText w:val="%1."/>
      <w:numFmt w:val="upperLetter"/>
      <w:start w:val="8"/>
    </w:lvl>
  </w:abstractNum>
  <w:abstractNum w:abstractNumId="163">
    <w:nsid w:val="4E42B6A8"/>
    <w:multiLevelType w:val="hybridMultilevel"/>
    <w:lvl w:ilvl="0">
      <w:lvlJc w:val="left"/>
      <w:lvlText w:val="(%1)"/>
      <w:numFmt w:val="lowerLetter"/>
      <w:start w:val="1"/>
    </w:lvl>
  </w:abstractNum>
  <w:abstractNum w:abstractNumId="164">
    <w:nsid w:val="43F8E1AC"/>
    <w:multiLevelType w:val="hybridMultilevel"/>
    <w:lvl w:ilvl="0">
      <w:lvlJc w:val="left"/>
      <w:lvlText w:val="(%1)"/>
      <w:numFmt w:val="lowerLetter"/>
      <w:start w:val="2"/>
    </w:lvl>
  </w:abstractNum>
  <w:abstractNum w:abstractNumId="165">
    <w:nsid w:val="69215DFB"/>
    <w:multiLevelType w:val="hybridMultilevel"/>
    <w:lvl w:ilvl="0">
      <w:lvlJc w:val="left"/>
      <w:lvlText w:val="(%1)"/>
      <w:numFmt w:val="lowerLetter"/>
      <w:start w:val="3"/>
    </w:lvl>
  </w:abstractNum>
  <w:abstractNum w:abstractNumId="166">
    <w:nsid w:val="7ABF196A"/>
    <w:multiLevelType w:val="hybridMultilevel"/>
    <w:lvl w:ilvl="0">
      <w:lvlJc w:val="left"/>
      <w:lvlText w:val="(%1)"/>
      <w:numFmt w:val="lowerLetter"/>
      <w:start w:val="4"/>
    </w:lvl>
  </w:abstractNum>
  <w:abstractNum w:abstractNumId="167">
    <w:nsid w:val="5E4DB968"/>
    <w:multiLevelType w:val="hybridMultilevel"/>
    <w:lvl w:ilvl="0">
      <w:lvlJc w:val="left"/>
      <w:lvlText w:val="%1."/>
      <w:numFmt w:val="decimal"/>
      <w:start w:val="2"/>
    </w:lvl>
  </w:abstractNum>
  <w:abstractNum w:abstractNumId="168">
    <w:nsid w:val="2C06DCF3"/>
    <w:multiLevelType w:val="hybridMultilevel"/>
    <w:lvl w:ilvl="0">
      <w:lvlJc w:val="left"/>
      <w:lvlText w:val="%1."/>
      <w:numFmt w:val="decimal"/>
      <w:start w:val="3"/>
    </w:lvl>
  </w:abstractNum>
  <w:abstractNum w:abstractNumId="169">
    <w:nsid w:val="2E129658"/>
    <w:multiLevelType w:val="hybridMultilevel"/>
    <w:lvl w:ilvl="0">
      <w:lvlJc w:val="left"/>
      <w:lvlText w:val="%1."/>
      <w:numFmt w:val="decimal"/>
      <w:start w:val="4"/>
    </w:lvl>
  </w:abstractNum>
  <w:abstractNum w:abstractNumId="170">
    <w:nsid w:val="59F0446"/>
    <w:multiLevelType w:val="hybridMultilevel"/>
    <w:lvl w:ilvl="0">
      <w:lvlJc w:val="left"/>
      <w:lvlText w:val="%1."/>
      <w:numFmt w:val="upperLetter"/>
      <w:start w:val="9"/>
    </w:lvl>
  </w:abstractNum>
  <w:abstractNum w:abstractNumId="171">
    <w:nsid w:val="30DF306"/>
    <w:multiLevelType w:val="hybridMultilevel"/>
    <w:lvl w:ilvl="0">
      <w:lvlJc w:val="left"/>
      <w:lvlText w:val="%1."/>
      <w:numFmt w:val="decimal"/>
      <w:start w:val="1"/>
    </w:lvl>
  </w:abstractNum>
  <w:abstractNum w:abstractNumId="172">
    <w:nsid w:val="A65647"/>
    <w:multiLevelType w:val="hybridMultilevel"/>
    <w:lvl w:ilvl="0">
      <w:lvlJc w:val="left"/>
      <w:lvlText w:val="%1"/>
      <w:numFmt w:val="decimal"/>
      <w:start w:val="1"/>
    </w:lvl>
    <w:lvl w:ilvl="1">
      <w:lvlJc w:val="left"/>
      <w:lvlText w:val="(%2)"/>
      <w:numFmt w:val="lowerLetter"/>
      <w:start w:val="1"/>
    </w:lvl>
  </w:abstractNum>
  <w:abstractNum w:abstractNumId="173">
    <w:nsid w:val="3E5E582B"/>
    <w:multiLevelType w:val="hybridMultilevel"/>
    <w:lvl w:ilvl="0">
      <w:lvlJc w:val="left"/>
      <w:lvlText w:val="%1."/>
      <w:numFmt w:val="decimal"/>
      <w:start w:val="2"/>
    </w:lvl>
    <w:lvl w:ilvl="1">
      <w:lvlJc w:val="left"/>
      <w:lvlText w:val="%2"/>
      <w:numFmt w:val="lowerLetter"/>
      <w:start w:val="1"/>
    </w:lvl>
  </w:abstractNum>
  <w:abstractNum w:abstractNumId="174">
    <w:nsid w:val="257D4626"/>
    <w:multiLevelType w:val="hybridMultilevel"/>
    <w:lvl w:ilvl="0">
      <w:lvlJc w:val="left"/>
      <w:lvlText w:val="(%1)"/>
      <w:numFmt w:val="lowerLetter"/>
      <w:start w:val="1"/>
    </w:lvl>
  </w:abstractNum>
  <w:abstractNum w:abstractNumId="175">
    <w:nsid w:val="5AA8580E"/>
    <w:multiLevelType w:val="hybridMultilevel"/>
    <w:lvl w:ilvl="0">
      <w:lvlJc w:val="left"/>
      <w:lvlText w:val="(%1)"/>
      <w:numFmt w:val="lowerLetter"/>
      <w:start w:val="4"/>
    </w:lvl>
  </w:abstractNum>
  <w:abstractNum w:abstractNumId="176">
    <w:nsid w:val="68FA8D0D"/>
    <w:multiLevelType w:val="hybridMultilevel"/>
    <w:lvl w:ilvl="0">
      <w:lvlJc w:val="left"/>
      <w:lvlText w:val="%1"/>
      <w:numFmt w:val="decimal"/>
      <w:start w:val="1"/>
    </w:lvl>
    <w:lvl w:ilvl="1">
      <w:lvlJc w:val="left"/>
      <w:lvlText w:val="(%2)"/>
      <w:numFmt w:val="lowerLetter"/>
      <w:start w:val="11"/>
    </w:lvl>
  </w:abstractNum>
  <w:abstractNum w:abstractNumId="177">
    <w:nsid w:val="40F2CBD2"/>
    <w:multiLevelType w:val="hybridMultilevel"/>
    <w:lvl w:ilvl="0">
      <w:lvlJc w:val="left"/>
      <w:lvlText w:val="%1."/>
      <w:numFmt w:val="decimal"/>
      <w:start w:val="3"/>
    </w:lvl>
    <w:lvl w:ilvl="1">
      <w:lvlJc w:val="left"/>
      <w:lvlText w:val="%2"/>
      <w:numFmt w:val="lowerLetter"/>
      <w:start w:val="1"/>
    </w:lvl>
  </w:abstractNum>
  <w:abstractNum w:abstractNumId="178">
    <w:nsid w:val="3BD615EB"/>
    <w:multiLevelType w:val="hybridMultilevel"/>
    <w:lvl w:ilvl="0">
      <w:lvlJc w:val="left"/>
      <w:lvlText w:val="%1."/>
      <w:numFmt w:val="decimal"/>
      <w:start w:val="4"/>
    </w:lvl>
  </w:abstractNum>
  <w:abstractNum w:abstractNumId="179">
    <w:nsid w:val="A045AB2"/>
    <w:multiLevelType w:val="hybridMultilevel"/>
    <w:lvl w:ilvl="0">
      <w:lvlJc w:val="left"/>
      <w:lvlText w:val="%1."/>
      <w:numFmt w:val="upperLetter"/>
      <w:start w:val="10"/>
    </w:lvl>
  </w:abstractNum>
  <w:abstractNum w:abstractNumId="180">
    <w:nsid w:val="1872261F"/>
    <w:multiLevelType w:val="hybridMultilevel"/>
    <w:lvl w:ilvl="0">
      <w:lvlJc w:val="left"/>
      <w:lvlText w:val="%1."/>
      <w:numFmt w:val="decimal"/>
      <w:start w:val="1"/>
    </w:lvl>
  </w:abstractNum>
  <w:abstractNum w:abstractNumId="181">
    <w:nsid w:val="3DE8306C"/>
    <w:multiLevelType w:val="hybridMultilevel"/>
    <w:lvl w:ilvl="0">
      <w:lvlJc w:val="left"/>
      <w:lvlText w:val="%1."/>
      <w:numFmt w:val="decimal"/>
      <w:start w:val="2"/>
    </w:lvl>
    <w:lvl w:ilvl="1">
      <w:lvlJc w:val="left"/>
      <w:lvlText w:val="(%2)"/>
      <w:numFmt w:val="lowerLetter"/>
      <w:start w:val="1"/>
    </w:lvl>
  </w:abstractNum>
  <w:abstractNum w:abstractNumId="182">
    <w:nsid w:val="7631573A"/>
    <w:multiLevelType w:val="hybridMultilevel"/>
    <w:lvl w:ilvl="0">
      <w:lvlJc w:val="left"/>
      <w:lvlText w:val="(%1)"/>
      <w:numFmt w:val="lowerLetter"/>
      <w:start w:val="2"/>
    </w:lvl>
  </w:abstractNum>
  <w:abstractNum w:abstractNumId="183">
    <w:nsid w:val="58DF53B"/>
    <w:multiLevelType w:val="hybridMultilevel"/>
    <w:lvl w:ilvl="0">
      <w:lvlJc w:val="left"/>
      <w:lvlText w:val="(%1)"/>
      <w:numFmt w:val="lowerRoman"/>
      <w:start w:val="1"/>
    </w:lvl>
  </w:abstractNum>
  <w:abstractNum w:abstractNumId="184">
    <w:nsid w:val="ACDFAC0"/>
    <w:multiLevelType w:val="hybridMultilevel"/>
    <w:lvl w:ilvl="0">
      <w:lvlJc w:val="left"/>
      <w:lvlText w:val="%1."/>
      <w:numFmt w:val="decimal"/>
      <w:start w:val="3"/>
    </w:lvl>
  </w:abstractNum>
  <w:abstractNum w:abstractNumId="185">
    <w:nsid w:val="1F578454"/>
    <w:multiLevelType w:val="hybridMultilevel"/>
    <w:lvl w:ilvl="0">
      <w:lvlJc w:val="left"/>
      <w:lvlText w:val="%1."/>
      <w:numFmt w:val="decimal"/>
      <w:start w:val="4"/>
    </w:lvl>
  </w:abstractNum>
  <w:abstractNum w:abstractNumId="186">
    <w:nsid w:val="5B0DAD2A"/>
    <w:multiLevelType w:val="hybridMultilevel"/>
    <w:lvl w:ilvl="0">
      <w:lvlJc w:val="left"/>
      <w:lvlText w:val="%1."/>
      <w:numFmt w:val="decimal"/>
      <w:start w:val="5"/>
    </w:lvl>
  </w:abstractNum>
  <w:abstractNum w:abstractNumId="187">
    <w:nsid w:val="4E3D26AB"/>
    <w:multiLevelType w:val="hybridMultilevel"/>
    <w:lvl w:ilvl="0">
      <w:lvlJc w:val="left"/>
      <w:lvlText w:val="%1."/>
      <w:numFmt w:val="decimal"/>
      <w:start w:val="6"/>
    </w:lvl>
    <w:lvl w:ilvl="1">
      <w:lvlJc w:val="left"/>
      <w:lvlText w:val="(%2)"/>
      <w:numFmt w:val="lowerLetter"/>
      <w:start w:val="1"/>
    </w:lvl>
  </w:abstractNum>
  <w:abstractNum w:abstractNumId="188">
    <w:nsid w:val="BE2C8BA"/>
    <w:multiLevelType w:val="hybridMultilevel"/>
    <w:lvl w:ilvl="0">
      <w:lvlJc w:val="left"/>
      <w:lvlText w:val="(%1)"/>
      <w:numFmt w:val="lowerLetter"/>
      <w:start w:val="2"/>
    </w:lvl>
  </w:abstractNum>
  <w:abstractNum w:abstractNumId="189">
    <w:nsid w:val="7B14914E"/>
    <w:multiLevelType w:val="hybridMultilevel"/>
    <w:lvl w:ilvl="0">
      <w:lvlJc w:val="left"/>
      <w:lvlText w:val="%1."/>
      <w:numFmt w:val="decimal"/>
      <w:start w:val="7"/>
    </w:lvl>
  </w:abstractNum>
  <w:abstractNum w:abstractNumId="190">
    <w:nsid w:val="6F0939F8"/>
    <w:multiLevelType w:val="hybridMultilevel"/>
    <w:lvl w:ilvl="0">
      <w:lvlJc w:val="left"/>
      <w:lvlText w:val="(%1)"/>
      <w:numFmt w:val="upperLetter"/>
      <w:start w:val="35"/>
    </w:lvl>
    <w:lvl w:ilvl="1">
      <w:lvlJc w:val="left"/>
      <w:lvlText w:val="%2"/>
      <w:numFmt w:val="decimal"/>
      <w:start w:val="1"/>
    </w:lvl>
  </w:abstractNum>
  <w:abstractNum w:abstractNumId="191">
    <w:nsid w:val="154291F6"/>
    <w:multiLevelType w:val="hybridMultilevel"/>
    <w:lvl w:ilvl="0">
      <w:lvlJc w:val="left"/>
      <w:lvlText w:val="(%1)"/>
      <w:numFmt w:val="upperLetter"/>
      <w:start w:val="61"/>
    </w:lvl>
    <w:lvl w:ilvl="1">
      <w:lvlJc w:val="left"/>
      <w:lvlText w:val="%2."/>
      <w:numFmt w:val="decimal"/>
      <w:start w:val="8"/>
    </w:lvl>
  </w:abstractNum>
  <w:abstractNum w:abstractNumId="192">
    <w:nsid w:val="3CEBD7C7"/>
    <w:multiLevelType w:val="hybridMultilevel"/>
    <w:lvl w:ilvl="0">
      <w:lvlJc w:val="left"/>
      <w:lvlText w:val="%1."/>
      <w:numFmt w:val="decimal"/>
      <w:start w:val="9"/>
    </w:lvl>
  </w:abstractNum>
  <w:abstractNum w:abstractNumId="193">
    <w:nsid w:val="60EE9C16"/>
    <w:multiLevelType w:val="hybridMultilevel"/>
    <w:lvl w:ilvl="0">
      <w:lvlJc w:val="left"/>
      <w:lvlText w:val="%1."/>
      <w:numFmt w:val="decimal"/>
      <w:start w:val="10"/>
    </w:lvl>
  </w:abstractNum>
  <w:abstractNum w:abstractNumId="194">
    <w:nsid w:val="6385489E"/>
    <w:multiLevelType w:val="hybridMultilevel"/>
    <w:lvl w:ilvl="0">
      <w:lvlJc w:val="left"/>
      <w:lvlText w:val="%1."/>
      <w:numFmt w:val="upperLetter"/>
      <w:start w:val="11"/>
    </w:lvl>
  </w:abstractNum>
  <w:abstractNum w:abstractNumId="195">
    <w:nsid w:val="E4B973"/>
    <w:multiLevelType w:val="hybridMultilevel"/>
    <w:lvl w:ilvl="0">
      <w:lvlJc w:val="left"/>
      <w:lvlText w:val="(%1)"/>
      <w:numFmt w:val="lowerLetter"/>
      <w:start w:val="1"/>
    </w:lvl>
  </w:abstractNum>
  <w:abstractNum w:abstractNumId="196">
    <w:nsid w:val="4A0FFA11"/>
    <w:multiLevelType w:val="hybridMultilevel"/>
    <w:lvl w:ilvl="0">
      <w:lvlJc w:val="left"/>
      <w:lvlText w:val="(%1)"/>
      <w:numFmt w:val="lowerLetter"/>
      <w:start w:val="7"/>
    </w:lvl>
  </w:abstractNum>
  <w:abstractNum w:abstractNumId="197">
    <w:nsid w:val="5E446208"/>
    <w:multiLevelType w:val="hybridMultilevel"/>
    <w:lvl w:ilvl="0">
      <w:lvlJc w:val="left"/>
      <w:lvlText w:val="%1."/>
      <w:numFmt w:val="upperLetter"/>
      <w:start w:val="12"/>
    </w:lvl>
  </w:abstractNum>
  <w:abstractNum w:abstractNumId="198">
    <w:nsid w:val="5F3272DB"/>
    <w:multiLevelType w:val="hybridMultilevel"/>
    <w:lvl w:ilvl="0">
      <w:lvlJc w:val="left"/>
      <w:lvlText w:val="%1."/>
      <w:numFmt w:val="decimal"/>
      <w:start w:val="1"/>
    </w:lvl>
  </w:abstractNum>
  <w:abstractNum w:abstractNumId="199">
    <w:nsid w:val="7616D704"/>
    <w:multiLevelType w:val="hybridMultilevel"/>
    <w:lvl w:ilvl="0">
      <w:lvlJc w:val="left"/>
      <w:lvlText w:val="%1."/>
      <w:numFmt w:val="decimal"/>
      <w:start w:val="2"/>
    </w:lvl>
  </w:abstractNum>
  <w:abstractNum w:abstractNumId="200">
    <w:nsid w:val="C56F860"/>
    <w:multiLevelType w:val="hybridMultilevel"/>
    <w:lvl w:ilvl="0">
      <w:lvlJc w:val="left"/>
      <w:lvlText w:val="%1."/>
      <w:numFmt w:val="decimal"/>
      <w:start w:val="3"/>
    </w:lvl>
  </w:abstractNum>
  <w:abstractNum w:abstractNumId="201">
    <w:nsid w:val="64D17722"/>
    <w:multiLevelType w:val="hybridMultilevel"/>
    <w:lvl w:ilvl="0">
      <w:lvlJc w:val="left"/>
      <w:lvlText w:val="%1."/>
      <w:numFmt w:val="decimal"/>
      <w:start w:val="4"/>
    </w:lvl>
  </w:abstractNum>
  <w:abstractNum w:abstractNumId="202">
    <w:nsid w:val="7924CA0A"/>
    <w:multiLevelType w:val="hybridMultilevel"/>
    <w:lvl w:ilvl="0">
      <w:lvlJc w:val="left"/>
      <w:lvlText w:val="%1."/>
      <w:numFmt w:val="decimal"/>
      <w:start w:val="5"/>
    </w:lvl>
  </w:abstractNum>
  <w:abstractNum w:abstractNumId="203">
    <w:nsid w:val="CFD4EA7"/>
    <w:multiLevelType w:val="hybridMultilevel"/>
    <w:lvl w:ilvl="0">
      <w:lvlJc w:val="left"/>
      <w:lvlText w:val="%1."/>
      <w:numFmt w:val="decimal"/>
      <w:start w:val="6"/>
    </w:lvl>
  </w:abstractNum>
  <w:abstractNum w:abstractNumId="204">
    <w:nsid w:val="232FCF4D"/>
    <w:multiLevelType w:val="hybridMultilevel"/>
    <w:lvl w:ilvl="0">
      <w:lvlJc w:val="left"/>
      <w:lvlText w:val="%1."/>
      <w:numFmt w:val="decimal"/>
      <w:start w:val="7"/>
    </w:lvl>
  </w:abstractNum>
  <w:abstractNum w:abstractNumId="205">
    <w:nsid w:val="1EA21031"/>
    <w:multiLevelType w:val="hybridMultilevel"/>
    <w:lvl w:ilvl="0">
      <w:lvlJc w:val="left"/>
      <w:lvlText w:val="%1."/>
      <w:numFmt w:val="decimal"/>
      <w:start w:val="8"/>
    </w:lvl>
  </w:abstractNum>
  <w:abstractNum w:abstractNumId="206">
    <w:nsid w:val="67A5A6B5"/>
    <w:multiLevelType w:val="hybridMultilevel"/>
    <w:lvl w:ilvl="0">
      <w:lvlJc w:val="left"/>
      <w:lvlText w:val="%1."/>
      <w:numFmt w:val="decimal"/>
      <w:start w:val="9"/>
    </w:lvl>
  </w:abstractNum>
  <w:abstractNum w:abstractNumId="207">
    <w:nsid w:val="C2A5C5B"/>
    <w:multiLevelType w:val="hybridMultilevel"/>
    <w:lvl w:ilvl="0">
      <w:lvlJc w:val="left"/>
      <w:lvlText w:val="%1."/>
      <w:numFmt w:val="decimal"/>
      <w:start w:val="10"/>
    </w:lvl>
  </w:abstractNum>
  <w:abstractNum w:abstractNumId="208">
    <w:nsid w:val="5F94DC03"/>
    <w:multiLevelType w:val="hybridMultilevel"/>
    <w:lvl w:ilvl="0">
      <w:lvlJc w:val="left"/>
      <w:lvlText w:val="%1."/>
      <w:numFmt w:val="decimal"/>
      <w:start w:val="11"/>
    </w:lvl>
  </w:abstractNum>
  <w:abstractNum w:abstractNumId="209">
    <w:nsid w:val="237BBCA0"/>
    <w:multiLevelType w:val="hybridMultilevel"/>
    <w:lvl w:ilvl="0">
      <w:lvlJc w:val="left"/>
      <w:lvlText w:val="%1."/>
      <w:numFmt w:val="decimal"/>
      <w:start w:val="12"/>
    </w:lvl>
  </w:abstractNum>
  <w:abstractNum w:abstractNumId="210">
    <w:nsid w:val="162EB70D"/>
    <w:multiLevelType w:val="hybridMultilevel"/>
    <w:lvl w:ilvl="0">
      <w:lvlJc w:val="left"/>
      <w:lvlText w:val="%1."/>
      <w:numFmt w:val="decimal"/>
      <w:start w:val="13"/>
    </w:lvl>
  </w:abstractNum>
  <w:abstractNum w:abstractNumId="211">
    <w:nsid w:val="78070222"/>
    <w:multiLevelType w:val="hybridMultilevel"/>
    <w:lvl w:ilvl="0">
      <w:lvlJc w:val="left"/>
      <w:lvlText w:val="%1."/>
      <w:numFmt w:val="decimal"/>
      <w:start w:val="14"/>
    </w:lvl>
  </w:abstractNum>
  <w:abstractNum w:abstractNumId="212">
    <w:nsid w:val="6163ED0D"/>
    <w:multiLevelType w:val="hybridMultilevel"/>
    <w:lvl w:ilvl="0">
      <w:lvlJc w:val="left"/>
      <w:lvlText w:val="%1."/>
      <w:numFmt w:val="decimal"/>
      <w:start w:val="15"/>
    </w:lvl>
  </w:abstractNum>
  <w:abstractNum w:abstractNumId="213">
    <w:nsid w:val="C600E47"/>
    <w:multiLevelType w:val="hybridMultilevel"/>
    <w:lvl w:ilvl="0">
      <w:lvlJc w:val="left"/>
      <w:lvlText w:val="%1."/>
      <w:numFmt w:val="decimal"/>
      <w:start w:val="16"/>
    </w:lvl>
  </w:abstractNum>
  <w:abstractNum w:abstractNumId="214">
    <w:nsid w:val="7D94F75D"/>
    <w:multiLevelType w:val="hybridMultilevel"/>
    <w:lvl w:ilvl="0">
      <w:lvlJc w:val="left"/>
      <w:lvlText w:val="%1."/>
      <w:numFmt w:val="decimal"/>
      <w:start w:val="17"/>
    </w:lvl>
  </w:abstractNum>
  <w:abstractNum w:abstractNumId="215">
    <w:nsid w:val="6C31E7CD"/>
    <w:multiLevelType w:val="hybridMultilevel"/>
    <w:lvl w:ilvl="0">
      <w:lvlJc w:val="left"/>
      <w:lvlText w:val="%1."/>
      <w:numFmt w:val="decimal"/>
      <w:start w:val="18"/>
    </w:lvl>
  </w:abstractNum>
  <w:abstractNum w:abstractNumId="216">
    <w:nsid w:val="2BB7929B"/>
    <w:multiLevelType w:val="hybridMultilevel"/>
    <w:lvl w:ilvl="0">
      <w:lvlJc w:val="left"/>
      <w:lvlText w:val="%1."/>
      <w:numFmt w:val="decimal"/>
      <w:start w:val="19"/>
    </w:lvl>
  </w:abstractNum>
  <w:abstractNum w:abstractNumId="217">
    <w:nsid w:val="58A2A487"/>
    <w:multiLevelType w:val="hybridMultilevel"/>
    <w:lvl w:ilvl="0">
      <w:lvlJc w:val="left"/>
      <w:lvlText w:val="%1."/>
      <w:numFmt w:val="upperLetter"/>
      <w:start w:val="1"/>
    </w:lvl>
  </w:abstractNum>
  <w:abstractNum w:abstractNumId="218">
    <w:nsid w:val="3A6F0E78"/>
    <w:multiLevelType w:val="hybridMultilevel"/>
    <w:lvl w:ilvl="0">
      <w:lvlJc w:val="left"/>
      <w:lvlText w:val="%1."/>
      <w:numFmt w:val="decimal"/>
      <w:start w:val="1"/>
    </w:lvl>
  </w:abstractNum>
  <w:abstractNum w:abstractNumId="219">
    <w:nsid w:val="379A5B56"/>
    <w:multiLevelType w:val="hybridMultilevel"/>
    <w:lvl w:ilvl="0">
      <w:lvlJc w:val="left"/>
      <w:lvlText w:val="%1."/>
      <w:numFmt w:val="decimal"/>
      <w:start w:val="2"/>
    </w:lvl>
  </w:abstractNum>
  <w:abstractNum w:abstractNumId="220">
    <w:nsid w:val="53B735D5"/>
    <w:multiLevelType w:val="hybridMultilevel"/>
    <w:lvl w:ilvl="0">
      <w:lvlJc w:val="left"/>
      <w:lvlText w:val="%1."/>
      <w:numFmt w:val="decimal"/>
      <w:start w:val="3"/>
    </w:lvl>
  </w:abstractNum>
  <w:abstractNum w:abstractNumId="221">
    <w:nsid w:val="29784870"/>
    <w:multiLevelType w:val="hybridMultilevel"/>
    <w:lvl w:ilvl="0">
      <w:lvlJc w:val="left"/>
      <w:lvlText w:val="%1."/>
      <w:numFmt w:val="decimal"/>
      <w:start w:val="4"/>
    </w:lvl>
  </w:abstractNum>
  <w:abstractNum w:abstractNumId="222">
    <w:nsid w:val="4CDCED4C"/>
    <w:multiLevelType w:val="hybridMultilevel"/>
    <w:lvl w:ilvl="0">
      <w:lvlJc w:val="left"/>
      <w:lvlText w:val="%1."/>
      <w:numFmt w:val="decimal"/>
      <w:start w:val="5"/>
    </w:lvl>
  </w:abstractNum>
  <w:abstractNum w:abstractNumId="223">
    <w:nsid w:val="10A30D9C"/>
    <w:multiLevelType w:val="hybridMultilevel"/>
    <w:lvl w:ilvl="0">
      <w:lvlJc w:val="left"/>
      <w:lvlText w:val="%1."/>
      <w:numFmt w:val="decimal"/>
      <w:start w:val="6"/>
    </w:lvl>
  </w:abstractNum>
  <w:abstractNum w:abstractNumId="224">
    <w:nsid w:val="A66E486"/>
    <w:multiLevelType w:val="hybridMultilevel"/>
    <w:lvl w:ilvl="0">
      <w:lvlJc w:val="left"/>
      <w:lvlText w:val="%1."/>
      <w:numFmt w:val="decimal"/>
      <w:start w:val="7"/>
    </w:lvl>
  </w:abstractNum>
  <w:abstractNum w:abstractNumId="225">
    <w:nsid w:val="306235EA"/>
    <w:multiLevelType w:val="hybridMultilevel"/>
    <w:lvl w:ilvl="0">
      <w:lvlJc w:val="left"/>
      <w:lvlText w:val="%1."/>
      <w:numFmt w:val="decimal"/>
      <w:start w:val="8"/>
    </w:lvl>
  </w:abstractNum>
  <w:abstractNum w:abstractNumId="226">
    <w:nsid w:val="1187C70F"/>
    <w:multiLevelType w:val="hybridMultilevel"/>
    <w:lvl w:ilvl="0">
      <w:lvlJc w:val="left"/>
      <w:lvlText w:val="%1."/>
      <w:numFmt w:val="decimal"/>
      <w:start w:val="9"/>
    </w:lvl>
  </w:abstractNum>
  <w:abstractNum w:abstractNumId="227">
    <w:nsid w:val="5476DE98"/>
    <w:multiLevelType w:val="hybridMultilevel"/>
    <w:lvl w:ilvl="0">
      <w:lvlJc w:val="left"/>
      <w:lvlText w:val="%1."/>
      <w:numFmt w:val="decimal"/>
      <w:start w:val="10"/>
    </w:lvl>
  </w:abstractNum>
  <w:abstractNum w:abstractNumId="228">
    <w:nsid w:val="EA697F2"/>
    <w:multiLevelType w:val="hybridMultilevel"/>
    <w:lvl w:ilvl="0">
      <w:lvlJc w:val="left"/>
      <w:lvlText w:val="%1."/>
      <w:numFmt w:val="decimal"/>
      <w:start w:val="11"/>
    </w:lvl>
  </w:abstractNum>
  <w:abstractNum w:abstractNumId="229">
    <w:nsid w:val="70BA39EB"/>
    <w:multiLevelType w:val="hybridMultilevel"/>
    <w:lvl w:ilvl="0">
      <w:lvlJc w:val="left"/>
      <w:lvlText w:val="%1."/>
      <w:numFmt w:val="decimal"/>
      <w:start w:val="12"/>
    </w:lvl>
  </w:abstractNum>
  <w:abstractNum w:abstractNumId="230">
    <w:nsid w:val="4A8DB59C"/>
    <w:multiLevelType w:val="hybridMultilevel"/>
    <w:lvl w:ilvl="0">
      <w:lvlJc w:val="left"/>
      <w:lvlText w:val="%1."/>
      <w:numFmt w:val="upperLetter"/>
      <w:start w:val="2"/>
    </w:lvl>
  </w:abstractNum>
  <w:abstractNum w:abstractNumId="231">
    <w:nsid w:val="1AFD9053"/>
    <w:multiLevelType w:val="hybridMultilevel"/>
    <w:lvl w:ilvl="0">
      <w:lvlJc w:val="left"/>
      <w:lvlText w:val="%1."/>
      <w:numFmt w:val="decimal"/>
      <w:start w:val="1"/>
    </w:lvl>
  </w:abstractNum>
  <w:abstractNum w:abstractNumId="232">
    <w:nsid w:val="558BB10D"/>
    <w:multiLevelType w:val="hybridMultilevel"/>
    <w:lvl w:ilvl="0">
      <w:lvlJc w:val="left"/>
      <w:lvlText w:val="%1."/>
      <w:numFmt w:val="decimal"/>
      <w:start w:val="2"/>
    </w:lvl>
  </w:abstractNum>
  <w:abstractNum w:abstractNumId="233">
    <w:nsid w:val="43B27FA7"/>
    <w:multiLevelType w:val="hybridMultilevel"/>
    <w:lvl w:ilvl="0">
      <w:lvlJc w:val="left"/>
      <w:lvlText w:val="%1."/>
      <w:numFmt w:val="decimal"/>
      <w:start w:val="3"/>
    </w:lvl>
  </w:abstractNum>
  <w:abstractNum w:abstractNumId="234">
    <w:nsid w:val="27FADEFA"/>
    <w:multiLevelType w:val="hybridMultilevel"/>
    <w:lvl w:ilvl="0">
      <w:lvlJc w:val="left"/>
      <w:lvlText w:val="%1."/>
      <w:numFmt w:val="decimal"/>
      <w:start w:val="4"/>
    </w:lvl>
  </w:abstractNum>
  <w:abstractNum w:abstractNumId="235">
    <w:nsid w:val="78BB805A"/>
    <w:multiLevelType w:val="hybridMultilevel"/>
    <w:lvl w:ilvl="0">
      <w:lvlJc w:val="left"/>
      <w:lvlText w:val="%1."/>
      <w:numFmt w:val="decimal"/>
      <w:start w:val="5"/>
    </w:lvl>
  </w:abstractNum>
  <w:abstractNum w:abstractNumId="236">
    <w:nsid w:val="62548FD8"/>
    <w:multiLevelType w:val="hybridMultilevel"/>
    <w:lvl w:ilvl="0">
      <w:lvlJc w:val="left"/>
      <w:lvlText w:val="%1."/>
      <w:numFmt w:val="decimal"/>
      <w:start w:val="6"/>
    </w:lvl>
  </w:abstractNum>
  <w:abstractNum w:abstractNumId="237">
    <w:nsid w:val="FA085B0"/>
    <w:multiLevelType w:val="hybridMultilevel"/>
    <w:lvl w:ilvl="0">
      <w:lvlJc w:val="left"/>
      <w:lvlText w:val="%1."/>
      <w:numFmt w:val="lowerRoman"/>
      <w:start w:val="1"/>
    </w:lvl>
  </w:abstractNum>
  <w:abstractNum w:abstractNumId="238">
    <w:nsid w:val="4E5DCB5"/>
    <w:multiLevelType w:val="hybridMultilevel"/>
    <w:lvl w:ilvl="0">
      <w:lvlJc w:val="left"/>
      <w:lvlText w:val="%1."/>
      <w:numFmt w:val="decimal"/>
      <w:start w:val="7"/>
    </w:lvl>
  </w:abstractNum>
  <w:abstractNum w:abstractNumId="239">
    <w:nsid w:val="41E96BDB"/>
    <w:multiLevelType w:val="hybridMultilevel"/>
    <w:lvl w:ilvl="0">
      <w:lvlJc w:val="left"/>
      <w:lvlText w:val="%1."/>
      <w:numFmt w:val="upperLetter"/>
      <w:start w:val="3"/>
    </w:lvl>
  </w:abstractNum>
  <w:abstractNum w:abstractNumId="240">
    <w:nsid w:val="331C4250"/>
    <w:multiLevelType w:val="hybridMultilevel"/>
    <w:lvl w:ilvl="0">
      <w:lvlJc w:val="left"/>
      <w:lvlText w:val="%1."/>
      <w:numFmt w:val="decimal"/>
      <w:start w:val="2"/>
    </w:lvl>
  </w:abstractNum>
  <w:abstractNum w:abstractNumId="241">
    <w:nsid w:val="1B1493C2"/>
    <w:multiLevelType w:val="hybridMultilevel"/>
    <w:lvl w:ilvl="0">
      <w:lvlJc w:val="left"/>
      <w:lvlText w:val="%1."/>
      <w:numFmt w:val="decimal"/>
      <w:start w:val="3"/>
    </w:lvl>
  </w:abstractNum>
  <w:abstractNum w:abstractNumId="242">
    <w:nsid w:val="39F06DFD"/>
    <w:multiLevelType w:val="hybridMultilevel"/>
    <w:lvl w:ilvl="0">
      <w:lvlJc w:val="left"/>
      <w:lvlText w:val="%1."/>
      <w:numFmt w:val="decimal"/>
      <w:start w:val="4"/>
    </w:lvl>
  </w:abstractNum>
  <w:abstractNum w:abstractNumId="243">
    <w:nsid w:val="14802F5D"/>
    <w:multiLevelType w:val="hybridMultilevel"/>
    <w:lvl w:ilvl="0">
      <w:lvlJc w:val="left"/>
      <w:lvlText w:val="%1."/>
      <w:numFmt w:val="decimal"/>
      <w:start w:val="5"/>
    </w:lvl>
  </w:abstractNum>
  <w:abstractNum w:abstractNumId="244">
    <w:nsid w:val="2774A209"/>
    <w:multiLevelType w:val="hybridMultilevel"/>
    <w:lvl w:ilvl="0">
      <w:lvlJc w:val="left"/>
      <w:lvlText w:val="%1."/>
      <w:numFmt w:val="decimal"/>
      <w:start w:val="6"/>
    </w:lvl>
  </w:abstractNum>
  <w:abstractNum w:abstractNumId="245">
    <w:nsid w:val="3785655A"/>
    <w:multiLevelType w:val="hybridMultilevel"/>
    <w:lvl w:ilvl="0">
      <w:lvlJc w:val="left"/>
      <w:lvlText w:val="%1."/>
      <w:numFmt w:val="decimal"/>
      <w:start w:val="7"/>
    </w:lvl>
  </w:abstractNum>
  <w:abstractNum w:abstractNumId="246">
    <w:nsid w:val="B2172A"/>
    <w:multiLevelType w:val="hybridMultilevel"/>
    <w:lvl w:ilvl="0">
      <w:lvlJc w:val="left"/>
      <w:lvlText w:val="%1."/>
      <w:numFmt w:val="decimal"/>
      <w:start w:val="8"/>
    </w:lvl>
  </w:abstractNum>
  <w:abstractNum w:abstractNumId="247">
    <w:nsid w:val="532C34A5"/>
    <w:multiLevelType w:val="hybridMultilevel"/>
    <w:lvl w:ilvl="0">
      <w:lvlJc w:val="left"/>
      <w:lvlText w:val="%1."/>
      <w:numFmt w:val="upperLetter"/>
      <w:start w:val="4"/>
    </w:lvl>
  </w:abstractNum>
  <w:abstractNum w:abstractNumId="248">
    <w:nsid w:val="102809E2"/>
    <w:multiLevelType w:val="hybridMultilevel"/>
    <w:lvl w:ilvl="0">
      <w:lvlJc w:val="left"/>
      <w:lvlText w:val="%1."/>
      <w:numFmt w:val="decimal"/>
      <w:start w:val="2"/>
    </w:lvl>
  </w:abstractNum>
  <w:abstractNum w:abstractNumId="249">
    <w:nsid w:val="3B2125A3"/>
    <w:multiLevelType w:val="hybridMultilevel"/>
    <w:lvl w:ilvl="0">
      <w:lvlJc w:val="left"/>
      <w:lvlText w:val="(%1)"/>
      <w:numFmt w:val="decimal"/>
      <w:start w:val="7"/>
    </w:lvl>
  </w:abstractNum>
  <w:abstractNum w:abstractNumId="250">
    <w:nsid w:val="AC68FFB"/>
    <w:multiLevelType w:val="hybridMultilevel"/>
    <w:lvl w:ilvl="0">
      <w:lvlJc w:val="left"/>
      <w:lvlText w:val="%1."/>
      <w:numFmt w:val="decimal"/>
      <w:start w:val="3"/>
    </w:lvl>
  </w:abstractNum>
  <w:abstractNum w:abstractNumId="251">
    <w:nsid w:val="63DF3FB7"/>
    <w:multiLevelType w:val="hybridMultilevel"/>
    <w:lvl w:ilvl="0">
      <w:lvlJc w:val="left"/>
      <w:lvlText w:val="%1."/>
      <w:numFmt w:val="decimal"/>
      <w:start w:val="4"/>
    </w:lvl>
  </w:abstractNum>
  <w:abstractNum w:abstractNumId="252">
    <w:nsid w:val="64996E13"/>
    <w:multiLevelType w:val="hybridMultilevel"/>
    <w:lvl w:ilvl="0">
      <w:lvlJc w:val="left"/>
      <w:lvlText w:val="%1."/>
      <w:numFmt w:val="decimal"/>
      <w:start w:val="5"/>
    </w:lvl>
  </w:abstractNum>
  <w:abstractNum w:abstractNumId="253">
    <w:nsid w:val="57A37D47"/>
    <w:multiLevelType w:val="hybridMultilevel"/>
    <w:lvl w:ilvl="0">
      <w:lvlJc w:val="left"/>
      <w:lvlText w:val="%1."/>
      <w:numFmt w:val="decimal"/>
      <w:start w:val="6"/>
    </w:lvl>
  </w:abstractNum>
  <w:abstractNum w:abstractNumId="254">
    <w:nsid w:val="74824D54"/>
    <w:multiLevelType w:val="hybridMultilevel"/>
    <w:lvl w:ilvl="0">
      <w:lvlJc w:val="left"/>
      <w:lvlText w:val="%1."/>
      <w:numFmt w:val="decimal"/>
      <w:start w:val="7"/>
    </w:lvl>
  </w:abstractNum>
  <w:abstractNum w:abstractNumId="255">
    <w:nsid w:val="6F00529A"/>
    <w:multiLevelType w:val="hybridMultilevel"/>
    <w:lvl w:ilvl="0">
      <w:lvlJc w:val="left"/>
      <w:lvlText w:val="%1."/>
      <w:numFmt w:val="decimal"/>
      <w:start w:val="8"/>
    </w:lvl>
  </w:abstractNum>
  <w:abstractNum w:abstractNumId="256">
    <w:nsid w:val="805B331"/>
    <w:multiLevelType w:val="hybridMultilevel"/>
    <w:lvl w:ilvl="0">
      <w:lvlJc w:val="left"/>
      <w:lvlText w:val="%1."/>
      <w:numFmt w:val="decimal"/>
      <w:start w:val="9"/>
    </w:lvl>
  </w:abstractNum>
  <w:abstractNum w:abstractNumId="257">
    <w:nsid w:val="60A1463"/>
    <w:multiLevelType w:val="hybridMultilevel"/>
    <w:lvl w:ilvl="0">
      <w:lvlJc w:val="left"/>
      <w:lvlText w:val="%1."/>
      <w:numFmt w:val="decimal"/>
      <w:start w:val="10"/>
    </w:lvl>
  </w:abstractNum>
  <w:abstractNum w:abstractNumId="258">
    <w:nsid w:val="43773132"/>
    <w:multiLevelType w:val="hybridMultilevel"/>
    <w:lvl w:ilvl="0">
      <w:lvlJc w:val="left"/>
      <w:lvlText w:val="%1."/>
      <w:numFmt w:val="decimal"/>
      <w:start w:val="11"/>
    </w:lvl>
  </w:abstractNum>
  <w:abstractNum w:abstractNumId="259">
    <w:nsid w:val="16AC4B23"/>
    <w:multiLevelType w:val="hybridMultilevel"/>
    <w:lvl w:ilvl="0">
      <w:lvlJc w:val="left"/>
      <w:lvlText w:val="·"/>
      <w:numFmt w:val="bullet"/>
      <w:start w:val="1"/>
    </w:lvl>
  </w:abstractNum>
  <w:abstractNum w:abstractNumId="260">
    <w:nsid w:val="76C44E4E"/>
    <w:multiLevelType w:val="hybridMultilevel"/>
    <w:lvl w:ilvl="0">
      <w:lvlJc w:val="left"/>
      <w:lvlText w:val="%1."/>
      <w:numFmt w:val="decimal"/>
      <w:start w:val="12"/>
    </w:lvl>
  </w:abstractNum>
  <w:abstractNum w:abstractNumId="261">
    <w:nsid w:val="E04E6CE"/>
    <w:multiLevelType w:val="hybridMultilevel"/>
    <w:lvl w:ilvl="0">
      <w:lvlJc w:val="left"/>
      <w:lvlText w:val="·"/>
      <w:numFmt w:val="bullet"/>
      <w:start w:val="1"/>
    </w:lvl>
  </w:abstractNum>
  <w:abstractNum w:abstractNumId="262">
    <w:nsid w:val="31A9DB76"/>
    <w:multiLevelType w:val="hybridMultilevel"/>
    <w:lvl w:ilvl="0">
      <w:lvlJc w:val="left"/>
      <w:lvlText w:val="%1."/>
      <w:numFmt w:val="decimal"/>
      <w:start w:val="13"/>
    </w:lvl>
  </w:abstractNum>
  <w:abstractNum w:abstractNumId="263">
    <w:nsid w:val="4C4FFF5B"/>
    <w:multiLevelType w:val="hybridMultilevel"/>
    <w:lvl w:ilvl="0">
      <w:lvlJc w:val="left"/>
      <w:lvlText w:val="%1."/>
      <w:numFmt w:val="decimal"/>
      <w:start w:val="14"/>
    </w:lvl>
  </w:abstractNum>
  <w:abstractNum w:abstractNumId="264">
    <w:nsid w:val="51B76675"/>
    <w:multiLevelType w:val="hybridMultilevel"/>
    <w:lvl w:ilvl="0">
      <w:lvlJc w:val="left"/>
      <w:lvlText w:val="%1."/>
      <w:numFmt w:val="decimal"/>
      <w:start w:val="15"/>
    </w:lvl>
  </w:abstractNum>
  <w:abstractNum w:abstractNumId="265">
    <w:nsid w:val="59A4BA71"/>
    <w:multiLevelType w:val="hybridMultilevel"/>
    <w:lvl w:ilvl="0">
      <w:lvlJc w:val="left"/>
      <w:lvlText w:val="%1."/>
      <w:numFmt w:val="decimal"/>
      <w:start w:val="16"/>
    </w:lvl>
  </w:abstractNum>
  <w:abstractNum w:abstractNumId="266">
    <w:nsid w:val="450B7FB6"/>
    <w:multiLevelType w:val="hybridMultilevel"/>
    <w:lvl w:ilvl="0">
      <w:lvlJc w:val="left"/>
      <w:lvlText w:val="%1."/>
      <w:numFmt w:val="decimal"/>
      <w:start w:val="17"/>
    </w:lvl>
  </w:abstractNum>
  <w:abstractNum w:abstractNumId="267">
    <w:nsid w:val="340BF64D"/>
    <w:multiLevelType w:val="hybridMultilevel"/>
    <w:lvl w:ilvl="0">
      <w:lvlJc w:val="left"/>
      <w:lvlText w:val="%1."/>
      <w:numFmt w:val="decimal"/>
      <w:start w:val="18"/>
    </w:lvl>
  </w:abstractNum>
  <w:abstractNum w:abstractNumId="268">
    <w:nsid w:val="69454021"/>
    <w:multiLevelType w:val="hybridMultilevel"/>
    <w:lvl w:ilvl="0">
      <w:lvlJc w:val="left"/>
      <w:lvlText w:val="%1."/>
      <w:numFmt w:val="upperLetter"/>
      <w:start w:val="5"/>
    </w:lvl>
  </w:abstractNum>
  <w:abstractNum w:abstractNumId="269">
    <w:nsid w:val="49F15C6B"/>
    <w:multiLevelType w:val="hybridMultilevel"/>
    <w:lvl w:ilvl="0">
      <w:lvlJc w:val="left"/>
      <w:lvlText w:val="%1."/>
      <w:numFmt w:val="decimal"/>
      <w:start w:val="1"/>
    </w:lvl>
  </w:abstractNum>
  <w:abstractNum w:abstractNumId="270">
    <w:nsid w:val="75F56228"/>
    <w:multiLevelType w:val="hybridMultilevel"/>
    <w:lvl w:ilvl="0">
      <w:lvlJc w:val="left"/>
      <w:lvlText w:val="%1."/>
      <w:numFmt w:val="decimal"/>
      <w:start w:val="2"/>
    </w:lvl>
  </w:abstractNum>
  <w:abstractNum w:abstractNumId="271">
    <w:nsid w:val="1C618271"/>
    <w:multiLevelType w:val="hybridMultilevel"/>
    <w:lvl w:ilvl="0">
      <w:lvlJc w:val="left"/>
      <w:lvlText w:val="%1."/>
      <w:numFmt w:val="decimal"/>
      <w:start w:val="3"/>
    </w:lvl>
  </w:abstractNum>
  <w:abstractNum w:abstractNumId="272">
    <w:nsid w:val="6505F02E"/>
    <w:multiLevelType w:val="hybridMultilevel"/>
    <w:lvl w:ilvl="0">
      <w:lvlJc w:val="left"/>
      <w:lvlText w:val="%1."/>
      <w:numFmt w:val="decimal"/>
      <w:start w:val="4"/>
    </w:lvl>
  </w:abstractNum>
  <w:abstractNum w:abstractNumId="273">
    <w:nsid w:val="2FE5D025"/>
    <w:multiLevelType w:val="hybridMultilevel"/>
    <w:lvl w:ilvl="0">
      <w:lvlJc w:val="left"/>
      <w:lvlText w:val="%1."/>
      <w:numFmt w:val="decimal"/>
      <w:start w:val="5"/>
    </w:lvl>
  </w:abstractNum>
  <w:abstractNum w:abstractNumId="274">
    <w:nsid w:val="30E1B1CF"/>
    <w:multiLevelType w:val="hybridMultilevel"/>
    <w:lvl w:ilvl="0">
      <w:lvlJc w:val="left"/>
      <w:lvlText w:val="%1."/>
      <w:numFmt w:val="decimal"/>
      <w:start w:val="6"/>
    </w:lvl>
  </w:abstractNum>
  <w:abstractNum w:abstractNumId="275">
    <w:nsid w:val="C7A9237"/>
    <w:multiLevelType w:val="hybridMultilevel"/>
    <w:lvl w:ilvl="0">
      <w:lvlJc w:val="left"/>
      <w:lvlText w:val="%1."/>
      <w:numFmt w:val="upperLetter"/>
      <w:start w:val="6"/>
    </w:lvl>
    <w:lvl w:ilvl="1">
      <w:lvlJc w:val="left"/>
      <w:lvlText w:val="%2."/>
      <w:numFmt w:val="decimal"/>
      <w:start w:val="1"/>
    </w:lvl>
  </w:abstractNum>
  <w:abstractNum w:abstractNumId="276">
    <w:nsid w:val="676B3580"/>
    <w:multiLevelType w:val="hybridMultilevel"/>
    <w:lvl w:ilvl="0">
      <w:lvlJc w:val="left"/>
      <w:lvlText w:val="%1."/>
      <w:numFmt w:val="decimal"/>
      <w:start w:val="2"/>
    </w:lvl>
  </w:abstractNum>
  <w:abstractNum w:abstractNumId="277">
    <w:nsid w:val="3193C8F9"/>
    <w:multiLevelType w:val="hybridMultilevel"/>
    <w:lvl w:ilvl="0">
      <w:lvlJc w:val="left"/>
      <w:lvlText w:val="%1."/>
      <w:numFmt w:val="upperLetter"/>
      <w:start w:val="1"/>
    </w:lvl>
  </w:abstractNum>
  <w:abstractNum w:abstractNumId="278">
    <w:nsid w:val="5FA6C6DC"/>
    <w:multiLevelType w:val="hybridMultilevel"/>
    <w:lvl w:ilvl="0">
      <w:lvlJc w:val="left"/>
      <w:lvlText w:val="%1."/>
      <w:numFmt w:val="decimal"/>
      <w:start w:val="1"/>
    </w:lvl>
  </w:abstractNum>
  <w:abstractNum w:abstractNumId="279">
    <w:nsid w:val="77933F62"/>
    <w:multiLevelType w:val="hybridMultilevel"/>
    <w:lvl w:ilvl="0">
      <w:lvlJc w:val="left"/>
      <w:lvlText w:val="(%1)"/>
      <w:numFmt w:val="decimal"/>
      <w:start w:val="8"/>
    </w:lvl>
  </w:abstractNum>
  <w:abstractNum w:abstractNumId="280">
    <w:nsid w:val="6CB4EE9C"/>
    <w:multiLevelType w:val="hybridMultilevel"/>
    <w:lvl w:ilvl="0">
      <w:lvlJc w:val="left"/>
      <w:lvlText w:val="%1."/>
      <w:numFmt w:val="decimal"/>
      <w:start w:val="2"/>
    </w:lvl>
  </w:abstractNum>
  <w:abstractNum w:abstractNumId="281">
    <w:nsid w:val="6A6D56D7"/>
    <w:multiLevelType w:val="hybridMultilevel"/>
    <w:lvl w:ilvl="0">
      <w:lvlJc w:val="left"/>
      <w:lvlText w:val="%1."/>
      <w:numFmt w:val="upperLetter"/>
      <w:start w:val="1"/>
    </w:lvl>
    <w:lvl w:ilvl="1">
      <w:lvlJc w:val="left"/>
      <w:lvlText w:val="·"/>
      <w:numFmt w:val="bullet"/>
      <w:start w:val="1"/>
    </w:lvl>
  </w:abstractNum>
  <w:abstractNum w:abstractNumId="282">
    <w:nsid w:val="5B727F19"/>
    <w:multiLevelType w:val="hybridMultilevel"/>
    <w:lvl w:ilvl="0">
      <w:lvlJc w:val="left"/>
      <w:lvlText w:val="%1."/>
      <w:numFmt w:val="decimal"/>
      <w:start w:val="1"/>
    </w:lvl>
  </w:abstractNum>
  <w:abstractNum w:abstractNumId="283">
    <w:nsid w:val="514E5CB0"/>
    <w:multiLevelType w:val="hybridMultilevel"/>
    <w:lvl w:ilvl="0">
      <w:lvlJc w:val="left"/>
      <w:lvlText w:val="%1."/>
      <w:numFmt w:val="decimal"/>
      <w:start w:val="2"/>
    </w:lvl>
  </w:abstractNum>
  <w:abstractNum w:abstractNumId="284">
    <w:nsid w:val="4210D41E"/>
    <w:multiLevelType w:val="hybridMultilevel"/>
    <w:lvl w:ilvl="0">
      <w:lvlJc w:val="left"/>
      <w:lvlText w:val="%1."/>
      <w:numFmt w:val="decimal"/>
      <w:start w:val="3"/>
    </w:lvl>
  </w:abstractNum>
  <w:abstractNum w:abstractNumId="285">
    <w:nsid w:val="4FF4CC6D"/>
    <w:multiLevelType w:val="hybridMultilevel"/>
    <w:lvl w:ilvl="0">
      <w:lvlJc w:val="left"/>
      <w:lvlText w:val="(%1)"/>
      <w:numFmt w:val="lowerLetter"/>
      <w:start w:val="2"/>
    </w:lvl>
  </w:abstractNum>
  <w:abstractNum w:abstractNumId="286">
    <w:nsid w:val="404EAF4A"/>
    <w:multiLevelType w:val="hybridMultilevel"/>
    <w:lvl w:ilvl="0">
      <w:lvlJc w:val="left"/>
      <w:lvlText w:val="%1."/>
      <w:numFmt w:val="decimal"/>
      <w:start w:val="4"/>
    </w:lvl>
  </w:abstractNum>
  <w:abstractNum w:abstractNumId="287">
    <w:nsid w:val="4A16874F"/>
    <w:multiLevelType w:val="hybridMultilevel"/>
    <w:lvl w:ilvl="0">
      <w:lvlJc w:val="left"/>
      <w:lvlText w:val="·"/>
      <w:numFmt w:val="bullet"/>
      <w:start w:val="1"/>
    </w:lvl>
    <w:lvl w:ilvl="1">
      <w:lvlJc w:val="left"/>
      <w:lvlText w:val="(%2)"/>
      <w:numFmt w:val="lowerLetter"/>
      <w:start w:val="1"/>
    </w:lvl>
  </w:abstractNum>
  <w:abstractNum w:abstractNumId="288">
    <w:nsid w:val="55FEE0D1"/>
    <w:multiLevelType w:val="hybridMultilevel"/>
    <w:lvl w:ilvl="0">
      <w:lvlJc w:val="left"/>
      <w:lvlText w:val="·"/>
      <w:numFmt w:val="bullet"/>
      <w:start w:val="1"/>
    </w:lvl>
  </w:abstractNum>
  <w:abstractNum w:abstractNumId="289">
    <w:nsid w:val="3C5E07C"/>
    <w:multiLevelType w:val="hybridMultilevel"/>
    <w:lvl w:ilvl="0">
      <w:lvlJc w:val="left"/>
      <w:lvlText w:val="(%1)"/>
      <w:numFmt w:val="lowerLetter"/>
      <w:start w:val="2"/>
    </w:lvl>
  </w:abstractNum>
  <w:abstractNum w:abstractNumId="290">
    <w:nsid w:val="60C2D273"/>
    <w:multiLevelType w:val="hybridMultilevel"/>
    <w:lvl w:ilvl="0">
      <w:lvlJc w:val="left"/>
      <w:lvlText w:val="·"/>
      <w:numFmt w:val="bullet"/>
      <w:start w:val="1"/>
    </w:lvl>
  </w:abstractNum>
  <w:abstractNum w:abstractNumId="291">
    <w:nsid w:val="4CC32F1F"/>
    <w:multiLevelType w:val="hybridMultilevel"/>
    <w:lvl w:ilvl="0">
      <w:lvlJc w:val="left"/>
      <w:lvlText w:val="·"/>
      <w:numFmt w:val="bullet"/>
      <w:start w:val="1"/>
    </w:lvl>
  </w:abstractNum>
  <w:abstractNum w:abstractNumId="292">
    <w:nsid w:val="11CAC74A"/>
    <w:multiLevelType w:val="hybridMultilevel"/>
    <w:lvl w:ilvl="0">
      <w:lvlJc w:val="left"/>
      <w:lvlText w:val="%1."/>
      <w:numFmt w:val="decimal"/>
      <w:start w:val="5"/>
    </w:lvl>
  </w:abstractNum>
  <w:abstractNum w:abstractNumId="293">
    <w:nsid w:val="126CADE9"/>
    <w:multiLevelType w:val="hybridMultilevel"/>
    <w:lvl w:ilvl="0">
      <w:lvlJc w:val="left"/>
      <w:lvlText w:val="%1."/>
      <w:numFmt w:val="decimal"/>
      <w:start w:val="6"/>
    </w:lvl>
  </w:abstractNum>
  <w:abstractNum w:abstractNumId="294">
    <w:nsid w:val="19132E7B"/>
    <w:multiLevelType w:val="hybridMultilevel"/>
    <w:lvl w:ilvl="0">
      <w:lvlJc w:val="left"/>
      <w:lvlText w:val="%1."/>
      <w:numFmt w:val="decimal"/>
      <w:start w:val="7"/>
    </w:lvl>
  </w:abstractNum>
  <w:abstractNum w:abstractNumId="295">
    <w:nsid w:val="63822DC0"/>
    <w:multiLevelType w:val="hybridMultilevel"/>
    <w:lvl w:ilvl="0">
      <w:lvlJc w:val="left"/>
      <w:lvlText w:val="%1."/>
      <w:numFmt w:val="decimal"/>
      <w:start w:val="8"/>
    </w:lvl>
  </w:abstractNum>
  <w:abstractNum w:abstractNumId="296">
    <w:nsid w:val="6C11685A"/>
    <w:multiLevelType w:val="hybridMultilevel"/>
    <w:lvl w:ilvl="0">
      <w:lvlJc w:val="left"/>
      <w:lvlText w:val="%1."/>
      <w:numFmt w:val="decimal"/>
      <w:start w:val="9"/>
    </w:lvl>
  </w:abstractNum>
  <w:abstractNum w:abstractNumId="297">
    <w:nsid w:val="5E1EAE31"/>
    <w:multiLevelType w:val="hybridMultilevel"/>
    <w:lvl w:ilvl="0">
      <w:lvlJc w:val="left"/>
      <w:lvlText w:val="%1."/>
      <w:numFmt w:val="decimal"/>
      <w:start w:val="10"/>
    </w:lvl>
  </w:abstractNum>
  <w:abstractNum w:abstractNumId="298">
    <w:nsid w:val="178E240D"/>
    <w:multiLevelType w:val="hybridMultilevel"/>
    <w:lvl w:ilvl="0">
      <w:lvlJc w:val="left"/>
      <w:lvlText w:val="%1."/>
      <w:numFmt w:val="decimal"/>
      <w:start w:val="11"/>
    </w:lvl>
  </w:abstractNum>
  <w:abstractNum w:abstractNumId="299">
    <w:nsid w:val="5556A87B"/>
    <w:multiLevelType w:val="hybridMultilevel"/>
    <w:lvl w:ilvl="0">
      <w:lvlJc w:val="left"/>
      <w:lvlText w:val="(%1)"/>
      <w:numFmt w:val="lowerLetter"/>
      <w:start w:val="3"/>
    </w:lvl>
    <w:lvl w:ilvl="1">
      <w:lvlJc w:val="left"/>
      <w:lvlText w:val="%2."/>
      <w:numFmt w:val="decimal"/>
      <w:start w:val="12"/>
    </w:lvl>
  </w:abstractNum>
  <w:abstractNum w:abstractNumId="300">
    <w:nsid w:val="28100A9C"/>
    <w:multiLevelType w:val="hybridMultilevel"/>
    <w:lvl w:ilvl="0">
      <w:lvlJc w:val="left"/>
      <w:lvlText w:val="·"/>
      <w:numFmt w:val="bullet"/>
      <w:start w:val="1"/>
    </w:lvl>
  </w:abstractNum>
  <w:abstractNum w:abstractNumId="301">
    <w:nsid w:val="D838636"/>
    <w:multiLevelType w:val="hybridMultilevel"/>
    <w:lvl w:ilvl="0">
      <w:lvlJc w:val="left"/>
      <w:lvlText w:val="·"/>
      <w:numFmt w:val="bullet"/>
      <w:start w:val="1"/>
    </w:lvl>
    <w:lvl w:ilvl="1">
      <w:lvlJc w:val="left"/>
      <w:lvlText w:val="·"/>
      <w:numFmt w:val="bullet"/>
      <w:start w:val="1"/>
    </w:lvl>
  </w:abstractNum>
  <w:abstractNum w:abstractNumId="302">
    <w:nsid w:val="71B82AED"/>
    <w:multiLevelType w:val="hybridMultilevel"/>
    <w:lvl w:ilvl="0">
      <w:lvlJc w:val="left"/>
      <w:lvlText w:val="·"/>
      <w:numFmt w:val="bullet"/>
      <w:start w:val="1"/>
    </w:lvl>
  </w:abstractNum>
  <w:abstractNum w:abstractNumId="303">
    <w:nsid w:val="D15FACA"/>
    <w:multiLevelType w:val="hybridMultilevel"/>
    <w:lvl w:ilvl="0">
      <w:lvlJc w:val="left"/>
      <w:lvlText w:val="%1."/>
      <w:numFmt w:val="upperLetter"/>
      <w:start w:val="1"/>
    </w:lvl>
  </w:abstractNum>
  <w:abstractNum w:abstractNumId="304">
    <w:nsid w:val="3D69565B"/>
    <w:multiLevelType w:val="hybridMultilevel"/>
    <w:lvl w:ilvl="0">
      <w:lvlJc w:val="left"/>
      <w:lvlText w:val="%1."/>
      <w:numFmt w:val="upperLetter"/>
      <w:start w:val="2"/>
    </w:lvl>
  </w:abstractNum>
  <w:abstractNum w:abstractNumId="305">
    <w:nsid w:val="2299DCBC"/>
    <w:multiLevelType w:val="hybridMultilevel"/>
    <w:lvl w:ilvl="0">
      <w:lvlJc w:val="left"/>
      <w:lvlText w:val="%1."/>
      <w:numFmt w:val="upperLetter"/>
      <w:start w:val="3"/>
    </w:lvl>
  </w:abstractNum>
  <w:abstractNum w:abstractNumId="306">
    <w:nsid w:val="19908D02"/>
    <w:multiLevelType w:val="hybridMultilevel"/>
    <w:lvl w:ilvl="0">
      <w:lvlJc w:val="left"/>
      <w:lvlText w:val="%1."/>
      <w:numFmt w:val="upperLetter"/>
      <w:start w:val="4"/>
    </w:lvl>
  </w:abstractNum>
  <w:abstractNum w:abstractNumId="307">
    <w:nsid w:val="24D48BDB"/>
    <w:multiLevelType w:val="hybridMultilevel"/>
    <w:lvl w:ilvl="0">
      <w:lvlJc w:val="left"/>
      <w:lvlText w:val="%1."/>
      <w:numFmt w:val="upperLetter"/>
      <w:start w:val="5"/>
    </w:lvl>
  </w:abstractNum>
  <w:abstractNum w:abstractNumId="308">
    <w:nsid w:val="542DA5B5"/>
    <w:multiLevelType w:val="hybridMultilevel"/>
    <w:lvl w:ilvl="0">
      <w:lvlJc w:val="left"/>
      <w:lvlText w:val="%1."/>
      <w:numFmt w:val="upperLetter"/>
      <w:start w:val="6"/>
    </w:lvl>
  </w:abstractNum>
  <w:abstractNum w:abstractNumId="309">
    <w:nsid w:val="793753DE"/>
    <w:multiLevelType w:val="hybridMultilevel"/>
    <w:lvl w:ilvl="0">
      <w:lvlJc w:val="left"/>
      <w:lvlText w:val="·"/>
      <w:numFmt w:val="bullet"/>
      <w:start w:val="1"/>
    </w:lvl>
  </w:abstractNum>
  <w:abstractNum w:abstractNumId="310">
    <w:nsid w:val="1C67CB3D"/>
    <w:multiLevelType w:val="hybridMultilevel"/>
    <w:lvl w:ilvl="0">
      <w:lvlJc w:val="left"/>
      <w:lvlText w:val="·"/>
      <w:numFmt w:val="bullet"/>
      <w:start w:val="1"/>
    </w:lvl>
  </w:abstractNum>
  <w:abstractNum w:abstractNumId="311">
    <w:nsid w:val="40E29452"/>
    <w:multiLevelType w:val="hybridMultilevel"/>
    <w:lvl w:ilvl="0">
      <w:lvlJc w:val="left"/>
      <w:lvlText w:val="%1."/>
      <w:numFmt w:val="decimal"/>
      <w:start w:val="1"/>
    </w:lvl>
  </w:abstractNum>
  <w:abstractNum w:abstractNumId="312">
    <w:nsid w:val="63A4AAB6"/>
    <w:multiLevelType w:val="hybridMultilevel"/>
    <w:lvl w:ilvl="0">
      <w:lvlJc w:val="left"/>
      <w:lvlText w:val="(%1)"/>
      <w:numFmt w:val="lowerLetter"/>
      <w:start w:val="2"/>
    </w:lvl>
  </w:abstractNum>
  <w:abstractNum w:abstractNumId="313">
    <w:nsid w:val="77DA4A57"/>
    <w:multiLevelType w:val="hybridMultilevel"/>
    <w:lvl w:ilvl="0">
      <w:lvlJc w:val="left"/>
      <w:lvlText w:val="%1."/>
      <w:numFmt w:val="decimal"/>
      <w:start w:val="2"/>
    </w:lvl>
  </w:abstractNum>
  <w:abstractNum w:abstractNumId="314">
    <w:nsid w:val="1230F102"/>
    <w:multiLevelType w:val="hybridMultilevel"/>
    <w:lvl w:ilvl="0">
      <w:lvlJc w:val="left"/>
      <w:lvlText w:val="%1."/>
      <w:numFmt w:val="decimal"/>
      <w:start w:val="3"/>
    </w:lvl>
  </w:abstractNum>
  <w:abstractNum w:abstractNumId="315">
    <w:nsid w:val="25B57ED4"/>
    <w:multiLevelType w:val="hybridMultilevel"/>
    <w:lvl w:ilvl="0">
      <w:lvlJc w:val="left"/>
      <w:lvlText w:val="%1."/>
      <w:numFmt w:val="decimal"/>
      <w:start w:val="4"/>
    </w:lvl>
  </w:abstractNum>
  <w:abstractNum w:abstractNumId="316">
    <w:nsid w:val="47CF16C4"/>
    <w:multiLevelType w:val="hybridMultilevel"/>
    <w:lvl w:ilvl="0">
      <w:lvlJc w:val="left"/>
      <w:lvlText w:val="%1."/>
      <w:numFmt w:val="decimal"/>
      <w:start w:val="5"/>
    </w:lvl>
  </w:abstractNum>
  <w:abstractNum w:abstractNumId="317">
    <w:nsid w:val="527FA04C"/>
    <w:multiLevelType w:val="hybridMultilevel"/>
    <w:lvl w:ilvl="0">
      <w:lvlJc w:val="left"/>
      <w:lvlText w:val="%1."/>
      <w:numFmt w:val="decimal"/>
      <w:start w:val="6"/>
    </w:lvl>
  </w:abstractNum>
  <w:abstractNum w:abstractNumId="318">
    <w:nsid w:val="6FCC0624"/>
    <w:multiLevelType w:val="hybridMultilevel"/>
    <w:lvl w:ilvl="0">
      <w:lvlJc w:val="left"/>
      <w:lvlText w:val="·"/>
      <w:numFmt w:val="bullet"/>
      <w:start w:val="1"/>
    </w:lvl>
  </w:abstractNum>
  <w:abstractNum w:abstractNumId="319">
    <w:nsid w:val="1DCDF795"/>
    <w:multiLevelType w:val="hybridMultilevel"/>
    <w:lvl w:ilvl="0">
      <w:lvlJc w:val="left"/>
      <w:lvlText w:val="o"/>
      <w:numFmt w:val="bullet"/>
      <w:start w:val="1"/>
    </w:lvl>
  </w:abstractNum>
  <w:abstractNum w:abstractNumId="320">
    <w:nsid w:val="564580C8"/>
    <w:multiLevelType w:val="hybridMultilevel"/>
    <w:lvl w:ilvl="0">
      <w:lvlJc w:val="left"/>
      <w:lvlText w:val="(%1)"/>
      <w:numFmt w:val="lowerLetter"/>
      <w:start w:val="1"/>
    </w:lvl>
  </w:abstractNum>
  <w:abstractNum w:abstractNumId="321">
    <w:nsid w:val="508ED897"/>
    <w:multiLevelType w:val="hybridMultilevel"/>
    <w:lvl w:ilvl="0">
      <w:lvlJc w:val="left"/>
      <w:lvlText w:val="%1."/>
      <w:numFmt w:val="upperLetter"/>
      <w:start w:val="7"/>
    </w:lvl>
  </w:abstractNum>
  <w:abstractNum w:abstractNumId="322">
    <w:nsid w:val="6A9126B5"/>
    <w:multiLevelType w:val="hybridMultilevel"/>
    <w:lvl w:ilvl="0">
      <w:lvlJc w:val="left"/>
      <w:lvlText w:val="%1."/>
      <w:numFmt w:val="upperLetter"/>
      <w:start w:val="1"/>
    </w:lvl>
    <w:lvl w:ilvl="1">
      <w:lvlJc w:val="left"/>
      <w:lvlText w:val="%2."/>
      <w:numFmt w:val="decimal"/>
      <w:start w:val="1"/>
    </w:lvl>
  </w:abstractNum>
  <w:abstractNum w:abstractNumId="323">
    <w:nsid w:val="68104812"/>
    <w:multiLevelType w:val="hybridMultilevel"/>
    <w:lvl w:ilvl="0">
      <w:lvlJc w:val="left"/>
      <w:lvlText w:val="%1."/>
      <w:numFmt w:val="decimal"/>
      <w:start w:val="2"/>
    </w:lvl>
    <w:lvl w:ilvl="1">
      <w:lvlJc w:val="left"/>
      <w:lvlText w:val="(%2)"/>
      <w:numFmt w:val="lowerLetter"/>
      <w:start w:val="1"/>
    </w:lvl>
  </w:abstractNum>
  <w:abstractNum w:abstractNumId="324">
    <w:nsid w:val="62FB8680"/>
    <w:multiLevelType w:val="hybridMultilevel"/>
    <w:lvl w:ilvl="0">
      <w:lvlJc w:val="left"/>
      <w:lvlText w:val="(%1)"/>
      <w:numFmt w:val="lowerLetter"/>
      <w:start w:val="2"/>
    </w:lvl>
  </w:abstractNum>
  <w:abstractNum w:abstractNumId="325">
    <w:nsid w:val="3A45530"/>
    <w:multiLevelType w:val="hybridMultilevel"/>
    <w:lvl w:ilvl="0">
      <w:lvlJc w:val="left"/>
      <w:lvlText w:val="(%1)"/>
      <w:numFmt w:val="lowerLetter"/>
      <w:start w:val="3"/>
    </w:lvl>
  </w:abstractNum>
  <w:abstractNum w:abstractNumId="326">
    <w:nsid w:val="4B9275D2"/>
    <w:multiLevelType w:val="hybridMultilevel"/>
    <w:lvl w:ilvl="0">
      <w:lvlJc w:val="left"/>
      <w:lvlText w:val="(%1)"/>
      <w:numFmt w:val="lowerLetter"/>
      <w:start w:val="4"/>
    </w:lvl>
  </w:abstractNum>
  <w:abstractNum w:abstractNumId="327">
    <w:nsid w:val="4F0CEEDB"/>
    <w:multiLevelType w:val="hybridMultilevel"/>
    <w:lvl w:ilvl="0">
      <w:lvlJc w:val="left"/>
      <w:lvlText w:val="(%1)"/>
      <w:numFmt w:val="lowerLetter"/>
      <w:start w:val="5"/>
    </w:lvl>
  </w:abstractNum>
  <w:abstractNum w:abstractNumId="328">
    <w:nsid w:val="61C30361"/>
    <w:multiLevelType w:val="hybridMultilevel"/>
    <w:lvl w:ilvl="0">
      <w:lvlJc w:val="left"/>
      <w:lvlText w:val="%1."/>
      <w:numFmt w:val="decimal"/>
      <w:start w:val="3"/>
    </w:lvl>
  </w:abstractNum>
  <w:abstractNum w:abstractNumId="329">
    <w:nsid w:val="632099E0"/>
    <w:multiLevelType w:val="hybridMultilevel"/>
    <w:lvl w:ilvl="0">
      <w:lvlJc w:val="left"/>
      <w:lvlText w:val="(%1)"/>
      <w:numFmt w:val="lowerLetter"/>
      <w:start w:val="1"/>
    </w:lvl>
  </w:abstractNum>
  <w:abstractNum w:abstractNumId="330">
    <w:nsid w:val="24639756"/>
    <w:multiLevelType w:val="hybridMultilevel"/>
    <w:lvl w:ilvl="0">
      <w:lvlJc w:val="left"/>
      <w:lvlText w:val="·"/>
      <w:numFmt w:val="bullet"/>
      <w:start w:val="1"/>
    </w:lvl>
  </w:abstractNum>
  <w:abstractNum w:abstractNumId="331">
    <w:nsid w:val="9D30DFD"/>
    <w:multiLevelType w:val="hybridMultilevel"/>
    <w:lvl w:ilvl="0">
      <w:lvlJc w:val="left"/>
      <w:lvlText w:val="·"/>
      <w:numFmt w:val="bullet"/>
      <w:start w:val="1"/>
    </w:lvl>
  </w:abstractNum>
  <w:abstractNum w:abstractNumId="332">
    <w:nsid w:val="70A42016"/>
    <w:multiLevelType w:val="hybridMultilevel"/>
    <w:lvl w:ilvl="0">
      <w:lvlJc w:val="left"/>
      <w:lvlText w:val="(%1)"/>
      <w:numFmt w:val="lowerLetter"/>
      <w:start w:val="2"/>
    </w:lvl>
    <w:lvl w:ilvl="1">
      <w:lvlJc w:val="left"/>
      <w:lvlText w:val="(%2)"/>
      <w:numFmt w:val="decimal"/>
      <w:start w:val="1"/>
    </w:lvl>
  </w:abstractNum>
  <w:abstractNum w:abstractNumId="333">
    <w:nsid w:val="161BC243"/>
    <w:multiLevelType w:val="hybridMultilevel"/>
    <w:lvl w:ilvl="0">
      <w:lvlJc w:val="left"/>
      <w:lvlText w:val="(%1)"/>
      <w:numFmt w:val="decimal"/>
      <w:start w:val="2"/>
    </w:lvl>
  </w:abstractNum>
  <w:abstractNum w:abstractNumId="334">
    <w:nsid w:val="16E908C8"/>
    <w:multiLevelType w:val="hybridMultilevel"/>
    <w:lvl w:ilvl="0">
      <w:lvlJc w:val="left"/>
      <w:lvlText w:val="(%1)"/>
      <w:numFmt w:val="lowerLetter"/>
      <w:start w:val="3"/>
    </w:lvl>
    <w:lvl w:ilvl="1">
      <w:lvlJc w:val="left"/>
      <w:lvlText w:val="(%2)"/>
      <w:numFmt w:val="decimal"/>
      <w:start w:val="1"/>
    </w:lvl>
  </w:abstractNum>
  <w:abstractNum w:abstractNumId="335">
    <w:nsid w:val="2E0D7671"/>
    <w:multiLevelType w:val="hybridMultilevel"/>
    <w:lvl w:ilvl="0">
      <w:lvlJc w:val="left"/>
      <w:lvlText w:val="(%1)"/>
      <w:numFmt w:val="lowerRoman"/>
      <w:start w:val="2"/>
    </w:lvl>
  </w:abstractNum>
  <w:abstractNum w:abstractNumId="336">
    <w:nsid w:val="38B59EFF"/>
    <w:multiLevelType w:val="hybridMultilevel"/>
    <w:lvl w:ilvl="0">
      <w:lvlJc w:val="left"/>
      <w:lvlText w:val="(%1)"/>
      <w:numFmt w:val="decimal"/>
      <w:start w:val="2"/>
    </w:lvl>
  </w:abstractNum>
  <w:abstractNum w:abstractNumId="337">
    <w:nsid w:val="307995CA"/>
    <w:multiLevelType w:val="hybridMultilevel"/>
    <w:lvl w:ilvl="0">
      <w:lvlJc w:val="left"/>
      <w:lvlText w:val="(%1)"/>
      <w:numFmt w:val="lowerLetter"/>
      <w:start w:val="4"/>
    </w:lvl>
  </w:abstractNum>
  <w:abstractNum w:abstractNumId="338">
    <w:nsid w:val="52E2024D"/>
    <w:multiLevelType w:val="hybridMultilevel"/>
    <w:lvl w:ilvl="0">
      <w:lvlJc w:val="left"/>
      <w:lvlText w:val="(%1)"/>
      <w:numFmt w:val="decimal"/>
      <w:start w:val="1"/>
    </w:lvl>
    <w:lvl w:ilvl="1">
      <w:lvlJc w:val="left"/>
      <w:lvlText w:val="(%2)"/>
      <w:numFmt w:val="lowerLetter"/>
      <w:start w:val="1"/>
    </w:lvl>
  </w:abstractNum>
  <w:abstractNum w:abstractNumId="339">
    <w:nsid w:val="CE344B5"/>
    <w:multiLevelType w:val="hybridMultilevel"/>
    <w:lvl w:ilvl="0">
      <w:lvlJc w:val="left"/>
      <w:lvlText w:val="(%1)"/>
      <w:numFmt w:val="lowerRoman"/>
      <w:start w:val="3"/>
    </w:lvl>
  </w:abstractNum>
  <w:abstractNum w:abstractNumId="340">
    <w:nsid w:val="29B0E9A8"/>
    <w:multiLevelType w:val="hybridMultilevel"/>
    <w:lvl w:ilvl="0">
      <w:lvlJc w:val="left"/>
      <w:lvlText w:val="(%1)"/>
      <w:numFmt w:val="lowerLetter"/>
      <w:start w:val="2"/>
    </w:lvl>
  </w:abstractNum>
  <w:abstractNum w:abstractNumId="341">
    <w:nsid w:val="6F49CD8A"/>
    <w:multiLevelType w:val="hybridMultilevel"/>
    <w:lvl w:ilvl="0">
      <w:lvlJc w:val="left"/>
      <w:lvlText w:val="(%1)"/>
      <w:numFmt w:val="lowerLetter"/>
      <w:start w:val="3"/>
    </w:lvl>
  </w:abstractNum>
  <w:abstractNum w:abstractNumId="342">
    <w:nsid w:val="4DC5D907"/>
    <w:multiLevelType w:val="hybridMultilevel"/>
    <w:lvl w:ilvl="0">
      <w:lvlJc w:val="left"/>
      <w:lvlText w:val="(%1)"/>
      <w:numFmt w:val="lowerLetter"/>
      <w:start w:val="4"/>
    </w:lvl>
  </w:abstractNum>
  <w:abstractNum w:abstractNumId="343">
    <w:nsid w:val="D55945E"/>
    <w:multiLevelType w:val="hybridMultilevel"/>
    <w:lvl w:ilvl="0">
      <w:lvlJc w:val="left"/>
      <w:lvlText w:val="(%1)"/>
      <w:numFmt w:val="lowerLetter"/>
      <w:start w:val="5"/>
    </w:lvl>
  </w:abstractNum>
  <w:abstractNum w:abstractNumId="344">
    <w:nsid w:val="672417E1"/>
    <w:multiLevelType w:val="hybridMultilevel"/>
    <w:lvl w:ilvl="0">
      <w:lvlJc w:val="left"/>
      <w:lvlText w:val="(%1)"/>
      <w:numFmt w:val="lowerLetter"/>
      <w:start w:val="6"/>
    </w:lvl>
  </w:abstractNum>
  <w:abstractNum w:abstractNumId="345">
    <w:nsid w:val="5FF6CA09"/>
    <w:multiLevelType w:val="hybridMultilevel"/>
    <w:lvl w:ilvl="0">
      <w:lvlJc w:val="left"/>
      <w:lvlText w:val="(%1)"/>
      <w:numFmt w:val="decimal"/>
      <w:start w:val="2"/>
    </w:lvl>
  </w:abstractNum>
  <w:abstractNum w:abstractNumId="346">
    <w:nsid w:val="330B1333"/>
    <w:multiLevelType w:val="hybridMultilevel"/>
    <w:lvl w:ilvl="0">
      <w:lvlJc w:val="left"/>
      <w:lvlText w:val="(%1)"/>
      <w:numFmt w:val="decimal"/>
      <w:start w:val="3"/>
    </w:lvl>
    <w:lvl w:ilvl="1">
      <w:lvlJc w:val="left"/>
      <w:lvlText w:val="(%2)"/>
      <w:numFmt w:val="lowerLetter"/>
      <w:start w:val="1"/>
    </w:lvl>
  </w:abstractNum>
  <w:abstractNum w:abstractNumId="347">
    <w:nsid w:val="2EF32EA6"/>
    <w:multiLevelType w:val="hybridMultilevel"/>
    <w:lvl w:ilvl="0">
      <w:lvlJc w:val="left"/>
      <w:lvlText w:val="(%1)"/>
      <w:numFmt w:val="lowerLetter"/>
      <w:start w:val="2"/>
    </w:lvl>
  </w:abstractNum>
  <w:abstractNum w:abstractNumId="348">
    <w:nsid w:val="32766A55"/>
    <w:multiLevelType w:val="hybridMultilevel"/>
    <w:lvl w:ilvl="0">
      <w:lvlJc w:val="left"/>
      <w:lvlText w:val="(%1)"/>
      <w:numFmt w:val="lowerRoman"/>
      <w:start w:val="2"/>
    </w:lvl>
  </w:abstractNum>
  <w:abstractNum w:abstractNumId="349">
    <w:nsid w:val="22D71957"/>
    <w:multiLevelType w:val="hybridMultilevel"/>
    <w:lvl w:ilvl="0">
      <w:lvlJc w:val="left"/>
      <w:lvlText w:val="(%1)"/>
      <w:numFmt w:val="lowerLetter"/>
      <w:start w:val="3"/>
    </w:lvl>
  </w:abstractNum>
  <w:abstractNum w:abstractNumId="350">
    <w:nsid w:val="4CC1263B"/>
    <w:multiLevelType w:val="hybridMultilevel"/>
    <w:lvl w:ilvl="0">
      <w:lvlJc w:val="left"/>
      <w:lvlText w:val="(%1)"/>
      <w:numFmt w:val="decimal"/>
      <w:start w:val="4"/>
    </w:lvl>
    <w:lvl w:ilvl="1">
      <w:lvlJc w:val="left"/>
      <w:lvlText w:val="(%2)"/>
      <w:numFmt w:val="lowerLetter"/>
      <w:start w:val="1"/>
    </w:lvl>
  </w:abstractNum>
  <w:abstractNum w:abstractNumId="351">
    <w:nsid w:val="8BBEB1D"/>
    <w:multiLevelType w:val="hybridMultilevel"/>
    <w:lvl w:ilvl="0">
      <w:lvlJc w:val="left"/>
      <w:lvlText w:val="(%1)"/>
      <w:numFmt w:val="lowerLetter"/>
      <w:start w:val="2"/>
    </w:lvl>
  </w:abstractNum>
  <w:abstractNum w:abstractNumId="352">
    <w:nsid w:val="7365F1EE"/>
    <w:multiLevelType w:val="hybridMultilevel"/>
    <w:lvl w:ilvl="0">
      <w:lvlJc w:val="left"/>
      <w:lvlText w:val="(%1)"/>
      <w:numFmt w:val="decimal"/>
      <w:start w:val="5"/>
    </w:lvl>
  </w:abstractNum>
  <w:abstractNum w:abstractNumId="353">
    <w:nsid w:val="37524CF0"/>
    <w:multiLevelType w:val="hybridMultilevel"/>
    <w:lvl w:ilvl="0">
      <w:lvlJc w:val="left"/>
      <w:lvlText w:val="%1."/>
      <w:numFmt w:val="decimal"/>
      <w:start w:val="4"/>
    </w:lvl>
  </w:abstractNum>
  <w:abstractNum w:abstractNumId="354">
    <w:nsid w:val="70CC332F"/>
    <w:multiLevelType w:val="hybridMultilevel"/>
    <w:lvl w:ilvl="0">
      <w:lvlJc w:val="left"/>
      <w:lvlText w:val="(%1)"/>
      <w:numFmt w:val="lowerLetter"/>
      <w:start w:val="1"/>
    </w:lvl>
  </w:abstractNum>
  <w:abstractNum w:abstractNumId="355">
    <w:nsid w:val="5661786E"/>
    <w:multiLevelType w:val="hybridMultilevel"/>
    <w:lvl w:ilvl="0">
      <w:lvlJc w:val="left"/>
      <w:lvlText w:val="(%1)"/>
      <w:numFmt w:val="lowerLetter"/>
      <w:start w:val="2"/>
    </w:lvl>
  </w:abstractNum>
  <w:abstractNum w:abstractNumId="356">
    <w:nsid w:val="3AF6A220"/>
    <w:multiLevelType w:val="hybridMultilevel"/>
    <w:lvl w:ilvl="0">
      <w:lvlJc w:val="left"/>
      <w:lvlText w:val="·"/>
      <w:numFmt w:val="bullet"/>
      <w:start w:val="1"/>
    </w:lvl>
  </w:abstractNum>
  <w:abstractNum w:abstractNumId="357">
    <w:nsid w:val="3C5EA902"/>
    <w:multiLevelType w:val="hybridMultilevel"/>
    <w:lvl w:ilvl="0">
      <w:lvlJc w:val="left"/>
      <w:lvlText w:val="(%1)"/>
      <w:numFmt w:val="lowerLetter"/>
      <w:start w:val="3"/>
    </w:lvl>
  </w:abstractNum>
  <w:abstractNum w:abstractNumId="358">
    <w:nsid w:val="256E6749"/>
    <w:multiLevelType w:val="hybridMultilevel"/>
    <w:lvl w:ilvl="0">
      <w:lvlJc w:val="left"/>
      <w:lvlText w:val="·"/>
      <w:numFmt w:val="bullet"/>
      <w:start w:val="1"/>
    </w:lvl>
  </w:abstractNum>
  <w:abstractNum w:abstractNumId="359">
    <w:nsid w:val="1CB9A581"/>
    <w:multiLevelType w:val="hybridMultilevel"/>
    <w:lvl w:ilvl="0">
      <w:lvlJc w:val="left"/>
      <w:lvlText w:val="%1."/>
      <w:numFmt w:val="decimal"/>
      <w:start w:val="5"/>
    </w:lvl>
  </w:abstractNum>
  <w:abstractNum w:abstractNumId="360">
    <w:nsid w:val="1F7F42E2"/>
    <w:multiLevelType w:val="hybridMultilevel"/>
    <w:lvl w:ilvl="0">
      <w:lvlJc w:val="left"/>
      <w:lvlText w:val="%1."/>
      <w:numFmt w:val="decimal"/>
      <w:start w:val="6"/>
    </w:lvl>
  </w:abstractNum>
  <w:abstractNum w:abstractNumId="361">
    <w:nsid w:val="49D1FEA0"/>
    <w:multiLevelType w:val="hybridMultilevel"/>
    <w:lvl w:ilvl="0">
      <w:lvlJc w:val="left"/>
      <w:lvlText w:val="%1."/>
      <w:numFmt w:val="decimal"/>
      <w:start w:val="7"/>
    </w:lvl>
  </w:abstractNum>
  <w:abstractNum w:abstractNumId="362">
    <w:nsid w:val="268CB37F"/>
    <w:multiLevelType w:val="hybridMultilevel"/>
    <w:lvl w:ilvl="0">
      <w:lvlJc w:val="left"/>
      <w:lvlText w:val="%1."/>
      <w:numFmt w:val="upperLetter"/>
      <w:start w:val="2"/>
    </w:lvl>
  </w:abstractNum>
  <w:abstractNum w:abstractNumId="363">
    <w:nsid w:val="102362F8"/>
    <w:multiLevelType w:val="hybridMultilevel"/>
    <w:lvl w:ilvl="0">
      <w:lvlJc w:val="left"/>
      <w:lvlText w:val="%1."/>
      <w:numFmt w:val="decimal"/>
      <w:start w:val="2"/>
    </w:lvl>
    <w:lvl w:ilvl="1">
      <w:lvlJc w:val="left"/>
      <w:lvlText w:val="(%2)"/>
      <w:numFmt w:val="lowerLetter"/>
      <w:start w:val="1"/>
    </w:lvl>
  </w:abstractNum>
  <w:abstractNum w:abstractNumId="364">
    <w:nsid w:val="5FEDC0E3"/>
    <w:multiLevelType w:val="hybridMultilevel"/>
    <w:lvl w:ilvl="0">
      <w:lvlJc w:val="left"/>
      <w:lvlText w:val="(%1)"/>
      <w:numFmt w:val="decimal"/>
      <w:start w:val="1"/>
    </w:lvl>
  </w:abstractNum>
  <w:abstractNum w:abstractNumId="365">
    <w:nsid w:val="3D75BC47"/>
    <w:multiLevelType w:val="hybridMultilevel"/>
    <w:lvl w:ilvl="0">
      <w:lvlJc w:val="left"/>
      <w:lvlText w:val="(%1)"/>
      <w:numFmt w:val="decimal"/>
      <w:start w:val="2"/>
    </w:lvl>
  </w:abstractNum>
  <w:abstractNum w:abstractNumId="366">
    <w:nsid w:val="3E30D969"/>
    <w:multiLevelType w:val="hybridMultilevel"/>
    <w:lvl w:ilvl="0">
      <w:lvlJc w:val="left"/>
      <w:lvlText w:val="(%1)"/>
      <w:numFmt w:val="lowerLetter"/>
      <w:start w:val="2"/>
    </w:lvl>
  </w:abstractNum>
  <w:abstractNum w:abstractNumId="367">
    <w:nsid w:val="18A35FE3"/>
    <w:multiLevelType w:val="hybridMultilevel"/>
    <w:lvl w:ilvl="0">
      <w:lvlJc w:val="left"/>
      <w:lvlText w:val="%1."/>
      <w:numFmt w:val="decimal"/>
      <w:start w:val="3"/>
    </w:lvl>
    <w:lvl w:ilvl="1">
      <w:lvlJc w:val="left"/>
      <w:lvlText w:val="(%2)"/>
      <w:numFmt w:val="lowerLetter"/>
      <w:start w:val="1"/>
    </w:lvl>
  </w:abstractNum>
  <w:abstractNum w:abstractNumId="368">
    <w:nsid w:val="6DEF5211"/>
    <w:multiLevelType w:val="hybridMultilevel"/>
    <w:lvl w:ilvl="0">
      <w:lvlJc w:val="left"/>
      <w:lvlText w:val="(%1)"/>
      <w:numFmt w:val="lowerLetter"/>
      <w:start w:val="2"/>
    </w:lvl>
  </w:abstractNum>
  <w:abstractNum w:abstractNumId="369">
    <w:nsid w:val="1112DBB6"/>
    <w:multiLevelType w:val="hybridMultilevel"/>
    <w:lvl w:ilvl="0">
      <w:lvlJc w:val="left"/>
      <w:lvlText w:val="(%1)"/>
      <w:numFmt w:val="lowerLetter"/>
      <w:start w:val="3"/>
    </w:lvl>
  </w:abstractNum>
  <w:abstractNum w:abstractNumId="370">
    <w:nsid w:val="2586A498"/>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371">
    <w:nsid w:val="17A03BB9"/>
    <w:multiLevelType w:val="hybridMultilevel"/>
    <w:lvl w:ilvl="0">
      <w:lvlJc w:val="left"/>
      <w:lvlText w:val="(%1)"/>
      <w:numFmt w:val="lowerLetter"/>
      <w:start w:val="2"/>
    </w:lvl>
  </w:abstractNum>
  <w:abstractNum w:abstractNumId="372">
    <w:nsid w:val="5CA941"/>
    <w:multiLevelType w:val="hybridMultilevel"/>
    <w:lvl w:ilvl="0">
      <w:lvlJc w:val="left"/>
      <w:lvlText w:val="(%1)"/>
      <w:numFmt w:val="lowerLetter"/>
      <w:start w:val="3"/>
    </w:lvl>
  </w:abstractNum>
  <w:abstractNum w:abstractNumId="373">
    <w:nsid w:val="734C7D9F"/>
    <w:multiLevelType w:val="hybridMultilevel"/>
    <w:lvl w:ilvl="0">
      <w:lvlJc w:val="left"/>
      <w:lvlText w:val="(%1)"/>
      <w:numFmt w:val="decimal"/>
      <w:start w:val="2"/>
    </w:lvl>
    <w:lvl w:ilvl="1">
      <w:lvlJc w:val="left"/>
      <w:lvlText w:val="(%2)"/>
      <w:numFmt w:val="lowerLetter"/>
      <w:start w:val="1"/>
    </w:lvl>
  </w:abstractNum>
  <w:abstractNum w:abstractNumId="374">
    <w:nsid w:val="24F5D018"/>
    <w:multiLevelType w:val="hybridMultilevel"/>
    <w:lvl w:ilvl="0">
      <w:lvlJc w:val="left"/>
      <w:lvlText w:val="(%1)"/>
      <w:numFmt w:val="lowerLetter"/>
      <w:start w:val="2"/>
    </w:lvl>
  </w:abstractNum>
  <w:abstractNum w:abstractNumId="375">
    <w:nsid w:val="6780C122"/>
    <w:multiLevelType w:val="hybridMultilevel"/>
    <w:lvl w:ilvl="0">
      <w:lvlJc w:val="left"/>
      <w:lvlText w:val="·"/>
      <w:numFmt w:val="bullet"/>
      <w:start w:val="1"/>
    </w:lvl>
  </w:abstractNum>
  <w:abstractNum w:abstractNumId="376">
    <w:nsid w:val="534347A8"/>
    <w:multiLevelType w:val="hybridMultilevel"/>
    <w:lvl w:ilvl="0">
      <w:lvlJc w:val="left"/>
      <w:lvlText w:val="(%1)"/>
      <w:numFmt w:val="lowerLetter"/>
      <w:start w:val="3"/>
    </w:lvl>
  </w:abstractNum>
  <w:abstractNum w:abstractNumId="377">
    <w:nsid w:val="5800E34B"/>
    <w:multiLevelType w:val="hybridMultilevel"/>
    <w:lvl w:ilvl="0">
      <w:lvlJc w:val="left"/>
      <w:lvlText w:val="·"/>
      <w:numFmt w:val="bullet"/>
      <w:start w:val="1"/>
    </w:lvl>
  </w:abstractNum>
  <w:abstractNum w:abstractNumId="378">
    <w:nsid w:val="1673EFC8"/>
    <w:multiLevelType w:val="hybridMultilevel"/>
    <w:lvl w:ilvl="0">
      <w:lvlJc w:val="left"/>
      <w:lvlText w:val="·"/>
      <w:numFmt w:val="bullet"/>
      <w:start w:val="1"/>
    </w:lvl>
  </w:abstractNum>
  <w:abstractNum w:abstractNumId="379">
    <w:nsid w:val="5B9B1FD"/>
    <w:multiLevelType w:val="hybridMultilevel"/>
    <w:lvl w:ilvl="0">
      <w:lvlJc w:val="left"/>
      <w:lvlText w:val="·"/>
      <w:numFmt w:val="bullet"/>
      <w:start w:val="1"/>
    </w:lvl>
  </w:abstractNum>
  <w:abstractNum w:abstractNumId="380">
    <w:nsid w:val="7AD7FCA2"/>
    <w:multiLevelType w:val="hybridMultilevel"/>
    <w:lvl w:ilvl="0">
      <w:lvlJc w:val="left"/>
      <w:lvlText w:val="(%1)"/>
      <w:numFmt w:val="lowerLetter"/>
      <w:start w:val="4"/>
    </w:lvl>
  </w:abstractNum>
  <w:abstractNum w:abstractNumId="381">
    <w:nsid w:val="63351604"/>
    <w:multiLevelType w:val="hybridMultilevel"/>
    <w:lvl w:ilvl="0">
      <w:lvlJc w:val="left"/>
      <w:lvlText w:val="(%1)"/>
      <w:numFmt w:val="lowerLetter"/>
      <w:start w:val="5"/>
    </w:lvl>
  </w:abstractNum>
  <w:abstractNum w:abstractNumId="382">
    <w:nsid w:val="E759D1A"/>
    <w:multiLevelType w:val="hybridMultilevel"/>
    <w:lvl w:ilvl="0">
      <w:lvlJc w:val="left"/>
      <w:lvlText w:val="(%1)"/>
      <w:numFmt w:val="decimal"/>
      <w:start w:val="3"/>
    </w:lvl>
    <w:lvl w:ilvl="1">
      <w:lvlJc w:val="left"/>
      <w:lvlText w:val="(%2)"/>
      <w:numFmt w:val="lowerLetter"/>
      <w:start w:val="1"/>
    </w:lvl>
  </w:abstractNum>
  <w:abstractNum w:abstractNumId="383">
    <w:nsid w:val="6E3DEE90"/>
    <w:multiLevelType w:val="hybridMultilevel"/>
    <w:lvl w:ilvl="0">
      <w:lvlJc w:val="left"/>
      <w:lvlText w:val="(%1)"/>
      <w:numFmt w:val="lowerLetter"/>
      <w:start w:val="2"/>
    </w:lvl>
  </w:abstractNum>
  <w:abstractNum w:abstractNumId="384">
    <w:nsid w:val="1A8762F4"/>
    <w:multiLevelType w:val="hybridMultilevel"/>
    <w:lvl w:ilvl="0">
      <w:lvlJc w:val="left"/>
      <w:lvlText w:val="(%1)"/>
      <w:numFmt w:val="lowerLetter"/>
      <w:start w:val="3"/>
    </w:lvl>
  </w:abstractNum>
  <w:abstractNum w:abstractNumId="385">
    <w:nsid w:val="7F41D049"/>
    <w:multiLevelType w:val="hybridMultilevel"/>
    <w:lvl w:ilvl="0">
      <w:lvlJc w:val="left"/>
      <w:lvlText w:val="%1."/>
      <w:numFmt w:val="upperLetter"/>
      <w:start w:val="3"/>
    </w:lvl>
  </w:abstractNum>
  <w:abstractNum w:abstractNumId="386">
    <w:nsid w:val="449F66FE"/>
    <w:multiLevelType w:val="hybridMultilevel"/>
    <w:lvl w:ilvl="0">
      <w:lvlJc w:val="left"/>
      <w:lvlText w:val="%1."/>
      <w:numFmt w:val="upperLetter"/>
      <w:start w:val="4"/>
    </w:lvl>
  </w:abstractNum>
  <w:abstractNum w:abstractNumId="387">
    <w:nsid w:val="557E0515"/>
    <w:multiLevelType w:val="hybridMultilevel"/>
    <w:lvl w:ilvl="0">
      <w:lvlJc w:val="left"/>
      <w:lvlText w:val="%1."/>
      <w:numFmt w:val="upperLetter"/>
      <w:start w:val="1"/>
    </w:lvl>
  </w:abstractNum>
  <w:abstractNum w:abstractNumId="388">
    <w:nsid w:val="3BA0794B"/>
    <w:multiLevelType w:val="hybridMultilevel"/>
    <w:lvl w:ilvl="0">
      <w:lvlJc w:val="left"/>
      <w:lvlText w:val="%1."/>
      <w:numFmt w:val="upperLetter"/>
      <w:start w:val="2"/>
    </w:lvl>
  </w:abstractNum>
  <w:abstractNum w:abstractNumId="389">
    <w:nsid w:val="6A0DCE48"/>
    <w:multiLevelType w:val="hybridMultilevel"/>
    <w:lvl w:ilvl="0">
      <w:lvlJc w:val="left"/>
      <w:lvlText w:val="%1)"/>
      <w:numFmt w:val="lowerRoman"/>
      <w:start w:val="1"/>
    </w:lvl>
  </w:abstractNum>
  <w:abstractNum w:abstractNumId="390">
    <w:nsid w:val="7237AA96"/>
    <w:multiLevelType w:val="hybridMultilevel"/>
    <w:lvl w:ilvl="0">
      <w:lvlJc w:val="left"/>
      <w:lvlText w:val="(%1)"/>
      <w:numFmt w:val="decimal"/>
      <w:start w:val="1"/>
    </w:lvl>
  </w:abstractNum>
  <w:abstractNum w:abstractNumId="391">
    <w:nsid w:val="5B1FBC2D"/>
    <w:multiLevelType w:val="hybridMultilevel"/>
    <w:lvl w:ilvl="0">
      <w:lvlJc w:val="left"/>
      <w:lvlText w:val="%1"/>
      <w:numFmt w:val="lowerRoman"/>
      <w:start w:val="1"/>
    </w:lvl>
    <w:lvl w:ilvl="1">
      <w:lvlJc w:val="left"/>
      <w:lvlText w:val="%2)"/>
      <w:numFmt w:val="lowerRoman"/>
      <w:start w:val="1"/>
    </w:lvl>
  </w:abstractNum>
  <w:abstractNum w:abstractNumId="392">
    <w:nsid w:val="33DFCCE8"/>
    <w:multiLevelType w:val="hybridMultilevel"/>
    <w:lvl w:ilvl="0">
      <w:lvlJc w:val="left"/>
      <w:lvlText w:val="%1)"/>
      <w:numFmt w:val="lowerRoman"/>
      <w:start w:val="1"/>
    </w:lvl>
    <w:lvl w:ilvl="1">
      <w:lvlJc w:val="left"/>
      <w:lvlText w:val="%2"/>
      <w:numFmt w:val="lowerRoman"/>
      <w:start w:val="1"/>
    </w:lvl>
  </w:abstractNum>
  <w:abstractNum w:abstractNumId="393">
    <w:nsid w:val="18C45E15"/>
    <w:multiLevelType w:val="hybridMultilevel"/>
    <w:lvl w:ilvl="0">
      <w:lvlJc w:val="left"/>
      <w:lvlText w:val="(%1)"/>
      <w:numFmt w:val="decimal"/>
      <w:start w:val="3"/>
    </w:lvl>
  </w:abstractNum>
  <w:abstractNum w:abstractNumId="394">
    <w:nsid w:val="6B431F25"/>
    <w:multiLevelType w:val="hybridMultilevel"/>
    <w:lvl w:ilvl="0">
      <w:lvlJc w:val="left"/>
      <w:lvlText w:val="%1)"/>
      <w:numFmt w:val="lowerRoman"/>
      <w:start w:val="2"/>
    </w:lvl>
    <w:lvl w:ilvl="1">
      <w:lvlJc w:val="left"/>
      <w:lvlText w:val="·"/>
      <w:numFmt w:val="bullet"/>
      <w:start w:val="1"/>
    </w:lvl>
  </w:abstractNum>
  <w:abstractNum w:abstractNumId="395">
    <w:nsid w:val="13CD8DCB"/>
    <w:multiLevelType w:val="hybridMultilevel"/>
    <w:lvl w:ilvl="0">
      <w:lvlJc w:val="left"/>
      <w:lvlText w:val="·"/>
      <w:numFmt w:val="bullet"/>
      <w:start w:val="1"/>
    </w:lvl>
  </w:abstractNum>
  <w:abstractNum w:abstractNumId="396">
    <w:nsid w:val="563A1A5C"/>
    <w:multiLevelType w:val="hybridMultilevel"/>
    <w:lvl w:ilvl="0">
      <w:lvlJc w:val="left"/>
      <w:lvlText w:val="·"/>
      <w:numFmt w:val="bullet"/>
      <w:start w:val="1"/>
    </w:lvl>
    <w:lvl w:ilvl="1">
      <w:lvlJc w:val="left"/>
      <w:lvlText w:val="·"/>
      <w:numFmt w:val="bullet"/>
      <w:start w:val="1"/>
    </w:lvl>
  </w:abstractNum>
  <w:abstractNum w:abstractNumId="397">
    <w:nsid w:val="2973F88F"/>
    <w:multiLevelType w:val="hybridMultilevel"/>
    <w:lvl w:ilvl="0">
      <w:lvlJc w:val="left"/>
      <w:lvlText w:val="A"/>
      <w:numFmt w:val="bullet"/>
      <w:start w:val="1"/>
    </w:lvl>
  </w:abstractNum>
  <w:abstractNum w:abstractNumId="398">
    <w:nsid w:val="2C70EDAE"/>
    <w:multiLevelType w:val="hybridMultilevel"/>
    <w:lvl w:ilvl="0">
      <w:lvlJc w:val="left"/>
      <w:lvlText w:val="E"/>
      <w:numFmt w:val="bullet"/>
      <w:start w:val="1"/>
    </w:lvl>
  </w:abstractNum>
  <w:abstractNum w:abstractNumId="399">
    <w:nsid w:val="44296C6D"/>
    <w:multiLevelType w:val="hybridMultilevel"/>
    <w:lvl w:ilvl="0">
      <w:lvlJc w:val="left"/>
      <w:lvlText w:val="G"/>
      <w:numFmt w:val="bullet"/>
      <w:start w:val="1"/>
    </w:lvl>
  </w:abstractNum>
  <w:abstractNum w:abstractNumId="400">
    <w:nsid w:val="3A86D445"/>
    <w:multiLevelType w:val="hybridMultilevel"/>
    <w:lvl w:ilvl="0">
      <w:lvlJc w:val="left"/>
      <w:lvlText w:val="%1."/>
      <w:numFmt w:val="upperLetter"/>
      <w:start w:val="9"/>
    </w:lvl>
    <w:lvl w:ilvl="1">
      <w:lvlJc w:val="left"/>
      <w:lvlText w:val="·"/>
      <w:numFmt w:val="bullet"/>
      <w:start w:val="1"/>
    </w:lvl>
  </w:abstractNum>
  <w:abstractNum w:abstractNumId="401">
    <w:nsid w:val="51F79246"/>
    <w:multiLevelType w:val="hybridMultilevel"/>
    <w:lvl w:ilvl="0">
      <w:lvlJc w:val="left"/>
      <w:lvlText w:val="%1."/>
      <w:numFmt w:val="upperLetter"/>
      <w:start w:val="10"/>
    </w:lvl>
    <w:lvl w:ilvl="1">
      <w:lvlJc w:val="left"/>
      <w:lvlText w:val="·"/>
      <w:numFmt w:val="bullet"/>
      <w:start w:val="1"/>
    </w:lvl>
  </w:abstractNum>
  <w:abstractNum w:abstractNumId="402">
    <w:nsid w:val="5BC9A827"/>
    <w:multiLevelType w:val="hybridMultilevel"/>
    <w:lvl w:ilvl="0">
      <w:lvlJc w:val="left"/>
      <w:lvlText w:val="%1."/>
      <w:numFmt w:val="upperLetter"/>
      <w:start w:val="13"/>
    </w:lvl>
  </w:abstractNum>
  <w:abstractNum w:abstractNumId="403">
    <w:nsid w:val="3AE37D86"/>
    <w:multiLevelType w:val="hybridMultilevel"/>
    <w:lvl w:ilvl="0">
      <w:lvlJc w:val="left"/>
      <w:lvlText w:val="%1."/>
      <w:numFmt w:val="upperLetter"/>
      <w:start w:val="14"/>
    </w:lvl>
  </w:abstractNum>
  <w:abstractNum w:abstractNumId="404">
    <w:nsid w:val="45440FE5"/>
    <w:multiLevelType w:val="hybridMultilevel"/>
    <w:lvl w:ilvl="0">
      <w:lvlJc w:val="left"/>
      <w:lvlText w:val="%1."/>
      <w:numFmt w:val="upperLetter"/>
      <w:start w:val="15"/>
    </w:lvl>
  </w:abstractNum>
  <w:abstractNum w:abstractNumId="405">
    <w:nsid w:val="BF783F"/>
    <w:multiLevelType w:val="hybridMultilevel"/>
    <w:lvl w:ilvl="0">
      <w:lvlJc w:val="left"/>
      <w:lvlText w:val="%1."/>
      <w:numFmt w:val="upperLetter"/>
      <w:start w:val="16"/>
    </w:lvl>
  </w:abstractNum>
  <w:abstractNum w:abstractNumId="406">
    <w:nsid w:val="22643EA9"/>
    <w:multiLevelType w:val="hybridMultilevel"/>
    <w:lvl w:ilvl="0">
      <w:lvlJc w:val="left"/>
      <w:lvlText w:val="%1."/>
      <w:numFmt w:val="upperLetter"/>
      <w:start w:val="17"/>
    </w:lvl>
  </w:abstractNum>
  <w:abstractNum w:abstractNumId="407">
    <w:nsid w:val="1887578D"/>
    <w:multiLevelType w:val="hybridMultilevel"/>
    <w:lvl w:ilvl="0">
      <w:lvlJc w:val="left"/>
      <w:lvlText w:val="%1."/>
      <w:numFmt w:val="upperLetter"/>
      <w:start w:val="18"/>
    </w:lvl>
  </w:abstractNum>
  <w:abstractNum w:abstractNumId="408">
    <w:nsid w:val="58C05B8A"/>
    <w:multiLevelType w:val="hybridMultilevel"/>
    <w:lvl w:ilvl="0">
      <w:lvlJc w:val="left"/>
      <w:lvlText w:val="%1."/>
      <w:numFmt w:val="upperLetter"/>
      <w:start w:val="19"/>
    </w:lvl>
  </w:abstractNum>
  <w:abstractNum w:abstractNumId="409">
    <w:nsid w:val="38D82E71"/>
    <w:multiLevelType w:val="hybridMultilevel"/>
    <w:lvl w:ilvl="0">
      <w:lvlJc w:val="left"/>
      <w:lvlText w:val="%1."/>
      <w:numFmt w:val="upperLetter"/>
      <w:start w:val="20"/>
    </w:lvl>
  </w:abstractNum>
  <w:abstractNum w:abstractNumId="410">
    <w:nsid w:val="1E41098A"/>
    <w:multiLevelType w:val="hybridMultilevel"/>
    <w:lvl w:ilvl="0">
      <w:lvlJc w:val="left"/>
      <w:lvlText w:val="%1."/>
      <w:numFmt w:val="upperLetter"/>
      <w:start w:val="21"/>
    </w:lvl>
  </w:abstractNum>
  <w:abstractNum w:abstractNumId="411">
    <w:nsid w:val="5398582C"/>
    <w:multiLevelType w:val="hybridMultilevel"/>
    <w:lvl w:ilvl="0">
      <w:lvlJc w:val="left"/>
      <w:lvlText w:val="%1."/>
      <w:numFmt w:val="upperLetter"/>
      <w:start w:val="22"/>
    </w:lvl>
  </w:abstractNum>
  <w:abstractNum w:abstractNumId="412">
    <w:nsid w:val="1C0D4475"/>
    <w:multiLevelType w:val="hybridMultilevel"/>
    <w:lvl w:ilvl="0">
      <w:lvlJc w:val="left"/>
      <w:lvlText w:val="%1."/>
      <w:numFmt w:val="upperLetter"/>
      <w:start w:val="23"/>
    </w:lvl>
  </w:abstractNum>
  <w:abstractNum w:abstractNumId="413">
    <w:nsid w:val="2CB6A6A4"/>
    <w:multiLevelType w:val="hybridMultilevel"/>
    <w:lvl w:ilvl="0">
      <w:lvlJc w:val="left"/>
      <w:lvlText w:val="%1."/>
      <w:numFmt w:val="upperLetter"/>
      <w:start w:val="24"/>
    </w:lvl>
  </w:abstractNum>
  <w:abstractNum w:abstractNumId="414">
    <w:nsid w:val="41D646BC"/>
    <w:multiLevelType w:val="hybridMultilevel"/>
    <w:lvl w:ilvl="0">
      <w:lvlJc w:val="left"/>
      <w:lvlText w:val="%1."/>
      <w:numFmt w:val="upperLetter"/>
      <w:start w:val="25"/>
    </w:lvl>
  </w:abstractNum>
  <w:abstractNum w:abstractNumId="415">
    <w:nsid w:val="3694A76A"/>
    <w:multiLevelType w:val="hybridMultilevel"/>
    <w:lvl w:ilvl="0">
      <w:lvlJc w:val="left"/>
      <w:lvlText w:val="%1."/>
      <w:numFmt w:val="upperLetter"/>
      <w:start w:val="26"/>
    </w:lvl>
  </w:abstractNum>
  <w:abstractNum w:abstractNumId="416">
    <w:nsid w:val="2BF876EE"/>
    <w:multiLevelType w:val="hybridMultilevel"/>
    <w:lvl w:ilvl="0">
      <w:lvlJc w:val="left"/>
      <w:lvlText w:val="%1."/>
      <w:numFmt w:val="upperLetter"/>
      <w:start w:val="27"/>
    </w:lvl>
  </w:abstractNum>
  <w:abstractNum w:abstractNumId="417">
    <w:nsid w:val="675ADBA"/>
    <w:multiLevelType w:val="hybridMultilevel"/>
    <w:lvl w:ilvl="0">
      <w:lvlJc w:val="left"/>
      <w:lvlText w:val="%1."/>
      <w:numFmt w:val="upperLetter"/>
      <w:start w:val="28"/>
    </w:lvl>
  </w:abstractNum>
  <w:abstractNum w:abstractNumId="418">
    <w:nsid w:val="C12AC7F"/>
    <w:multiLevelType w:val="hybridMultilevel"/>
    <w:lvl w:ilvl="0">
      <w:lvlJc w:val="left"/>
      <w:lvlText w:val="%1."/>
      <w:numFmt w:val="upperLetter"/>
      <w:start w:val="29"/>
    </w:lvl>
  </w:abstractNum>
  <w:abstractNum w:abstractNumId="419">
    <w:nsid w:val="6798F039"/>
    <w:multiLevelType w:val="hybridMultilevel"/>
    <w:lvl w:ilvl="0">
      <w:lvlJc w:val="left"/>
      <w:lvlText w:val="(%1)"/>
      <w:numFmt w:val="decimal"/>
      <w:start w:val="1"/>
    </w:lvl>
  </w:abstractNum>
  <w:abstractNum w:abstractNumId="420">
    <w:nsid w:val="70837C02"/>
    <w:multiLevelType w:val="hybridMultilevel"/>
    <w:lvl w:ilvl="0">
      <w:lvlJc w:val="left"/>
      <w:lvlText w:val="%1)"/>
      <w:numFmt w:val="decimal"/>
      <w:start w:val="1"/>
    </w:lvl>
  </w:abstractNum>
  <w:abstractNum w:abstractNumId="421">
    <w:nsid w:val="7E4A5715"/>
    <w:multiLevelType w:val="hybridMultilevel"/>
    <w:lvl w:ilvl="0">
      <w:lvlJc w:val="left"/>
      <w:lvlText w:val="%1"/>
      <w:numFmt w:val="decimal"/>
      <w:start w:val="1"/>
    </w:lvl>
    <w:lvl w:ilvl="1">
      <w:lvlJc w:val="left"/>
      <w:lvlText w:val="%2."/>
      <w:numFmt w:val="upperLetter"/>
      <w:start w:val="5"/>
    </w:lvl>
  </w:abstractNum>
  <w:abstractNum w:abstractNumId="422">
    <w:nsid w:val="42B8AC67"/>
    <w:multiLevelType w:val="hybridMultilevel"/>
    <w:lvl w:ilvl="0">
      <w:lvlJc w:val="left"/>
      <w:lvlText w:val="%1)"/>
      <w:numFmt w:val="decimal"/>
      <w:start w:val="2"/>
    </w:lvl>
    <w:lvl w:ilvl="1">
      <w:lvlJc w:val="left"/>
      <w:lvlText w:val="%2."/>
      <w:numFmt w:val="upperLetter"/>
      <w:start w:val="1"/>
    </w:lvl>
  </w:abstractNum>
  <w:abstractNum w:abstractNumId="423">
    <w:nsid w:val="246348EA"/>
    <w:multiLevelType w:val="hybridMultilevel"/>
    <w:lvl w:ilvl="0">
      <w:lvlJc w:val="left"/>
      <w:lvlText w:val="%1)"/>
      <w:numFmt w:val="decimal"/>
      <w:start w:val="2"/>
    </w:lvl>
    <w:lvl w:ilvl="1">
      <w:lvlJc w:val="left"/>
      <w:lvlText w:val="·"/>
      <w:numFmt w:val="bullet"/>
      <w:start w:val="1"/>
    </w:lvl>
  </w:abstractNum>
  <w:abstractNum w:abstractNumId="424">
    <w:nsid w:val="170EB52B"/>
    <w:multiLevelType w:val="hybridMultilevel"/>
    <w:lvl w:ilvl="0">
      <w:lvlJc w:val="left"/>
      <w:lvlText w:val="%1."/>
      <w:numFmt w:val="upperLetter"/>
      <w:start w:val="4"/>
    </w:lvl>
  </w:abstractNum>
  <w:abstractNum w:abstractNumId="425">
    <w:nsid w:val="2DFBCB8C"/>
    <w:multiLevelType w:val="hybridMultilevel"/>
    <w:lvl w:ilvl="0">
      <w:lvlJc w:val="left"/>
      <w:lvlText w:val="%1."/>
      <w:numFmt w:val="upperLetter"/>
      <w:start w:val="1"/>
    </w:lvl>
  </w:abstractNum>
  <w:abstractNum w:abstractNumId="426">
    <w:nsid w:val="3830D6B6"/>
    <w:multiLevelType w:val="hybridMultilevel"/>
    <w:lvl w:ilvl="0">
      <w:lvlJc w:val="left"/>
      <w:lvlText w:val="(%1)"/>
      <w:numFmt w:val="lowerRoman"/>
      <w:start w:val="2"/>
    </w:lvl>
  </w:abstractNum>
  <w:abstractNum w:abstractNumId="427">
    <w:nsid w:val="6D48CF87"/>
    <w:multiLevelType w:val="hybridMultilevel"/>
    <w:lvl w:ilvl="0">
      <w:lvlJc w:val="left"/>
      <w:lvlText w:val="(%1)"/>
      <w:numFmt w:val="decimal"/>
      <w:start w:val="1"/>
    </w:lvl>
  </w:abstractNum>
  <w:abstractNum w:abstractNumId="428">
    <w:nsid w:val="576FC41B"/>
    <w:multiLevelType w:val="hybridMultilevel"/>
    <w:lvl w:ilvl="0">
      <w:lvlJc w:val="left"/>
      <w:lvlText w:val="%1"/>
      <w:numFmt w:val="lowerRoman"/>
      <w:start w:val="1"/>
    </w:lvl>
    <w:lvl w:ilvl="1">
      <w:lvlJc w:val="left"/>
      <w:lvlText w:val="%2."/>
      <w:numFmt w:val="upperLetter"/>
      <w:start w:val="2"/>
    </w:lvl>
  </w:abstractNum>
  <w:abstractNum w:abstractNumId="429">
    <w:nsid w:val="64A1C464"/>
    <w:multiLevelType w:val="hybridMultilevel"/>
    <w:lvl w:ilvl="0">
      <w:lvlJc w:val="left"/>
      <w:lvlText w:val="(%1)"/>
      <w:numFmt w:val="lowerRoman"/>
      <w:start w:val="1"/>
    </w:lvl>
    <w:lvl w:ilvl="1">
      <w:lvlJc w:val="left"/>
      <w:lvlText w:val="%2"/>
      <w:numFmt w:val="upperLetter"/>
      <w:start w:val="1"/>
    </w:lvl>
  </w:abstractNum>
  <w:abstractNum w:abstractNumId="430">
    <w:nsid w:val="31723BF5"/>
    <w:multiLevelType w:val="hybridMultilevel"/>
    <w:lvl w:ilvl="0">
      <w:lvlJc w:val="left"/>
      <w:lvlText w:val="(%1)"/>
      <w:numFmt w:val="lowerRoman"/>
      <w:start w:val="1"/>
    </w:lvl>
  </w:abstractNum>
  <w:abstractNum w:abstractNumId="431">
    <w:nsid w:val="11F69861"/>
    <w:multiLevelType w:val="hybridMultilevel"/>
    <w:lvl w:ilvl="0">
      <w:lvlJc w:val="left"/>
      <w:lvlText w:val="(%1)"/>
      <w:numFmt w:val="lowerRoman"/>
      <w:start w:val="2"/>
    </w:lvl>
  </w:abstractNum>
  <w:abstractNum w:abstractNumId="432">
    <w:nsid w:val="369956AB"/>
    <w:multiLevelType w:val="hybridMultilevel"/>
    <w:lvl w:ilvl="0">
      <w:lvlJc w:val="left"/>
      <w:lvlText w:val="(%1)"/>
      <w:numFmt w:val="lowerLetter"/>
      <w:start w:val="2"/>
    </w:lvl>
  </w:abstractNum>
  <w:abstractNum w:abstractNumId="433">
    <w:nsid w:val="D3BE41C"/>
    <w:multiLevelType w:val="hybridMultilevel"/>
    <w:lvl w:ilvl="0">
      <w:lvlJc w:val="left"/>
      <w:lvlText w:val="(%1)"/>
      <w:numFmt w:val="decimal"/>
      <w:start w:val="9"/>
    </w:lvl>
  </w:abstractNum>
  <w:abstractNum w:abstractNumId="434">
    <w:nsid w:val="4CDA15E7"/>
    <w:multiLevelType w:val="hybridMultilevel"/>
    <w:lvl w:ilvl="0">
      <w:lvlJc w:val="left"/>
      <w:lvlText w:val="(%1)"/>
      <w:numFmt w:val="decimal"/>
      <w:start w:val="3"/>
    </w:lvl>
  </w:abstractNum>
  <w:abstractNum w:abstractNumId="435">
    <w:nsid w:val="7BDD6690"/>
    <w:multiLevelType w:val="hybridMultilevel"/>
    <w:lvl w:ilvl="0">
      <w:lvlJc w:val="left"/>
      <w:lvlText w:val="(%1)"/>
      <w:numFmt w:val="decimal"/>
      <w:start w:val="1"/>
    </w:lvl>
  </w:abstractNum>
  <w:abstractNum w:abstractNumId="436">
    <w:nsid w:val="DFB5C5B"/>
    <w:multiLevelType w:val="hybridMultilevel"/>
    <w:lvl w:ilvl="0">
      <w:lvlJc w:val="left"/>
      <w:lvlText w:val="%1."/>
      <w:numFmt w:val="upperLetter"/>
      <w:start w:val="3"/>
    </w:lvl>
  </w:abstractNum>
  <w:abstractNum w:abstractNumId="437">
    <w:nsid w:val="6F3E5490"/>
    <w:multiLevelType w:val="hybridMultilevel"/>
    <w:lvl w:ilvl="0">
      <w:lvlJc w:val="left"/>
      <w:lvlText w:val="(%1)"/>
      <w:numFmt w:val="lowerLetter"/>
      <w:start w:val="2"/>
    </w:lvl>
  </w:abstractNum>
  <w:abstractNum w:abstractNumId="438">
    <w:nsid w:val="1464BE1E"/>
    <w:multiLevelType w:val="hybridMultilevel"/>
    <w:lvl w:ilvl="0">
      <w:lvlJc w:val="left"/>
      <w:lvlText w:val="(%1)"/>
      <w:numFmt w:val="lowerLetter"/>
      <w:start w:val="2"/>
    </w:lvl>
  </w:abstractNum>
  <w:abstractNum w:abstractNumId="439">
    <w:nsid w:val="66BBB7E5"/>
    <w:multiLevelType w:val="hybridMultilevel"/>
    <w:lvl w:ilvl="0">
      <w:lvlJc w:val="left"/>
      <w:lvlText w:val="(%1)"/>
      <w:numFmt w:val="decimal"/>
      <w:start w:val="2"/>
    </w:lvl>
  </w:abstractNum>
  <w:abstractNum w:abstractNumId="440">
    <w:nsid w:val="28168302"/>
    <w:multiLevelType w:val="hybridMultilevel"/>
    <w:lvl w:ilvl="0">
      <w:lvlJc w:val="left"/>
      <w:lvlText w:val="(%1)"/>
      <w:numFmt w:val="lowerLetter"/>
      <w:start w:val="13"/>
    </w:lvl>
  </w:abstractNum>
  <w:abstractNum w:abstractNumId="441">
    <w:nsid w:val="32A5C7A8"/>
    <w:multiLevelType w:val="hybridMultilevel"/>
    <w:lvl w:ilvl="0">
      <w:lvlJc w:val="left"/>
      <w:lvlText w:val="(%1)"/>
      <w:numFmt w:val="lowerLetter"/>
      <w:start w:val="13"/>
    </w:lvl>
  </w:abstractNum>
  <w:abstractNum w:abstractNumId="442">
    <w:nsid w:val="3A541011"/>
    <w:multiLevelType w:val="hybridMultilevel"/>
    <w:lvl w:ilvl="0">
      <w:lvlJc w:val="left"/>
      <w:lvlText w:val="%1."/>
      <w:numFmt w:val="decimal"/>
      <w:start w:val="1"/>
    </w:lvl>
  </w:abstractNum>
  <w:abstractNum w:abstractNumId="443">
    <w:nsid w:val="4423C77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4">
    <w:nsid w:val="5F5C6E4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45">
    <w:nsid w:val="7C2A56CD"/>
    <w:multiLevelType w:val="hybridMultilevel"/>
    <w:lvl w:ilvl="0">
      <w:lvlJc w:val="left"/>
      <w:lvlText w:val="%1."/>
      <w:numFmt w:val="decimal"/>
      <w:start w:val="2"/>
    </w:lvl>
    <w:lvl w:ilvl="1">
      <w:lvlJc w:val="left"/>
      <w:lvlText w:val="(%2)"/>
      <w:numFmt w:val="lowerLetter"/>
      <w:start w:val="1"/>
    </w:lvl>
  </w:abstractNum>
  <w:abstractNum w:abstractNumId="446">
    <w:nsid w:val="7AB86EE1"/>
    <w:multiLevelType w:val="hybridMultilevel"/>
    <w:lvl w:ilvl="0">
      <w:lvlJc w:val="left"/>
      <w:lvlText w:val="%1"/>
      <w:numFmt w:val="decimal"/>
      <w:start w:val="1"/>
    </w:lvl>
    <w:lvl w:ilvl="1">
      <w:lvlJc w:val="left"/>
      <w:lvlText w:val="(%2)"/>
      <w:numFmt w:val="lowerLetter"/>
      <w:start w:val="3"/>
    </w:lvl>
  </w:abstractNum>
  <w:abstractNum w:abstractNumId="447">
    <w:nsid w:val="B54E53B"/>
    <w:multiLevelType w:val="hybridMultilevel"/>
    <w:lvl w:ilvl="0">
      <w:lvlJc w:val="left"/>
      <w:lvlText w:val="%1."/>
      <w:numFmt w:val="decimal"/>
      <w:start w:val="4"/>
    </w:lvl>
    <w:lvl w:ilvl="1">
      <w:lvlJc w:val="left"/>
      <w:lvlText w:val="(%2)"/>
      <w:numFmt w:val="lowerLetter"/>
      <w:start w:val="1"/>
    </w:lvl>
  </w:abstractNum>
  <w:abstractNum w:abstractNumId="448">
    <w:nsid w:val="2A00487"/>
    <w:multiLevelType w:val="hybridMultilevel"/>
    <w:lvl w:ilvl="0">
      <w:lvlJc w:val="left"/>
      <w:lvlText w:val="%1."/>
      <w:numFmt w:val="decimal"/>
      <w:start w:val="5"/>
    </w:lvl>
    <w:lvl w:ilvl="1">
      <w:lvlJc w:val="left"/>
      <w:lvlText w:val="(%2)"/>
      <w:numFmt w:val="lowerLetter"/>
      <w:start w:val="1"/>
    </w:lvl>
  </w:abstractNum>
  <w:abstractNum w:abstractNumId="449">
    <w:nsid w:val="6CB1B60"/>
    <w:multiLevelType w:val="hybridMultilevel"/>
    <w:lvl w:ilvl="0">
      <w:lvlJc w:val="left"/>
      <w:lvlText w:val="(%1)"/>
      <w:numFmt w:val="lowerLetter"/>
      <w:start w:val="2"/>
    </w:lvl>
    <w:lvl w:ilvl="1">
      <w:lvlJc w:val="left"/>
      <w:lvlText w:val="(%2)"/>
      <w:numFmt w:val="lowerRoman"/>
      <w:start w:val="1"/>
    </w:lvl>
  </w:abstractNum>
  <w:abstractNum w:abstractNumId="450">
    <w:nsid w:val="72EDD574"/>
    <w:multiLevelType w:val="hybridMultilevel"/>
    <w:lvl w:ilvl="0">
      <w:lvlJc w:val="left"/>
      <w:lvlText w:val="%1"/>
      <w:numFmt w:val="decimal"/>
      <w:start w:val="1"/>
    </w:lvl>
    <w:lvl w:ilvl="1">
      <w:lvlJc w:val="left"/>
      <w:lvlText w:val="(%2)"/>
      <w:numFmt w:val="lowerLetter"/>
      <w:start w:val="4"/>
    </w:lvl>
  </w:abstractNum>
  <w:abstractNum w:abstractNumId="451">
    <w:nsid w:val="7323808A"/>
    <w:multiLevelType w:val="hybridMultilevel"/>
    <w:lvl w:ilvl="0">
      <w:lvlJc w:val="left"/>
      <w:lvlText w:val="%1."/>
      <w:numFmt w:val="decimal"/>
      <w:start w:val="8"/>
    </w:lvl>
    <w:lvl w:ilvl="1">
      <w:lvlJc w:val="left"/>
      <w:lvlText w:val="(%2)"/>
      <w:numFmt w:val="lowerLetter"/>
      <w:start w:val="1"/>
    </w:lvl>
  </w:abstractNum>
  <w:abstractNum w:abstractNumId="452">
    <w:nsid w:val="5157276"/>
    <w:multiLevelType w:val="hybridMultilevel"/>
    <w:lvl w:ilvl="0">
      <w:lvlJc w:val="left"/>
      <w:lvlText w:val="%1"/>
      <w:numFmt w:val="decimal"/>
      <w:start w:val="1"/>
    </w:lvl>
    <w:lvl w:ilvl="1">
      <w:lvlJc w:val="left"/>
      <w:lvlText w:val="(%2)"/>
      <w:numFmt w:val="lowerLetter"/>
      <w:start w:val="3"/>
    </w:lvl>
  </w:abstractNum>
  <w:abstractNum w:abstractNumId="453">
    <w:nsid w:val="35A681DB"/>
    <w:multiLevelType w:val="hybridMultilevel"/>
    <w:lvl w:ilvl="0">
      <w:lvlJc w:val="left"/>
      <w:lvlText w:val="%1."/>
      <w:numFmt w:val="decimal"/>
      <w:start w:val="10"/>
    </w:lvl>
    <w:lvl w:ilvl="1">
      <w:lvlJc w:val="left"/>
      <w:lvlText w:val="(%2)"/>
      <w:numFmt w:val="lowerLetter"/>
      <w:start w:val="1"/>
    </w:lvl>
  </w:abstractNum>
  <w:abstractNum w:abstractNumId="454">
    <w:nsid w:val="1786C9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55">
    <w:nsid w:val="1C2427A1"/>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56">
    <w:nsid w:val="63A24D6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57">
    <w:nsid w:val="4FB7A02A"/>
    <w:multiLevelType w:val="hybridMultilevel"/>
    <w:lvl w:ilvl="0">
      <w:lvlJc w:val="left"/>
      <w:lvlText w:val="(%1)"/>
      <w:numFmt w:val="lowerLetter"/>
      <w:start w:val="2"/>
    </w:lvl>
  </w:abstractNum>
  <w:abstractNum w:abstractNumId="458">
    <w:nsid w:val="96CF728"/>
    <w:multiLevelType w:val="hybridMultilevel"/>
    <w:lvl w:ilvl="0">
      <w:lvlJc w:val="left"/>
      <w:lvlText w:val="%1."/>
      <w:numFmt w:val="upperLetter"/>
      <w:start w:val="5"/>
    </w:lvl>
  </w:abstractNum>
  <w:abstractNum w:abstractNumId="459">
    <w:nsid w:val="3B121183"/>
    <w:multiLevelType w:val="hybridMultilevel"/>
    <w:lvl w:ilvl="0">
      <w:lvlJc w:val="left"/>
      <w:lvlText w:val="%1."/>
      <w:numFmt w:val="upperLetter"/>
      <w:start w:val="6"/>
    </w:lvl>
  </w:abstractNum>
  <w:abstractNum w:abstractNumId="460">
    <w:nsid w:val="3459648F"/>
    <w:multiLevelType w:val="hybridMultilevel"/>
    <w:lvl w:ilvl="0">
      <w:lvlJc w:val="left"/>
      <w:lvlText w:val="%1."/>
      <w:numFmt w:val="upperLetter"/>
      <w:start w:val="2"/>
    </w:lvl>
  </w:abstractNum>
  <w:abstractNum w:abstractNumId="461">
    <w:nsid w:val="3ADF331D"/>
    <w:multiLevelType w:val="hybridMultilevel"/>
    <w:lvl w:ilvl="0">
      <w:lvlJc w:val="left"/>
      <w:lvlText w:val="%1."/>
      <w:numFmt w:val="upperLetter"/>
      <w:start w:val="3"/>
    </w:lvl>
  </w:abstractNum>
  <w:abstractNum w:abstractNumId="462">
    <w:nsid w:val="4D08A9E4"/>
    <w:multiLevelType w:val="hybridMultilevel"/>
    <w:lvl w:ilvl="0">
      <w:lvlJc w:val="left"/>
      <w:lvlText w:val="%1."/>
      <w:numFmt w:val="upperLetter"/>
      <w:start w:val="4"/>
    </w:lvl>
  </w:abstractNum>
  <w:abstractNum w:abstractNumId="463">
    <w:nsid w:val="6AF2BB3A"/>
    <w:multiLevelType w:val="hybridMultilevel"/>
    <w:lvl w:ilvl="0">
      <w:lvlJc w:val="left"/>
      <w:lvlText w:val="%1."/>
      <w:numFmt w:val="upperLetter"/>
      <w:start w:val="5"/>
    </w:lvl>
  </w:abstractNum>
  <w:abstractNum w:abstractNumId="464">
    <w:nsid w:val="481B1739"/>
    <w:multiLevelType w:val="hybridMultilevel"/>
    <w:lvl w:ilvl="0">
      <w:lvlJc w:val="left"/>
      <w:lvlText w:val="%1."/>
      <w:numFmt w:val="upperLetter"/>
      <w:start w:val="8"/>
    </w:lvl>
  </w:abstractNum>
  <w:abstractNum w:abstractNumId="465">
    <w:nsid w:val="19E2BFCC"/>
    <w:multiLevelType w:val="hybridMultilevel"/>
    <w:lvl w:ilvl="0">
      <w:lvlJc w:val="left"/>
      <w:lvlText w:val="%1."/>
      <w:numFmt w:val="upperLetter"/>
      <w:start w:val="9"/>
    </w:lvl>
  </w:abstractNum>
  <w:abstractNum w:abstractNumId="466">
    <w:nsid w:val="66D021CA"/>
    <w:multiLevelType w:val="hybridMultilevel"/>
    <w:lvl w:ilvl="0">
      <w:lvlJc w:val="left"/>
      <w:lvlText w:val="%1."/>
      <w:numFmt w:val="upperLetter"/>
      <w:start w:val="10"/>
    </w:lvl>
  </w:abstractNum>
  <w:abstractNum w:abstractNumId="467">
    <w:nsid w:val="56167394"/>
    <w:multiLevelType w:val="hybridMultilevel"/>
    <w:lvl w:ilvl="0">
      <w:lvlJc w:val="left"/>
      <w:lvlText w:val="%1."/>
      <w:numFmt w:val="upperLetter"/>
      <w:start w:val="11"/>
    </w:lvl>
  </w:abstractNum>
  <w:abstractNum w:abstractNumId="468">
    <w:nsid w:val="921145C"/>
    <w:multiLevelType w:val="hybridMultilevel"/>
    <w:lvl w:ilvl="0">
      <w:lvlJc w:val="left"/>
      <w:lvlText w:val="%1."/>
      <w:numFmt w:val="upperLetter"/>
      <w:start w:val="12"/>
    </w:lvl>
  </w:abstractNum>
  <w:abstractNum w:abstractNumId="469">
    <w:nsid w:val="7B34DFE8"/>
    <w:multiLevelType w:val="hybridMultilevel"/>
    <w:lvl w:ilvl="0">
      <w:lvlJc w:val="left"/>
      <w:lvlText w:val="%1."/>
      <w:numFmt w:val="upperLetter"/>
      <w:start w:val="13"/>
    </w:lvl>
  </w:abstractNum>
  <w:abstractNum w:abstractNumId="470">
    <w:nsid w:val="3CD22B79"/>
    <w:multiLevelType w:val="hybridMultilevel"/>
    <w:lvl w:ilvl="0">
      <w:lvlJc w:val="left"/>
      <w:lvlText w:val="%1."/>
      <w:numFmt w:val="upperLetter"/>
      <w:start w:val="14"/>
    </w:lvl>
  </w:abstractNum>
  <w:abstractNum w:abstractNumId="471">
    <w:nsid w:val="3137975E"/>
    <w:multiLevelType w:val="hybridMultilevel"/>
    <w:lvl w:ilvl="0">
      <w:lvlJc w:val="left"/>
      <w:lvlText w:val="(%1)"/>
      <w:numFmt w:val="decimal"/>
      <w:start w:val="6"/>
    </w:lvl>
  </w:abstractNum>
  <w:abstractNum w:abstractNumId="472">
    <w:nsid w:val="2DDAA791"/>
    <w:multiLevelType w:val="hybridMultilevel"/>
    <w:lvl w:ilvl="0">
      <w:lvlJc w:val="left"/>
      <w:lvlText w:val="%1."/>
      <w:numFmt w:val="upperLetter"/>
      <w:start w:val="15"/>
    </w:lvl>
  </w:abstractNum>
  <w:abstractNum w:abstractNumId="473">
    <w:nsid w:val="77263B8A"/>
    <w:multiLevelType w:val="hybridMultilevel"/>
    <w:lvl w:ilvl="0">
      <w:lvlJc w:val="left"/>
      <w:lvlText w:val="%1."/>
      <w:numFmt w:val="upperLetter"/>
      <w:start w:val="16"/>
    </w:lvl>
  </w:abstractNum>
  <w:abstractNum w:abstractNumId="474">
    <w:nsid w:val="755B5ED6"/>
    <w:multiLevelType w:val="hybridMultilevel"/>
    <w:lvl w:ilvl="0">
      <w:lvlJc w:val="left"/>
      <w:lvlText w:val="%1."/>
      <w:numFmt w:val="upperLetter"/>
      <w:start w:val="17"/>
    </w:lvl>
  </w:abstractNum>
  <w:abstractNum w:abstractNumId="475">
    <w:nsid w:val="D3715DE"/>
    <w:multiLevelType w:val="hybridMultilevel"/>
    <w:lvl w:ilvl="0">
      <w:lvlJc w:val="left"/>
      <w:lvlText w:val="%1."/>
      <w:numFmt w:val="upperLetter"/>
      <w:start w:val="19"/>
    </w:lvl>
  </w:abstractNum>
  <w:abstractNum w:abstractNumId="476">
    <w:nsid w:val="73509257"/>
    <w:multiLevelType w:val="hybridMultilevel"/>
    <w:lvl w:ilvl="0">
      <w:lvlJc w:val="left"/>
      <w:lvlText w:val="%1."/>
      <w:numFmt w:val="upperLetter"/>
      <w:start w:val="20"/>
    </w:lvl>
  </w:abstractNum>
  <w:abstractNum w:abstractNumId="477">
    <w:nsid w:val="7013CDB7"/>
    <w:multiLevelType w:val="hybridMultilevel"/>
    <w:lvl w:ilvl="0">
      <w:lvlJc w:val="left"/>
      <w:lvlText w:val="%1."/>
      <w:numFmt w:val="upperLetter"/>
      <w:start w:val="21"/>
    </w:lvl>
  </w:abstractNum>
  <w:abstractNum w:abstractNumId="478">
    <w:nsid w:val="188BFB19"/>
    <w:multiLevelType w:val="hybridMultilevel"/>
    <w:lvl w:ilvl="0">
      <w:lvlJc w:val="left"/>
      <w:lvlText w:val="(%1)"/>
      <w:numFmt w:val="lowerRoman"/>
      <w:start w:val="1"/>
    </w:lvl>
  </w:abstractNum>
  <w:abstractNum w:abstractNumId="479">
    <w:nsid w:val="75F096DF"/>
    <w:multiLevelType w:val="hybridMultilevel"/>
    <w:lvl w:ilvl="0">
      <w:lvlJc w:val="left"/>
      <w:lvlText w:val="(%1)"/>
      <w:numFmt w:val="decimal"/>
      <w:start w:val="21"/>
    </w:lvl>
  </w:abstractNum>
  <w:abstractNum w:abstractNumId="480">
    <w:nsid w:val="76DEE918"/>
    <w:multiLevelType w:val="hybridMultilevel"/>
    <w:lvl w:ilvl="0">
      <w:lvlJc w:val="left"/>
      <w:lvlText w:val="%1."/>
      <w:numFmt w:val="upperLetter"/>
      <w:start w:val="4"/>
    </w:lvl>
  </w:abstractNum>
  <w:abstractNum w:abstractNumId="481">
    <w:nsid w:val="B79D08D"/>
    <w:multiLevelType w:val="hybridMultilevel"/>
    <w:lvl w:ilvl="0">
      <w:lvlJc w:val="left"/>
      <w:lvlText w:val="%1."/>
      <w:numFmt w:val="decimal"/>
      <w:start w:val="1"/>
    </w:lvl>
  </w:abstractNum>
  <w:abstractNum w:abstractNumId="482">
    <w:nsid w:val="69141769"/>
    <w:multiLevelType w:val="hybridMultilevel"/>
    <w:lvl w:ilvl="0">
      <w:lvlJc w:val="left"/>
      <w:lvlText w:val="%1."/>
      <w:numFmt w:val="decimal"/>
      <w:start w:val="2"/>
    </w:lvl>
  </w:abstractNum>
  <w:abstractNum w:abstractNumId="483">
    <w:nsid w:val="7BF45B8E"/>
    <w:multiLevelType w:val="hybridMultilevel"/>
    <w:lvl w:ilvl="0">
      <w:lvlJc w:val="left"/>
      <w:lvlText w:val="%1."/>
      <w:numFmt w:val="decimal"/>
      <w:start w:val="3"/>
    </w:lvl>
  </w:abstractNum>
  <w:abstractNum w:abstractNumId="484">
    <w:nsid w:val="41205269"/>
    <w:multiLevelType w:val="hybridMultilevel"/>
    <w:lvl w:ilvl="0">
      <w:lvlJc w:val="left"/>
      <w:lvlText w:val="%1."/>
      <w:numFmt w:val="decimal"/>
      <w:start w:val="4"/>
    </w:lvl>
    <w:lvl w:ilvl="1">
      <w:lvlJc w:val="left"/>
      <w:lvlText w:val="(%2)"/>
      <w:numFmt w:val="lowerLetter"/>
      <w:start w:val="1"/>
    </w:lvl>
  </w:abstractNum>
  <w:abstractNum w:abstractNumId="485">
    <w:nsid w:val="9AE0DD"/>
    <w:multiLevelType w:val="hybridMultilevel"/>
    <w:lvl w:ilvl="0">
      <w:lvlJc w:val="left"/>
      <w:lvlText w:val="(%1)"/>
      <w:numFmt w:val="lowerLetter"/>
      <w:start w:val="2"/>
    </w:lvl>
  </w:abstractNum>
  <w:abstractNum w:abstractNumId="486">
    <w:nsid w:val="1818832F"/>
    <w:multiLevelType w:val="hybridMultilevel"/>
    <w:lvl w:ilvl="0">
      <w:lvlJc w:val="left"/>
      <w:lvlText w:val="(%1)"/>
      <w:numFmt w:val="lowerLetter"/>
      <w:start w:val="3"/>
    </w:lvl>
  </w:abstractNum>
  <w:abstractNum w:abstractNumId="487">
    <w:nsid w:val="24C29FD1"/>
    <w:multiLevelType w:val="hybridMultilevel"/>
    <w:lvl w:ilvl="0">
      <w:lvlJc w:val="left"/>
      <w:lvlText w:val="%1."/>
      <w:numFmt w:val="decimal"/>
      <w:start w:val="1"/>
    </w:lvl>
  </w:abstractNum>
  <w:abstractNum w:abstractNumId="488">
    <w:nsid w:val="50528108"/>
    <w:multiLevelType w:val="hybridMultilevel"/>
    <w:lvl w:ilvl="0">
      <w:lvlJc w:val="left"/>
      <w:lvlText w:val="%1."/>
      <w:numFmt w:val="decimal"/>
      <w:start w:val="2"/>
    </w:lvl>
  </w:abstractNum>
  <w:abstractNum w:abstractNumId="489">
    <w:nsid w:val="21857A57"/>
    <w:multiLevelType w:val="hybridMultilevel"/>
    <w:lvl w:ilvl="0">
      <w:lvlJc w:val="left"/>
      <w:lvlText w:val="%1."/>
      <w:numFmt w:val="decimal"/>
      <w:start w:val="3"/>
    </w:lvl>
  </w:abstractNum>
  <w:abstractNum w:abstractNumId="490">
    <w:nsid w:val="5FD4B154"/>
    <w:multiLevelType w:val="hybridMultilevel"/>
    <w:lvl w:ilvl="0">
      <w:lvlJc w:val="left"/>
      <w:lvlText w:val="%1."/>
      <w:numFmt w:val="decimal"/>
      <w:start w:val="4"/>
    </w:lvl>
  </w:abstractNum>
  <w:abstractNum w:abstractNumId="491">
    <w:nsid w:val="4ABE597"/>
    <w:multiLevelType w:val="hybridMultilevel"/>
    <w:lvl w:ilvl="0">
      <w:lvlJc w:val="left"/>
      <w:lvlText w:val="%1."/>
      <w:numFmt w:val="decimal"/>
      <w:start w:val="1"/>
    </w:lvl>
  </w:abstractNum>
  <w:abstractNum w:abstractNumId="492">
    <w:nsid w:val="5C64AD75"/>
    <w:multiLevelType w:val="hybridMultilevel"/>
    <w:lvl w:ilvl="0">
      <w:lvlJc w:val="left"/>
      <w:lvlText w:val="%1."/>
      <w:numFmt w:val="decimal"/>
      <w:start w:val="1"/>
    </w:lvl>
  </w:abstractNum>
  <w:abstractNum w:abstractNumId="493">
    <w:nsid w:val="2CDD5B39"/>
    <w:multiLevelType w:val="hybridMultilevel"/>
    <w:lvl w:ilvl="0">
      <w:lvlJc w:val="left"/>
      <w:lvlText w:val="%1."/>
      <w:numFmt w:val="decimal"/>
      <w:start w:val="2"/>
    </w:lvl>
  </w:abstractNum>
  <w:abstractNum w:abstractNumId="494">
    <w:nsid w:val="6F9EA0D1"/>
    <w:multiLevelType w:val="hybridMultilevel"/>
    <w:lvl w:ilvl="0">
      <w:lvlJc w:val="left"/>
      <w:lvlText w:val="%1."/>
      <w:numFmt w:val="decimal"/>
      <w:start w:val="10"/>
    </w:lvl>
  </w:abstractNum>
  <w:abstractNum w:abstractNumId="495">
    <w:nsid w:val="247FC4AE"/>
    <w:multiLevelType w:val="hybridMultilevel"/>
    <w:lvl w:ilvl="0">
      <w:lvlJc w:val="left"/>
      <w:lvlText w:val="%1."/>
      <w:numFmt w:val="decimal"/>
      <w:start w:val="1"/>
    </w:lvl>
  </w:abstractNum>
  <w:abstractNum w:abstractNumId="496">
    <w:nsid w:val="46C01B05"/>
    <w:multiLevelType w:val="hybridMultilevel"/>
    <w:lvl w:ilvl="0">
      <w:lvlJc w:val="left"/>
      <w:lvlText w:val="%1."/>
      <w:numFmt w:val="decimal"/>
      <w:start w:val="2"/>
    </w:lvl>
  </w:abstractNum>
  <w:abstractNum w:abstractNumId="497">
    <w:nsid w:val="566EC29B"/>
    <w:multiLevelType w:val="hybridMultilevel"/>
    <w:lvl w:ilvl="0">
      <w:lvlJc w:val="left"/>
      <w:lvlText w:val="%1."/>
      <w:numFmt w:val="upperLetter"/>
      <w:start w:val="3"/>
    </w:lvl>
  </w:abstractNum>
  <w:abstractNum w:abstractNumId="498">
    <w:nsid w:val="7A963843"/>
    <w:multiLevelType w:val="hybridMultilevel"/>
    <w:lvl w:ilvl="0">
      <w:lvlJc w:val="left"/>
      <w:lvlText w:val="%1."/>
      <w:numFmt w:val="upperLetter"/>
      <w:start w:val="4"/>
    </w:lvl>
  </w:abstractNum>
  <w:abstractNum w:abstractNumId="499">
    <w:nsid w:val="4FE12F61"/>
    <w:multiLevelType w:val="hybridMultilevel"/>
    <w:lvl w:ilvl="0">
      <w:lvlJc w:val="left"/>
      <w:lvlText w:val="%1."/>
      <w:numFmt w:val="upperLetter"/>
      <w:start w:val="5"/>
    </w:lvl>
  </w:abstractNum>
  <w:abstractNum w:abstractNumId="500">
    <w:nsid w:val="51A3A284"/>
    <w:multiLevelType w:val="hybridMultilevel"/>
    <w:lvl w:ilvl="0">
      <w:lvlJc w:val="left"/>
      <w:lvlText w:val="%1."/>
      <w:numFmt w:val="upperLetter"/>
      <w:start w:val="6"/>
    </w:lvl>
  </w:abstractNum>
  <w:abstractNum w:abstractNumId="501">
    <w:nsid w:val="376863BC"/>
    <w:multiLevelType w:val="hybridMultilevel"/>
    <w:lvl w:ilvl="0">
      <w:lvlJc w:val="left"/>
      <w:lvlText w:val="%1."/>
      <w:numFmt w:val="decimal"/>
      <w:start w:val="1"/>
    </w:lvl>
  </w:abstractNum>
  <w:abstractNum w:abstractNumId="502">
    <w:nsid w:val="118C6C0"/>
    <w:multiLevelType w:val="hybridMultilevel"/>
    <w:lvl w:ilvl="0">
      <w:lvlJc w:val="left"/>
      <w:lvlText w:val="%1."/>
      <w:numFmt w:val="decimal"/>
      <w:start w:val="2"/>
    </w:lvl>
  </w:abstractNum>
  <w:abstractNum w:abstractNumId="503">
    <w:nsid w:val="7F7E4A15"/>
    <w:multiLevelType w:val="hybridMultilevel"/>
    <w:lvl w:ilvl="0">
      <w:lvlJc w:val="left"/>
      <w:lvlText w:val="%1."/>
      <w:numFmt w:val="upperLetter"/>
      <w:start w:val="7"/>
    </w:lvl>
  </w:abstractNum>
  <w:abstractNum w:abstractNumId="504">
    <w:nsid w:val="2E8E9F47"/>
    <w:multiLevelType w:val="hybridMultilevel"/>
    <w:lvl w:ilvl="0">
      <w:lvlJc w:val="left"/>
      <w:lvlText w:val="(%1)"/>
      <w:numFmt w:val="upperLetter"/>
      <w:start w:val="22"/>
    </w:lvl>
  </w:abstractNum>
  <w:abstractNum w:abstractNumId="505">
    <w:nsid w:val="76742596"/>
    <w:multiLevelType w:val="hybridMultilevel"/>
    <w:lvl w:ilvl="0">
      <w:lvlJc w:val="left"/>
      <w:lvlText w:val="%1."/>
      <w:numFmt w:val="upperLetter"/>
      <w:start w:val="8"/>
    </w:lvl>
  </w:abstractNum>
  <w:abstractNum w:abstractNumId="506">
    <w:nsid w:val="CB55FF3"/>
    <w:multiLevelType w:val="hybridMultilevel"/>
    <w:lvl w:ilvl="0">
      <w:lvlJc w:val="left"/>
      <w:lvlText w:val="%1."/>
      <w:numFmt w:val="upperLetter"/>
      <w:start w:val="9"/>
    </w:lvl>
  </w:abstractNum>
  <w:abstractNum w:abstractNumId="507">
    <w:nsid w:val="21DF319E"/>
    <w:multiLevelType w:val="hybridMultilevel"/>
    <w:lvl w:ilvl="0">
      <w:lvlJc w:val="left"/>
      <w:lvlText w:val="%1."/>
      <w:numFmt w:val="upperLetter"/>
      <w:start w:val="10"/>
    </w:lvl>
  </w:abstractNum>
  <w:abstractNum w:abstractNumId="508">
    <w:nsid w:val="6687F34D"/>
    <w:multiLevelType w:val="hybridMultilevel"/>
    <w:lvl w:ilvl="0">
      <w:lvlJc w:val="left"/>
      <w:lvlText w:val="%1."/>
      <w:numFmt w:val="decimal"/>
      <w:start w:val="1"/>
    </w:lvl>
  </w:abstractNum>
  <w:abstractNum w:abstractNumId="509">
    <w:nsid w:val="25415B0C"/>
    <w:multiLevelType w:val="hybridMultilevel"/>
    <w:lvl w:ilvl="0">
      <w:lvlJc w:val="left"/>
      <w:lvlText w:val="%1."/>
      <w:numFmt w:val="decimal"/>
      <w:start w:val="4"/>
    </w:lvl>
  </w:abstractNum>
  <w:abstractNum w:abstractNumId="510">
    <w:nsid w:val="17CFC87D"/>
    <w:multiLevelType w:val="hybridMultilevel"/>
    <w:lvl w:ilvl="0">
      <w:lvlJc w:val="left"/>
      <w:lvlText w:val="%1."/>
      <w:numFmt w:val="upperLetter"/>
      <w:start w:val="1"/>
    </w:lvl>
  </w:abstractNum>
  <w:abstractNum w:abstractNumId="511">
    <w:nsid w:val="5D66DC65"/>
    <w:multiLevelType w:val="hybridMultilevel"/>
    <w:lvl w:ilvl="0">
      <w:lvlJc w:val="left"/>
      <w:lvlText w:val="%1."/>
      <w:numFmt w:val="upperLetter"/>
      <w:start w:val="3"/>
    </w:lvl>
  </w:abstractNum>
  <w:abstractNum w:abstractNumId="512">
    <w:nsid w:val="30BB2B99"/>
    <w:multiLevelType w:val="hybridMultilevel"/>
    <w:lvl w:ilvl="0">
      <w:lvlJc w:val="left"/>
      <w:lvlText w:val="%1."/>
      <w:numFmt w:val="upperLetter"/>
      <w:start w:val="4"/>
    </w:lvl>
  </w:abstractNum>
  <w:abstractNum w:abstractNumId="513">
    <w:nsid w:val="E3DFE6"/>
    <w:multiLevelType w:val="hybridMultilevel"/>
    <w:lvl w:ilvl="0">
      <w:lvlJc w:val="left"/>
      <w:lvlText w:val="%1."/>
      <w:numFmt w:val="upperLetter"/>
      <w:start w:val="5"/>
    </w:lvl>
  </w:abstractNum>
  <w:abstractNum w:abstractNumId="514">
    <w:nsid w:val="595B37F3"/>
    <w:multiLevelType w:val="hybridMultilevel"/>
    <w:lvl w:ilvl="0">
      <w:lvlJc w:val="left"/>
      <w:lvlText w:val="%1."/>
      <w:numFmt w:val="upperLetter"/>
      <w:start w:val="6"/>
    </w:lvl>
  </w:abstractNum>
  <w:abstractNum w:abstractNumId="515">
    <w:nsid w:val="71DB7E02"/>
    <w:multiLevelType w:val="hybridMultilevel"/>
    <w:lvl w:ilvl="0">
      <w:lvlJc w:val="left"/>
      <w:lvlText w:val="%1."/>
      <w:numFmt w:val="upperLetter"/>
      <w:start w:val="7"/>
    </w:lvl>
  </w:abstractNum>
  <w:abstractNum w:abstractNumId="516">
    <w:nsid w:val="17EC0C4"/>
    <w:multiLevelType w:val="hybridMultilevel"/>
    <w:lvl w:ilvl="0">
      <w:lvlJc w:val="left"/>
      <w:lvlText w:val="%1."/>
      <w:numFmt w:val="upperLetter"/>
      <w:start w:val="8"/>
    </w:lvl>
  </w:abstractNum>
  <w:abstractNum w:abstractNumId="517">
    <w:nsid w:val="7173BB22"/>
    <w:multiLevelType w:val="hybridMultilevel"/>
    <w:lvl w:ilvl="0">
      <w:lvlJc w:val="left"/>
      <w:lvlText w:val="%1."/>
      <w:numFmt w:val="upperLetter"/>
      <w:start w:val="9"/>
    </w:lvl>
  </w:abstractNum>
  <w:abstractNum w:abstractNumId="518">
    <w:nsid w:val="169E1DD3"/>
    <w:multiLevelType w:val="hybridMultilevel"/>
    <w:lvl w:ilvl="0">
      <w:lvlJc w:val="left"/>
      <w:lvlText w:val="%1."/>
      <w:numFmt w:val="upperLetter"/>
      <w:start w:val="10"/>
    </w:lvl>
  </w:abstractNum>
  <w:abstractNum w:abstractNumId="519">
    <w:nsid w:val="51D141CC"/>
    <w:multiLevelType w:val="hybridMultilevel"/>
    <w:lvl w:ilvl="0">
      <w:lvlJc w:val="left"/>
      <w:lvlText w:val="%1."/>
      <w:numFmt w:val="upperLetter"/>
      <w:start w:val="11"/>
    </w:lvl>
  </w:abstractNum>
  <w:abstractNum w:abstractNumId="520">
    <w:nsid w:val="12F9357A"/>
    <w:multiLevelType w:val="hybridMultilevel"/>
    <w:lvl w:ilvl="0">
      <w:lvlJc w:val="left"/>
      <w:lvlText w:val="%1."/>
      <w:numFmt w:val="upperLetter"/>
      <w:start w:val="12"/>
    </w:lvl>
  </w:abstractNum>
  <w:abstractNum w:abstractNumId="521">
    <w:nsid w:val="7672CF28"/>
    <w:multiLevelType w:val="hybridMultilevel"/>
    <w:lvl w:ilvl="0">
      <w:lvlJc w:val="left"/>
      <w:lvlText w:val="%1."/>
      <w:numFmt w:val="upperLetter"/>
      <w:start w:val="13"/>
    </w:lvl>
  </w:abstractNum>
  <w:abstractNum w:abstractNumId="522">
    <w:nsid w:val="567D2763"/>
    <w:multiLevelType w:val="hybridMultilevel"/>
    <w:lvl w:ilvl="0">
      <w:lvlJc w:val="left"/>
      <w:lvlText w:val="%1."/>
      <w:numFmt w:val="upperLetter"/>
      <w:start w:val="14"/>
    </w:lvl>
  </w:abstractNum>
  <w:abstractNum w:abstractNumId="523">
    <w:nsid w:val="6F5DE2EF"/>
    <w:multiLevelType w:val="hybridMultilevel"/>
    <w:lvl w:ilvl="0">
      <w:lvlJc w:val="left"/>
      <w:lvlText w:val="%1."/>
      <w:numFmt w:val="upperLetter"/>
      <w:start w:val="15"/>
    </w:lvl>
  </w:abstractNum>
  <w:abstractNum w:abstractNumId="524">
    <w:nsid w:val="23502A61"/>
    <w:multiLevelType w:val="hybridMultilevel"/>
    <w:lvl w:ilvl="0">
      <w:lvlJc w:val="left"/>
      <w:lvlText w:val="%1."/>
      <w:numFmt w:val="upperLetter"/>
      <w:start w:val="16"/>
    </w:lvl>
  </w:abstractNum>
  <w:abstractNum w:abstractNumId="525">
    <w:nsid w:val="461BC834"/>
    <w:multiLevelType w:val="hybridMultilevel"/>
    <w:lvl w:ilvl="0">
      <w:lvlJc w:val="left"/>
      <w:lvlText w:val="%1."/>
      <w:numFmt w:val="upperLetter"/>
      <w:start w:val="17"/>
    </w:lvl>
  </w:abstractNum>
  <w:abstractNum w:abstractNumId="526">
    <w:nsid w:val="13DDA79D"/>
    <w:multiLevelType w:val="hybridMultilevel"/>
    <w:lvl w:ilvl="0">
      <w:lvlJc w:val="left"/>
      <w:lvlText w:val="%1."/>
      <w:numFmt w:val="upperLetter"/>
      <w:start w:val="18"/>
    </w:lvl>
  </w:abstractNum>
  <w:abstractNum w:abstractNumId="527">
    <w:nsid w:val="6A104566"/>
    <w:multiLevelType w:val="hybridMultilevel"/>
    <w:lvl w:ilvl="0">
      <w:lvlJc w:val="left"/>
      <w:lvlText w:val="%1."/>
      <w:numFmt w:val="upperLetter"/>
      <w:start w:val="19"/>
    </w:lvl>
  </w:abstractNum>
  <w:abstractNum w:abstractNumId="528">
    <w:nsid w:val="1C8A8ACF"/>
    <w:multiLevelType w:val="hybridMultilevel"/>
    <w:lvl w:ilvl="0">
      <w:lvlJc w:val="left"/>
      <w:lvlText w:val="(%1)"/>
      <w:numFmt w:val="lowerRoman"/>
      <w:start w:val="3"/>
    </w:lvl>
  </w:abstractNum>
  <w:abstractNum w:abstractNumId="529">
    <w:nsid w:val="E73DFE0"/>
    <w:multiLevelType w:val="hybridMultilevel"/>
    <w:lvl w:ilvl="0">
      <w:lvlJc w:val="left"/>
      <w:lvlText w:val="(%1)"/>
      <w:numFmt w:val="decimal"/>
      <w:start w:val="18"/>
    </w:lvl>
  </w:abstractNum>
  <w:abstractNum w:abstractNumId="530">
    <w:nsid w:val="39F174C7"/>
    <w:multiLevelType w:val="hybridMultilevel"/>
    <w:lvl w:ilvl="0">
      <w:lvlJc w:val="left"/>
      <w:lvlText w:val="(%1)"/>
      <w:numFmt w:val="lowerLetter"/>
      <w:start w:val="1"/>
    </w:lvl>
  </w:abstractNum>
  <w:abstractNum w:abstractNumId="531">
    <w:nsid w:val="6E2E2D53"/>
    <w:multiLevelType w:val="hybridMultilevel"/>
    <w:lvl w:ilvl="0">
      <w:lvlJc w:val="left"/>
      <w:lvlText w:val="(%1)"/>
      <w:numFmt w:val="lowerLetter"/>
      <w:start w:val="3"/>
    </w:lvl>
  </w:abstractNum>
  <w:abstractNum w:abstractNumId="532">
    <w:nsid w:val="45DC439D"/>
    <w:multiLevelType w:val="hybridMultilevel"/>
    <w:lvl w:ilvl="0">
      <w:lvlJc w:val="left"/>
      <w:lvlText w:val="(%1)"/>
      <w:numFmt w:val="lowerLetter"/>
      <w:start w:val="1"/>
    </w:lvl>
  </w:abstractNum>
  <w:abstractNum w:abstractNumId="533">
    <w:nsid w:val="3B0A3B87"/>
    <w:multiLevelType w:val="hybridMultilevel"/>
    <w:lvl w:ilvl="0">
      <w:lvlJc w:val="left"/>
      <w:lvlText w:val="(%1)"/>
      <w:numFmt w:val="lowerLetter"/>
      <w:start w:val="1"/>
    </w:lvl>
  </w:abstractNum>
  <w:abstractNum w:abstractNumId="534">
    <w:nsid w:val="6DAC7768"/>
    <w:multiLevelType w:val="hybridMultilevel"/>
    <w:lvl w:ilvl="0">
      <w:lvlJc w:val="left"/>
      <w:lvlText w:val="%1"/>
      <w:numFmt w:val="lowerLetter"/>
      <w:start w:val="1"/>
    </w:lvl>
    <w:lvl w:ilvl="1">
      <w:lvlJc w:val="left"/>
      <w:lvlText w:val="(%2)"/>
      <w:numFmt w:val="lowerLetter"/>
      <w:start w:val="2"/>
    </w:lvl>
  </w:abstractNum>
  <w:abstractNum w:abstractNumId="535">
    <w:nsid w:val="746AE2E4"/>
    <w:multiLevelType w:val="hybridMultilevel"/>
    <w:lvl w:ilvl="0">
      <w:lvlJc w:val="left"/>
      <w:lvlText w:val="(%1)"/>
      <w:numFmt w:val="lowerLetter"/>
      <w:start w:val="4"/>
    </w:lvl>
    <w:lvl w:ilvl="1">
      <w:lvlJc w:val="left"/>
      <w:lvlText w:val="%2"/>
      <w:numFmt w:val="lowerLetter"/>
      <w:start w:val="1"/>
    </w:lvl>
  </w:abstractNum>
  <w:abstractNum w:abstractNumId="536">
    <w:nsid w:val="317E611D"/>
    <w:multiLevelType w:val="hybridMultilevel"/>
    <w:lvl w:ilvl="0">
      <w:lvlJc w:val="left"/>
      <w:lvlText w:val="%1"/>
      <w:numFmt w:val="lowerLetter"/>
      <w:start w:val="1"/>
    </w:lvl>
    <w:lvl w:ilvl="1">
      <w:lvlJc w:val="left"/>
      <w:lvlText w:val="(%2)"/>
      <w:numFmt w:val="lowerLetter"/>
      <w:start w:val="1"/>
    </w:lvl>
  </w:abstractNum>
  <w:abstractNum w:abstractNumId="537">
    <w:nsid w:val="7A61D75B"/>
    <w:multiLevelType w:val="hybridMultilevel"/>
    <w:lvl w:ilvl="0">
      <w:lvlJc w:val="left"/>
      <w:lvlText w:val="(%1)"/>
      <w:numFmt w:val="lowerLetter"/>
      <w:start w:val="1"/>
    </w:lvl>
    <w:lvl w:ilvl="1">
      <w:lvlJc w:val="left"/>
      <w:lvlText w:val="%2"/>
      <w:numFmt w:val="lowerLetter"/>
      <w:start w:val="1"/>
    </w:lvl>
  </w:abstractNum>
  <w:abstractNum w:abstractNumId="538">
    <w:nsid w:val="164A1482"/>
    <w:multiLevelType w:val="hybridMultilevel"/>
    <w:lvl w:ilvl="0">
      <w:lvlJc w:val="left"/>
      <w:lvlText w:val="(%1)"/>
      <w:numFmt w:val="lowerLetter"/>
      <w:start w:val="3"/>
    </w:lvl>
  </w:abstractNum>
  <w:abstractNum w:abstractNumId="539">
    <w:nsid w:val="1806546B"/>
    <w:multiLevelType w:val="hybridMultilevel"/>
    <w:lvl w:ilvl="0">
      <w:lvlJc w:val="left"/>
      <w:lvlText w:val="(%1)"/>
      <w:numFmt w:val="lowerLetter"/>
      <w:start w:val="1"/>
    </w:lvl>
  </w:abstractNum>
  <w:abstractNum w:abstractNumId="540">
    <w:nsid w:val="1FA33267"/>
    <w:multiLevelType w:val="hybridMultilevel"/>
    <w:lvl w:ilvl="0">
      <w:lvlJc w:val="left"/>
      <w:lvlText w:val="(%1)"/>
      <w:numFmt w:val="lowerLetter"/>
      <w:start w:val="2"/>
    </w:lvl>
  </w:abstractNum>
  <w:abstractNum w:abstractNumId="541">
    <w:nsid w:val="2E19DD00"/>
    <w:multiLevelType w:val="hybridMultilevel"/>
    <w:lvl w:ilvl="0">
      <w:lvlJc w:val="left"/>
      <w:lvlText w:val="(%1)"/>
      <w:numFmt w:val="lowerLetter"/>
      <w:start w:val="1"/>
    </w:lvl>
    <w:lvl w:ilvl="1">
      <w:lvlJc w:val="left"/>
      <w:lvlText w:val="(%2)"/>
      <w:numFmt w:val="lowerLetter"/>
      <w:start w:val="3"/>
    </w:lvl>
  </w:abstractNum>
  <w:abstractNum w:abstractNumId="542">
    <w:nsid w:val="756D30D0"/>
    <w:multiLevelType w:val="hybridMultilevel"/>
    <w:lvl w:ilvl="0">
      <w:lvlJc w:val="left"/>
      <w:lvlText w:val="(%1)"/>
      <w:numFmt w:val="lowerLetter"/>
      <w:start w:val="1"/>
    </w:lvl>
  </w:abstractNum>
  <w:abstractNum w:abstractNumId="543">
    <w:nsid w:val="505E5E01"/>
    <w:multiLevelType w:val="hybridMultilevel"/>
    <w:lvl w:ilvl="0">
      <w:lvlJc w:val="left"/>
      <w:lvlText w:val="(%1)"/>
      <w:numFmt w:val="lowerLetter"/>
      <w:start w:val="1"/>
    </w:lvl>
  </w:abstractNum>
  <w:abstractNum w:abstractNumId="544">
    <w:nsid w:val="2EFDBCE6"/>
    <w:multiLevelType w:val="hybridMultilevel"/>
    <w:lvl w:ilvl="0">
      <w:lvlJc w:val="left"/>
      <w:lvlText w:val="(%1)"/>
      <w:numFmt w:val="lowerLetter"/>
      <w:start w:val="1"/>
    </w:lvl>
  </w:abstractNum>
  <w:abstractNum w:abstractNumId="545">
    <w:nsid w:val="4EC868C4"/>
    <w:multiLevelType w:val="hybridMultilevel"/>
    <w:lvl w:ilvl="0">
      <w:lvlJc w:val="left"/>
      <w:lvlText w:val="(%1)"/>
      <w:numFmt w:val="lowerLetter"/>
      <w:start w:val="1"/>
    </w:lvl>
  </w:abstractNum>
  <w:abstractNum w:abstractNumId="546">
    <w:nsid w:val="4239DC03"/>
    <w:multiLevelType w:val="hybridMultilevel"/>
    <w:lvl w:ilvl="0">
      <w:lvlJc w:val="left"/>
      <w:lvlText w:val="(%1)"/>
      <w:numFmt w:val="lowerLetter"/>
      <w:start w:val="3"/>
    </w:lvl>
    <w:lvl w:ilvl="1">
      <w:lvlJc w:val="left"/>
      <w:lvlText w:val="(%2)"/>
      <w:numFmt w:val="lowerLetter"/>
      <w:start w:val="1"/>
    </w:lvl>
  </w:abstractNum>
  <w:abstractNum w:abstractNumId="547">
    <w:nsid w:val="307C7DAA"/>
    <w:multiLevelType w:val="hybridMultilevel"/>
    <w:lvl w:ilvl="0">
      <w:lvlJc w:val="left"/>
      <w:lvlText w:val="(%1)"/>
      <w:numFmt w:val="lowerLetter"/>
      <w:start w:val="1"/>
    </w:lvl>
  </w:abstractNum>
  <w:abstractNum w:abstractNumId="548">
    <w:nsid w:val="403C23E6"/>
    <w:multiLevelType w:val="hybridMultilevel"/>
    <w:lvl w:ilvl="0">
      <w:lvlJc w:val="left"/>
      <w:lvlText w:val="%1"/>
      <w:numFmt w:val="lowerLetter"/>
      <w:start w:val="1"/>
    </w:lvl>
    <w:lvl w:ilvl="1">
      <w:lvlJc w:val="left"/>
      <w:lvlText w:val="(%2)"/>
      <w:numFmt w:val="lowerLetter"/>
      <w:start w:val="1"/>
    </w:lvl>
  </w:abstractNum>
  <w:abstractNum w:abstractNumId="549">
    <w:nsid w:val="58D7F9D7"/>
    <w:multiLevelType w:val="hybridMultilevel"/>
    <w:lvl w:ilvl="0">
      <w:lvlJc w:val="left"/>
      <w:lvlText w:val="(%1)"/>
      <w:numFmt w:val="lowerLetter"/>
      <w:start w:val="9"/>
    </w:lvl>
    <w:lvl w:ilvl="1">
      <w:lvlJc w:val="left"/>
      <w:lvlText w:val="(%2)"/>
      <w:numFmt w:val="lowerLetter"/>
      <w:start w:val="4"/>
    </w:lvl>
  </w:abstractNum>
  <w:abstractNum w:abstractNumId="550">
    <w:nsid w:val="24DBF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51">
    <w:nsid w:val="5335596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552">
    <w:nsid w:val="4F4AC8F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53">
    <w:nsid w:val="58CAE6D9"/>
    <w:multiLevelType w:val="hybridMultilevel"/>
    <w:lvl w:ilvl="0">
      <w:lvlJc w:val="left"/>
      <w:lvlText w:val="(%1)"/>
      <w:numFmt w:val="lowerLetter"/>
      <w:start w:val="1"/>
    </w:lvl>
  </w:abstractNum>
  <w:abstractNum w:abstractNumId="554">
    <w:nsid w:val="42933C4F"/>
    <w:multiLevelType w:val="hybridMultilevel"/>
    <w:lvl w:ilvl="0">
      <w:lvlJc w:val="left"/>
      <w:lvlText w:val="(%1)"/>
      <w:numFmt w:val="lowerLetter"/>
      <w:start w:val="1"/>
    </w:lvl>
  </w:abstractNum>
  <w:abstractNum w:abstractNumId="555">
    <w:nsid w:val="729AF360"/>
    <w:multiLevelType w:val="hybridMultilevel"/>
    <w:lvl w:ilvl="0">
      <w:lvlJc w:val="left"/>
      <w:lvlText w:val="(%1)"/>
      <w:numFmt w:val="lowerLetter"/>
      <w:start w:val="2"/>
    </w:lvl>
  </w:abstractNum>
  <w:abstractNum w:abstractNumId="556">
    <w:nsid w:val="1EE6AF0D"/>
    <w:multiLevelType w:val="hybridMultilevel"/>
    <w:lvl w:ilvl="0">
      <w:lvlJc w:val="left"/>
      <w:lvlText w:val="(%1)"/>
      <w:numFmt w:val="lowerLetter"/>
      <w:start w:val="1"/>
    </w:lvl>
    <w:lvl w:ilvl="1">
      <w:lvlJc w:val="left"/>
      <w:lvlText w:val="(%2)"/>
      <w:numFmt w:val="lowerRoman"/>
      <w:start w:val="1"/>
    </w:lvl>
  </w:abstractNum>
  <w:abstractNum w:abstractNumId="557">
    <w:nsid w:val="5670E3ED"/>
    <w:multiLevelType w:val="hybridMultilevel"/>
    <w:lvl w:ilvl="0">
      <w:lvlJc w:val="left"/>
      <w:lvlText w:val="(%1)"/>
      <w:numFmt w:val="lowerLetter"/>
      <w:start w:val="3"/>
    </w:lvl>
  </w:abstractNum>
  <w:abstractNum w:abstractNumId="558">
    <w:nsid w:val="5CAB38C6"/>
    <w:multiLevelType w:val="hybridMultilevel"/>
    <w:lvl w:ilvl="0">
      <w:lvlJc w:val="left"/>
      <w:lvlText w:val="(%1)"/>
      <w:numFmt w:val="lowerLetter"/>
      <w:start w:val="1"/>
    </w:lvl>
  </w:abstractNum>
  <w:abstractNum w:abstractNumId="559">
    <w:nsid w:val="3B7139DD"/>
    <w:multiLevelType w:val="hybridMultilevel"/>
    <w:lvl w:ilvl="0">
      <w:lvlJc w:val="left"/>
      <w:lvlText w:val="(%1)"/>
      <w:numFmt w:val="lowerLetter"/>
      <w:start w:val="2"/>
    </w:lvl>
  </w:abstractNum>
  <w:abstractNum w:abstractNumId="560">
    <w:nsid w:val="64E4C3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61">
    <w:nsid w:val="169CAD8D"/>
    <w:multiLevelType w:val="hybridMultilevel"/>
    <w:lvl w:ilvl="0">
      <w:lvlJc w:val="left"/>
      <w:lvlText w:val="(%1)"/>
      <w:numFmt w:val="decimal"/>
      <w:start w:val="3"/>
    </w:lvl>
    <w:lvl w:ilvl="1">
      <w:lvlJc w:val="left"/>
      <w:lvlText w:val="(%2)"/>
      <w:numFmt w:val="lowerLetter"/>
      <w:start w:val="8"/>
    </w:lvl>
    <w:lvl w:ilvl="2">
      <w:lvlJc w:val="left"/>
      <w:lvlText w:val="(%3)"/>
      <w:numFmt w:val="lowerLetter"/>
      <w:start w:val="6"/>
    </w:lvl>
    <w:lvl w:ilvl="3">
      <w:lvlJc w:val="left"/>
      <w:lvlText w:val="(%4)"/>
      <w:numFmt w:val="lowerRoman"/>
      <w:start w:val="1"/>
    </w:lvl>
  </w:abstractNum>
  <w:abstractNum w:abstractNumId="562">
    <w:nsid w:val="299F6730"/>
    <w:multiLevelType w:val="hybridMultilevel"/>
    <w:lvl w:ilvl="0">
      <w:lvlJc w:val="left"/>
      <w:lvlText w:val="%1"/>
      <w:numFmt w:val="lowerLetter"/>
      <w:start w:val="1"/>
    </w:lvl>
    <w:lvl w:ilvl="1">
      <w:lvlJc w:val="left"/>
      <w:lvlText w:val="(%2)"/>
      <w:numFmt w:val="lowerLetter"/>
      <w:start w:val="9"/>
    </w:lvl>
  </w:abstractNum>
  <w:abstractNum w:abstractNumId="563">
    <w:nsid w:val="2AC1076A"/>
    <w:multiLevelType w:val="hybridMultilevel"/>
    <w:lvl w:ilvl="0">
      <w:lvlJc w:val="left"/>
      <w:lvlText w:val="(%1)"/>
      <w:numFmt w:val="lowerLetter"/>
      <w:start w:val="9"/>
    </w:lvl>
    <w:lvl w:ilvl="1">
      <w:lvlJc w:val="left"/>
      <w:lvlText w:val="(%2)"/>
      <w:numFmt w:val="lowerLetter"/>
      <w:start w:val="12"/>
    </w:lvl>
  </w:abstractNum>
  <w:abstractNum w:abstractNumId="564">
    <w:nsid w:val="51A6E915"/>
    <w:multiLevelType w:val="hybridMultilevel"/>
    <w:lvl w:ilvl="0">
      <w:lvlJc w:val="left"/>
      <w:lvlText w:val="(%1)"/>
      <w:numFmt w:val="lowerLetter"/>
      <w:start w:val="1"/>
    </w:lvl>
  </w:abstractNum>
  <w:abstractNum w:abstractNumId="565">
    <w:nsid w:val="174BDE99"/>
    <w:multiLevelType w:val="hybridMultilevel"/>
    <w:lvl w:ilvl="0">
      <w:lvlJc w:val="left"/>
      <w:lvlText w:val="(%1)"/>
      <w:numFmt w:val="lowerLetter"/>
      <w:start w:val="1"/>
    </w:lvl>
    <w:lvl w:ilvl="1">
      <w:lvlJc w:val="left"/>
      <w:lvlText w:val="(%2)"/>
      <w:numFmt w:val="lowerLetter"/>
      <w:start w:val="9"/>
    </w:lvl>
  </w:abstractNum>
  <w:abstractNum w:abstractNumId="566">
    <w:nsid w:val="1F2BEA4E"/>
    <w:multiLevelType w:val="hybridMultilevel"/>
    <w:lvl w:ilvl="0">
      <w:lvlJc w:val="left"/>
      <w:lvlText w:val="%1"/>
      <w:numFmt w:val="lowerLetter"/>
      <w:start w:val="1"/>
    </w:lvl>
    <w:lvl w:ilvl="1">
      <w:lvlJc w:val="left"/>
      <w:lvlText w:val="(%2)"/>
      <w:numFmt w:val="lowerRoman"/>
      <w:start w:val="2"/>
    </w:lvl>
  </w:abstractNum>
  <w:abstractNum w:abstractNumId="567">
    <w:nsid w:val="3254A32"/>
    <w:multiLevelType w:val="hybridMultilevel"/>
    <w:lvl w:ilvl="0">
      <w:lvlJc w:val="left"/>
      <w:lvlText w:val="(%1)"/>
      <w:numFmt w:val="lowerLetter"/>
      <w:start w:val="2"/>
    </w:lvl>
    <w:lvl w:ilvl="1">
      <w:lvlJc w:val="left"/>
      <w:lvlText w:val="(%2)"/>
      <w:numFmt w:val="lowerRoman"/>
      <w:start w:val="1"/>
    </w:lvl>
  </w:abstractNum>
  <w:abstractNum w:abstractNumId="568">
    <w:nsid w:val="11ADB5F4"/>
    <w:multiLevelType w:val="hybridMultilevel"/>
    <w:lvl w:ilvl="0">
      <w:lvlJc w:val="left"/>
      <w:lvlText w:val="(%1)"/>
      <w:numFmt w:val="lowerRoman"/>
      <w:start w:val="4"/>
    </w:lvl>
  </w:abstractNum>
  <w:abstractNum w:abstractNumId="569">
    <w:nsid w:val="3575FED1"/>
    <w:multiLevelType w:val="hybridMultilevel"/>
    <w:lvl w:ilvl="0">
      <w:lvlJc w:val="left"/>
      <w:lvlText w:val="(%1)"/>
      <w:numFmt w:val="lowerLetter"/>
      <w:start w:val="1"/>
    </w:lvl>
  </w:abstractNum>
  <w:abstractNum w:abstractNumId="570">
    <w:nsid w:val="1B2B9E9D"/>
    <w:multiLevelType w:val="hybridMultilevel"/>
    <w:lvl w:ilvl="0">
      <w:lvlJc w:val="left"/>
      <w:lvlText w:val="(%1)"/>
      <w:numFmt w:val="lowerLetter"/>
      <w:start w:val="3"/>
    </w:lvl>
  </w:abstractNum>
  <w:abstractNum w:abstractNumId="571">
    <w:nsid w:val="3150E85C"/>
    <w:multiLevelType w:val="hybridMultilevel"/>
    <w:lvl w:ilvl="0">
      <w:lvlJc w:val="left"/>
      <w:lvlText w:val="%1"/>
      <w:numFmt w:val="lowerRoman"/>
      <w:start w:val="1"/>
    </w:lvl>
    <w:lvl w:ilvl="1">
      <w:lvlJc w:val="left"/>
      <w:lvlText w:val="(%2)"/>
      <w:numFmt w:val="lowerLetter"/>
      <w:start w:val="1"/>
    </w:lvl>
  </w:abstractNum>
  <w:abstractNum w:abstractNumId="572">
    <w:nsid w:val="638FDBD1"/>
    <w:multiLevelType w:val="hybridMultilevel"/>
    <w:lvl w:ilvl="0">
      <w:lvlJc w:val="left"/>
      <w:lvlText w:val="(%1)"/>
      <w:numFmt w:val="lowerRoman"/>
      <w:start w:val="4"/>
    </w:lvl>
    <w:lvl w:ilvl="1">
      <w:lvlJc w:val="left"/>
      <w:lvlText w:val="(%2)"/>
      <w:numFmt w:val="lowerLetter"/>
      <w:start w:val="2"/>
    </w:lvl>
  </w:abstractNum>
  <w:abstractNum w:abstractNumId="573">
    <w:nsid w:val="1098CF6E"/>
    <w:multiLevelType w:val="hybridMultilevel"/>
    <w:lvl w:ilvl="0">
      <w:lvlJc w:val="left"/>
      <w:lvlText w:val="(%1)"/>
      <w:numFmt w:val="lowerLetter"/>
      <w:start w:val="1"/>
    </w:lvl>
  </w:abstractNum>
  <w:abstractNum w:abstractNumId="574">
    <w:nsid w:val="1AF465D"/>
    <w:multiLevelType w:val="hybridMultilevel"/>
    <w:lvl w:ilvl="0">
      <w:lvlJc w:val="left"/>
      <w:lvlText w:val="(%1)"/>
      <w:numFmt w:val="lowerLetter"/>
      <w:start w:val="2"/>
    </w:lvl>
  </w:abstractNum>
  <w:abstractNum w:abstractNumId="575">
    <w:nsid w:val="128D98B7"/>
    <w:multiLevelType w:val="hybridMultilevel"/>
    <w:lvl w:ilvl="0">
      <w:lvlJc w:val="left"/>
      <w:lvlText w:val="(%1)"/>
      <w:numFmt w:val="lowerLetter"/>
      <w:start w:val="1"/>
    </w:lvl>
  </w:abstractNum>
  <w:abstractNum w:abstractNumId="576">
    <w:nsid w:val="5F613832"/>
    <w:multiLevelType w:val="hybridMultilevel"/>
    <w:lvl w:ilvl="0">
      <w:lvlJc w:val="left"/>
      <w:lvlText w:val="(%1)"/>
      <w:numFmt w:val="lowerLetter"/>
      <w:start w:val="4"/>
    </w:lvl>
  </w:abstractNum>
  <w:abstractNum w:abstractNumId="577">
    <w:nsid w:val="43E92260"/>
    <w:multiLevelType w:val="hybridMultilevel"/>
    <w:lvl w:ilvl="0">
      <w:lvlJc w:val="left"/>
      <w:lvlText w:val="1"/>
      <w:numFmt w:val="bullet"/>
      <w:start w:val="1"/>
    </w:lvl>
  </w:abstractNum>
  <w:abstractNum w:abstractNumId="578">
    <w:nsid w:val="430A1662"/>
    <w:multiLevelType w:val="hybridMultilevel"/>
    <w:lvl w:ilvl="0">
      <w:lvlJc w:val="left"/>
      <w:lvlText w:val="(%1)"/>
      <w:numFmt w:val="decimal"/>
      <w:start w:val="1"/>
    </w:lvl>
  </w:abstractNum>
  <w:abstractNum w:abstractNumId="579">
    <w:nsid w:val="1F9D5C18"/>
    <w:multiLevelType w:val="hybridMultilevel"/>
    <w:lvl w:ilvl="0">
      <w:lvlJc w:val="left"/>
      <w:lvlText w:val="%1."/>
      <w:numFmt w:val="decimal"/>
      <w:start w:val="1"/>
    </w:lvl>
  </w:abstractNum>
  <w:abstractNum w:abstractNumId="580">
    <w:nsid w:val="1CC11C37"/>
    <w:multiLevelType w:val="hybridMultilevel"/>
    <w:lvl w:ilvl="0">
      <w:lvlJc w:val="left"/>
      <w:lvlText w:val="%1."/>
      <w:numFmt w:val="decimal"/>
      <w:start w:val="2"/>
    </w:lvl>
  </w:abstractNum>
  <w:abstractNum w:abstractNumId="581">
    <w:nsid w:val="4557D5D8"/>
    <w:multiLevelType w:val="hybridMultilevel"/>
    <w:lvl w:ilvl="0">
      <w:lvlJc w:val="left"/>
      <w:lvlText w:val="%1."/>
      <w:numFmt w:val="decimal"/>
      <w:start w:val="3"/>
    </w:lvl>
  </w:abstractNum>
  <w:abstractNum w:abstractNumId="582">
    <w:nsid w:val="72D2B57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3">
    <w:nsid w:val="6C0BE536"/>
    <w:multiLevelType w:val="hybridMultilevel"/>
    <w:lvl w:ilvl="0">
      <w:lvlJc w:val="left"/>
      <w:lvlText w:val="(%1)"/>
      <w:numFmt w:val="lowerRoman"/>
      <w:start w:val="3"/>
    </w:lvl>
  </w:abstractNum>
  <w:abstractNum w:abstractNumId="584">
    <w:nsid w:val="1E22BCB2"/>
    <w:multiLevelType w:val="hybridMultilevel"/>
    <w:lvl w:ilvl="0">
      <w:lvlJc w:val="left"/>
      <w:lvlText w:val="(%1)"/>
      <w:numFmt w:val="lowerLetter"/>
      <w:start w:val="3"/>
    </w:lvl>
  </w:abstractNum>
  <w:abstractNum w:abstractNumId="585">
    <w:nsid w:val="3565F1C8"/>
    <w:multiLevelType w:val="hybridMultilevel"/>
    <w:lvl w:ilvl="0">
      <w:lvlJc w:val="left"/>
      <w:lvlText w:val="%1."/>
      <w:numFmt w:val="decimal"/>
      <w:start w:val="5"/>
    </w:lvl>
    <w:lvl w:ilvl="1">
      <w:lvlJc w:val="left"/>
      <w:lvlText w:val="(%2)"/>
      <w:numFmt w:val="lowerLetter"/>
      <w:start w:val="1"/>
    </w:lvl>
  </w:abstractNum>
  <w:abstractNum w:abstractNumId="586">
    <w:nsid w:val="5EA6D896"/>
    <w:multiLevelType w:val="hybridMultilevel"/>
    <w:lvl w:ilvl="0">
      <w:lvlJc w:val="left"/>
      <w:lvlText w:val="%1."/>
      <w:numFmt w:val="decimal"/>
      <w:start w:val="7"/>
    </w:lvl>
  </w:abstractNum>
  <w:abstractNum w:abstractNumId="587">
    <w:nsid w:val="3D096BBF"/>
    <w:multiLevelType w:val="hybridMultilevel"/>
    <w:lvl w:ilvl="0">
      <w:lvlJc w:val="left"/>
      <w:lvlText w:val="%1."/>
      <w:numFmt w:val="decimal"/>
      <w:start w:val="8"/>
    </w:lvl>
  </w:abstractNum>
  <w:abstractNum w:abstractNumId="588">
    <w:nsid w:val="BD6D5B5"/>
    <w:multiLevelType w:val="hybridMultilevel"/>
    <w:lvl w:ilvl="0">
      <w:lvlJc w:val="left"/>
      <w:lvlText w:val="%1."/>
      <w:numFmt w:val="decimal"/>
      <w:start w:val="9"/>
    </w:lvl>
  </w:abstractNum>
  <w:abstractNum w:abstractNumId="589">
    <w:nsid w:val="3B52115C"/>
    <w:multiLevelType w:val="hybridMultilevel"/>
    <w:lvl w:ilvl="0">
      <w:lvlJc w:val="left"/>
      <w:lvlText w:val="%1."/>
      <w:numFmt w:val="decimal"/>
      <w:start w:val="10"/>
    </w:lvl>
  </w:abstractNum>
  <w:abstractNum w:abstractNumId="590">
    <w:nsid w:val="787AA59C"/>
    <w:multiLevelType w:val="hybridMultilevel"/>
    <w:lvl w:ilvl="0">
      <w:lvlJc w:val="left"/>
      <w:lvlText w:val="%1."/>
      <w:numFmt w:val="decimal"/>
      <w:start w:val="11"/>
    </w:lvl>
  </w:abstractNum>
  <w:abstractNum w:abstractNumId="591">
    <w:nsid w:val="70BB9983"/>
    <w:multiLevelType w:val="hybridMultilevel"/>
    <w:lvl w:ilvl="0">
      <w:lvlJc w:val="left"/>
      <w:lvlText w:val="%1."/>
      <w:numFmt w:val="decimal"/>
      <w:start w:val="12"/>
    </w:lvl>
  </w:abstractNum>
  <w:abstractNum w:abstractNumId="592">
    <w:nsid w:val="51EEBEEA"/>
    <w:multiLevelType w:val="hybridMultilevel"/>
    <w:lvl w:ilvl="0">
      <w:lvlJc w:val="left"/>
      <w:lvlText w:val="%1."/>
      <w:numFmt w:val="decimal"/>
      <w:start w:val="13"/>
    </w:lvl>
  </w:abstractNum>
  <w:abstractNum w:abstractNumId="593">
    <w:nsid w:val="221A0CCD"/>
    <w:multiLevelType w:val="hybridMultilevel"/>
    <w:lvl w:ilvl="0">
      <w:lvlJc w:val="left"/>
      <w:lvlText w:val="%1."/>
      <w:numFmt w:val="decimal"/>
      <w:start w:val="1"/>
    </w:lvl>
  </w:abstractNum>
  <w:abstractNum w:abstractNumId="594">
    <w:nsid w:val="1B7CA0ED"/>
    <w:multiLevelType w:val="hybridMultilevel"/>
    <w:lvl w:ilvl="0">
      <w:lvlJc w:val="left"/>
      <w:lvlText w:val="%1."/>
      <w:numFmt w:val="decimal"/>
      <w:start w:val="9"/>
    </w:lvl>
  </w:abstractNum>
  <w:abstractNum w:abstractNumId="595">
    <w:nsid w:val="2395A7FF"/>
    <w:multiLevelType w:val="hybridMultilevel"/>
    <w:lvl w:ilvl="0">
      <w:lvlJc w:val="left"/>
      <w:lvlText w:val="2"/>
      <w:numFmt w:val="bullet"/>
      <w:start w:val="1"/>
    </w:lvl>
  </w:abstractNum>
  <w:abstractNum w:abstractNumId="596">
    <w:nsid w:val="3965EB66"/>
    <w:multiLevelType w:val="hybridMultilevel"/>
    <w:lvl w:ilvl="0">
      <w:lvlJc w:val="left"/>
      <w:lvlText w:val="1"/>
      <w:numFmt w:val="bullet"/>
      <w:start w:val="1"/>
    </w:lvl>
  </w:abstractNum>
  <w:abstractNum w:abstractNumId="597">
    <w:nsid w:val="3AA88B3C"/>
    <w:multiLevelType w:val="hybridMultilevel"/>
    <w:lvl w:ilvl="0">
      <w:lvlJc w:val="left"/>
      <w:lvlText w:val="o"/>
      <w:numFmt w:val="bullet"/>
      <w:start w:val="1"/>
    </w:lvl>
  </w:abstractNum>
  <w:abstractNum w:abstractNumId="598">
    <w:nsid w:val="26BAF231"/>
    <w:multiLevelType w:val="hybridMultilevel"/>
    <w:lvl w:ilvl="0">
      <w:lvlJc w:val="left"/>
      <w:lvlText w:val="5"/>
      <w:numFmt w:val="bullet"/>
      <w:start w:val="1"/>
    </w:lvl>
  </w:abstractNum>
  <w:abstractNum w:abstractNumId="599">
    <w:nsid w:val="4B13A1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2019-12-01T06:29:51Z</dcterms:created>
  <dcterms:modified xsi:type="dcterms:W3CDTF">2019-12-01T06:29:51Z</dcterms:modified>
</cp:coreProperties>
</file>