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739775</wp:posOffset>
            </wp:positionH>
            <wp:positionV relativeFrom="page">
              <wp:posOffset>782955</wp:posOffset>
            </wp:positionV>
            <wp:extent cx="6480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081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17, 2020</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9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jc w:val="center"/>
              <w:ind w:right="1450"/>
              <w:spacing w:after="0"/>
              <w:rPr>
                <w:sz w:val="20"/>
                <w:szCs w:val="20"/>
                <w:color w:val="auto"/>
              </w:rPr>
            </w:pPr>
            <w:r>
              <w:rPr>
                <w:rFonts w:ascii="Arial" w:cs="Arial" w:eastAsia="Arial" w:hAnsi="Arial"/>
                <w:sz w:val="18"/>
                <w:szCs w:val="18"/>
                <w:b w:val="1"/>
                <w:bCs w:val="1"/>
                <w:color w:val="auto"/>
                <w:w w:val="94"/>
              </w:rPr>
              <w:t>Ireland</w:t>
            </w:r>
          </w:p>
        </w:tc>
        <w:tc>
          <w:tcPr>
            <w:tcW w:w="28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001-36504</w:t>
            </w:r>
          </w:p>
        </w:tc>
        <w:tc>
          <w:tcPr>
            <w:tcW w:w="286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98-0606750</w:t>
            </w:r>
          </w:p>
        </w:tc>
        <w:tc>
          <w:tcPr>
            <w:tcW w:w="920" w:type="dxa"/>
            <w:vAlign w:val="bottom"/>
            <w:tcBorders>
              <w:bottom w:val="single" w:sz="8" w:color="auto"/>
            </w:tcBorders>
          </w:tcPr>
          <w:p>
            <w:pPr>
              <w:spacing w:after="0"/>
              <w:rPr>
                <w:sz w:val="20"/>
                <w:szCs w:val="20"/>
                <w:color w:val="auto"/>
              </w:rPr>
            </w:pPr>
          </w:p>
        </w:tc>
      </w:tr>
      <w:tr>
        <w:trPr>
          <w:trHeight w:val="224"/>
        </w:trPr>
        <w:tc>
          <w:tcPr>
            <w:tcW w:w="4200" w:type="dxa"/>
            <w:vAlign w:val="bottom"/>
            <w:gridSpan w:val="2"/>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2860" w:type="dxa"/>
            <w:vAlign w:val="bottom"/>
          </w:tcPr>
          <w:p>
            <w:pPr>
              <w:jc w:val="center"/>
              <w:ind w:right="370"/>
              <w:spacing w:after="0"/>
              <w:rPr>
                <w:sz w:val="20"/>
                <w:szCs w:val="20"/>
                <w:color w:val="auto"/>
              </w:rPr>
            </w:pPr>
            <w:r>
              <w:rPr>
                <w:rFonts w:ascii="Arial" w:cs="Arial" w:eastAsia="Arial" w:hAnsi="Arial"/>
                <w:sz w:val="18"/>
                <w:szCs w:val="18"/>
                <w:color w:val="auto"/>
                <w:w w:val="93"/>
              </w:rPr>
              <w:t>(Commission File Number)</w:t>
            </w:r>
          </w:p>
        </w:tc>
        <w:tc>
          <w:tcPr>
            <w:tcW w:w="3780" w:type="dxa"/>
            <w:vAlign w:val="bottom"/>
            <w:gridSpan w:val="2"/>
          </w:tcPr>
          <w:p>
            <w:pPr>
              <w:ind w:left="640"/>
              <w:spacing w:after="0"/>
              <w:rPr>
                <w:sz w:val="20"/>
                <w:szCs w:val="20"/>
                <w:color w:val="auto"/>
              </w:rPr>
            </w:pPr>
            <w:r>
              <w:rPr>
                <w:rFonts w:ascii="Arial" w:cs="Arial" w:eastAsia="Arial" w:hAnsi="Arial"/>
                <w:sz w:val="18"/>
                <w:szCs w:val="18"/>
                <w:color w:val="auto"/>
              </w:rPr>
              <w:t>(I.R.S. Employer Identification No.)</w:t>
            </w:r>
          </w:p>
        </w:tc>
      </w:tr>
      <w:tr>
        <w:trPr>
          <w:trHeight w:val="350"/>
        </w:trPr>
        <w:tc>
          <w:tcPr>
            <w:tcW w:w="900" w:type="dxa"/>
            <w:vAlign w:val="bottom"/>
          </w:tcPr>
          <w:p>
            <w:pPr>
              <w:spacing w:after="0"/>
              <w:rPr>
                <w:sz w:val="24"/>
                <w:szCs w:val="24"/>
                <w:color w:val="auto"/>
              </w:rPr>
            </w:pPr>
          </w:p>
        </w:tc>
        <w:tc>
          <w:tcPr>
            <w:tcW w:w="33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94"/>
              </w:rPr>
              <w:t>2000 St. James Place ,  Houston</w:t>
            </w:r>
          </w:p>
        </w:tc>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Texas</w:t>
            </w:r>
          </w:p>
        </w:tc>
        <w:tc>
          <w:tcPr>
            <w:tcW w:w="28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77056</w:t>
            </w:r>
          </w:p>
        </w:tc>
        <w:tc>
          <w:tcPr>
            <w:tcW w:w="920" w:type="dxa"/>
            <w:vAlign w:val="bottom"/>
          </w:tcPr>
          <w:p>
            <w:pPr>
              <w:spacing w:after="0"/>
              <w:rPr>
                <w:sz w:val="24"/>
                <w:szCs w:val="24"/>
                <w:color w:val="auto"/>
              </w:rPr>
            </w:pPr>
          </w:p>
        </w:tc>
      </w:tr>
      <w:tr>
        <w:trPr>
          <w:trHeight w:val="224"/>
        </w:trPr>
        <w:tc>
          <w:tcPr>
            <w:tcW w:w="900" w:type="dxa"/>
            <w:vAlign w:val="bottom"/>
          </w:tcPr>
          <w:p>
            <w:pPr>
              <w:spacing w:after="0"/>
              <w:rPr>
                <w:sz w:val="19"/>
                <w:szCs w:val="19"/>
                <w:color w:val="auto"/>
              </w:rPr>
            </w:pPr>
          </w:p>
        </w:tc>
        <w:tc>
          <w:tcPr>
            <w:tcW w:w="6160" w:type="dxa"/>
            <w:vAlign w:val="bottom"/>
            <w:gridSpan w:val="2"/>
          </w:tcPr>
          <w:p>
            <w:pPr>
              <w:ind w:left="980"/>
              <w:spacing w:after="0"/>
              <w:rPr>
                <w:sz w:val="20"/>
                <w:szCs w:val="20"/>
                <w:color w:val="auto"/>
              </w:rPr>
            </w:pPr>
            <w:r>
              <w:rPr>
                <w:rFonts w:ascii="Arial" w:cs="Arial" w:eastAsia="Arial" w:hAnsi="Arial"/>
                <w:sz w:val="18"/>
                <w:szCs w:val="18"/>
                <w:color w:val="auto"/>
              </w:rPr>
              <w:t>(Address of principal executive offices)</w:t>
            </w:r>
          </w:p>
        </w:tc>
        <w:tc>
          <w:tcPr>
            <w:tcW w:w="2860" w:type="dxa"/>
            <w:vAlign w:val="bottom"/>
          </w:tcPr>
          <w:p>
            <w:pPr>
              <w:ind w:left="1520"/>
              <w:spacing w:after="0"/>
              <w:rPr>
                <w:sz w:val="20"/>
                <w:szCs w:val="20"/>
                <w:color w:val="auto"/>
              </w:rPr>
            </w:pPr>
            <w:r>
              <w:rPr>
                <w:rFonts w:ascii="Arial" w:cs="Arial" w:eastAsia="Arial" w:hAnsi="Arial"/>
                <w:sz w:val="18"/>
                <w:szCs w:val="18"/>
                <w:color w:val="auto"/>
              </w:rPr>
              <w:t>(Zip Code)</w:t>
            </w:r>
          </w:p>
        </w:tc>
        <w:tc>
          <w:tcPr>
            <w:tcW w:w="920" w:type="dxa"/>
            <w:vAlign w:val="bottom"/>
          </w:tcPr>
          <w:p>
            <w:pPr>
              <w:spacing w:after="0"/>
              <w:rPr>
                <w:sz w:val="19"/>
                <w:szCs w:val="19"/>
                <w:color w:val="auto"/>
              </w:rPr>
            </w:pPr>
          </w:p>
        </w:tc>
      </w:tr>
    </w:tbl>
    <w:p>
      <w:pPr>
        <w:spacing w:after="0" w:line="6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61379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4"/>
          <w:szCs w:val="24"/>
          <w:color w:val="auto"/>
        </w:rPr>
      </w:pPr>
    </w:p>
    <w:p>
      <w:pPr>
        <w:jc w:val="both"/>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59" w:lineRule="exact"/>
        <w:rPr>
          <w:sz w:val="24"/>
          <w:szCs w:val="24"/>
          <w:color w:val="auto"/>
        </w:rPr>
      </w:pPr>
    </w:p>
    <w:tbl>
      <w:tblPr>
        <w:tblLayout w:type="fixed"/>
        <w:tblInd w:w="130" w:type="dxa"/>
        <w:tblCellMar>
          <w:top w:w="0" w:type="dxa"/>
          <w:left w:w="0" w:type="dxa"/>
          <w:bottom w:w="0" w:type="dxa"/>
          <w:right w:w="0" w:type="dxa"/>
        </w:tblCellMar>
      </w:tblPr>
      <w:tr>
        <w:trPr>
          <w:trHeight w:val="243"/>
        </w:trPr>
        <w:tc>
          <w:tcPr>
            <w:tcW w:w="414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Title of each class</w:t>
            </w:r>
          </w:p>
        </w:tc>
        <w:tc>
          <w:tcPr>
            <w:tcW w:w="23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Trading Symbol(s)</w:t>
            </w:r>
          </w:p>
        </w:tc>
        <w:tc>
          <w:tcPr>
            <w:tcW w:w="458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Name of each exchange on which registered</w:t>
            </w:r>
          </w:p>
        </w:tc>
      </w:tr>
      <w:tr>
        <w:trPr>
          <w:trHeight w:val="250"/>
        </w:trPr>
        <w:tc>
          <w:tcPr>
            <w:tcW w:w="414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1"/>
                <w:szCs w:val="21"/>
                <w:color w:val="auto"/>
              </w:rPr>
            </w:pPr>
          </w:p>
        </w:tc>
      </w:tr>
    </w:tbl>
    <w:p>
      <w:pPr>
        <w:spacing w:after="0" w:line="80"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6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6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8" w:lineRule="auto"/>
        <w:rPr>
          <w:sz w:val="20"/>
          <w:szCs w:val="20"/>
          <w:color w:val="auto"/>
        </w:rPr>
      </w:pPr>
      <w:r>
        <w:rPr>
          <w:rFonts w:ascii="Arial" w:cs="Arial" w:eastAsia="Arial" w:hAnsi="Arial"/>
          <w:sz w:val="18"/>
          <w:szCs w:val="18"/>
          <w:color w:val="auto"/>
        </w:rPr>
        <w:t>______________</w:t>
      </w:r>
    </w:p>
    <w:p>
      <w:pPr>
        <w:jc w:val="both"/>
        <w:ind w:firstLine="8"/>
        <w:spacing w:after="0" w:line="247" w:lineRule="auto"/>
        <w:tabs>
          <w:tab w:leader="none" w:pos="194" w:val="left"/>
        </w:tabs>
        <w:numPr>
          <w:ilvl w:val="0"/>
          <w:numId w:val="2"/>
        </w:numPr>
        <w:rPr>
          <w:rFonts w:ascii="Arial" w:cs="Arial" w:eastAsia="Arial" w:hAnsi="Arial"/>
          <w:sz w:val="22"/>
          <w:szCs w:val="22"/>
          <w:color w:val="auto"/>
          <w:vertAlign w:val="superscript"/>
        </w:rPr>
      </w:pPr>
      <w:r>
        <w:rPr>
          <w:rFonts w:ascii="Arial" w:cs="Arial" w:eastAsia="Arial" w:hAnsi="Arial"/>
          <w:sz w:val="17"/>
          <w:szCs w:val="17"/>
          <w:color w:val="auto"/>
        </w:rPr>
        <w:t>On April 17, 2020, the New York Stock Exchange (the “NYSE”) filed a Form 25 (the “Form 25”) with the Securities and Exchange Commission. In accordance with Rule 12d2-2 of the Securities Exchange Act of 1934, as amended (the “Exchange Act”), the de-registration of our ordinary shares under Section 12(b) of the Exchange Act became effective on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780"/>
        <w:spacing w:after="0" w:line="237"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920" w:space="720"/>
            <w:col w:w="9600"/>
          </w:cols>
          <w:pgMar w:left="320" w:top="1026" w:right="3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Change in Control Severance Plan</w:t>
      </w:r>
    </w:p>
    <w:p>
      <w:pPr>
        <w:spacing w:after="0" w:line="22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November 17, 2020, the Board of Directors (the “Board”) of Weatherford International plc (the “Company”), upon the recommendation of the Compensation and Human Resources Committee of the Board (the “Committee”), adopted the Weatherford International plc Change in Control Severance Plan (the “Plan”).</w:t>
      </w:r>
    </w:p>
    <w:p>
      <w:pPr>
        <w:spacing w:after="0" w:line="16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The Plan will cover certain executive officers selected by the Committee and whose compensation is under the direct purview of the Committee, including our Chief Executive Officer, Girish K. Saligram, and our Chief Financial Officer, H. Keith Jennings. Executives who have existing change in control agreements, such as Karl Blanchard and Stuart Fraser will remain subject to their existing agreements. Under the Plan, participants will receive severance payments and benefits if they experience a termination of employment by the Company without “Cause” or by the participant for “Good Reason” (each as defined in the Plan) in the 6 months prior to or 12 months following a “Change in Control” (as defined in the Plan). Upon such a termination, participants will be able to receive (i) an amount equal to two (for participants with a title of Executive Vice President or above, including Messrs. Saligram and Jennings) or one (for other participants) times the sum of (x) the higher of the participant’s base salary in effect immediately prior to the Change in Control or the termination and (y) the participant’s target bonus, (ii) a prorated target annual bonus for the year of termination, (iii) two or one year(s) of continued health and welfare benefits and (iv) up to 6 months of outplacement services. In order to participate in the Plan, participants must execute the Company’s form Confidentiality and Restrictive Covenant Agreement, which provides for a 6-month post-termination non-competition covenant, 12-month post-termination non-solicitation of employees covenant and a perpetual non-disparagement covenant. The receipt of such severance payments and benefits is subject to the execution and non-revocation of a release of claims by the participant.</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foregoing summary is qualified in its entirety by the Plan, which is filed as Exhibit 10.1 to this Form 8-K and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Long-Term Cash Incentive Plan</w:t>
      </w:r>
    </w:p>
    <w:p>
      <w:pPr>
        <w:spacing w:after="0" w:line="22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November 17, 2020, the Board approved the form of award agreement for the long-term cash incentive award (an “LTCIP Award”) under the Company’s 2020 Long-Term Cash Incentive Plan (the “LTCIP”), which will be used for the LTCIP Awards to Messrs. Saligram and Jennings in the amounts set forth in their offer letters.</w:t>
      </w:r>
    </w:p>
    <w:p>
      <w:pPr>
        <w:spacing w:after="0" w:line="16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 Messrs. Saligram and Jennings, the time-based portion of the award vests in equal installments on each of December 31, 2020, 2021 and 2022, and the performance-based portion of the award vests upon the achievement of specified performance goals. The award agreement also provides that the time-based portion of the LTCIP Award will vest earlier upon a “covered termination,” which is defined as a termination without “cause”, a resignation for “good reason” (as such terms are defined in the Company’s Change in Control Severance Plan) or a termination due to death or disability.</w:t>
      </w:r>
    </w:p>
    <w:p>
      <w:pPr>
        <w:spacing w:after="0" w:line="15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foregoing summary is qualified in its entirety by the LTCIP Award, which is filed as Exhibit 10.2 to this Form 8-K and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Forms of Award Agreement</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November 17, 2020, the Board approved the forms of restricted share unit award agreement and performance share unit award agreement for senior executives under the Company’s Amended and Restated 2019 Equity Incentive Plan.</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foregoing summary is qualified in its entirety by the forms of award agreement, which are filed as Exhibits 10.3 and 10.4, respectively, to this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9.01</w:t>
            </w:r>
          </w:p>
        </w:tc>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46"/>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w:t>
            </w:r>
          </w:p>
        </w:tc>
        <w:tc>
          <w:tcPr>
            <w:tcW w:w="960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553"/>
        </w:trPr>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Exhibit Number</w:t>
            </w:r>
          </w:p>
        </w:tc>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22"/>
        </w:trPr>
        <w:tc>
          <w:tcPr>
            <w:tcW w:w="1540" w:type="dxa"/>
            <w:vAlign w:val="bottom"/>
            <w:tcBorders>
              <w:top w:val="single" w:sz="8" w:color="auto"/>
            </w:tcBorders>
          </w:tcPr>
          <w:p>
            <w:pPr>
              <w:jc w:val="center"/>
              <w:spacing w:after="0"/>
              <w:rPr>
                <w:rFonts w:ascii="Arial" w:cs="Arial" w:eastAsia="Arial" w:hAnsi="Arial"/>
                <w:sz w:val="18"/>
                <w:szCs w:val="18"/>
                <w:u w:val="single" w:color="auto"/>
                <w:color w:val="0000FF"/>
                <w:w w:val="85"/>
              </w:rPr>
            </w:pPr>
            <w:hyperlink w:anchor="page5">
              <w:r>
                <w:rPr>
                  <w:rFonts w:ascii="Arial" w:cs="Arial" w:eastAsia="Arial" w:hAnsi="Arial"/>
                  <w:sz w:val="18"/>
                  <w:szCs w:val="18"/>
                  <w:u w:val="single" w:color="auto"/>
                  <w:color w:val="0000FF"/>
                  <w:w w:val="85"/>
                </w:rPr>
                <w:t>10.1</w:t>
              </w:r>
            </w:hyperlink>
          </w:p>
        </w:tc>
        <w:tc>
          <w:tcPr>
            <w:tcW w:w="100" w:type="dxa"/>
            <w:vAlign w:val="bottom"/>
          </w:tcPr>
          <w:p>
            <w:pPr>
              <w:spacing w:after="0"/>
              <w:rPr>
                <w:sz w:val="19"/>
                <w:szCs w:val="19"/>
                <w:color w:val="auto"/>
              </w:rPr>
            </w:pPr>
          </w:p>
        </w:tc>
        <w:tc>
          <w:tcPr>
            <w:tcW w:w="9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Weatherford International Change in Control Severance Plan</w:t>
            </w:r>
          </w:p>
        </w:tc>
      </w:tr>
      <w:tr>
        <w:trPr>
          <w:trHeight w:val="230"/>
        </w:trPr>
        <w:tc>
          <w:tcPr>
            <w:tcW w:w="1540" w:type="dxa"/>
            <w:vAlign w:val="bottom"/>
          </w:tcPr>
          <w:p>
            <w:pPr>
              <w:jc w:val="center"/>
              <w:spacing w:after="0"/>
              <w:rPr>
                <w:rFonts w:ascii="Arial" w:cs="Arial" w:eastAsia="Arial" w:hAnsi="Arial"/>
                <w:sz w:val="18"/>
                <w:szCs w:val="18"/>
                <w:u w:val="single" w:color="auto"/>
                <w:color w:val="0000FF"/>
                <w:w w:val="85"/>
              </w:rPr>
            </w:pPr>
            <w:hyperlink w:anchor="page18">
              <w:r>
                <w:rPr>
                  <w:rFonts w:ascii="Arial" w:cs="Arial" w:eastAsia="Arial" w:hAnsi="Arial"/>
                  <w:sz w:val="18"/>
                  <w:szCs w:val="18"/>
                  <w:u w:val="single" w:color="auto"/>
                  <w:color w:val="0000FF"/>
                  <w:w w:val="85"/>
                </w:rPr>
                <w:t>10.2</w:t>
              </w:r>
            </w:hyperlink>
          </w:p>
        </w:tc>
        <w:tc>
          <w:tcPr>
            <w:tcW w:w="100" w:type="dxa"/>
            <w:vAlign w:val="bottom"/>
          </w:tcPr>
          <w:p>
            <w:pPr>
              <w:spacing w:after="0"/>
              <w:rPr>
                <w:sz w:val="19"/>
                <w:szCs w:val="19"/>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Form of Long-Term Cash Incentive Plan Award Agreement</w:t>
            </w:r>
          </w:p>
        </w:tc>
      </w:tr>
      <w:tr>
        <w:trPr>
          <w:trHeight w:val="229"/>
        </w:trPr>
        <w:tc>
          <w:tcPr>
            <w:tcW w:w="1540" w:type="dxa"/>
            <w:vAlign w:val="bottom"/>
          </w:tcPr>
          <w:p>
            <w:pPr>
              <w:jc w:val="center"/>
              <w:spacing w:after="0"/>
              <w:rPr>
                <w:rFonts w:ascii="Arial" w:cs="Arial" w:eastAsia="Arial" w:hAnsi="Arial"/>
                <w:sz w:val="18"/>
                <w:szCs w:val="18"/>
                <w:u w:val="single" w:color="auto"/>
                <w:color w:val="0000FF"/>
                <w:w w:val="85"/>
              </w:rPr>
            </w:pPr>
            <w:hyperlink w:anchor="page22">
              <w:r>
                <w:rPr>
                  <w:rFonts w:ascii="Arial" w:cs="Arial" w:eastAsia="Arial" w:hAnsi="Arial"/>
                  <w:sz w:val="18"/>
                  <w:szCs w:val="18"/>
                  <w:u w:val="single" w:color="auto"/>
                  <w:color w:val="0000FF"/>
                  <w:w w:val="85"/>
                </w:rPr>
                <w:t>10.3</w:t>
              </w:r>
            </w:hyperlink>
          </w:p>
        </w:tc>
        <w:tc>
          <w:tcPr>
            <w:tcW w:w="100" w:type="dxa"/>
            <w:vAlign w:val="bottom"/>
          </w:tcPr>
          <w:p>
            <w:pPr>
              <w:spacing w:after="0"/>
              <w:rPr>
                <w:sz w:val="19"/>
                <w:szCs w:val="19"/>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Form of Restricted Share Unit Award Agreement</w:t>
            </w:r>
          </w:p>
        </w:tc>
      </w:tr>
      <w:tr>
        <w:trPr>
          <w:trHeight w:val="229"/>
        </w:trPr>
        <w:tc>
          <w:tcPr>
            <w:tcW w:w="1540" w:type="dxa"/>
            <w:vAlign w:val="bottom"/>
          </w:tcPr>
          <w:p>
            <w:pPr>
              <w:jc w:val="center"/>
              <w:spacing w:after="0"/>
              <w:rPr>
                <w:rFonts w:ascii="Arial" w:cs="Arial" w:eastAsia="Arial" w:hAnsi="Arial"/>
                <w:sz w:val="18"/>
                <w:szCs w:val="18"/>
                <w:u w:val="single" w:color="auto"/>
                <w:color w:val="0000FF"/>
                <w:w w:val="85"/>
              </w:rPr>
            </w:pPr>
            <w:hyperlink w:anchor="page34">
              <w:r>
                <w:rPr>
                  <w:rFonts w:ascii="Arial" w:cs="Arial" w:eastAsia="Arial" w:hAnsi="Arial"/>
                  <w:sz w:val="18"/>
                  <w:szCs w:val="18"/>
                  <w:u w:val="single" w:color="auto"/>
                  <w:color w:val="0000FF"/>
                  <w:w w:val="85"/>
                </w:rPr>
                <w:t>10.4</w:t>
              </w:r>
            </w:hyperlink>
          </w:p>
        </w:tc>
        <w:tc>
          <w:tcPr>
            <w:tcW w:w="100" w:type="dxa"/>
            <w:vAlign w:val="bottom"/>
          </w:tcPr>
          <w:p>
            <w:pPr>
              <w:spacing w:after="0"/>
              <w:rPr>
                <w:sz w:val="19"/>
                <w:szCs w:val="19"/>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Form of Performance Share Unit Award Agreement</w:t>
            </w:r>
          </w:p>
        </w:tc>
      </w:tr>
      <w:tr>
        <w:trPr>
          <w:trHeight w:val="230"/>
        </w:trPr>
        <w:tc>
          <w:tcPr>
            <w:tcW w:w="154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22"/>
        </w:trPr>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20, 2020</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14605</wp:posOffset>
            </wp:positionV>
            <wp:extent cx="3780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Scott C. Weatherholt</w:t>
      </w:r>
    </w:p>
    <w:p>
      <w:pPr>
        <w:spacing w:after="0" w:line="7" w:lineRule="exact"/>
        <w:rPr>
          <w:sz w:val="20"/>
          <w:szCs w:val="20"/>
          <w:color w:val="auto"/>
        </w:rPr>
      </w:pPr>
    </w:p>
    <w:p>
      <w:pPr>
        <w:jc w:val="center"/>
        <w:ind w:left="4340"/>
        <w:spacing w:after="0"/>
        <w:rPr>
          <w:sz w:val="20"/>
          <w:szCs w:val="20"/>
          <w:color w:val="auto"/>
        </w:rPr>
      </w:pPr>
      <w:r>
        <w:rPr>
          <w:rFonts w:ascii="Arial" w:cs="Arial" w:eastAsia="Arial" w:hAnsi="Arial"/>
          <w:sz w:val="18"/>
          <w:szCs w:val="18"/>
          <w:color w:val="auto"/>
        </w:rPr>
        <w:t>Executive Vice President, General Counsel and</w:t>
      </w:r>
    </w:p>
    <w:p>
      <w:pPr>
        <w:jc w:val="center"/>
        <w:ind w:left="4340"/>
        <w:spacing w:after="0"/>
        <w:rPr>
          <w:sz w:val="20"/>
          <w:szCs w:val="20"/>
          <w:color w:val="auto"/>
        </w:rPr>
      </w:pPr>
      <w:r>
        <w:rPr>
          <w:rFonts w:ascii="Arial" w:cs="Arial" w:eastAsia="Arial" w:hAnsi="Arial"/>
          <w:sz w:val="18"/>
          <w:szCs w:val="18"/>
          <w:color w:val="auto"/>
        </w:rPr>
        <w:t>Chief Compliance Officer</w:t>
      </w:r>
    </w:p>
    <w:p>
      <w:pPr>
        <w:sectPr>
          <w:pgSz w:w="11900" w:h="16838" w:orient="portrait"/>
          <w:cols w:equalWidth="0" w:num="1">
            <w:col w:w="11200"/>
          </w:cols>
          <w:pgMar w:left="320" w:top="89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SEVERANCE PLAN</w:t>
      </w:r>
    </w:p>
    <w:p>
      <w:pPr>
        <w:spacing w:after="0" w:line="27" w:lineRule="exact"/>
        <w:rPr>
          <w:sz w:val="20"/>
          <w:szCs w:val="20"/>
          <w:color w:val="auto"/>
        </w:rPr>
      </w:pPr>
    </w:p>
    <w:p>
      <w:pPr>
        <w:ind w:right="460" w:firstLine="1296"/>
        <w:spacing w:after="0" w:line="24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Weatherford International plc (the “</w:t>
      </w:r>
      <w:r>
        <w:rPr>
          <w:rFonts w:ascii="Arial" w:cs="Arial" w:eastAsia="Arial" w:hAnsi="Arial"/>
          <w:sz w:val="22"/>
          <w:szCs w:val="22"/>
          <w:b w:val="1"/>
          <w:bCs w:val="1"/>
          <w:color w:val="auto"/>
        </w:rPr>
        <w:t>Company</w:t>
      </w:r>
      <w:r>
        <w:rPr>
          <w:rFonts w:ascii="Arial" w:cs="Arial" w:eastAsia="Arial" w:hAnsi="Arial"/>
          <w:sz w:val="22"/>
          <w:szCs w:val="22"/>
          <w:color w:val="auto"/>
        </w:rPr>
        <w:t>”) considers it essential to the best interests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stockholders to foster the continued employment of its executives; and</w:t>
      </w:r>
    </w:p>
    <w:p>
      <w:pPr>
        <w:spacing w:after="0" w:line="186" w:lineRule="exact"/>
        <w:rPr>
          <w:sz w:val="20"/>
          <w:szCs w:val="20"/>
          <w:color w:val="auto"/>
        </w:rPr>
      </w:pPr>
    </w:p>
    <w:p>
      <w:pPr>
        <w:ind w:right="280" w:firstLine="1296"/>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has determined to adopt this Weatherford</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plc Change in Control Severance Plan (this “</w:t>
      </w:r>
      <w:r>
        <w:rPr>
          <w:rFonts w:ascii="Arial" w:cs="Arial" w:eastAsia="Arial" w:hAnsi="Arial"/>
          <w:sz w:val="22"/>
          <w:szCs w:val="22"/>
          <w:b w:val="1"/>
          <w:bCs w:val="1"/>
          <w:color w:val="auto"/>
        </w:rPr>
        <w:t>Plan</w:t>
      </w:r>
      <w:r>
        <w:rPr>
          <w:rFonts w:ascii="Arial" w:cs="Arial" w:eastAsia="Arial" w:hAnsi="Arial"/>
          <w:sz w:val="22"/>
          <w:szCs w:val="22"/>
          <w:color w:val="auto"/>
        </w:rPr>
        <w:t>”) to reinforce and encourage the continued attention and dedication of the Company’s executives to their assigned duties without distraction in the face of the possibility of a Change in Control.</w:t>
      </w:r>
    </w:p>
    <w:p>
      <w:pPr>
        <w:spacing w:after="0" w:line="180" w:lineRule="exact"/>
        <w:rPr>
          <w:sz w:val="20"/>
          <w:szCs w:val="20"/>
          <w:color w:val="auto"/>
        </w:rPr>
      </w:pPr>
    </w:p>
    <w:p>
      <w:pPr>
        <w:ind w:right="60" w:firstLine="1296"/>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Board hereby adopts this Plan as of November 17, 2020 (the “</w:t>
      </w:r>
      <w:r>
        <w:rPr>
          <w:rFonts w:ascii="Arial" w:cs="Arial" w:eastAsia="Arial" w:hAnsi="Arial"/>
          <w:sz w:val="22"/>
          <w:szCs w:val="22"/>
          <w:b w:val="1"/>
          <w:bCs w:val="1"/>
          <w:color w:val="auto"/>
        </w:rPr>
        <w:t>Effective Date</w:t>
      </w:r>
      <w:r>
        <w:rPr>
          <w:rFonts w:ascii="Arial" w:cs="Arial" w:eastAsia="Arial" w:hAnsi="Arial"/>
          <w:sz w:val="22"/>
          <w:szCs w:val="22"/>
          <w:color w:val="auto"/>
        </w:rPr>
        <w: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the Company’s executives on the terms and conditions hereinafter stated.</w:t>
      </w:r>
    </w:p>
    <w:p>
      <w:pPr>
        <w:spacing w:after="0" w:line="16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As hereinafter used:</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AAA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w:t>
      </w:r>
    </w:p>
    <w:p>
      <w:pPr>
        <w:spacing w:after="0" w:line="220" w:lineRule="exact"/>
        <w:rPr>
          <w:sz w:val="20"/>
          <w:szCs w:val="20"/>
          <w:color w:val="auto"/>
        </w:rPr>
      </w:pPr>
    </w:p>
    <w:p>
      <w:pPr>
        <w:ind w:right="44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Accrued Obligations</w:t>
      </w:r>
      <w:r>
        <w:rPr>
          <w:rFonts w:ascii="Arial" w:cs="Arial" w:eastAsia="Arial" w:hAnsi="Arial"/>
          <w:sz w:val="22"/>
          <w:szCs w:val="22"/>
          <w:color w:val="auto"/>
        </w:rPr>
        <w:t>” shall mean the sum of (i) the Participant’s Base Salary through the Employment Termination Date for periods through but not following his or her Separation From Service and (ii) any accrued vacation pay earned by the Participant, in each case, to the extent not theretofore paid.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have the meaning set forth in Rule 12b-2 of the Exchange Act.</w:t>
      </w:r>
    </w:p>
    <w:p>
      <w:pPr>
        <w:spacing w:after="0" w:line="220" w:lineRule="exact"/>
        <w:rPr>
          <w:sz w:val="20"/>
          <w:szCs w:val="20"/>
          <w:color w:val="auto"/>
        </w:rPr>
      </w:pPr>
    </w:p>
    <w:p>
      <w:pPr>
        <w:ind w:right="98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Bonus</w:t>
      </w:r>
      <w:r>
        <w:rPr>
          <w:rFonts w:ascii="Arial" w:cs="Arial" w:eastAsia="Arial" w:hAnsi="Arial"/>
          <w:sz w:val="22"/>
          <w:szCs w:val="22"/>
          <w:color w:val="auto"/>
        </w:rPr>
        <w:t>” shall mean the Participant’s annual bonus under the then-current non-equity incentive compensation plan of the Company and any of its Affiliates.</w:t>
      </w:r>
    </w:p>
    <w:p>
      <w:pPr>
        <w:spacing w:after="0" w:line="162" w:lineRule="exact"/>
        <w:rPr>
          <w:sz w:val="20"/>
          <w:szCs w:val="20"/>
          <w:color w:val="auto"/>
        </w:rPr>
      </w:pPr>
    </w:p>
    <w:p>
      <w:pPr>
        <w:ind w:right="10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Multiple</w:t>
      </w:r>
      <w:r>
        <w:rPr>
          <w:rFonts w:ascii="Arial" w:cs="Arial" w:eastAsia="Arial" w:hAnsi="Arial"/>
          <w:sz w:val="22"/>
          <w:szCs w:val="22"/>
          <w:color w:val="auto"/>
        </w:rPr>
        <w:t>” shall mean (i) two times for the Chief Executive Officer and Executive Vice Presidents of the Company and (ii) one times for other Participants.</w:t>
      </w:r>
    </w:p>
    <w:p>
      <w:pPr>
        <w:spacing w:after="0" w:line="162" w:lineRule="exact"/>
        <w:rPr>
          <w:sz w:val="20"/>
          <w:szCs w:val="20"/>
          <w:color w:val="auto"/>
        </w:rPr>
      </w:pPr>
    </w:p>
    <w:p>
      <w:pPr>
        <w:ind w:right="28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shall mean the annual base salary paid by the Company or any of its Affiliates to the Participant, including any portion thereof that such Participant could have received in cash in lieu of any elective deferrals, but excluding amounts received under any non-equity incentive or other bonus plan.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of the Exchange Act.</w:t>
      </w:r>
    </w:p>
    <w:p>
      <w:pPr>
        <w:spacing w:after="0" w:line="220" w:lineRule="exact"/>
        <w:rPr>
          <w:sz w:val="20"/>
          <w:szCs w:val="20"/>
          <w:color w:val="auto"/>
        </w:rPr>
      </w:pPr>
    </w:p>
    <w:p>
      <w:pPr>
        <w:ind w:right="180"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Obligations</w:t>
      </w:r>
      <w:r>
        <w:rPr>
          <w:rFonts w:ascii="Arial" w:cs="Arial" w:eastAsia="Arial" w:hAnsi="Arial"/>
          <w:sz w:val="22"/>
          <w:szCs w:val="22"/>
          <w:color w:val="auto"/>
        </w:rPr>
        <w:t>” shall mean all benefits to which the Participant (or his or her designated beneficiary or legal representative, as applicable) is entitled or vested (or becomes entitled or vested as a result of termination) under the terms of all Benefit Plans in which the Participant is a participant as of the Participant’s termination of employment and to the extent not theretofore paid or provided.</w:t>
      </w:r>
    </w:p>
    <w:p>
      <w:pPr>
        <w:sectPr>
          <w:pgSz w:w="11900" w:h="16838" w:orient="portrait"/>
          <w:cols w:equalWidth="0" w:num="1">
            <w:col w:w="11240"/>
          </w:cols>
          <w:pgMar w:left="320" w:top="126" w:right="339" w:bottom="1440" w:gutter="0" w:footer="0" w:header="0"/>
        </w:sectPr>
      </w:pPr>
    </w:p>
    <w:bookmarkStart w:id="5" w:name="page6"/>
    <w:bookmarkEnd w:id="5"/>
    <w:p>
      <w:pPr>
        <w:ind w:right="24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Plans</w:t>
      </w:r>
      <w:r>
        <w:rPr>
          <w:rFonts w:ascii="Arial" w:cs="Arial" w:eastAsia="Arial" w:hAnsi="Arial"/>
          <w:sz w:val="22"/>
          <w:szCs w:val="22"/>
          <w:color w:val="auto"/>
        </w:rPr>
        <w:t>” shall mean all employee benefit and compensation plans, agreements, arrangements, programs, policies, practices, contracts or agreement of the Company and its Affiliates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have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the occurrence of any of the following:</w:t>
      </w:r>
    </w:p>
    <w:p>
      <w:pPr>
        <w:spacing w:after="0" w:line="226" w:lineRule="exact"/>
        <w:rPr>
          <w:sz w:val="20"/>
          <w:szCs w:val="20"/>
          <w:color w:val="auto"/>
        </w:rPr>
      </w:pPr>
    </w:p>
    <w:p>
      <w:pPr>
        <w:ind w:right="60" w:firstLine="1304"/>
        <w:spacing w:after="0" w:line="297" w:lineRule="auto"/>
        <w:tabs>
          <w:tab w:leader="none" w:pos="1932"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willful and continued failure of the Participant to substantially perform the Participant’s duties with the Company (other than any such failure resulting from incapacity due to physical or mental illness), after a written demand for substantial performance is delivered to the Participant by the Company that specifically identifies the manner in which the Participant has not substantially performed the Participant’s duties, and after the Participant fails to take the corrective action(s) identified by the Company after being given a reasonable period of time of no less than 10 days to do so;</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Participant willfully engaging in illegal conduct;</w:t>
      </w:r>
    </w:p>
    <w:p>
      <w:pPr>
        <w:spacing w:after="0" w:line="219" w:lineRule="exact"/>
        <w:rPr>
          <w:rFonts w:ascii="Arial" w:cs="Arial" w:eastAsia="Arial" w:hAnsi="Arial"/>
          <w:sz w:val="22"/>
          <w:szCs w:val="22"/>
          <w:color w:val="auto"/>
        </w:rPr>
      </w:pPr>
    </w:p>
    <w:p>
      <w:pPr>
        <w:ind w:firstLine="1304"/>
        <w:spacing w:after="0" w:line="263" w:lineRule="auto"/>
        <w:tabs>
          <w:tab w:leader="none" w:pos="194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Participant willfully engaging in gross misconduct that results or could reasonably be expected to result in harm to the Company’s or any of its Affiliates’ business or reputation;</w:t>
      </w:r>
    </w:p>
    <w:p>
      <w:pPr>
        <w:spacing w:after="0" w:line="174" w:lineRule="exact"/>
        <w:rPr>
          <w:rFonts w:ascii="Arial" w:cs="Arial" w:eastAsia="Arial" w:hAnsi="Arial"/>
          <w:sz w:val="22"/>
          <w:szCs w:val="22"/>
          <w:color w:val="auto"/>
        </w:rPr>
      </w:pPr>
    </w:p>
    <w:p>
      <w:pPr>
        <w:jc w:val="both"/>
        <w:ind w:right="60" w:firstLine="1304"/>
        <w:spacing w:after="0" w:line="253" w:lineRule="auto"/>
        <w:tabs>
          <w:tab w:leader="none" w:pos="193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Participant’s material breach of any written agreements with or material policies of the Company or its Affiliates, including, but not limited to, those relating to discrimination, harassment, performance of illegal or unethical activities and ethical misconduct; or</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Participant’s violation of any fiduciary duty or duty of loyalty owed to the Company or any of its</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Affiliates.</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color w:val="auto"/>
        </w:rPr>
        <w:t>No act, or failure to act, on the part of the Participant shall be considered “</w:t>
      </w:r>
      <w:r>
        <w:rPr>
          <w:rFonts w:ascii="Arial" w:cs="Arial" w:eastAsia="Arial" w:hAnsi="Arial"/>
          <w:sz w:val="22"/>
          <w:szCs w:val="22"/>
          <w:b w:val="1"/>
          <w:bCs w:val="1"/>
          <w:color w:val="auto"/>
        </w:rPr>
        <w:t>willful</w:t>
      </w:r>
      <w:r>
        <w:rPr>
          <w:rFonts w:ascii="Arial" w:cs="Arial" w:eastAsia="Arial" w:hAnsi="Arial"/>
          <w:sz w:val="22"/>
          <w:szCs w:val="22"/>
          <w:color w:val="auto"/>
        </w:rPr>
        <w:t>” unless it is done, or omitted to be done, by the Participant in bad faith or without reasonable belief that the Participant’s action or omission was in the best interests of the Company.</w:t>
      </w:r>
    </w:p>
    <w:p>
      <w:pPr>
        <w:spacing w:after="0" w:line="176" w:lineRule="exact"/>
        <w:rPr>
          <w:sz w:val="20"/>
          <w:szCs w:val="20"/>
          <w:color w:val="auto"/>
        </w:rPr>
      </w:pPr>
    </w:p>
    <w:p>
      <w:pPr>
        <w:ind w:right="84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be deemed to have occurred if any event set forth in any one of the following paragraphs shall have occurred:</w:t>
      </w:r>
    </w:p>
    <w:p>
      <w:pPr>
        <w:spacing w:after="0" w:line="168" w:lineRule="exact"/>
        <w:rPr>
          <w:sz w:val="20"/>
          <w:szCs w:val="20"/>
          <w:color w:val="auto"/>
        </w:rPr>
      </w:pPr>
    </w:p>
    <w:p>
      <w:pPr>
        <w:ind w:right="160" w:firstLine="1304"/>
        <w:spacing w:after="0" w:line="263" w:lineRule="auto"/>
        <w:tabs>
          <w:tab w:leader="none" w:pos="1932" w:val="left"/>
        </w:tabs>
        <w:numPr>
          <w:ilvl w:val="0"/>
          <w:numId w:val="4"/>
        </w:numPr>
        <w:rPr>
          <w:rFonts w:ascii="Arial" w:cs="Arial" w:eastAsia="Arial" w:hAnsi="Arial"/>
          <w:sz w:val="21"/>
          <w:szCs w:val="21"/>
          <w:color w:val="auto"/>
        </w:rPr>
      </w:pPr>
      <w:r>
        <w:rPr>
          <w:rFonts w:ascii="Arial" w:cs="Arial" w:eastAsia="Arial" w:hAnsi="Arial"/>
          <w:sz w:val="21"/>
          <w:szCs w:val="21"/>
          <w:color w:val="auto"/>
        </w:rPr>
        <w:t>any Person is or becomes the Beneficial Owner, directly or indirectly, of 50% or more of either (A) the then outstanding ordinary shares of the Company (the “</w:t>
      </w:r>
      <w:r>
        <w:rPr>
          <w:rFonts w:ascii="Arial" w:cs="Arial" w:eastAsia="Arial" w:hAnsi="Arial"/>
          <w:sz w:val="21"/>
          <w:szCs w:val="21"/>
          <w:b w:val="1"/>
          <w:bCs w:val="1"/>
          <w:color w:val="auto"/>
        </w:rPr>
        <w:t>Outstanding Ordinary Shares</w:t>
      </w:r>
      <w:r>
        <w:rPr>
          <w:rFonts w:ascii="Arial" w:cs="Arial" w:eastAsia="Arial" w:hAnsi="Arial"/>
          <w:sz w:val="21"/>
          <w:szCs w:val="21"/>
          <w:color w:val="auto"/>
        </w:rPr>
        <w:t>”) or (B) the combined voting power of the then outstanding voting securities of the Company entitled to vote generally in the election of directors (the “</w:t>
      </w:r>
      <w:r>
        <w:rPr>
          <w:rFonts w:ascii="Arial" w:cs="Arial" w:eastAsia="Arial" w:hAnsi="Arial"/>
          <w:sz w:val="21"/>
          <w:szCs w:val="21"/>
          <w:b w:val="1"/>
          <w:bCs w:val="1"/>
          <w:color w:val="auto"/>
        </w:rPr>
        <w:t>Outstanding</w:t>
      </w:r>
      <w:r>
        <w:rPr>
          <w:rFonts w:ascii="Arial" w:cs="Arial" w:eastAsia="Arial" w:hAnsi="Arial"/>
          <w:sz w:val="21"/>
          <w:szCs w:val="21"/>
          <w:color w:val="auto"/>
        </w:rPr>
        <w:t xml:space="preserve"> </w:t>
      </w:r>
      <w:r>
        <w:rPr>
          <w:rFonts w:ascii="Arial" w:cs="Arial" w:eastAsia="Arial" w:hAnsi="Arial"/>
          <w:sz w:val="21"/>
          <w:szCs w:val="21"/>
          <w:b w:val="1"/>
          <w:bCs w:val="1"/>
          <w:color w:val="auto"/>
        </w:rPr>
        <w:t>Voting Securities</w:t>
      </w:r>
      <w:r>
        <w:rPr>
          <w:rFonts w:ascii="Arial" w:cs="Arial" w:eastAsia="Arial" w:hAnsi="Arial"/>
          <w:sz w:val="21"/>
          <w:szCs w:val="21"/>
          <w:color w:val="auto"/>
        </w:rPr>
        <w:t>”), excluding any Specified Holder or any Person who becomes such a Beneficial Owner in connection with a</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 that complies with clauses (A), (B) and (C) of paragraph (iii) below;</w:t>
      </w:r>
    </w:p>
    <w:p>
      <w:pPr>
        <w:spacing w:after="0" w:line="169" w:lineRule="exact"/>
        <w:rPr>
          <w:rFonts w:ascii="Arial" w:cs="Arial" w:eastAsia="Arial" w:hAnsi="Arial"/>
          <w:sz w:val="21"/>
          <w:szCs w:val="21"/>
          <w:color w:val="auto"/>
        </w:rPr>
      </w:pPr>
    </w:p>
    <w:p>
      <w:pPr>
        <w:ind w:right="20" w:firstLine="1304"/>
        <w:spacing w:after="0" w:line="256" w:lineRule="auto"/>
        <w:tabs>
          <w:tab w:leader="none" w:pos="1938" w:val="left"/>
        </w:tabs>
        <w:numPr>
          <w:ilvl w:val="0"/>
          <w:numId w:val="4"/>
        </w:numPr>
        <w:rPr>
          <w:rFonts w:ascii="Arial" w:cs="Arial" w:eastAsia="Arial" w:hAnsi="Arial"/>
          <w:sz w:val="22"/>
          <w:szCs w:val="22"/>
          <w:color w:val="auto"/>
        </w:rPr>
      </w:pPr>
      <w:r>
        <w:rPr>
          <w:rFonts w:ascii="Arial" w:cs="Arial" w:eastAsia="Arial" w:hAnsi="Arial"/>
          <w:sz w:val="22"/>
          <w:szCs w:val="22"/>
          <w:color w:val="auto"/>
        </w:rPr>
        <w:t>individuals, who, as of the Effective Date, constitute the Board (the “</w:t>
      </w:r>
      <w:r>
        <w:rPr>
          <w:rFonts w:ascii="Arial" w:cs="Arial" w:eastAsia="Arial" w:hAnsi="Arial"/>
          <w:sz w:val="22"/>
          <w:szCs w:val="22"/>
          <w:b w:val="1"/>
          <w:bCs w:val="1"/>
          <w:color w:val="auto"/>
        </w:rPr>
        <w:t>Incumbent Board</w:t>
      </w:r>
      <w:r>
        <w:rPr>
          <w:rFonts w:ascii="Arial" w:cs="Arial" w:eastAsia="Arial" w:hAnsi="Arial"/>
          <w:sz w:val="22"/>
          <w:szCs w:val="22"/>
          <w:color w:val="auto"/>
        </w:rPr>
        <w:t xml:space="preserve">”) cease for any reason to constitute at least a majority of the Board;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any individual becoming a director subsequent to the Effective Date</w:t>
      </w:r>
    </w:p>
    <w:p>
      <w:pPr>
        <w:sectPr>
          <w:pgSz w:w="11900" w:h="16838" w:orient="portrait"/>
          <w:cols w:equalWidth="0" w:num="1">
            <w:col w:w="11220"/>
          </w:cols>
          <w:pgMar w:left="320" w:top="1341" w:right="359" w:bottom="1440" w:gutter="0" w:footer="0" w:header="0"/>
        </w:sectPr>
      </w:pPr>
    </w:p>
    <w:bookmarkStart w:id="6" w:name="page7"/>
    <w:bookmarkEnd w:id="6"/>
    <w:p>
      <w:pPr>
        <w:ind w:right="100"/>
        <w:spacing w:after="0" w:line="248" w:lineRule="auto"/>
        <w:rPr>
          <w:sz w:val="20"/>
          <w:szCs w:val="20"/>
          <w:color w:val="auto"/>
        </w:rPr>
      </w:pPr>
      <w:r>
        <w:rPr>
          <w:rFonts w:ascii="Arial" w:cs="Arial" w:eastAsia="Arial" w:hAnsi="Arial"/>
          <w:sz w:val="22"/>
          <w:szCs w:val="22"/>
          <w:color w:val="auto"/>
        </w:rPr>
        <w:t>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spacing w:after="0" w:line="192" w:lineRule="exact"/>
        <w:rPr>
          <w:sz w:val="20"/>
          <w:szCs w:val="20"/>
          <w:color w:val="auto"/>
        </w:rPr>
      </w:pPr>
    </w:p>
    <w:p>
      <w:pPr>
        <w:ind w:firstLine="1304"/>
        <w:spacing w:after="0" w:line="285" w:lineRule="auto"/>
        <w:tabs>
          <w:tab w:leader="none" w:pos="1944"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9"/>
          <w:szCs w:val="19"/>
          <w:b w:val="1"/>
          <w:bCs w:val="1"/>
          <w:color w:val="auto"/>
        </w:rPr>
        <w:t>Corporate Transaction</w:t>
      </w:r>
      <w:r>
        <w:rPr>
          <w:rFonts w:ascii="Arial" w:cs="Arial" w:eastAsia="Arial" w:hAnsi="Arial"/>
          <w:sz w:val="19"/>
          <w:szCs w:val="19"/>
          <w:color w:val="auto"/>
        </w:rPr>
        <w:t>”), unless, following such Corporate Transaction or series of related Corporate Transactions, as the case may be, (A) all of the individuals and entities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employee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r>
        <w:rPr>
          <w:rFonts w:ascii="Arial" w:cs="Arial" w:eastAsia="Arial" w:hAnsi="Arial"/>
          <w:sz w:val="17"/>
          <w:szCs w:val="17"/>
          <w:color w:val="auto"/>
        </w:rPr>
        <w:t>.</w:t>
      </w:r>
    </w:p>
    <w:p>
      <w:pPr>
        <w:spacing w:after="0" w:line="200" w:lineRule="exact"/>
        <w:rPr>
          <w:sz w:val="20"/>
          <w:szCs w:val="20"/>
          <w:color w:val="auto"/>
        </w:rPr>
      </w:pPr>
    </w:p>
    <w:p>
      <w:pPr>
        <w:spacing w:after="0" w:line="219" w:lineRule="exact"/>
        <w:rPr>
          <w:sz w:val="20"/>
          <w:szCs w:val="20"/>
          <w:color w:val="auto"/>
        </w:rPr>
      </w:pPr>
    </w:p>
    <w:p>
      <w:pPr>
        <w:ind w:right="3120"/>
        <w:spacing w:after="0" w:line="291" w:lineRule="auto"/>
        <w:rPr>
          <w:sz w:val="20"/>
          <w:szCs w:val="20"/>
          <w:color w:val="auto"/>
        </w:rPr>
      </w:pPr>
      <w:r>
        <w:rPr>
          <w:rFonts w:ascii="Arial" w:cs="Arial" w:eastAsia="Arial" w:hAnsi="Arial"/>
          <w:sz w:val="19"/>
          <w:szCs w:val="19"/>
          <w:color w:val="auto"/>
        </w:rPr>
        <w:t>Notwithstanding the foregoing, no Change in Control shall be deemed to have occurred (1) in connection with a bankruptcy pursuant to Chapter 7 or Chapter 11 of the United States</w:t>
      </w:r>
    </w:p>
    <w:p>
      <w:pPr>
        <w:spacing w:after="0" w:line="1"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Bankruptcy Code or upon consummation of a Restructuring, (2) if it is effected solely for the purpose of changing the place of incorporation or formation, tax residency or form of organization of the ultimate parent entity of the Company and its Affiliates (including where the Company is succeeded by an entity incorporated under the laws of another state, country or foreign government for such purpose and whether or not the Company remains in existence following such transaction) or (3)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ectPr>
          <w:pgSz w:w="11900" w:h="16838" w:orient="portrait"/>
          <w:cols w:equalWidth="0" w:num="1">
            <w:col w:w="11220"/>
          </w:cols>
          <w:pgMar w:left="320" w:top="1347" w:right="359" w:bottom="1440" w:gutter="0" w:footer="0" w:header="0"/>
        </w:sectPr>
      </w:pPr>
    </w:p>
    <w:bookmarkStart w:id="7" w:name="page8"/>
    <w:bookmarkEnd w:id="7"/>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shall mean the Compensation and Human Resources Committee of the Board.</w:t>
      </w:r>
    </w:p>
    <w:p>
      <w:pPr>
        <w:spacing w:after="0" w:line="220"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have the meaning set forth in the recitals, and shall include (i) any successor to Weatherford International plc (or any successor to it), including but not limited to any entity into which Weatherford International plc is merged, consolidated or amalgamated, or any entity otherwise resulting from a Corporate Transaction and (ii) except in determining whether a Change in Control has occurred under this Plan, any Affiliate of the Company, as applicable, to the extent the Participant is employed by or seconded to any such Affiliate or any entity to which the Company may assign this Plan in accordance 9.3.</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Transaction</w:t>
      </w:r>
      <w:r>
        <w:rPr>
          <w:rFonts w:ascii="Arial" w:cs="Arial" w:eastAsia="Arial" w:hAnsi="Arial"/>
          <w:sz w:val="21"/>
          <w:szCs w:val="21"/>
          <w:color w:val="auto"/>
        </w:rPr>
        <w:t>” shall have the meaning set forth in paragraph (iii) of the definition of Change in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Employment Termination Date</w:t>
      </w:r>
      <w:r>
        <w:rPr>
          <w:rFonts w:ascii="Arial" w:cs="Arial" w:eastAsia="Arial" w:hAnsi="Arial"/>
          <w:sz w:val="22"/>
          <w:szCs w:val="22"/>
          <w:color w:val="auto"/>
        </w:rPr>
        <w:t>” shall mean the date on which a Participant incurs a termination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employment.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Obligations</w:t>
      </w:r>
      <w:r>
        <w:rPr>
          <w:rFonts w:ascii="Arial" w:cs="Arial" w:eastAsia="Arial" w:hAnsi="Arial"/>
          <w:sz w:val="22"/>
          <w:szCs w:val="22"/>
          <w:color w:val="auto"/>
        </w:rPr>
        <w:t>” shall have the meaning set forth in the definition of Restructuring.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occurrence of any of the following without the express written consent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202" w:lineRule="exact"/>
        <w:rPr>
          <w:sz w:val="20"/>
          <w:szCs w:val="20"/>
          <w:color w:val="auto"/>
        </w:rPr>
      </w:pPr>
    </w:p>
    <w:p>
      <w:pPr>
        <w:ind w:firstLine="1304"/>
        <w:spacing w:after="0" w:line="259" w:lineRule="auto"/>
        <w:tabs>
          <w:tab w:leader="none" w:pos="1932"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assignment of the Participant to duties materially inconsistent with the Participant’s authorities, duties and responsibilities (including, without limitation, titles and reporting requirements) as an employee of the Company or any of its Affiliates (including, without limitation, any material adverse change in the Participant’s reporting relationship to the extent the Participant is an Executive Vice President or above) from those in effect on the date immediately preceding the Change in Control; for the avoidance of doubt, a material adverse change in the Participant’s reporting relationship shall occur for the Chief Executive Officer if such Participant ceases to report to the Board and for any Executive Vice President of the Company if such participant ceases to report to the Chief Executive Officer, and for any other Participant if such Participant ceases to report to a peer of their prior reporting relationship;</w:t>
      </w:r>
    </w:p>
    <w:p>
      <w:pPr>
        <w:spacing w:after="0" w:line="183" w:lineRule="exact"/>
        <w:rPr>
          <w:rFonts w:ascii="Arial" w:cs="Arial" w:eastAsia="Arial" w:hAnsi="Arial"/>
          <w:sz w:val="21"/>
          <w:szCs w:val="21"/>
          <w:color w:val="auto"/>
        </w:rPr>
      </w:pPr>
    </w:p>
    <w:p>
      <w:pPr>
        <w:ind w:right="80" w:firstLine="1304"/>
        <w:spacing w:after="0" w:line="250" w:lineRule="auto"/>
        <w:tabs>
          <w:tab w:leader="none" w:pos="1938" w:val="left"/>
        </w:tabs>
        <w:numPr>
          <w:ilvl w:val="0"/>
          <w:numId w:val="6"/>
        </w:numPr>
        <w:rPr>
          <w:rFonts w:ascii="Arial" w:cs="Arial" w:eastAsia="Arial" w:hAnsi="Arial"/>
          <w:sz w:val="22"/>
          <w:szCs w:val="22"/>
          <w:color w:val="auto"/>
        </w:rPr>
      </w:pPr>
      <w:r>
        <w:rPr>
          <w:rFonts w:ascii="Arial" w:cs="Arial" w:eastAsia="Arial" w:hAnsi="Arial"/>
          <w:sz w:val="22"/>
          <w:szCs w:val="22"/>
          <w:color w:val="auto"/>
        </w:rPr>
        <w:t>a material reduction in the Participant’s Total Annual Target Direct Compensation, as established by the Committee, from the levels in place on the date immediately preceding the Change in Control, except if such reduction is part of a cost reduction initiative that applies to and affects all executive officers of the Company and/or all executive officers of any Person that controls the Company equally and proportionately;</w:t>
      </w:r>
    </w:p>
    <w:p>
      <w:pPr>
        <w:spacing w:after="0" w:line="187" w:lineRule="exact"/>
        <w:rPr>
          <w:rFonts w:ascii="Arial" w:cs="Arial" w:eastAsia="Arial" w:hAnsi="Arial"/>
          <w:sz w:val="22"/>
          <w:szCs w:val="22"/>
          <w:color w:val="auto"/>
        </w:rPr>
      </w:pPr>
    </w:p>
    <w:p>
      <w:pPr>
        <w:ind w:right="220" w:firstLine="1304"/>
        <w:spacing w:after="0" w:line="253" w:lineRule="auto"/>
        <w:tabs>
          <w:tab w:leader="none" w:pos="1944"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 Participants who have a principal office located at the Company’s Houston, Texas headquarters location, the relocation of the Participant’s principal office to an area more than 50 miles from its location immediately prior to such relocation;</w:t>
      </w:r>
    </w:p>
    <w:p>
      <w:pPr>
        <w:sectPr>
          <w:pgSz w:w="11900" w:h="16838" w:orient="portrait"/>
          <w:cols w:equalWidth="0" w:num="1">
            <w:col w:w="11200"/>
          </w:cols>
          <w:pgMar w:left="320" w:top="1440" w:right="379" w:bottom="1440" w:gutter="0" w:footer="0" w:header="0"/>
        </w:sectPr>
      </w:pPr>
    </w:p>
    <w:bookmarkStart w:id="8" w:name="page9"/>
    <w:bookmarkEnd w:id="8"/>
    <w:p>
      <w:pPr>
        <w:ind w:right="60" w:firstLine="1304"/>
        <w:spacing w:after="0" w:line="263" w:lineRule="auto"/>
        <w:tabs>
          <w:tab w:leader="none" w:pos="1932"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any failure by the Company to comply with and satisfy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(regarding assumption of this Plan by a successor or assign); or</w:t>
      </w:r>
    </w:p>
    <w:p>
      <w:pPr>
        <w:spacing w:after="0" w:line="174" w:lineRule="exact"/>
        <w:rPr>
          <w:rFonts w:ascii="Arial" w:cs="Arial" w:eastAsia="Arial" w:hAnsi="Arial"/>
          <w:sz w:val="22"/>
          <w:szCs w:val="22"/>
          <w:color w:val="auto"/>
        </w:rPr>
      </w:pPr>
    </w:p>
    <w:p>
      <w:pPr>
        <w:ind w:right="380" w:firstLine="1304"/>
        <w:spacing w:after="0" w:line="343" w:lineRule="auto"/>
        <w:tabs>
          <w:tab w:leader="none" w:pos="1939"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Participant ceasing to be a Participant under the Plan as a result of an amendment to the Plan by the Board or as a result of the Committee exercising its discretion pursuant to clause (i) of the definition of “Participant”;</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no such event described in paragraph (i) through (v) above shall constitute “Good Reason” unless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Participant provides the Company with notice of Good Reason setting forth the event that the Participant believes in good faith constitutes Good Reason within 45 days following the Participant’s knowledge of such event; </w:t>
      </w:r>
      <w:r>
        <w:rPr>
          <w:rFonts w:ascii="Arial" w:cs="Arial" w:eastAsia="Arial" w:hAnsi="Arial"/>
          <w:sz w:val="22"/>
          <w:szCs w:val="22"/>
          <w:i w:val="1"/>
          <w:iCs w:val="1"/>
          <w:color w:val="auto"/>
        </w:rPr>
        <w:t>provided further</w:t>
      </w:r>
      <w:r>
        <w:rPr>
          <w:rFonts w:ascii="Arial" w:cs="Arial" w:eastAsia="Arial" w:hAnsi="Arial"/>
          <w:sz w:val="22"/>
          <w:szCs w:val="22"/>
          <w:color w:val="auto"/>
        </w:rPr>
        <w:t>, that no such event described in paragraph (i) through (v) above shall constitute Good Reason if the Company cures such event within 30 days following the Company’s receipt of such notice.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Incumbent Board</w:t>
      </w:r>
      <w:r>
        <w:rPr>
          <w:rFonts w:ascii="Arial" w:cs="Arial" w:eastAsia="Arial" w:hAnsi="Arial"/>
          <w:sz w:val="19"/>
          <w:szCs w:val="19"/>
          <w:color w:val="auto"/>
        </w:rPr>
        <w:t>” shall have the meaning set forth in paragraph (ii) of the definition of Change in Control.</w:t>
      </w:r>
    </w:p>
    <w:p>
      <w:pPr>
        <w:spacing w:after="0" w:line="254" w:lineRule="exact"/>
        <w:rPr>
          <w:sz w:val="20"/>
          <w:szCs w:val="20"/>
          <w:color w:val="auto"/>
        </w:rPr>
      </w:pPr>
    </w:p>
    <w:p>
      <w:pPr>
        <w:ind w:right="60" w:firstLine="129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Tax Advisor</w:t>
      </w:r>
      <w:r>
        <w:rPr>
          <w:rFonts w:ascii="Arial" w:cs="Arial" w:eastAsia="Arial" w:hAnsi="Arial"/>
          <w:sz w:val="21"/>
          <w:szCs w:val="21"/>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shall be acceptable to the Participant (the Participant’s acceptance not to be unreasonably withheld), and all of whose fees and disbursements shall be paid by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Termination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Severance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Outstanding Ordinary Shares</w:t>
      </w:r>
      <w:r>
        <w:rPr>
          <w:rFonts w:ascii="Arial" w:cs="Arial" w:eastAsia="Arial" w:hAnsi="Arial"/>
          <w:sz w:val="19"/>
          <w:szCs w:val="19"/>
          <w:color w:val="auto"/>
        </w:rPr>
        <w:t>” shall have the meaning set forth in paragraph (i) of the definition of Change in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Outstanding Voting Securities</w:t>
      </w:r>
      <w:r>
        <w:rPr>
          <w:rFonts w:ascii="Arial" w:cs="Arial" w:eastAsia="Arial" w:hAnsi="Arial"/>
          <w:sz w:val="19"/>
          <w:szCs w:val="19"/>
          <w:color w:val="auto"/>
        </w:rPr>
        <w:t>” shall have the meaning set forth in paragraph (i) of the definition of Change in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shall mean an employee of the Company that:</w:t>
      </w:r>
    </w:p>
    <w:p>
      <w:pPr>
        <w:spacing w:after="0" w:line="226" w:lineRule="exact"/>
        <w:rPr>
          <w:sz w:val="20"/>
          <w:szCs w:val="20"/>
          <w:color w:val="auto"/>
        </w:rPr>
      </w:pPr>
    </w:p>
    <w:p>
      <w:pPr>
        <w:ind w:right="60" w:firstLine="1304"/>
        <w:spacing w:after="0" w:line="343" w:lineRule="auto"/>
        <w:tabs>
          <w:tab w:leader="none" w:pos="1932"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is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Committee shall review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annually and add to or remove from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any employees of the Company who the Committee deems appropriate in its discretion; and</w:t>
      </w:r>
    </w:p>
    <w:p>
      <w:pPr>
        <w:spacing w:after="0" w:line="104" w:lineRule="exact"/>
        <w:rPr>
          <w:rFonts w:ascii="Arial" w:cs="Arial" w:eastAsia="Arial" w:hAnsi="Arial"/>
          <w:sz w:val="19"/>
          <w:szCs w:val="19"/>
          <w:color w:val="auto"/>
        </w:rPr>
      </w:pPr>
    </w:p>
    <w:p>
      <w:pPr>
        <w:ind w:right="100" w:firstLine="1304"/>
        <w:spacing w:after="0" w:line="263" w:lineRule="auto"/>
        <w:tabs>
          <w:tab w:leader="none" w:pos="1938"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has executed an agreement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within 90 days following the date on which such employee first meets the requirements of paragraph (i) above.</w:t>
      </w:r>
    </w:p>
    <w:p>
      <w:pPr>
        <w:spacing w:after="0" w:line="175" w:lineRule="exact"/>
        <w:rPr>
          <w:sz w:val="20"/>
          <w:szCs w:val="20"/>
          <w:color w:val="auto"/>
        </w:rPr>
      </w:pPr>
    </w:p>
    <w:p>
      <w:pPr>
        <w:jc w:val="both"/>
        <w:ind w:right="240"/>
        <w:spacing w:after="0" w:line="312" w:lineRule="auto"/>
        <w:rPr>
          <w:sz w:val="20"/>
          <w:szCs w:val="20"/>
          <w:color w:val="auto"/>
        </w:rPr>
      </w:pPr>
      <w:r>
        <w:rPr>
          <w:rFonts w:ascii="Arial" w:cs="Arial" w:eastAsia="Arial" w:hAnsi="Arial"/>
          <w:sz w:val="19"/>
          <w:szCs w:val="19"/>
          <w:color w:val="auto"/>
        </w:rPr>
        <w:t>Notwithstanding anything in this Plan to the contrary, if a Participant ceases to be a Participant under this Plan as a result of an amendment of this Plan by the Board or as a result of the Committee exercising its discretion pursuant to clause (i) above, such Participant will continue to be a Participant under this Plan solely for purposes of claiming Good Reason under prong (v) of</w:t>
      </w:r>
    </w:p>
    <w:p>
      <w:pPr>
        <w:sectPr>
          <w:pgSz w:w="11900" w:h="16838" w:orient="portrait"/>
          <w:cols w:equalWidth="0" w:num="1">
            <w:col w:w="11240"/>
          </w:cols>
          <w:pgMar w:left="320" w:top="1347" w:right="339" w:bottom="1440" w:gutter="0" w:footer="0" w:header="0"/>
        </w:sectPr>
      </w:pPr>
    </w:p>
    <w:bookmarkStart w:id="9" w:name="page10"/>
    <w:bookmarkEnd w:id="9"/>
    <w:p>
      <w:pPr>
        <w:ind w:right="80"/>
        <w:spacing w:after="0" w:line="263" w:lineRule="auto"/>
        <w:rPr>
          <w:sz w:val="20"/>
          <w:szCs w:val="20"/>
          <w:color w:val="auto"/>
        </w:rPr>
      </w:pPr>
      <w:r>
        <w:rPr>
          <w:rFonts w:ascii="Arial" w:cs="Arial" w:eastAsia="Arial" w:hAnsi="Arial"/>
          <w:sz w:val="22"/>
          <w:szCs w:val="22"/>
          <w:color w:val="auto"/>
        </w:rPr>
        <w:t xml:space="preserve">the definition of Good Reason and receipt of the severance payments under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in connection with such claim (subject to the remaining terms of this Plan).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w:t>
      </w:r>
    </w:p>
    <w:p>
      <w:pPr>
        <w:spacing w:after="0" w:line="220" w:lineRule="exact"/>
        <w:rPr>
          <w:sz w:val="20"/>
          <w:szCs w:val="20"/>
          <w:color w:val="auto"/>
        </w:rPr>
      </w:pPr>
    </w:p>
    <w:p>
      <w:pPr>
        <w:ind w:right="60"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shall have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Q/A-24(c) Payments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RCA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Reduced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w:t>
      </w:r>
    </w:p>
    <w:p>
      <w:pPr>
        <w:spacing w:after="0" w:line="220"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Restructuring</w:t>
      </w:r>
      <w:r>
        <w:rPr>
          <w:rFonts w:ascii="Arial" w:cs="Arial" w:eastAsia="Arial" w:hAnsi="Arial"/>
          <w:sz w:val="21"/>
          <w:szCs w:val="21"/>
          <w:color w:val="auto"/>
        </w:rPr>
        <w:t>” shall mean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Arial" w:cs="Arial" w:eastAsia="Arial" w:hAnsi="Arial"/>
          <w:sz w:val="21"/>
          <w:szCs w:val="21"/>
          <w:b w:val="1"/>
          <w:bCs w:val="1"/>
          <w:color w:val="auto"/>
        </w:rPr>
        <w:t>Existing Obligations</w:t>
      </w:r>
      <w:r>
        <w:rPr>
          <w:rFonts w:ascii="Arial" w:cs="Arial" w:eastAsia="Arial" w:hAnsi="Arial"/>
          <w:sz w:val="21"/>
          <w:szCs w:val="21"/>
          <w:color w:val="auto"/>
        </w:rPr>
        <w:t>”) that is achieved, without 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Separation From Service</w:t>
      </w:r>
      <w:r>
        <w:rPr>
          <w:rFonts w:ascii="Arial" w:cs="Arial" w:eastAsia="Arial" w:hAnsi="Arial"/>
          <w:sz w:val="21"/>
          <w:szCs w:val="21"/>
          <w:color w:val="auto"/>
        </w:rPr>
        <w:t>” shall have the meaning ascribed to such term in Section 409A of the Code.</w:t>
      </w:r>
    </w:p>
    <w:p>
      <w:pPr>
        <w:spacing w:after="0" w:line="231" w:lineRule="exact"/>
        <w:rPr>
          <w:sz w:val="20"/>
          <w:szCs w:val="20"/>
          <w:color w:val="auto"/>
        </w:rPr>
      </w:pPr>
    </w:p>
    <w:p>
      <w:pPr>
        <w:ind w:right="100" w:firstLine="1296"/>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Holder</w:t>
      </w:r>
      <w:r>
        <w:rPr>
          <w:rFonts w:ascii="Arial" w:cs="Arial" w:eastAsia="Arial" w:hAnsi="Arial"/>
          <w:sz w:val="19"/>
          <w:szCs w:val="19"/>
          <w:color w:val="auto"/>
        </w:rPr>
        <w:t xml:space="preserve">” shall mean any Person who is the Beneficial Owner, directly or indirectly, of 10% or more of the Outstanding Ordinary Shares of the Company as of the Effective Date, each as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w:t>
      </w:r>
    </w:p>
    <w:p>
      <w:pPr>
        <w:spacing w:after="0" w:line="94" w:lineRule="exact"/>
        <w:rPr>
          <w:sz w:val="20"/>
          <w:szCs w:val="20"/>
          <w:color w:val="auto"/>
        </w:rPr>
      </w:pPr>
    </w:p>
    <w:p>
      <w:pPr>
        <w:ind w:right="10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Annual Target Direct Compensation</w:t>
      </w:r>
      <w:r>
        <w:rPr>
          <w:rFonts w:ascii="Arial" w:cs="Arial" w:eastAsia="Arial" w:hAnsi="Arial"/>
          <w:sz w:val="22"/>
          <w:szCs w:val="22"/>
          <w:color w:val="auto"/>
        </w:rPr>
        <w:t>” means the sum of (i) annual base salary and (ii) annual short-term incentive opportunity at target.</w:t>
      </w:r>
    </w:p>
    <w:p>
      <w:pPr>
        <w:sectPr>
          <w:pgSz w:w="11900" w:h="16838" w:orient="portrait"/>
          <w:cols w:equalWidth="0" w:num="1">
            <w:col w:w="11220"/>
          </w:cols>
          <w:pgMar w:left="320" w:top="1347" w:right="359" w:bottom="1440" w:gutter="0" w:footer="0" w:header="0"/>
        </w:sectPr>
      </w:pPr>
    </w:p>
    <w:bookmarkStart w:id="10" w:name="page11"/>
    <w:bookmarkEnd w:id="10"/>
    <w:p>
      <w:pPr>
        <w:ind w:right="120" w:firstLine="1296"/>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Vesting Date</w:t>
      </w:r>
      <w:r>
        <w:rPr>
          <w:rFonts w:ascii="Arial" w:cs="Arial" w:eastAsia="Arial" w:hAnsi="Arial"/>
          <w:sz w:val="22"/>
          <w:szCs w:val="22"/>
          <w:color w:val="auto"/>
        </w:rPr>
        <w:t>” means the later of (i) the Participant’s Separation From Service as a result of the Participant’s termination of employment following a Change in Control or (ii) a Change in Control (expressly for purposes of terminations of employment occurring prior to a Change in Control). For the avoidance of doubt, no amounts or benefits shall be payable hereunder unless and until a Change in Control has occurred.</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i w:val="1"/>
          <w:iCs w:val="1"/>
          <w:color w:val="auto"/>
        </w:rPr>
        <w:t>Severance Eligibility and Payments</w:t>
      </w:r>
      <w:r>
        <w:rPr>
          <w:rFonts w:ascii="Arial" w:cs="Arial" w:eastAsia="Arial" w:hAnsi="Arial"/>
          <w:sz w:val="19"/>
          <w:szCs w:val="19"/>
          <w:color w:val="auto"/>
        </w:rPr>
        <w:t>.</w:t>
      </w:r>
    </w:p>
    <w:p>
      <w:pPr>
        <w:spacing w:after="0" w:line="220" w:lineRule="exact"/>
        <w:rPr>
          <w:sz w:val="20"/>
          <w:szCs w:val="20"/>
          <w:color w:val="auto"/>
        </w:rPr>
      </w:pPr>
    </w:p>
    <w:p>
      <w:pPr>
        <w:ind w:right="20" w:firstLine="1296"/>
        <w:spacing w:after="0" w:line="253" w:lineRule="auto"/>
        <w:rPr>
          <w:sz w:val="20"/>
          <w:szCs w:val="20"/>
          <w:color w:val="auto"/>
        </w:rPr>
      </w:pPr>
      <w:r>
        <w:rPr>
          <w:rFonts w:ascii="Arial" w:cs="Arial" w:eastAsia="Arial" w:hAnsi="Arial"/>
          <w:sz w:val="22"/>
          <w:szCs w:val="22"/>
          <w:color w:val="auto"/>
        </w:rPr>
        <w:t xml:space="preserve">2.1 Notwithstanding anything else in this Plan to the contrary, a Participant shall only be entitled to the compensation and benefits provided under this Plan if the Participant has executed the restrictive covenant agreement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color w:val="auto"/>
        </w:rPr>
        <w:t>RCA</w:t>
      </w:r>
      <w:r>
        <w:rPr>
          <w:rFonts w:ascii="Arial" w:cs="Arial" w:eastAsia="Arial" w:hAnsi="Arial"/>
          <w:sz w:val="22"/>
          <w:szCs w:val="22"/>
          <w:color w:val="auto"/>
        </w:rPr>
        <w:t>”).</w:t>
      </w:r>
    </w:p>
    <w:p>
      <w:pPr>
        <w:spacing w:after="0" w:line="185" w:lineRule="exact"/>
        <w:rPr>
          <w:sz w:val="20"/>
          <w:szCs w:val="20"/>
          <w:color w:val="auto"/>
        </w:rPr>
      </w:pPr>
    </w:p>
    <w:p>
      <w:pPr>
        <w:ind w:firstLine="1296"/>
        <w:spacing w:after="0" w:line="258"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i w:val="1"/>
          <w:iCs w:val="1"/>
          <w:color w:val="auto"/>
        </w:rPr>
        <w:t>Benefits Upon Qualifying Termination</w:t>
      </w:r>
      <w:r>
        <w:rPr>
          <w:rFonts w:ascii="Arial" w:cs="Arial" w:eastAsia="Arial" w:hAnsi="Arial"/>
          <w:sz w:val="21"/>
          <w:szCs w:val="21"/>
          <w:color w:val="auto"/>
        </w:rPr>
        <w:t>. Upon a termination of the Participant’s employment relationship with the Company (i) by the Company without Cause or by the Participant for Good Reason, in either case, at any time following a Change in Control while this Plan remains in effect, (ii) by the Company without Cause within six months prior to a Change in Control, if such termination is at the request, direction or suggestion, directly or indirectly, of a Person who enters into an agreement with the Company the consummation of which would constitute a Change in Control or (iii) by the Participant for Good Reason within six months prior to a Change in Control, and the circumstance or event which constitutes Good Reason occurs at the request, direction or suggestion, directly or indirectly, of such Person described in clause (ii) above (any such termination, a “</w:t>
      </w:r>
      <w:r>
        <w:rPr>
          <w:rFonts w:ascii="Arial" w:cs="Arial" w:eastAsia="Arial" w:hAnsi="Arial"/>
          <w:sz w:val="21"/>
          <w:szCs w:val="21"/>
          <w:b w:val="1"/>
          <w:bCs w:val="1"/>
          <w:color w:val="auto"/>
        </w:rPr>
        <w:t>Qualifying Termination</w:t>
      </w:r>
      <w:r>
        <w:rPr>
          <w:rFonts w:ascii="Arial" w:cs="Arial" w:eastAsia="Arial" w:hAnsi="Arial"/>
          <w:sz w:val="21"/>
          <w:szCs w:val="21"/>
          <w:color w:val="auto"/>
        </w:rPr>
        <w:t>”), then the Participant shall be entitled to the following, in lieu of any severance payments or benefits otherwise payable to the Participant under any plan or arrangement between the Company or any of its Affiliates and the Participant:</w:t>
      </w:r>
    </w:p>
    <w:p>
      <w:pPr>
        <w:spacing w:after="0" w:line="185" w:lineRule="exact"/>
        <w:rPr>
          <w:sz w:val="20"/>
          <w:szCs w:val="20"/>
          <w:color w:val="auto"/>
        </w:rPr>
      </w:pPr>
    </w:p>
    <w:p>
      <w:pPr>
        <w:ind w:left="2580" w:hanging="628"/>
        <w:spacing w:after="0"/>
        <w:tabs>
          <w:tab w:leader="none" w:pos="258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Accrued Obligations in a lump sum in cash;</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Benefit Obligations (subject to the terms of the applicable Benefit Plans); and</w:t>
      </w:r>
    </w:p>
    <w:p>
      <w:pPr>
        <w:spacing w:after="0" w:line="219" w:lineRule="exact"/>
        <w:rPr>
          <w:rFonts w:ascii="Arial" w:cs="Arial" w:eastAsia="Arial" w:hAnsi="Arial"/>
          <w:sz w:val="22"/>
          <w:szCs w:val="22"/>
          <w:color w:val="auto"/>
        </w:rPr>
      </w:pPr>
    </w:p>
    <w:p>
      <w:pPr>
        <w:ind w:right="20" w:firstLine="1952"/>
        <w:spacing w:after="0" w:line="302" w:lineRule="auto"/>
        <w:tabs>
          <w:tab w:leader="none" w:pos="2592" w:val="left"/>
        </w:tabs>
        <w:numPr>
          <w:ilvl w:val="1"/>
          <w:numId w:val="9"/>
        </w:numPr>
        <w:rPr>
          <w:rFonts w:ascii="Arial" w:cs="Arial" w:eastAsia="Arial" w:hAnsi="Arial"/>
          <w:sz w:val="19"/>
          <w:szCs w:val="19"/>
          <w:color w:val="auto"/>
        </w:rPr>
      </w:pPr>
      <w:r>
        <w:rPr>
          <w:rFonts w:ascii="Arial" w:cs="Arial" w:eastAsia="Arial" w:hAnsi="Arial"/>
          <w:sz w:val="19"/>
          <w:szCs w:val="19"/>
          <w:color w:val="auto"/>
        </w:rPr>
        <w:t xml:space="preserve">provided that, within 55 days following the Employment Termination Date, the Participant has executed a general release and waiver agreement substantially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and any applicable revocation periods relating to the Release have expired, and subject to the Participant’s compliance with the restrictive covenants set forth in any written agreement with the Company or any of its Affiliates, including the RCA, and the Release:</w:t>
      </w:r>
    </w:p>
    <w:p>
      <w:pPr>
        <w:spacing w:after="0" w:line="142" w:lineRule="exact"/>
        <w:rPr>
          <w:rFonts w:ascii="Arial" w:cs="Arial" w:eastAsia="Arial" w:hAnsi="Arial"/>
          <w:sz w:val="19"/>
          <w:szCs w:val="19"/>
          <w:color w:val="auto"/>
        </w:rPr>
      </w:pPr>
    </w:p>
    <w:p>
      <w:pPr>
        <w:ind w:left="1300" w:right="160" w:firstLine="1300"/>
        <w:spacing w:after="0" w:line="291" w:lineRule="auto"/>
        <w:tabs>
          <w:tab w:leader="none" w:pos="3233" w:val="left"/>
        </w:tabs>
        <w:numPr>
          <w:ilvl w:val="2"/>
          <w:numId w:val="9"/>
        </w:numPr>
        <w:rPr>
          <w:rFonts w:ascii="Arial" w:cs="Arial" w:eastAsia="Arial" w:hAnsi="Arial"/>
          <w:sz w:val="19"/>
          <w:szCs w:val="19"/>
          <w:color w:val="auto"/>
        </w:rPr>
      </w:pPr>
      <w:r>
        <w:rPr>
          <w:rFonts w:ascii="Arial" w:cs="Arial" w:eastAsia="Arial" w:hAnsi="Arial"/>
          <w:sz w:val="19"/>
          <w:szCs w:val="19"/>
          <w:color w:val="auto"/>
        </w:rPr>
        <w:t>A lump-sum cash amount equal to the Applicable Multiple times the sum of (1) the higher of (a) the rate of Base Salary received by the Participant in effect immediately prior to the Change in Control or</w:t>
      </w:r>
    </w:p>
    <w:p>
      <w:pPr>
        <w:spacing w:after="0" w:line="1" w:lineRule="exact"/>
        <w:rPr>
          <w:rFonts w:ascii="Arial" w:cs="Arial" w:eastAsia="Arial" w:hAnsi="Arial"/>
          <w:sz w:val="19"/>
          <w:szCs w:val="19"/>
          <w:color w:val="auto"/>
        </w:rPr>
      </w:pPr>
    </w:p>
    <w:p>
      <w:pPr>
        <w:ind w:left="1300" w:right="80" w:firstLine="4"/>
        <w:spacing w:after="0" w:line="302" w:lineRule="auto"/>
        <w:tabs>
          <w:tab w:leader="none" w:pos="1606"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the rate of Base Salary then in effect up to and including the Employment Termination Date, and (2) the Participant’s Annual Bonus at target; </w:t>
      </w:r>
      <w:r>
        <w:rPr>
          <w:rFonts w:ascii="Arial" w:cs="Arial" w:eastAsia="Arial" w:hAnsi="Arial"/>
          <w:sz w:val="19"/>
          <w:szCs w:val="19"/>
          <w:i w:val="1"/>
          <w:iCs w:val="1"/>
          <w:color w:val="auto"/>
        </w:rPr>
        <w:t>provided</w:t>
      </w:r>
      <w:r>
        <w:rPr>
          <w:rFonts w:ascii="Arial" w:cs="Arial" w:eastAsia="Arial" w:hAnsi="Arial"/>
          <w:sz w:val="19"/>
          <w:szCs w:val="19"/>
          <w:color w:val="auto"/>
        </w:rPr>
        <w:t>, that for purposes of clauses (1) and (2) of this paragraph (A), such amounts shall be annualized for any period of employment that is less than one full year;</w:t>
      </w:r>
    </w:p>
    <w:p>
      <w:pPr>
        <w:sectPr>
          <w:pgSz w:w="11900" w:h="16838" w:orient="portrait"/>
          <w:cols w:equalWidth="0" w:num="1">
            <w:col w:w="11200"/>
          </w:cols>
          <w:pgMar w:left="320" w:top="1341" w:right="379" w:bottom="1440" w:gutter="0" w:footer="0" w:header="0"/>
        </w:sectPr>
      </w:pPr>
    </w:p>
    <w:bookmarkStart w:id="11" w:name="page12"/>
    <w:bookmarkEnd w:id="11"/>
    <w:p>
      <w:pPr>
        <w:ind w:left="1300" w:right="20" w:firstLine="1300"/>
        <w:spacing w:after="0" w:line="294" w:lineRule="auto"/>
        <w:tabs>
          <w:tab w:leader="none" w:pos="3235"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lump-sum cash amount equal to the product of (i) the Participant’s target Annual Bonus for such fiscal year, as determined by the Board in good faith, in which the Employment Termination Date occurs and (ii) a fraction, the numerator of which is the number of days in the current fiscal year through the Employment Termination Date, and the denominator of which is 365. The pro-rata bonus payment described in the preceding sentence shall be without duplication of any payments received by the Participant under the Company’s then current non-equity incentive compensation plan in connection with the Change in Control or otherwise;</w:t>
      </w:r>
    </w:p>
    <w:p>
      <w:pPr>
        <w:spacing w:after="0" w:line="149" w:lineRule="exact"/>
        <w:rPr>
          <w:rFonts w:ascii="Arial" w:cs="Arial" w:eastAsia="Arial" w:hAnsi="Arial"/>
          <w:sz w:val="19"/>
          <w:szCs w:val="19"/>
          <w:color w:val="auto"/>
        </w:rPr>
      </w:pPr>
    </w:p>
    <w:p>
      <w:pPr>
        <w:ind w:left="1300" w:right="100" w:firstLine="1300"/>
        <w:spacing w:after="0" w:line="287" w:lineRule="auto"/>
        <w:tabs>
          <w:tab w:leader="none" w:pos="3235"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Commencing immediately after the Vesting Date and continuing for a number of years equal to the Applicable Multiple (or until the date on which the Participant becomes eligible for coverage under a subsequent employer’s plan, whichever is earlier), the Company shall continue dental and health benefits to the Participant and the Participant’s family equal to those which would have been provided to them in accordance with the dental and health insurance plans, programs, practices and policies in effect immediately prior to the Employment Termination Date as if the Participant’s employment had not been terminated (or, if more favorable to the Participant, those provided to the Participant and the Participant’s family immediately prior to the first occurrence of an event or circumstance constituting Good Reason);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of such dental and health insurance plans, programs, practices or policies requiring an employee contribution, the Participant (or the Participant’s heirs or beneficiaries, as applicable) shall continue to pay the monthly employee contribution for such benefits; and</w:t>
      </w:r>
    </w:p>
    <w:p>
      <w:pPr>
        <w:spacing w:after="0" w:line="163" w:lineRule="exact"/>
        <w:rPr>
          <w:rFonts w:ascii="Arial" w:cs="Arial" w:eastAsia="Arial" w:hAnsi="Arial"/>
          <w:sz w:val="19"/>
          <w:szCs w:val="19"/>
          <w:color w:val="auto"/>
        </w:rPr>
      </w:pPr>
    </w:p>
    <w:p>
      <w:pPr>
        <w:ind w:left="1300" w:right="100" w:firstLine="1300"/>
        <w:spacing w:after="0" w:line="253" w:lineRule="auto"/>
        <w:tabs>
          <w:tab w:leader="none" w:pos="3233"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Outplacement services supplied by a service provider selected by the Company for a period of six months;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services must commence no later than 90 days after the Employment Termination Date and terminating 12 months after commencement of same.</w:t>
      </w:r>
    </w:p>
    <w:p>
      <w:pPr>
        <w:spacing w:after="0" w:line="185"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i w:val="1"/>
          <w:iCs w:val="1"/>
          <w:color w:val="auto"/>
        </w:rPr>
        <w:t>Timing of Severance Payments</w:t>
      </w:r>
      <w:r>
        <w:rPr>
          <w:rFonts w:ascii="Arial" w:cs="Arial" w:eastAsia="Arial" w:hAnsi="Arial"/>
          <w:sz w:val="21"/>
          <w:szCs w:val="21"/>
          <w:color w:val="auto"/>
        </w:rPr>
        <w:t xml:space="preserve">. The Company shall pay (or cause to be paid) to the Participant the amounts or benefits specified in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30 days following the Vesting Date (other than the Benefit Obligations). For the avoidance of doubt, this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shall not result in a delay of: (i) any payment of Accrued Obligations that otherwise would occur on an earlier date in accordance with applicable law or the usual and customary payroll policies of the Company (as in effect immediately prior to the Participant’s termination of employment) or (ii) any payment of the Benefit Obligations that otherwise would occur pursuant to the terms and conditions of the applicable benefit programs (as in effect immediately prior to the Participant’s termination of employment).</w:t>
      </w:r>
    </w:p>
    <w:p>
      <w:pPr>
        <w:spacing w:after="0" w:line="180"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i w:val="1"/>
          <w:iCs w:val="1"/>
          <w:color w:val="auto"/>
        </w:rPr>
        <w:t>Other Severance Payments</w:t>
      </w:r>
      <w:r>
        <w:rPr>
          <w:rFonts w:ascii="Arial" w:cs="Arial" w:eastAsia="Arial" w:hAnsi="Arial"/>
          <w:sz w:val="22"/>
          <w:szCs w:val="22"/>
          <w:color w:val="auto"/>
        </w:rPr>
        <w:t>. In the event that the Company is obligated by law or contract to pay a Participant other severance pay, a termination indemnity, notice pay or the like, or if the Company is obligated by law to provide advance notice of separation (“</w:t>
      </w:r>
      <w:r>
        <w:rPr>
          <w:rFonts w:ascii="Arial" w:cs="Arial" w:eastAsia="Arial" w:hAnsi="Arial"/>
          <w:sz w:val="22"/>
          <w:szCs w:val="22"/>
          <w:b w:val="1"/>
          <w:bCs w:val="1"/>
          <w:color w:val="auto"/>
        </w:rPr>
        <w:t>Other Severance</w:t>
      </w:r>
      <w:r>
        <w:rPr>
          <w:rFonts w:ascii="Arial" w:cs="Arial" w:eastAsia="Arial" w:hAnsi="Arial"/>
          <w:sz w:val="22"/>
          <w:szCs w:val="22"/>
          <w:color w:val="auto"/>
        </w:rPr>
        <w:t xml:space="preserve">”), then the amount of severance under </w:t>
      </w:r>
      <w:r>
        <w:rPr>
          <w:rFonts w:ascii="Arial" w:cs="Arial" w:eastAsia="Arial" w:hAnsi="Arial"/>
          <w:sz w:val="22"/>
          <w:szCs w:val="22"/>
          <w:u w:val="single" w:color="auto"/>
          <w:color w:val="auto"/>
        </w:rPr>
        <w:t>Section 2.2(iii)(A)</w:t>
      </w:r>
      <w:r>
        <w:rPr>
          <w:rFonts w:ascii="Arial" w:cs="Arial" w:eastAsia="Arial" w:hAnsi="Arial"/>
          <w:sz w:val="22"/>
          <w:szCs w:val="22"/>
          <w:color w:val="auto"/>
        </w:rPr>
        <w:t xml:space="preserve"> otherwise payable to such Participant shall be reduced by the amount of any such Other Severance actually paid to the Participant (but not below zero). Notwithstanding anything to the contrary herein, nothing in this</w:t>
      </w:r>
    </w:p>
    <w:p>
      <w:pPr>
        <w:sectPr>
          <w:pgSz w:w="11900" w:h="16838" w:orient="portrait"/>
          <w:cols w:equalWidth="0" w:num="1">
            <w:col w:w="11240"/>
          </w:cols>
          <w:pgMar w:left="320" w:top="1347" w:right="339" w:bottom="1440" w:gutter="0" w:footer="0" w:header="0"/>
        </w:sectPr>
      </w:pPr>
    </w:p>
    <w:bookmarkStart w:id="12" w:name="page13"/>
    <w:bookmarkEnd w:id="12"/>
    <w:p>
      <w:pPr>
        <w:spacing w:after="0" w:line="294" w:lineRule="auto"/>
        <w:rPr>
          <w:sz w:val="20"/>
          <w:szCs w:val="20"/>
          <w:color w:val="auto"/>
        </w:rPr>
      </w:pP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prevent the Board, or the Committee, from making any subsequent determinations with respect to severance payments and benefits payable to a Participant. For the avoidance of doubt, (i)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not apply to any accelerated vesting, payment or settlement of long-term cash or equity incentive awards that specifically provide for such treatment in connection with a Qualifying Termination or similar event and (ii) in the event of a Qualifying Termination pursuant to clause (ii) or (iii) of the definition thereof, any amount payable hereunder shall be offset and reduced by the amount of any Other Severance previously provided to the Participant under any other severance arrangement with the Company.</w:t>
      </w:r>
    </w:p>
    <w:p>
      <w:pPr>
        <w:spacing w:after="0" w:line="149" w:lineRule="exact"/>
        <w:rPr>
          <w:sz w:val="20"/>
          <w:szCs w:val="20"/>
          <w:color w:val="auto"/>
        </w:rPr>
      </w:pPr>
    </w:p>
    <w:p>
      <w:pPr>
        <w:ind w:firstLine="1296"/>
        <w:spacing w:after="0" w:line="246"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i w:val="1"/>
          <w:iCs w:val="1"/>
          <w:color w:val="auto"/>
        </w:rPr>
        <w:t>No Mitigation</w:t>
      </w:r>
      <w:r>
        <w:rPr>
          <w:rFonts w:ascii="Arial" w:cs="Arial" w:eastAsia="Arial" w:hAnsi="Arial"/>
          <w:sz w:val="22"/>
          <w:szCs w:val="22"/>
          <w:color w:val="auto"/>
        </w:rPr>
        <w:t xml:space="preserve">. The Company agrees that, if the Participant’s employment with the Company terminates, the Participant is not required to seek other employment or to attempt in any way to reduce any amounts payable to the Participant by the Company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 Further, except as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the amount of any payment or benefit provided for in this Plan shall not be reduced by any compensation earned by the Participant as the result of employment by another employer, by retirement benefits, by offset against any amount claimed to be owed by the Participant to the Company or otherwise (other than under </w:t>
      </w:r>
      <w:r>
        <w:rPr>
          <w:rFonts w:ascii="Arial" w:cs="Arial" w:eastAsia="Arial" w:hAnsi="Arial"/>
          <w:sz w:val="22"/>
          <w:szCs w:val="22"/>
          <w:u w:val="single" w:color="auto"/>
          <w:color w:val="auto"/>
        </w:rPr>
        <w:t>Section 2.2(iii)(C)</w:t>
      </w:r>
      <w:r>
        <w:rPr>
          <w:rFonts w:ascii="Arial" w:cs="Arial" w:eastAsia="Arial" w:hAnsi="Arial"/>
          <w:sz w:val="22"/>
          <w:szCs w:val="22"/>
          <w:color w:val="auto"/>
        </w:rPr>
        <w:t xml:space="preserve"> if the Participant becomes eligible for coverage under a subsequent employer’s plan</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96"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i w:val="1"/>
          <w:iCs w:val="1"/>
          <w:color w:val="auto"/>
        </w:rPr>
        <w:t>Notice of Termination</w:t>
      </w:r>
      <w:r>
        <w:rPr>
          <w:rFonts w:ascii="Arial" w:cs="Arial" w:eastAsia="Arial" w:hAnsi="Arial"/>
          <w:sz w:val="22"/>
          <w:szCs w:val="22"/>
          <w:color w:val="auto"/>
        </w:rPr>
        <w:t xml:space="preserve">. Any purported termination of the Participant’s employment pursuant to this Plan shall be communicated by a Notice of Termination from the Participant to the Company or the Company to the Participant, as applicable,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hereof. For purposes of this Plan, a “</w:t>
      </w:r>
      <w:r>
        <w:rPr>
          <w:rFonts w:ascii="Arial" w:cs="Arial" w:eastAsia="Arial" w:hAnsi="Arial"/>
          <w:sz w:val="22"/>
          <w:szCs w:val="22"/>
          <w:b w:val="1"/>
          <w:bCs w:val="1"/>
          <w:color w:val="auto"/>
        </w:rPr>
        <w:t>Notice of Termination</w:t>
      </w:r>
      <w:r>
        <w:rPr>
          <w:rFonts w:ascii="Arial" w:cs="Arial" w:eastAsia="Arial" w:hAnsi="Arial"/>
          <w:sz w:val="22"/>
          <w:szCs w:val="22"/>
          <w:color w:val="auto"/>
        </w:rPr>
        <w:t>” shall mean a notice in writing which shall (i) indicate the specific termination provision in this Plan relied upon and (ii) set forth in reasonable detail the facts and circumstances claimed to provide a basis for termination of the Participant’s employment under the provision so indicated.</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Successors; Binding Agreement</w:t>
      </w:r>
      <w:r>
        <w:rPr>
          <w:rFonts w:ascii="Arial" w:cs="Arial" w:eastAsia="Arial" w:hAnsi="Arial"/>
          <w:sz w:val="19"/>
          <w:szCs w:val="19"/>
          <w:color w:val="auto"/>
        </w:rPr>
        <w:t>.</w:t>
      </w:r>
    </w:p>
    <w:p>
      <w:pPr>
        <w:spacing w:after="0" w:line="220" w:lineRule="exact"/>
        <w:rPr>
          <w:sz w:val="20"/>
          <w:szCs w:val="20"/>
          <w:color w:val="auto"/>
        </w:rPr>
      </w:pPr>
    </w:p>
    <w:p>
      <w:pPr>
        <w:ind w:right="400" w:firstLine="1296"/>
        <w:spacing w:after="0" w:line="30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Successors</w:t>
      </w:r>
      <w:r>
        <w:rPr>
          <w:rFonts w:ascii="Arial" w:cs="Arial" w:eastAsia="Arial" w:hAnsi="Arial"/>
          <w:sz w:val="19"/>
          <w:szCs w:val="19"/>
          <w:color w:val="auto"/>
        </w:rPr>
        <w:t>.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such succession had taken place.</w:t>
      </w:r>
    </w:p>
    <w:p>
      <w:pPr>
        <w:spacing w:after="0" w:line="142"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Enforcement by Participant’s Successors</w:t>
      </w:r>
      <w:r>
        <w:rPr>
          <w:rFonts w:ascii="Arial" w:cs="Arial" w:eastAsia="Arial" w:hAnsi="Arial"/>
          <w:sz w:val="19"/>
          <w:szCs w:val="19"/>
          <w:color w:val="auto"/>
        </w:rPr>
        <w:t>. The Company’s obligations under this Plan shall inure to the benefit of and be enforceable by the Participant’s personal or legal representatives, executors, administrators, successors, heirs, distributees, devisees and legatees. If the Participant shall die while any amount would still be payable to the Participant hereunder if the Participant had continued to live, all such amounts, unless otherwise provided herein, shall be paid in accordance with the terms of this Plan to the executors, personal representatives or administrators of the Participant’s estate.</w:t>
      </w:r>
    </w:p>
    <w:p>
      <w:pPr>
        <w:sectPr>
          <w:pgSz w:w="11900" w:h="16838" w:orient="portrait"/>
          <w:cols w:equalWidth="0" w:num="1">
            <w:col w:w="11200"/>
          </w:cols>
          <w:pgMar w:left="320" w:top="1347" w:right="379" w:bottom="1440" w:gutter="0" w:footer="0" w:header="0"/>
        </w:sectPr>
      </w:pPr>
    </w:p>
    <w:bookmarkStart w:id="13" w:name="page14"/>
    <w:bookmarkEnd w:id="13"/>
    <w:p>
      <w:pPr>
        <w:ind w:right="160" w:firstLine="1296"/>
        <w:spacing w:after="0" w:line="293"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i w:val="1"/>
          <w:iCs w:val="1"/>
          <w:color w:val="auto"/>
        </w:rPr>
        <w:t>Settlement of Disputes.</w:t>
      </w:r>
      <w:r>
        <w:rPr>
          <w:rFonts w:ascii="Arial" w:cs="Arial" w:eastAsia="Arial" w:hAnsi="Arial"/>
          <w:sz w:val="21"/>
          <w:szCs w:val="21"/>
          <w:color w:val="auto"/>
        </w:rPr>
        <w:t xml:space="preserve"> The Participant and the Company (collectively, the “</w:t>
      </w:r>
      <w:r>
        <w:rPr>
          <w:rFonts w:ascii="Arial" w:cs="Arial" w:eastAsia="Arial" w:hAnsi="Arial"/>
          <w:sz w:val="21"/>
          <w:szCs w:val="21"/>
          <w:b w:val="1"/>
          <w:bCs w:val="1"/>
          <w:color w:val="auto"/>
        </w:rPr>
        <w:t>Parties</w:t>
      </w:r>
      <w:r>
        <w:rPr>
          <w:rFonts w:ascii="Arial" w:cs="Arial" w:eastAsia="Arial" w:hAnsi="Arial"/>
          <w:sz w:val="21"/>
          <w:szCs w:val="21"/>
          <w:color w:val="auto"/>
        </w:rPr>
        <w:t>”) irrevocably and unconditionally agree that any disputes shall be settled in accordance with Section 10 of the RCA.</w:t>
      </w:r>
    </w:p>
    <w:p>
      <w:pPr>
        <w:spacing w:after="0" w:line="145"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Legal Fees</w:t>
      </w:r>
      <w:r>
        <w:rPr>
          <w:rFonts w:ascii="Arial" w:cs="Arial" w:eastAsia="Arial" w:hAnsi="Arial"/>
          <w:sz w:val="19"/>
          <w:szCs w:val="19"/>
          <w:color w:val="auto"/>
        </w:rPr>
        <w:t xml:space="preserve">. The Parties shall each bear their own expenses, legal fees and other fees incurred in connection with this Plan; </w:t>
      </w:r>
      <w:r>
        <w:rPr>
          <w:rFonts w:ascii="Arial" w:cs="Arial" w:eastAsia="Arial" w:hAnsi="Arial"/>
          <w:sz w:val="19"/>
          <w:szCs w:val="19"/>
          <w:i w:val="1"/>
          <w:iCs w:val="1"/>
          <w:color w:val="auto"/>
        </w:rPr>
        <w:t>provided</w:t>
      </w:r>
      <w:r>
        <w:rPr>
          <w:rFonts w:ascii="Arial" w:cs="Arial" w:eastAsia="Arial" w:hAnsi="Arial"/>
          <w:sz w:val="19"/>
          <w:szCs w:val="19"/>
          <w:color w:val="auto"/>
        </w:rPr>
        <w:t>,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42" w:lineRule="exact"/>
        <w:rPr>
          <w:sz w:val="20"/>
          <w:szCs w:val="20"/>
          <w:color w:val="auto"/>
        </w:rPr>
      </w:pPr>
    </w:p>
    <w:p>
      <w:pPr>
        <w:ind w:right="260" w:firstLine="1296"/>
        <w:spacing w:after="0" w:line="258"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i w:val="1"/>
          <w:iCs w:val="1"/>
          <w:color w:val="auto"/>
        </w:rPr>
        <w:t>Plan Modification or Termination</w:t>
      </w:r>
      <w:r>
        <w:rPr>
          <w:rFonts w:ascii="Arial" w:cs="Arial" w:eastAsia="Arial" w:hAnsi="Arial"/>
          <w:sz w:val="21"/>
          <w:szCs w:val="21"/>
          <w:color w:val="auto"/>
        </w:rPr>
        <w:t xml:space="preserve">. This Plan may be amended in any manner or terminated in whole or in part by the Board upon 30 days’ prior notice to the Participants in accordance with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hereof. Notwithstanding the foregoing, (i) any amendment to this Plan (or any appendix or exhibit thereto) that adversely affects the benefits potentially payable to a Participant (including, without limitation, a proposed termination of this Plan, or imposing additional conditions or modifying the amount or timing of payment) shall not be effective without the written consent of such Participant, unless such amendment is required by law or a written notice is provided to such Participant at least one year in advance of the effectiveness of such amendment and (ii) this Plan may not be terminated in whole or in part, or otherwise amended or modified in any respect, within the one-year periods immediately preceding and/or following the occurrence of a Change in Control. Any action of the Board in amending or terminating this Plan (or any appendix or exhibit thereto) shall be taken in a non-fiduciary capacity.</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i w:val="1"/>
          <w:iCs w:val="1"/>
          <w:color w:val="auto"/>
        </w:rPr>
        <w:t>Parachute Payments</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Notwithstanding any other provision of this Plan or any compensation or benefit program or other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agreement to the contrary, if any payment or benefit by or from the Company or any of its Affiliates to or for the benefit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Participant, whether paid or payable or distributed or distributable pursuant to the terms of this Plan or otherwise, would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subject to the Excise Tax (as hereinafter defined) (all such payments and benefits being collectively referred to herein as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then except as otherwise provided in </w:t>
      </w:r>
      <w:r>
        <w:rPr>
          <w:rFonts w:ascii="Arial" w:cs="Arial" w:eastAsia="Arial" w:hAnsi="Arial"/>
          <w:sz w:val="19"/>
          <w:szCs w:val="19"/>
          <w:u w:val="single" w:color="auto"/>
          <w:color w:val="auto"/>
        </w:rPr>
        <w:t>Section 8.2</w:t>
      </w:r>
      <w:r>
        <w:rPr>
          <w:rFonts w:ascii="Arial" w:cs="Arial" w:eastAsia="Arial" w:hAnsi="Arial"/>
          <w:sz w:val="19"/>
          <w:szCs w:val="19"/>
          <w:color w:val="auto"/>
        </w:rPr>
        <w:t>, the Payments shall be reduced (but not below zero) or eliminated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 further provided for in </w:t>
      </w:r>
      <w:r>
        <w:rPr>
          <w:rFonts w:ascii="Arial" w:cs="Arial" w:eastAsia="Arial" w:hAnsi="Arial"/>
          <w:sz w:val="19"/>
          <w:szCs w:val="19"/>
          <w:u w:val="single" w:color="auto"/>
          <w:color w:val="auto"/>
        </w:rPr>
        <w:t>Section 8.3</w:t>
      </w:r>
      <w:r>
        <w:rPr>
          <w:rFonts w:ascii="Arial" w:cs="Arial" w:eastAsia="Arial" w:hAnsi="Arial"/>
          <w:sz w:val="19"/>
          <w:szCs w:val="19"/>
          <w:color w:val="auto"/>
        </w:rPr>
        <w:t>) to the extent the Independent Tax Advisor shall reasonably determine is necessary so that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 portion of the Payments shall be subject to the Excise Tax (the “</w:t>
      </w:r>
      <w:r>
        <w:rPr>
          <w:rFonts w:ascii="Arial" w:cs="Arial" w:eastAsia="Arial" w:hAnsi="Arial"/>
          <w:sz w:val="22"/>
          <w:szCs w:val="22"/>
          <w:b w:val="1"/>
          <w:bCs w:val="1"/>
          <w:color w:val="auto"/>
        </w:rPr>
        <w:t>Reduced Amount</w:t>
      </w:r>
      <w:r>
        <w:rPr>
          <w:rFonts w:ascii="Arial" w:cs="Arial" w:eastAsia="Arial" w:hAnsi="Arial"/>
          <w:sz w:val="22"/>
          <w:szCs w:val="22"/>
          <w:color w:val="auto"/>
        </w:rPr>
        <w:t>”).</w:t>
      </w:r>
    </w:p>
    <w:p>
      <w:pPr>
        <w:spacing w:after="0" w:line="202"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1"/>
          <w:szCs w:val="21"/>
          <w:color w:val="auto"/>
        </w:rPr>
        <w:t xml:space="preserve">8.2 Notwithstanding the provisions of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if the Independent Tax Advisor reasonably determines that the Participant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then no such reduction shall be made notwithstanding that all or any portion of the Payments may be subject to the Excise Tax.</w:t>
      </w:r>
    </w:p>
    <w:p>
      <w:pPr>
        <w:spacing w:after="0" w:line="175"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2"/>
          <w:szCs w:val="22"/>
          <w:color w:val="auto"/>
        </w:rPr>
        <w:t xml:space="preserve">8.3 For purposes of determining which of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shall be given effect, the determination of which Payments shall be reduced or eliminated to avoid the</w:t>
      </w:r>
    </w:p>
    <w:p>
      <w:pPr>
        <w:sectPr>
          <w:pgSz w:w="11900" w:h="16838" w:orient="portrait"/>
          <w:cols w:equalWidth="0" w:num="1">
            <w:col w:w="11200"/>
          </w:cols>
          <w:pgMar w:left="320" w:top="1341" w:right="379" w:bottom="1440" w:gutter="0" w:footer="0" w:header="0"/>
        </w:sectPr>
      </w:pPr>
    </w:p>
    <w:bookmarkStart w:id="14" w:name="page15"/>
    <w:bookmarkEnd w:id="14"/>
    <w:p>
      <w:pPr>
        <w:ind w:right="140"/>
        <w:spacing w:after="0" w:line="286" w:lineRule="auto"/>
        <w:rPr>
          <w:sz w:val="20"/>
          <w:szCs w:val="20"/>
          <w:color w:val="auto"/>
        </w:rPr>
      </w:pPr>
      <w:r>
        <w:rPr>
          <w:rFonts w:ascii="Arial" w:cs="Arial" w:eastAsia="Arial" w:hAnsi="Arial"/>
          <w:sz w:val="19"/>
          <w:szCs w:val="19"/>
          <w:color w:val="auto"/>
        </w:rPr>
        <w:t>Excise Tax shall be made by the Independent Tax Advisor. The Independent Tax Advisor shall provide its determinations, together with detailed supporting calculations and documentation, to the Company and the Participant for their review no later than 10 days after the Vesting Date. If a reduction in payments or benefits is necessary so that the Payments equal the Reduced Amount, reduction shall occur in the following order: (i) first by reducing or eliminating the portion of the Payments that are payable in cash, (ii) second by reducing or eliminating the portion of the Payments that are not payable in cash (other than Payments as to which Treasury Regulations Section 1.280G-1 Q/A – 24(c) (or any successor provision thereto) applies (“</w:t>
      </w:r>
      <w:r>
        <w:rPr>
          <w:rFonts w:ascii="Arial" w:cs="Arial" w:eastAsia="Arial" w:hAnsi="Arial"/>
          <w:sz w:val="19"/>
          <w:szCs w:val="19"/>
          <w:b w:val="1"/>
          <w:bCs w:val="1"/>
          <w:color w:val="auto"/>
        </w:rPr>
        <w:t>Q/A-24(c) Payments</w:t>
      </w:r>
      <w:r>
        <w:rPr>
          <w:rFonts w:ascii="Arial" w:cs="Arial" w:eastAsia="Arial" w:hAnsi="Arial"/>
          <w:sz w:val="19"/>
          <w:szCs w:val="19"/>
          <w:color w:val="auto"/>
        </w:rPr>
        <w:t>”)) and (iii) third by reducing or eliminating Q/A-24(c) Payments. In the event that any Q/A-24(c) Payment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acceleration is to be reduced, such Q/A-24(c) Payment shall be reduced or cancelled in the reverse order of the date of grant of the awards. The determinations of the Independent Tax Advisor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after due consideration of the Company’s and the Participant’s comments with respect to such determinations and the interpretation and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be final and binding on the Parties absent manifest error. The Company and the Participant shall furnish to the Independent Tax Advisor such information and documents as the Independent Tax Advisor may reasonably request in order to make the determinations required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i w:val="1"/>
          <w:iCs w:val="1"/>
          <w:color w:val="auto"/>
        </w:rPr>
        <w:t>General Provisions</w:t>
      </w:r>
      <w:r>
        <w:rPr>
          <w:rFonts w:ascii="Arial" w:cs="Arial" w:eastAsia="Arial" w:hAnsi="Arial"/>
          <w:sz w:val="19"/>
          <w:szCs w:val="19"/>
          <w:color w:val="auto"/>
        </w:rPr>
        <w:t>.</w:t>
      </w:r>
    </w:p>
    <w:p>
      <w:pPr>
        <w:spacing w:after="0" w:line="220" w:lineRule="exact"/>
        <w:rPr>
          <w:sz w:val="20"/>
          <w:szCs w:val="20"/>
          <w:color w:val="auto"/>
        </w:rPr>
      </w:pPr>
    </w:p>
    <w:p>
      <w:pPr>
        <w:jc w:val="both"/>
        <w:ind w:right="100" w:firstLine="1296"/>
        <w:spacing w:after="0" w:line="25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i w:val="1"/>
          <w:iCs w:val="1"/>
          <w:color w:val="auto"/>
        </w:rPr>
        <w:t>Notices</w:t>
      </w:r>
      <w:r>
        <w:rPr>
          <w:rFonts w:ascii="Arial" w:cs="Arial" w:eastAsia="Arial" w:hAnsi="Arial"/>
          <w:sz w:val="22"/>
          <w:szCs w:val="22"/>
          <w:color w:val="auto"/>
        </w:rPr>
        <w:t>. All notices and communications that are required or permitted to be given hereunder shall be in writing and shall be deemed to have been duly given when delivered personally or upon mailing by registered or certified mail, postage prepaid, return receipt requested, as follows:</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Company:</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Weatherford International plc.</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2000 Saint James Place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Houston, Texas 77056</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legalweatherford@weatherford.com</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Participant, to the address on file with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or in either case to such other address as may be specified in a notice given by one Party to the other Party hereunder.</w:t>
      </w:r>
    </w:p>
    <w:p>
      <w:pPr>
        <w:spacing w:after="0" w:line="231"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i w:val="1"/>
          <w:iCs w:val="1"/>
          <w:color w:val="auto"/>
        </w:rPr>
        <w:t>Administration</w:t>
      </w:r>
      <w:r>
        <w:rPr>
          <w:rFonts w:ascii="Arial" w:cs="Arial" w:eastAsia="Arial" w:hAnsi="Arial"/>
          <w:sz w:val="19"/>
          <w:szCs w:val="19"/>
          <w:color w:val="auto"/>
        </w:rPr>
        <w:t xml:space="preserve">. This Plan shall be interpreted, administered and operated by the Committee, which shall have complete authority, in its sole discretion subject to the express provisions of this Plan, to interpret this Plan, to prescribe, amend and rescind rules and regulations relating to it and to make all other determinations necessary or advisable for the administration of this Plan (including, without limitation, any determinations regarding eligibility to participate in this Plan). All questions of any character whatsoever arising in connection with the interpretation of this Plan or its administration or operation shall be submitted to and settled and determined by the Committee in accordance with the procedure for the settlement of disputes described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Any such settlement and determination shall be final and</w:t>
      </w:r>
    </w:p>
    <w:p>
      <w:pPr>
        <w:sectPr>
          <w:pgSz w:w="11900" w:h="16838" w:orient="portrait"/>
          <w:cols w:equalWidth="0" w:num="1">
            <w:col w:w="11100"/>
          </w:cols>
          <w:pgMar w:left="320" w:top="1347" w:right="479" w:bottom="1440" w:gutter="0" w:footer="0" w:header="0"/>
        </w:sectPr>
      </w:pPr>
    </w:p>
    <w:bookmarkStart w:id="15" w:name="page16"/>
    <w:bookmarkEnd w:id="15"/>
    <w:p>
      <w:pPr>
        <w:spacing w:after="0" w:line="164" w:lineRule="exact"/>
        <w:rPr>
          <w:sz w:val="20"/>
          <w:szCs w:val="20"/>
          <w:color w:val="auto"/>
        </w:rPr>
      </w:pPr>
    </w:p>
    <w:p>
      <w:pPr>
        <w:ind w:right="140"/>
        <w:spacing w:after="0" w:line="343" w:lineRule="auto"/>
        <w:rPr>
          <w:sz w:val="20"/>
          <w:szCs w:val="20"/>
          <w:color w:val="auto"/>
        </w:rPr>
      </w:pPr>
      <w:r>
        <w:rPr>
          <w:rFonts w:ascii="Arial" w:cs="Arial" w:eastAsia="Arial" w:hAnsi="Arial"/>
          <w:sz w:val="19"/>
          <w:szCs w:val="19"/>
          <w:color w:val="auto"/>
        </w:rPr>
        <w:t>conclusive, and shall bind and may be relied upon by the Company, each of the Participants and all other parties in interest. The Committee may delegate any of its duties hereunder to such person or persons from time to time as it may designate.</w:t>
      </w:r>
    </w:p>
    <w:p>
      <w:pPr>
        <w:spacing w:after="0" w:line="104" w:lineRule="exact"/>
        <w:rPr>
          <w:sz w:val="20"/>
          <w:szCs w:val="20"/>
          <w:color w:val="auto"/>
        </w:rPr>
      </w:pPr>
    </w:p>
    <w:p>
      <w:pPr>
        <w:ind w:right="140" w:firstLine="1296"/>
        <w:spacing w:after="0" w:line="294"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i w:val="1"/>
          <w:iCs w:val="1"/>
          <w:color w:val="auto"/>
        </w:rPr>
        <w:t>Assignment</w:t>
      </w:r>
      <w:r>
        <w:rPr>
          <w:rFonts w:ascii="Arial" w:cs="Arial" w:eastAsia="Arial" w:hAnsi="Arial"/>
          <w:sz w:val="19"/>
          <w:szCs w:val="19"/>
          <w:color w:val="auto"/>
        </w:rPr>
        <w:t>. Except as otherwise provided herein or by law, no right or interest of any Participant under this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this Plan shall be subject to any obligation or liability of such Participant. When a payment is due under this Plan to a Participant who is unable to care for his or her affairs, payment may be made directly to his or her legal guardian or personal representative.</w:t>
      </w:r>
    </w:p>
    <w:p>
      <w:pPr>
        <w:spacing w:after="0" w:line="149" w:lineRule="exact"/>
        <w:rPr>
          <w:sz w:val="20"/>
          <w:szCs w:val="20"/>
          <w:color w:val="auto"/>
        </w:rPr>
      </w:pPr>
    </w:p>
    <w:p>
      <w:pPr>
        <w:jc w:val="both"/>
        <w:ind w:right="100" w:firstLine="1296"/>
        <w:spacing w:after="0" w:line="25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i w:val="1"/>
          <w:iCs w:val="1"/>
          <w:color w:val="auto"/>
        </w:rPr>
        <w:t>Governing Law</w:t>
      </w:r>
      <w:r>
        <w:rPr>
          <w:rFonts w:ascii="Arial" w:cs="Arial" w:eastAsia="Arial" w:hAnsi="Arial"/>
          <w:sz w:val="22"/>
          <w:szCs w:val="22"/>
          <w:color w:val="auto"/>
        </w:rPr>
        <w:t>. This Plan shall be governed by and construed in accordance with the laws of the State of Texas, without regard to any conflicts or choice of law, rule or principle that might otherwise refer the interpretation of this Plan to the substantive law of another jurisdiction.</w:t>
      </w:r>
    </w:p>
    <w:p>
      <w:pPr>
        <w:spacing w:after="0" w:line="185" w:lineRule="exact"/>
        <w:rPr>
          <w:sz w:val="20"/>
          <w:szCs w:val="20"/>
          <w:color w:val="auto"/>
        </w:rPr>
      </w:pPr>
    </w:p>
    <w:p>
      <w:pPr>
        <w:ind w:right="660" w:firstLine="1296"/>
        <w:spacing w:after="0" w:line="263"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i w:val="1"/>
          <w:iCs w:val="1"/>
          <w:color w:val="auto"/>
        </w:rPr>
        <w:t>Withholding</w:t>
      </w:r>
      <w:r>
        <w:rPr>
          <w:rFonts w:ascii="Arial" w:cs="Arial" w:eastAsia="Arial" w:hAnsi="Arial"/>
          <w:sz w:val="22"/>
          <w:szCs w:val="22"/>
          <w:color w:val="auto"/>
        </w:rPr>
        <w:t>. Any payments and benefits provided for hereunder shall be paid net of any applicable withholding required under applicable law.</w:t>
      </w:r>
    </w:p>
    <w:p>
      <w:pPr>
        <w:spacing w:after="0" w:line="175" w:lineRule="exact"/>
        <w:rPr>
          <w:sz w:val="20"/>
          <w:szCs w:val="20"/>
          <w:color w:val="auto"/>
        </w:rPr>
      </w:pPr>
    </w:p>
    <w:p>
      <w:pPr>
        <w:ind w:right="260" w:firstLine="1296"/>
        <w:spacing w:after="0" w:line="287"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i w:val="1"/>
          <w:iCs w:val="1"/>
          <w:color w:val="auto"/>
        </w:rPr>
        <w:t>Survival</w:t>
      </w:r>
      <w:r>
        <w:rPr>
          <w:rFonts w:ascii="Arial" w:cs="Arial" w:eastAsia="Arial" w:hAnsi="Arial"/>
          <w:sz w:val="21"/>
          <w:szCs w:val="21"/>
          <w:color w:val="auto"/>
        </w:rPr>
        <w:t>. The obligations of the Company and the Participant under this Plan which by their nature may require either partial or total performance after the termination of this Plan shall survive such termination.</w:t>
      </w:r>
    </w:p>
    <w:p>
      <w:pPr>
        <w:spacing w:after="0" w:line="151"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i w:val="1"/>
          <w:iCs w:val="1"/>
          <w:color w:val="auto"/>
        </w:rPr>
        <w:t>No Right to Continued Employment</w:t>
      </w:r>
      <w:r>
        <w:rPr>
          <w:rFonts w:ascii="Arial" w:cs="Arial" w:eastAsia="Arial" w:hAnsi="Arial"/>
          <w:sz w:val="22"/>
          <w:szCs w:val="22"/>
          <w:color w:val="auto"/>
        </w:rPr>
        <w:t>. Neither the establishment of this Plan, nor any modification thereof, nor the creation of any fund, trust or account, nor the payment of any benefits shall be construed as giving any Participant, or any person whomsoever, the right to be retained in the service of the Company, and all Participants shall remain subject to discharge to the same extent as if this Plan had never been adopted.</w:t>
      </w:r>
    </w:p>
    <w:p>
      <w:pPr>
        <w:spacing w:after="0" w:line="188"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i w:val="1"/>
          <w:iCs w:val="1"/>
          <w:color w:val="auto"/>
        </w:rPr>
        <w:t>Headings Descriptive</w:t>
      </w:r>
      <w:r>
        <w:rPr>
          <w:rFonts w:ascii="Arial" w:cs="Arial" w:eastAsia="Arial" w:hAnsi="Arial"/>
          <w:sz w:val="22"/>
          <w:szCs w:val="22"/>
          <w:color w:val="auto"/>
        </w:rPr>
        <w:t>. The headings of sections and paragraphs of this Plan are inserted for convenience only and shall not in any way affect the meaning or construction of any provision of this Plan.</w:t>
      </w:r>
    </w:p>
    <w:p>
      <w:pPr>
        <w:spacing w:after="0" w:line="175" w:lineRule="exact"/>
        <w:rPr>
          <w:sz w:val="20"/>
          <w:szCs w:val="20"/>
          <w:color w:val="auto"/>
        </w:rPr>
      </w:pPr>
    </w:p>
    <w:p>
      <w:pPr>
        <w:ind w:right="40" w:firstLine="1296"/>
        <w:spacing w:after="0" w:line="343"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i w:val="1"/>
          <w:iCs w:val="1"/>
          <w:color w:val="auto"/>
        </w:rPr>
        <w:t>Benefits Unfunded</w:t>
      </w:r>
      <w:r>
        <w:rPr>
          <w:rFonts w:ascii="Arial" w:cs="Arial" w:eastAsia="Arial" w:hAnsi="Arial"/>
          <w:sz w:val="19"/>
          <w:szCs w:val="19"/>
          <w:color w:val="auto"/>
        </w:rPr>
        <w:t>. This Plan shall not be funded. No Participant shall have any right to, or interest in, any assets of the Company which may be applied by the Company to the payment of benefits or other rights under this Plan.</w:t>
      </w:r>
    </w:p>
    <w:p>
      <w:pPr>
        <w:spacing w:after="0" w:line="104"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i w:val="1"/>
          <w:iCs w:val="1"/>
          <w:color w:val="auto"/>
        </w:rPr>
        <w:t>Enforceability</w:t>
      </w:r>
      <w:r>
        <w:rPr>
          <w:rFonts w:ascii="Arial" w:cs="Arial" w:eastAsia="Arial" w:hAnsi="Arial"/>
          <w:sz w:val="22"/>
          <w:szCs w:val="22"/>
          <w:color w:val="auto"/>
        </w:rPr>
        <w:t>. The invalidity or unenforceability of any provision of this Plan shall not affect the validity or enforceability of any other provision of this Plan, which shall remain in full force and effect.</w:t>
      </w:r>
    </w:p>
    <w:p>
      <w:pPr>
        <w:spacing w:after="0" w:line="175"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i w:val="1"/>
          <w:iCs w:val="1"/>
          <w:color w:val="auto"/>
        </w:rPr>
        <w:t>Section 409A</w:t>
      </w:r>
      <w:r>
        <w:rPr>
          <w:rFonts w:ascii="Arial" w:cs="Arial" w:eastAsia="Arial" w:hAnsi="Arial"/>
          <w:sz w:val="19"/>
          <w:szCs w:val="19"/>
          <w:color w:val="auto"/>
        </w:rPr>
        <w:t>. This Plan shall be interpreted to avoid any penalty sanctions under Section 409A or 457A of the Code. If any payment or benefit cannot be provided or made at the time specified herein without incurring sanctions under Section 409A or 457A of the Code, then such benefit or payment shall be provided in full at the earliest time</w:t>
      </w:r>
    </w:p>
    <w:p>
      <w:pPr>
        <w:sectPr>
          <w:pgSz w:w="11900" w:h="16838" w:orient="portrait"/>
          <w:cols w:equalWidth="0" w:num="1">
            <w:col w:w="11180"/>
          </w:cols>
          <w:pgMar w:left="320" w:top="1440" w:right="39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9"/>
          <w:szCs w:val="19"/>
          <w:color w:val="auto"/>
        </w:rPr>
        <w:t xml:space="preserve">thereafter when such sanctions shall not be imposed. All payments to be made upon a termination of employment under this Plan shall be made upon a Separation From Service. For purposes of Section 409A of the Code, each payment made under this Plan shall be treated as a separate payment. In no event may the Participant, directly or indirectly, designate the calendar year of payment. To the maximum extent permitted under Section 409A of the Code and its corresponding regulations, the cash severance benefits payable under this Plan are intended to meet the requirements of the short-term deferral exemption under Section 409A or 457A of the Code and the “separation pay exception” under Treas. Reg. §1.409A-1(b)(9)(iii). However, if such severance benefits do not qualify for such exemptions at the time of the Participant’s termination of employment and therefore are deemed as deferred compensation subject to the requirements of Section 409A of the Code, then if the Participant is a “specified employee” under Section 409A of the Code on the date of the Participant’s termination of employment, notwithstanding any other provision of this Plan, payment of severance under this Plan shall be delayed for a period of six months from the date of the Participant’s termination of employment if required by Section 409A of the Code. The accumulated postponed amount shall be paid in a lump sum payment within 15 days after the end of the six-month period. If the Participant dies during the postponement period prior to payment of the postponed amount, the amounts withheld on account of Section 409A of the Code shall be paid to the Participant’s estate within 15 days after the date of the Participant’s death. All reimbursements and in-kind benefits provided under this Plan shall be made or provided in accordance with the requirements of Section 409A of the Code, including, where applicable, the requirement that (i) any reimbursement shall be for expenses incurred during the Participant’s lifetime (or during a shorter period of time specified in this Plan), (ii) the amount of expenses eligible for reimbursement, or in kind benefits provided, during a calendar year may not affect the expenses eligible for reimbursement, or in kind benefits to be provided, in any other calendar year, (iii) the reimbursement of an eligible expense shall be made on or before the last day of the calendar year following the year in which the expense is incurred and (iv) the right to reimbursement or in kind benefits is not subject to liquidation or exchange for another benefit. For the avoidance of doubt,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shall not apply to any Participant who is not subject to the provisions of Section 409A of the Code. Neither the Company nor its directors, officers, employees or advisers shall be liable to the Participant (or any other individual claiming a benefit through the Participant) for any tax, interest, or penalties the Participant may owe as a result of compensation or benefits paid under this Plan, and the Company shall have no obligation to indemnify or otherwise protect the Participant from the obligation to pay any taxes pursuant to Section 409A or 457A or otherwise.</w:t>
      </w:r>
    </w:p>
    <w:p>
      <w:pPr>
        <w:spacing w:after="0" w:line="200" w:lineRule="exact"/>
        <w:rPr>
          <w:sz w:val="20"/>
          <w:szCs w:val="20"/>
          <w:color w:val="auto"/>
        </w:rPr>
      </w:pPr>
    </w:p>
    <w:p>
      <w:pPr>
        <w:spacing w:after="0" w:line="221" w:lineRule="exact"/>
        <w:rPr>
          <w:sz w:val="20"/>
          <w:szCs w:val="20"/>
          <w:color w:val="auto"/>
        </w:rPr>
      </w:pPr>
    </w:p>
    <w:p>
      <w:pPr>
        <w:ind w:right="140" w:firstLine="1296"/>
        <w:spacing w:after="0" w:line="247"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i w:val="1"/>
          <w:iCs w:val="1"/>
          <w:color w:val="auto"/>
        </w:rPr>
        <w:t>Entire Agreement</w:t>
      </w:r>
      <w:r>
        <w:rPr>
          <w:rFonts w:ascii="Arial" w:cs="Arial" w:eastAsia="Arial" w:hAnsi="Arial"/>
          <w:sz w:val="22"/>
          <w:szCs w:val="22"/>
          <w:color w:val="auto"/>
        </w:rPr>
        <w:t xml:space="preserve">. This Plan constitutes the entire agreement between the Company and the Participants and, except as expressly provided herein or in another agreement that specifically references this </w:t>
      </w:r>
      <w:r>
        <w:rPr>
          <w:rFonts w:ascii="Arial" w:cs="Arial" w:eastAsia="Arial" w:hAnsi="Arial"/>
          <w:sz w:val="22"/>
          <w:szCs w:val="22"/>
          <w:u w:val="single" w:color="auto"/>
          <w:color w:val="auto"/>
        </w:rPr>
        <w:t>Section 9.12</w:t>
      </w:r>
      <w:r>
        <w:rPr>
          <w:rFonts w:ascii="Arial" w:cs="Arial" w:eastAsia="Arial" w:hAnsi="Arial"/>
          <w:sz w:val="22"/>
          <w:szCs w:val="22"/>
          <w:color w:val="auto"/>
        </w:rPr>
        <w:t xml:space="preserve">, supersedes the provisions of all other prior agreements or policies concerning the payment of severance benefits upon a termination of employment in connection with or following a Change in Control;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no event shall payments or benefits provided pursuant to any other severance agreement or policy entitle a Participant to a duplication of payments and benefits pursuant to this Plan.</w:t>
      </w:r>
    </w:p>
    <w:p>
      <w:pPr>
        <w:sectPr>
          <w:pgSz w:w="11900" w:h="16838" w:orient="portrait"/>
          <w:cols w:equalWidth="0" w:num="1">
            <w:col w:w="11220"/>
          </w:cols>
          <w:pgMar w:left="320" w:top="1347" w:right="35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jc w:val="center"/>
        <w:spacing w:after="0"/>
        <w:rPr>
          <w:sz w:val="20"/>
          <w:szCs w:val="20"/>
          <w:color w:val="auto"/>
        </w:rPr>
      </w:pPr>
      <w:r>
        <w:rPr>
          <w:rFonts w:ascii="Arial" w:cs="Arial" w:eastAsia="Arial" w:hAnsi="Arial"/>
          <w:sz w:val="20"/>
          <w:szCs w:val="20"/>
          <w:b w:val="1"/>
          <w:bCs w:val="1"/>
          <w:color w:val="auto"/>
        </w:rPr>
        <w:t>2020 Long-Term Cash Incentive Plan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Participant: [●]</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Award Date: [●]</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Award Value: $[●]</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Pro-rated Cash Award Value: $[●]</w:t>
      </w:r>
    </w:p>
    <w:p>
      <w:pPr>
        <w:spacing w:after="0" w:line="35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Section 1 – Grant of Cash Award</w:t>
      </w:r>
      <w:r>
        <w:rPr>
          <w:rFonts w:ascii="Arial" w:cs="Arial" w:eastAsia="Arial" w:hAnsi="Arial"/>
          <w:sz w:val="20"/>
          <w:szCs w:val="20"/>
          <w:color w:val="auto"/>
        </w:rPr>
        <w:t>. Upon and subject to the terms and conditions set forth in this Award Agreement (the “</w:t>
      </w:r>
      <w:r>
        <w:rPr>
          <w:rFonts w:ascii="Arial" w:cs="Arial" w:eastAsia="Arial" w:hAnsi="Arial"/>
          <w:sz w:val="20"/>
          <w:szCs w:val="20"/>
          <w:u w:val="single" w:color="auto"/>
          <w:color w:val="auto"/>
        </w:rPr>
        <w:t>Award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in the Weatherford International plc 2020 Long-Term Cash Incentive Plan (as amended, restated, or otherwise modified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Weatherford International plc, an Irish public limited company, and its successors (“</w:t>
      </w:r>
      <w:r>
        <w:rPr>
          <w:rFonts w:ascii="Arial" w:cs="Arial" w:eastAsia="Arial" w:hAnsi="Arial"/>
          <w:sz w:val="20"/>
          <w:szCs w:val="20"/>
          <w:u w:val="single" w:color="auto"/>
          <w:color w:val="auto"/>
        </w:rPr>
        <w:t>Weatherford</w:t>
      </w:r>
      <w:r>
        <w:rPr>
          <w:rFonts w:ascii="Arial" w:cs="Arial" w:eastAsia="Arial" w:hAnsi="Arial"/>
          <w:sz w:val="20"/>
          <w:szCs w:val="20"/>
          <w:color w:val="auto"/>
        </w:rPr>
        <w:t>” or the “</w:t>
      </w:r>
      <w:r>
        <w:rPr>
          <w:rFonts w:ascii="Arial" w:cs="Arial" w:eastAsia="Arial" w:hAnsi="Arial"/>
          <w:sz w:val="20"/>
          <w:szCs w:val="20"/>
          <w:u w:val="single" w:color="auto"/>
          <w:color w:val="auto"/>
        </w:rPr>
        <w:t>Company</w:t>
      </w:r>
      <w:r>
        <w:rPr>
          <w:rFonts w:ascii="Arial" w:cs="Arial" w:eastAsia="Arial" w:hAnsi="Arial"/>
          <w:sz w:val="20"/>
          <w:szCs w:val="20"/>
          <w:color w:val="auto"/>
        </w:rPr>
        <w:t>”), hereby grants to the Participant whose name is set forth above a Cash Award under the Plan, as set forth above.</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Section 2 – Effect of Plan</w:t>
      </w:r>
      <w:r>
        <w:rPr>
          <w:rFonts w:ascii="Arial" w:cs="Arial" w:eastAsia="Arial" w:hAnsi="Arial"/>
          <w:sz w:val="20"/>
          <w:szCs w:val="20"/>
          <w:color w:val="auto"/>
        </w:rPr>
        <w:t>. Except as specifically amended below, the Cash Award granted to the Participant is subject to all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the Plan and this Award Agreement, which are incorporated herein by reference, together with all rules and determinations from time to time issued by the Committee pursuant to the Plan. Capitalized terms used in this Award Agreement and not defined herein shall have the meanings assigned to such terms in the Plan. Notwithstanding the foregoing and solely with respect to the Cash Award granted pursuant to this Award Agreement, the vesting acceleration provisions contained in Sections 7.1 and 7.2 of the Plan shall not apply to the Cash Award, and Section 5.2 of the Plan shall be deleted and replaced in its entirety with the following: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5.2 Cash Award Vesting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Cash Award will vest as follows:</w:t>
      </w:r>
    </w:p>
    <w:p>
      <w:pPr>
        <w:spacing w:after="0" w:line="243" w:lineRule="exact"/>
        <w:rPr>
          <w:sz w:val="20"/>
          <w:szCs w:val="20"/>
          <w:color w:val="auto"/>
        </w:rPr>
      </w:pPr>
    </w:p>
    <w:p>
      <w:pPr>
        <w:jc w:val="both"/>
        <w:ind w:left="1300" w:firstLine="4"/>
        <w:spacing w:after="0"/>
        <w:tabs>
          <w:tab w:leader="none" w:pos="17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30% of the Cash Award Value will be time-based and shall vest in substantially equal installments on each of: (a) December 31, 20[●]; (b) December 31, 20[●], and (c) December 31, 20[●] (the “</w:t>
      </w:r>
      <w:r>
        <w:rPr>
          <w:rFonts w:ascii="Arial" w:cs="Arial" w:eastAsia="Arial" w:hAnsi="Arial"/>
          <w:sz w:val="20"/>
          <w:szCs w:val="20"/>
          <w:u w:val="single" w:color="auto"/>
          <w:color w:val="auto"/>
        </w:rPr>
        <w:t>Time-Vested Award</w:t>
      </w:r>
      <w:r>
        <w:rPr>
          <w:rFonts w:ascii="Arial" w:cs="Arial" w:eastAsia="Arial" w:hAnsi="Arial"/>
          <w:sz w:val="20"/>
          <w:szCs w:val="20"/>
          <w:color w:val="auto"/>
        </w:rPr>
        <w:t>”); provided, however, that the first installment due on December 31, 2020 shall be pro-rated for the Participant’s period of employment during the calendar year, calculated from the Participant’s hire date through December 31, 2020 (i.e., $[●] on December 31, 20[●] following such pro-ration and $[●]on each of December 31, 20[●] and December 31, 20[●]); provided, further, that in the event of a termination of the Participant’s employment due to a Covered Termination, subject to the Release Requirement, the unvested portion of the Time-Vested Award shall vest as of the date of termination and shall be paid in accordance with Section 7.2 of the Plan, subject to the terms thereof;</w:t>
      </w:r>
    </w:p>
    <w:p>
      <w:pPr>
        <w:spacing w:after="0" w:line="238" w:lineRule="exact"/>
        <w:rPr>
          <w:rFonts w:ascii="Arial" w:cs="Arial" w:eastAsia="Arial" w:hAnsi="Arial"/>
          <w:sz w:val="20"/>
          <w:szCs w:val="20"/>
          <w:color w:val="auto"/>
        </w:rPr>
      </w:pPr>
    </w:p>
    <w:p>
      <w:pPr>
        <w:jc w:val="both"/>
        <w:ind w:left="1300" w:firstLine="4"/>
        <w:spacing w:after="0" w:line="243" w:lineRule="auto"/>
        <w:tabs>
          <w:tab w:leader="none" w:pos="17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35% of the Cash Award Value will be contingent on the achievement of the Performance Goals for Return on Capital Employed and shall vest at the conclusion of the Performance Period, pro-rated for the Participant’s period of employment during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6" w:right="339" w:bottom="1440" w:gutter="0" w:footer="0" w:header="0"/>
        </w:sectPr>
      </w:pPr>
    </w:p>
    <w:bookmarkStart w:id="18" w:name="page19"/>
    <w:bookmarkEnd w:id="18"/>
    <w:p>
      <w:pPr>
        <w:spacing w:after="0" w:line="154" w:lineRule="exact"/>
        <w:rPr>
          <w:sz w:val="20"/>
          <w:szCs w:val="20"/>
          <w:color w:val="auto"/>
        </w:rPr>
      </w:pPr>
    </w:p>
    <w:p>
      <w:pPr>
        <w:ind w:left="1300"/>
        <w:spacing w:after="0" w:line="246" w:lineRule="auto"/>
        <w:rPr>
          <w:sz w:val="20"/>
          <w:szCs w:val="20"/>
          <w:color w:val="auto"/>
        </w:rPr>
      </w:pPr>
      <w:r>
        <w:rPr>
          <w:rFonts w:ascii="Arial" w:cs="Arial" w:eastAsia="Arial" w:hAnsi="Arial"/>
          <w:sz w:val="20"/>
          <w:szCs w:val="20"/>
          <w:color w:val="auto"/>
        </w:rPr>
        <w:t>Performance Period, calculated from the Participant’s hire date through the end of the Performance Period (i.e., $[●] following such pro-ration); and</w:t>
      </w:r>
    </w:p>
    <w:p>
      <w:pPr>
        <w:spacing w:after="0" w:line="231" w:lineRule="exact"/>
        <w:rPr>
          <w:sz w:val="20"/>
          <w:szCs w:val="20"/>
          <w:color w:val="auto"/>
        </w:rPr>
      </w:pPr>
    </w:p>
    <w:p>
      <w:pPr>
        <w:jc w:val="both"/>
        <w:ind w:left="1300" w:firstLine="4"/>
        <w:spacing w:after="0" w:line="241" w:lineRule="auto"/>
        <w:tabs>
          <w:tab w:leader="none" w:pos="1827" w:val="left"/>
        </w:tabs>
        <w:numPr>
          <w:ilvl w:val="0"/>
          <w:numId w:val="13"/>
        </w:numPr>
        <w:rPr>
          <w:rFonts w:ascii="Arial" w:cs="Arial" w:eastAsia="Arial" w:hAnsi="Arial"/>
          <w:sz w:val="20"/>
          <w:szCs w:val="20"/>
          <w:color w:val="auto"/>
        </w:rPr>
      </w:pPr>
      <w:r>
        <w:rPr>
          <w:rFonts w:ascii="Arial" w:cs="Arial" w:eastAsia="Arial" w:hAnsi="Arial"/>
          <w:sz w:val="20"/>
          <w:szCs w:val="20"/>
          <w:color w:val="auto"/>
        </w:rPr>
        <w:t>35% of the Cash Award Value will be contingent on the achievement of Performance Goals for Free Cash Flow and shall vest at the conclusion of the Performance Period, pro-rated for the Participant’s period of employment during the Performance Period, calculated from the Participant’s hire date through the end of the Performance Period (i.e., $[●] following such pro-ration).</w:t>
      </w:r>
    </w:p>
    <w:p>
      <w:pPr>
        <w:spacing w:after="0" w:line="237" w:lineRule="exact"/>
        <w:rPr>
          <w:sz w:val="20"/>
          <w:szCs w:val="20"/>
          <w:color w:val="auto"/>
        </w:rPr>
      </w:pPr>
    </w:p>
    <w:p>
      <w:pPr>
        <w:jc w:val="both"/>
        <w:ind w:left="1300"/>
        <w:spacing w:after="0" w:line="243" w:lineRule="auto"/>
        <w:rPr>
          <w:sz w:val="20"/>
          <w:szCs w:val="20"/>
          <w:color w:val="auto"/>
        </w:rPr>
      </w:pPr>
      <w:r>
        <w:rPr>
          <w:rFonts w:ascii="Arial" w:cs="Arial" w:eastAsia="Arial" w:hAnsi="Arial"/>
          <w:sz w:val="20"/>
          <w:szCs w:val="20"/>
          <w:color w:val="auto"/>
        </w:rPr>
        <w:t>For purposes of this Section 5.2, and notwithstanding any other definition contained in the Plan or in the Participant’s Offer Letter from the Company, “</w:t>
      </w:r>
      <w:r>
        <w:rPr>
          <w:rFonts w:ascii="Arial" w:cs="Arial" w:eastAsia="Arial" w:hAnsi="Arial"/>
          <w:sz w:val="20"/>
          <w:szCs w:val="20"/>
          <w:u w:val="single" w:color="auto"/>
          <w:color w:val="auto"/>
        </w:rPr>
        <w:t>Covered Termination</w:t>
      </w:r>
      <w:r>
        <w:rPr>
          <w:rFonts w:ascii="Arial" w:cs="Arial" w:eastAsia="Arial" w:hAnsi="Arial"/>
          <w:sz w:val="20"/>
          <w:szCs w:val="20"/>
          <w:color w:val="auto"/>
        </w:rPr>
        <w:t>” shall mean termination of the Participant’s employment by any member of the Weatherford Group without Cause (including due to death or Disability) or by</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Participant for Good Reason each, as defined in the Company’s Change in Control Severance Plan.</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Section 3 – Notices</w:t>
      </w:r>
      <w:r>
        <w:rPr>
          <w:rFonts w:ascii="Arial" w:cs="Arial" w:eastAsia="Arial" w:hAnsi="Arial"/>
          <w:sz w:val="20"/>
          <w:szCs w:val="20"/>
          <w:color w:val="auto"/>
        </w:rPr>
        <w:t>. Any notice hereunder shall be in writing, and shall be delivered either by personal delivery, by facsimile, by</w:t>
      </w:r>
      <w:r>
        <w:rPr>
          <w:rFonts w:ascii="Arial" w:cs="Arial" w:eastAsia="Arial" w:hAnsi="Arial"/>
          <w:sz w:val="20"/>
          <w:szCs w:val="20"/>
          <w:b w:val="1"/>
          <w:bCs w:val="1"/>
          <w:color w:val="auto"/>
        </w:rPr>
        <w:t xml:space="preserve"> </w:t>
      </w:r>
      <w:r>
        <w:rPr>
          <w:rFonts w:ascii="Arial" w:cs="Arial" w:eastAsia="Arial" w:hAnsi="Arial"/>
          <w:sz w:val="20"/>
          <w:szCs w:val="20"/>
          <w:color w:val="auto"/>
        </w:rPr>
        <w:t>certified or registered mail, return receipt requested, or by courier or delivery service, addressed to the Company at the address indicated below on the execution page of this Award Agreement, and to the Participant at the Participant’s physical address or to such number most recently on file with the Company,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4 – Clawback</w:t>
      </w:r>
      <w:r>
        <w:rPr>
          <w:rFonts w:ascii="Arial" w:cs="Arial" w:eastAsia="Arial" w:hAnsi="Arial"/>
          <w:sz w:val="20"/>
          <w:szCs w:val="20"/>
          <w:color w:val="auto"/>
        </w:rPr>
        <w:t>. The Participant shall be subject to the Company’s clawback, forfeiture or other similar policies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10.5 of the Plan. By accepting this Cash Award, the Participant is deemed to have acknowledged and consented to the Company’s application, implementation and enforcement of any such policy adopted by the Company, whether adopted prior to or following the Award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Section 5 – Governing Law</w:t>
      </w:r>
      <w:r>
        <w:rPr>
          <w:rFonts w:ascii="Arial" w:cs="Arial" w:eastAsia="Arial" w:hAnsi="Arial"/>
          <w:sz w:val="20"/>
          <w:szCs w:val="20"/>
          <w:color w:val="auto"/>
        </w:rPr>
        <w:t>. This Award Agreement shall be governed by the laws of the State of Texas, without giving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principles of conflicts of law thereof.</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6 – Binding Effect; Amendment</w:t>
      </w:r>
      <w:r>
        <w:rPr>
          <w:rFonts w:ascii="Arial" w:cs="Arial" w:eastAsia="Arial" w:hAnsi="Arial"/>
          <w:sz w:val="20"/>
          <w:szCs w:val="20"/>
          <w:color w:val="auto"/>
        </w:rPr>
        <w:t>. The Committee has the right to amend, alter, suspend, discontinue or cancel the</w:t>
      </w:r>
      <w:r>
        <w:rPr>
          <w:rFonts w:ascii="Arial" w:cs="Arial" w:eastAsia="Arial" w:hAnsi="Arial"/>
          <w:sz w:val="20"/>
          <w:szCs w:val="20"/>
          <w:b w:val="1"/>
          <w:bCs w:val="1"/>
          <w:color w:val="auto"/>
        </w:rPr>
        <w:t xml:space="preserve"> </w:t>
      </w:r>
      <w:r>
        <w:rPr>
          <w:rFonts w:ascii="Arial" w:cs="Arial" w:eastAsia="Arial" w:hAnsi="Arial"/>
          <w:sz w:val="20"/>
          <w:szCs w:val="20"/>
          <w:color w:val="auto"/>
        </w:rPr>
        <w:t>Cash Award, prospectively or retroactively; provided that no such amendment shall materially and adversely affect the Participant’s rights under this Award Agreement without the Participant’s consent.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7 – No Right to Continued Service</w:t>
      </w:r>
      <w:r>
        <w:rPr>
          <w:rFonts w:ascii="Arial" w:cs="Arial" w:eastAsia="Arial" w:hAnsi="Arial"/>
          <w:sz w:val="20"/>
          <w:szCs w:val="20"/>
          <w:color w:val="auto"/>
        </w:rPr>
        <w:t>. Neither the Plan nor this Award Agreement shall confer upon the Participant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continued employment or service. Further, nothing in the Plan or this Award Agreement shall be construed to limit the discretion of the Company to terminate the Participant’s employment at any time for any reason.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9" w:name="page20"/>
    <w:bookmarkEnd w:id="19"/>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8 – Severability</w:t>
      </w:r>
      <w:r>
        <w:rPr>
          <w:rFonts w:ascii="Arial" w:cs="Arial" w:eastAsia="Arial" w:hAnsi="Arial"/>
          <w:sz w:val="20"/>
          <w:szCs w:val="20"/>
          <w:color w:val="auto"/>
        </w:rPr>
        <w:t>. The provisions of this Award Agreement are severable and if any one or more provisions are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to be illegal or otherwise unenforceable, in whole or in part, the remaining provisions shall nevertheless be binding and enforceable.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9 – Waiver</w:t>
      </w:r>
      <w:r>
        <w:rPr>
          <w:rFonts w:ascii="Arial" w:cs="Arial" w:eastAsia="Arial" w:hAnsi="Arial"/>
          <w:sz w:val="20"/>
          <w:szCs w:val="20"/>
          <w:color w:val="auto"/>
        </w:rPr>
        <w:t>. The Participant acknowledges that a waiver by the Company of breach of any provision of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not operate or be construed as a waiver of any other provision of this Award Agreement, or of any subsequent breach by the Participant or any other participant in the Plan.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 xml:space="preserve">Section 10 – Acknowledgement. </w:t>
      </w:r>
      <w:r>
        <w:rPr>
          <w:rFonts w:ascii="Arial" w:cs="Arial" w:eastAsia="Arial" w:hAnsi="Arial"/>
          <w:sz w:val="20"/>
          <w:szCs w:val="20"/>
          <w:color w:val="auto"/>
        </w:rPr>
        <w:t>The Participant acknowledges receipt of a copy of the Plan, represents that the Participant is</w:t>
      </w:r>
      <w:r>
        <w:rPr>
          <w:rFonts w:ascii="Arial" w:cs="Arial" w:eastAsia="Arial" w:hAnsi="Arial"/>
          <w:sz w:val="20"/>
          <w:szCs w:val="20"/>
          <w:b w:val="1"/>
          <w:bCs w:val="1"/>
          <w:color w:val="auto"/>
        </w:rPr>
        <w:t xml:space="preserve"> </w:t>
      </w:r>
      <w:r>
        <w:rPr>
          <w:rFonts w:ascii="Arial" w:cs="Arial" w:eastAsia="Arial" w:hAnsi="Arial"/>
          <w:sz w:val="20"/>
          <w:szCs w:val="20"/>
          <w:color w:val="auto"/>
        </w:rPr>
        <w:t>familiar with the terms and provisions thereof, and hereby accepts this Award Agreement subject to all of the terms and provisions hereof and thereof. The Participant further acknowledges and agrees that the Participant has reviewed this Award Agreement and the Plan in their entirety, has had an opportunity to obtain the advice of tax and legal counsel prior to executing this Award Agreement, and fully understands all provisions of this Award Agreement and the Plan.</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11 – Entire Agreement</w:t>
      </w:r>
      <w:r>
        <w:rPr>
          <w:rFonts w:ascii="Arial" w:cs="Arial" w:eastAsia="Arial" w:hAnsi="Arial"/>
          <w:sz w:val="20"/>
          <w:szCs w:val="20"/>
          <w:color w:val="auto"/>
        </w:rPr>
        <w:t>. The Plan, this Agreement, and the Confidentiality Agreement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and the Participant with respect to the subject matter hereof and supersede in their entirety all prior undertakings and agreements of the parties with respect to the subject matter hereof. If there is any inconsistency between the provisions of this Award Agreement and of the Plan, the provisions of the Plan shall govern. Nothing in the Plan and this Award Agreement (except as expressly provided therein or herein) is intended to confer any rights or remedies on any person other than the Company and the Participant.</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Section 12 – Counterparts</w:t>
      </w:r>
      <w:r>
        <w:rPr>
          <w:rFonts w:ascii="Arial" w:cs="Arial" w:eastAsia="Arial" w:hAnsi="Arial"/>
          <w:sz w:val="20"/>
          <w:szCs w:val="20"/>
          <w:color w:val="auto"/>
        </w:rPr>
        <w:t>. This Award Agreement may be executed in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will constitute one and the same instrument. Counterpart signature pages to this Award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11"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Weatherford International plc</w:t>
      </w:r>
    </w:p>
    <w:p>
      <w:pPr>
        <w:spacing w:after="0" w:line="266" w:lineRule="exact"/>
        <w:rPr>
          <w:sz w:val="20"/>
          <w:szCs w:val="20"/>
          <w:color w:val="auto"/>
        </w:rPr>
      </w:pPr>
    </w:p>
    <w:p>
      <w:pPr>
        <w:ind w:left="3160"/>
        <w:spacing w:after="0"/>
        <w:tabs>
          <w:tab w:leader="none" w:pos="3660" w:val="left"/>
        </w:tabs>
        <w:rPr>
          <w:sz w:val="20"/>
          <w:szCs w:val="20"/>
          <w:color w:val="auto"/>
        </w:rPr>
      </w:pPr>
      <w:r>
        <w:rPr>
          <w:rFonts w:ascii="Arial" w:cs="Arial" w:eastAsia="Arial" w:hAnsi="Arial"/>
          <w:sz w:val="20"/>
          <w:szCs w:val="20"/>
          <w:color w:val="auto"/>
        </w:rPr>
        <w:t>By:</w:t>
        <w:tab/>
        <w:t>__________________________________________</w:t>
      </w:r>
    </w:p>
    <w:p>
      <w:pPr>
        <w:ind w:left="3160"/>
        <w:spacing w:after="0"/>
        <w:tabs>
          <w:tab w:leader="none" w:pos="3940" w:val="left"/>
        </w:tabs>
        <w:rPr>
          <w:sz w:val="20"/>
          <w:szCs w:val="20"/>
          <w:color w:val="auto"/>
        </w:rPr>
      </w:pPr>
      <w:r>
        <w:rPr>
          <w:rFonts w:ascii="Arial" w:cs="Arial" w:eastAsia="Arial" w:hAnsi="Arial"/>
          <w:sz w:val="20"/>
          <w:szCs w:val="20"/>
          <w:color w:val="auto"/>
        </w:rPr>
        <w:t>Name:</w:t>
        <w:tab/>
        <w:t>Ellen Chin</w:t>
      </w:r>
    </w:p>
    <w:p>
      <w:pPr>
        <w:ind w:left="3160"/>
        <w:spacing w:after="0"/>
        <w:tabs>
          <w:tab w:leader="none" w:pos="3780" w:val="left"/>
        </w:tabs>
        <w:rPr>
          <w:sz w:val="20"/>
          <w:szCs w:val="20"/>
          <w:color w:val="auto"/>
        </w:rPr>
      </w:pPr>
      <w:r>
        <w:rPr>
          <w:rFonts w:ascii="Arial" w:cs="Arial" w:eastAsia="Arial" w:hAnsi="Arial"/>
          <w:sz w:val="19"/>
          <w:szCs w:val="19"/>
          <w:color w:val="auto"/>
        </w:rPr>
        <w:t>Title:</w:t>
        <w:tab/>
        <w:t>Senior Vice President and Chief Human Resources Officer</w:t>
      </w:r>
    </w:p>
    <w:p>
      <w:pPr>
        <w:spacing w:after="0" w:line="254"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Address: 2000 St. James Place, Houston, TX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20" w:val="left"/>
          <w:tab w:leader="none" w:pos="1360" w:val="left"/>
          <w:tab w:leader="none" w:pos="2400" w:val="left"/>
        </w:tabs>
        <w:rPr>
          <w:sz w:val="20"/>
          <w:szCs w:val="20"/>
          <w:color w:val="auto"/>
        </w:rPr>
      </w:pPr>
      <w:r>
        <w:rPr>
          <w:rFonts w:ascii="Arial" w:cs="Arial" w:eastAsia="Arial" w:hAnsi="Arial"/>
          <w:sz w:val="20"/>
          <w:szCs w:val="20"/>
          <w:color w:val="auto"/>
        </w:rPr>
        <w:t>DATED:</w:t>
        <w:tab/>
        <w:t>[●]</w:t>
        <w:tab/>
        <w:t>SIGNED:</w:t>
      </w:r>
      <w:r>
        <w:rPr>
          <w:sz w:val="20"/>
          <w:szCs w:val="20"/>
          <w:color w:val="auto"/>
        </w:rPr>
        <w:tab/>
      </w:r>
      <w:r>
        <w:rPr>
          <w:rFonts w:ascii="Arial" w:cs="Arial" w:eastAsia="Arial" w:hAnsi="Arial"/>
          <w:sz w:val="19"/>
          <w:szCs w:val="19"/>
          <w:u w:val="single" w:color="auto"/>
          <w:color w:val="auto"/>
        </w:rPr>
        <w:t>_________________________________________</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to LTCIP Award Agreement</w:t>
      </w:r>
    </w:p>
    <w:p>
      <w:pPr>
        <w:sectPr>
          <w:pgSz w:w="11900" w:h="16838" w:orient="portrait"/>
          <w:cols w:equalWidth="0" w:num="1">
            <w:col w:w="10139"/>
          </w:cols>
          <w:pgMar w:left="320" w:top="144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UNIT AWARD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2019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VESTING)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685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-13970</wp:posOffset>
            </wp:positionV>
            <wp:extent cx="685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Restricted Share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-13970</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27"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jc w:val="both"/>
        <w:ind w:firstLine="297"/>
        <w:spacing w:after="0" w:line="249" w:lineRule="auto"/>
        <w:rPr>
          <w:sz w:val="20"/>
          <w:szCs w:val="20"/>
          <w:color w:val="auto"/>
        </w:rPr>
      </w:pPr>
      <w:r>
        <w:rPr>
          <w:rFonts w:ascii="Arial" w:cs="Arial" w:eastAsia="Arial" w:hAnsi="Arial"/>
          <w:sz w:val="22"/>
          <w:szCs w:val="22"/>
          <w:b w:val="1"/>
          <w:bCs w:val="1"/>
          <w:color w:val="auto"/>
        </w:rPr>
        <w:t xml:space="preserve">THIS RESTRICTED SHARE UNIT AWARD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the Grant Date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is entered into by and between WEATHERFORD INTERNATIONAL PLC, a public limited company organized under the laws of Ireland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administered by the Committee (as defined in the Plan); and</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it has been determined under the Plan that it would be in the best interests of the Company to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Share Units (“</w:t>
      </w:r>
      <w:r>
        <w:rPr>
          <w:rFonts w:ascii="Arial" w:cs="Arial" w:eastAsia="Arial" w:hAnsi="Arial"/>
          <w:sz w:val="22"/>
          <w:szCs w:val="22"/>
          <w:u w:val="single" w:color="auto"/>
          <w:color w:val="auto"/>
        </w:rPr>
        <w:t>RSUs</w:t>
      </w:r>
      <w:r>
        <w:rPr>
          <w:rFonts w:ascii="Arial" w:cs="Arial" w:eastAsia="Arial" w:hAnsi="Arial"/>
          <w:sz w:val="22"/>
          <w:szCs w:val="22"/>
          <w:color w:val="auto"/>
        </w:rPr>
        <w:t>”) provided herein to the Participant.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promises hereinafter set forth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is hereby acknowledged, the parties hereto hereby mutually covenant and agree as follows:</w:t>
      </w:r>
    </w:p>
    <w:p>
      <w:pPr>
        <w:spacing w:after="0" w:line="176" w:lineRule="exact"/>
        <w:rPr>
          <w:sz w:val="20"/>
          <w:szCs w:val="20"/>
          <w:color w:val="auto"/>
        </w:rPr>
      </w:pPr>
    </w:p>
    <w:p>
      <w:pPr>
        <w:jc w:val="both"/>
        <w:ind w:firstLine="1304"/>
        <w:spacing w:after="0" w:line="260" w:lineRule="auto"/>
        <w:tabs>
          <w:tab w:leader="none" w:pos="1944" w:val="left"/>
        </w:tabs>
        <w:numPr>
          <w:ilvl w:val="0"/>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Incorporation By Reference; Plan Document Receipt</w:t>
      </w:r>
      <w:r>
        <w:rPr>
          <w:rFonts w:ascii="Arial" w:cs="Arial" w:eastAsia="Arial" w:hAnsi="Arial"/>
          <w:sz w:val="21"/>
          <w:szCs w:val="21"/>
          <w:color w:val="auto"/>
        </w:rPr>
        <w:t>. This Agreement is subject in all respects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75" w:lineRule="exact"/>
        <w:rPr>
          <w:rFonts w:ascii="Arial" w:cs="Arial" w:eastAsia="Arial" w:hAnsi="Arial"/>
          <w:sz w:val="21"/>
          <w:szCs w:val="21"/>
          <w:color w:val="auto"/>
        </w:rPr>
      </w:pPr>
    </w:p>
    <w:p>
      <w:pPr>
        <w:ind w:firstLine="1304"/>
        <w:spacing w:after="0" w:line="269" w:lineRule="auto"/>
        <w:tabs>
          <w:tab w:leader="none" w:pos="1944"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Share Unit Award</w:t>
      </w:r>
      <w:r>
        <w:rPr>
          <w:rFonts w:ascii="Arial" w:cs="Arial" w:eastAsia="Arial" w:hAnsi="Arial"/>
          <w:sz w:val="22"/>
          <w:szCs w:val="22"/>
          <w:color w:val="auto"/>
        </w:rPr>
        <w:t>. The Company hereby grants the number of RSUs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to the Participant, as of the Grant Date stated above. Except as</w:t>
      </w:r>
    </w:p>
    <w:p>
      <w:pPr>
        <w:sectPr>
          <w:pgSz w:w="11900" w:h="16838" w:orient="portrait"/>
          <w:cols w:equalWidth="0" w:num="1">
            <w:col w:w="11240"/>
          </w:cols>
          <w:pgMar w:left="320" w:top="118" w:right="339" w:bottom="1440" w:gutter="0" w:footer="0" w:header="0"/>
        </w:sectPr>
      </w:pPr>
    </w:p>
    <w:bookmarkStart w:id="22" w:name="page23"/>
    <w:bookmarkEnd w:id="22"/>
    <w:p>
      <w:pPr>
        <w:jc w:val="both"/>
        <w:spacing w:after="0" w:line="302" w:lineRule="auto"/>
        <w:rPr>
          <w:sz w:val="20"/>
          <w:szCs w:val="20"/>
          <w:color w:val="auto"/>
        </w:rPr>
      </w:pPr>
      <w:r>
        <w:rPr>
          <w:rFonts w:ascii="Arial" w:cs="Arial" w:eastAsia="Arial" w:hAnsi="Arial"/>
          <w:sz w:val="19"/>
          <w:szCs w:val="19"/>
          <w:color w:val="auto"/>
        </w:rPr>
        <w:t>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36" w:lineRule="exact"/>
        <w:rPr>
          <w:sz w:val="20"/>
          <w:szCs w:val="20"/>
          <w:color w:val="auto"/>
        </w:rPr>
      </w:pPr>
    </w:p>
    <w:p>
      <w:pPr>
        <w:ind w:left="1960" w:hanging="656"/>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53" w:lineRule="auto"/>
        <w:tabs>
          <w:tab w:leader="none" w:pos="1941"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Sections 3(b)</w:t>
      </w:r>
      <w:r>
        <w:rPr>
          <w:rFonts w:ascii="Arial" w:cs="Arial" w:eastAsia="Arial" w:hAnsi="Arial"/>
          <w:sz w:val="22"/>
          <w:szCs w:val="22"/>
          <w:color w:val="auto"/>
        </w:rPr>
        <w:t xml:space="preserve"> - </w:t>
      </w:r>
      <w:r>
        <w:rPr>
          <w:rFonts w:ascii="Arial" w:cs="Arial" w:eastAsia="Arial" w:hAnsi="Arial"/>
          <w:sz w:val="22"/>
          <w:szCs w:val="22"/>
          <w:u w:val="single" w:color="auto"/>
          <w:color w:val="auto"/>
        </w:rPr>
        <w:t>3(e)</w:t>
      </w:r>
      <w:r>
        <w:rPr>
          <w:rFonts w:ascii="Arial" w:cs="Arial" w:eastAsia="Arial" w:hAnsi="Arial"/>
          <w:sz w:val="22"/>
          <w:szCs w:val="22"/>
          <w:color w:val="auto"/>
        </w:rPr>
        <w:t xml:space="preserve"> hereof, the RSUs subject to this Award shall become vested as follows, provided that the Participant has not incurred a Termination prior to each such vesting date (each, a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210"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7"/>
              </w:rPr>
              <w:t>Vesting Date</w:t>
            </w:r>
          </w:p>
        </w:tc>
        <w:tc>
          <w:tcPr>
            <w:tcW w:w="2220" w:type="dxa"/>
            <w:vAlign w:val="bottom"/>
          </w:tcPr>
          <w:p>
            <w:pPr>
              <w:spacing w:after="0"/>
              <w:rPr>
                <w:sz w:val="21"/>
                <w:szCs w:val="21"/>
                <w:color w:val="auto"/>
              </w:rPr>
            </w:pPr>
          </w:p>
        </w:tc>
        <w:tc>
          <w:tcPr>
            <w:tcW w:w="2860" w:type="dxa"/>
            <w:vAlign w:val="bottom"/>
            <w:gridSpan w:val="2"/>
          </w:tcPr>
          <w:p>
            <w:pPr>
              <w:jc w:val="center"/>
              <w:ind w:left="932"/>
              <w:spacing w:after="0"/>
              <w:rPr>
                <w:sz w:val="20"/>
                <w:szCs w:val="20"/>
                <w:color w:val="auto"/>
              </w:rPr>
            </w:pPr>
            <w:r>
              <w:rPr>
                <w:rFonts w:ascii="Arial" w:cs="Arial" w:eastAsia="Arial" w:hAnsi="Arial"/>
                <w:sz w:val="22"/>
                <w:szCs w:val="22"/>
                <w:b w:val="1"/>
                <w:bCs w:val="1"/>
                <w:color w:val="auto"/>
                <w:w w:val="86"/>
              </w:rPr>
              <w:t>Percentage of RSUs</w:t>
            </w:r>
          </w:p>
        </w:tc>
      </w:tr>
      <w:tr>
        <w:trPr>
          <w:trHeight w:val="20"/>
        </w:trPr>
        <w:tc>
          <w:tcPr>
            <w:tcW w:w="1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341"/>
        </w:trPr>
        <w:tc>
          <w:tcPr>
            <w:tcW w:w="4580" w:type="dxa"/>
            <w:vAlign w:val="bottom"/>
            <w:gridSpan w:val="3"/>
          </w:tcPr>
          <w:p>
            <w:pPr>
              <w:jc w:val="center"/>
              <w:ind w:right="1020"/>
              <w:spacing w:after="0"/>
              <w:rPr>
                <w:sz w:val="20"/>
                <w:szCs w:val="20"/>
                <w:color w:val="auto"/>
              </w:rPr>
            </w:pPr>
            <w:r>
              <w:rPr>
                <w:rFonts w:ascii="Arial" w:cs="Arial" w:eastAsia="Arial" w:hAnsi="Arial"/>
                <w:sz w:val="22"/>
                <w:szCs w:val="22"/>
                <w:b w:val="1"/>
                <w:bCs w:val="1"/>
                <w:color w:val="auto"/>
                <w:w w:val="90"/>
              </w:rPr>
              <w:t>First Anniversary of the Grant Date</w:t>
            </w:r>
          </w:p>
        </w:tc>
        <w:tc>
          <w:tcPr>
            <w:tcW w:w="2860" w:type="dxa"/>
            <w:vAlign w:val="bottom"/>
            <w:gridSpan w:val="2"/>
          </w:tcPr>
          <w:p>
            <w:pPr>
              <w:jc w:val="center"/>
              <w:ind w:left="932"/>
              <w:spacing w:after="0"/>
              <w:rPr>
                <w:sz w:val="20"/>
                <w:szCs w:val="20"/>
                <w:color w:val="auto"/>
              </w:rPr>
            </w:pPr>
            <w:r>
              <w:rPr>
                <w:rFonts w:ascii="Arial" w:cs="Arial" w:eastAsia="Arial" w:hAnsi="Arial"/>
                <w:sz w:val="22"/>
                <w:szCs w:val="22"/>
                <w:b w:val="1"/>
                <w:bCs w:val="1"/>
                <w:color w:val="auto"/>
                <w:w w:val="93"/>
              </w:rPr>
              <w:t>33.33%</w:t>
            </w:r>
          </w:p>
        </w:tc>
      </w:tr>
      <w:tr>
        <w:trPr>
          <w:trHeight w:val="473"/>
        </w:trPr>
        <w:tc>
          <w:tcPr>
            <w:tcW w:w="4580" w:type="dxa"/>
            <w:vAlign w:val="bottom"/>
            <w:gridSpan w:val="3"/>
          </w:tcPr>
          <w:p>
            <w:pPr>
              <w:jc w:val="center"/>
              <w:ind w:right="1040"/>
              <w:spacing w:after="0"/>
              <w:rPr>
                <w:sz w:val="20"/>
                <w:szCs w:val="20"/>
                <w:color w:val="auto"/>
              </w:rPr>
            </w:pPr>
            <w:r>
              <w:rPr>
                <w:rFonts w:ascii="Arial" w:cs="Arial" w:eastAsia="Arial" w:hAnsi="Arial"/>
                <w:sz w:val="22"/>
                <w:szCs w:val="22"/>
                <w:b w:val="1"/>
                <w:bCs w:val="1"/>
                <w:color w:val="auto"/>
                <w:w w:val="89"/>
              </w:rPr>
              <w:t>Second Anniversary of the Grant Date</w:t>
            </w:r>
          </w:p>
        </w:tc>
        <w:tc>
          <w:tcPr>
            <w:tcW w:w="2860" w:type="dxa"/>
            <w:vAlign w:val="bottom"/>
            <w:gridSpan w:val="2"/>
          </w:tcPr>
          <w:p>
            <w:pPr>
              <w:jc w:val="center"/>
              <w:ind w:left="932"/>
              <w:spacing w:after="0"/>
              <w:rPr>
                <w:sz w:val="20"/>
                <w:szCs w:val="20"/>
                <w:color w:val="auto"/>
              </w:rPr>
            </w:pPr>
            <w:r>
              <w:rPr>
                <w:rFonts w:ascii="Arial" w:cs="Arial" w:eastAsia="Arial" w:hAnsi="Arial"/>
                <w:sz w:val="22"/>
                <w:szCs w:val="22"/>
                <w:b w:val="1"/>
                <w:bCs w:val="1"/>
                <w:color w:val="auto"/>
                <w:w w:val="93"/>
              </w:rPr>
              <w:t>33.33%</w:t>
            </w:r>
          </w:p>
        </w:tc>
      </w:tr>
      <w:tr>
        <w:trPr>
          <w:trHeight w:val="473"/>
        </w:trPr>
        <w:tc>
          <w:tcPr>
            <w:tcW w:w="4580" w:type="dxa"/>
            <w:vAlign w:val="bottom"/>
            <w:gridSpan w:val="3"/>
          </w:tcPr>
          <w:p>
            <w:pPr>
              <w:jc w:val="center"/>
              <w:ind w:right="1040"/>
              <w:spacing w:after="0"/>
              <w:rPr>
                <w:sz w:val="20"/>
                <w:szCs w:val="20"/>
                <w:color w:val="auto"/>
              </w:rPr>
            </w:pPr>
            <w:r>
              <w:rPr>
                <w:rFonts w:ascii="Arial" w:cs="Arial" w:eastAsia="Arial" w:hAnsi="Arial"/>
                <w:sz w:val="22"/>
                <w:szCs w:val="22"/>
                <w:b w:val="1"/>
                <w:bCs w:val="1"/>
                <w:color w:val="auto"/>
                <w:w w:val="91"/>
              </w:rPr>
              <w:t>Third Anniversary of the Grant Date</w:t>
            </w:r>
          </w:p>
        </w:tc>
        <w:tc>
          <w:tcPr>
            <w:tcW w:w="2860" w:type="dxa"/>
            <w:vAlign w:val="bottom"/>
            <w:gridSpan w:val="2"/>
          </w:tcPr>
          <w:p>
            <w:pPr>
              <w:jc w:val="center"/>
              <w:ind w:left="932"/>
              <w:spacing w:after="0"/>
              <w:rPr>
                <w:sz w:val="20"/>
                <w:szCs w:val="20"/>
                <w:color w:val="auto"/>
              </w:rPr>
            </w:pPr>
            <w:r>
              <w:rPr>
                <w:rFonts w:ascii="Arial" w:cs="Arial" w:eastAsia="Arial" w:hAnsi="Arial"/>
                <w:sz w:val="22"/>
                <w:szCs w:val="22"/>
                <w:b w:val="1"/>
                <w:bCs w:val="1"/>
                <w:color w:val="auto"/>
                <w:w w:val="93"/>
              </w:rPr>
              <w:t>33.34%</w:t>
            </w:r>
          </w:p>
        </w:tc>
      </w:tr>
    </w:tbl>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spacing w:after="0" w:line="212" w:lineRule="exact"/>
        <w:rPr>
          <w:sz w:val="20"/>
          <w:szCs w:val="20"/>
          <w:color w:val="auto"/>
        </w:rPr>
      </w:pPr>
    </w:p>
    <w:p>
      <w:pPr>
        <w:jc w:val="both"/>
        <w:ind w:firstLine="1304"/>
        <w:spacing w:after="0" w:line="288" w:lineRule="auto"/>
        <w:tabs>
          <w:tab w:leader="none" w:pos="193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Resignation for Good Reason; Due to Death or Disability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4(d)</w:t>
      </w:r>
      <w:r>
        <w:rPr>
          <w:rFonts w:ascii="Arial" w:cs="Arial" w:eastAsia="Arial" w:hAnsi="Arial"/>
          <w:sz w:val="19"/>
          <w:szCs w:val="19"/>
          <w:color w:val="auto"/>
        </w:rPr>
        <w:t xml:space="preserve">, in the event the Participant’s Service is terminated by the Company without Cause or by the Participant for Good Reason (each, as defined in the Company’s Change in Control Severance Plan[, notwithstanding the definitions contained the Participant’s Offer Letter from the Company]), the Participant shall be entitled to vest a pro-rated portion of the next tranche of time-vested RSUs that would otherwise vest but for Participant’s termination, with such pro-rated portion, if any, determined by multiplying the next unvested tranche by a fraction, the numerator of which is the number of days elapsed from the immediately preceding Vesting Date (or the Grant Date if no Vesting Date has occurred) through the Participant’s date of termination, and the denominator of which is the number of days from the immediately preceding Vesting Date (or the Grant Date if no Vesting Date has occurred) through the next scheduled Vesting Date. Subject to </w:t>
      </w:r>
      <w:r>
        <w:rPr>
          <w:rFonts w:ascii="Arial" w:cs="Arial" w:eastAsia="Arial" w:hAnsi="Arial"/>
          <w:sz w:val="19"/>
          <w:szCs w:val="19"/>
          <w:u w:val="single" w:color="auto"/>
          <w:color w:val="auto"/>
        </w:rPr>
        <w:t>Section 4(d)</w:t>
      </w:r>
      <w:r>
        <w:rPr>
          <w:rFonts w:ascii="Arial" w:cs="Arial" w:eastAsia="Arial" w:hAnsi="Arial"/>
          <w:sz w:val="19"/>
          <w:szCs w:val="19"/>
          <w:color w:val="auto"/>
        </w:rPr>
        <w:t>, in the event the Participant’s Service is terminated due to the Participant’s death or Disability, all unvested time-vested RSUs will accelerate and vest.</w:t>
      </w:r>
    </w:p>
    <w:p>
      <w:pPr>
        <w:spacing w:after="0" w:line="159" w:lineRule="exact"/>
        <w:rPr>
          <w:rFonts w:ascii="Arial" w:cs="Arial" w:eastAsia="Arial" w:hAnsi="Arial"/>
          <w:sz w:val="19"/>
          <w:szCs w:val="19"/>
          <w:color w:val="auto"/>
        </w:rPr>
      </w:pPr>
    </w:p>
    <w:p>
      <w:pPr>
        <w:jc w:val="both"/>
        <w:ind w:firstLine="1304"/>
        <w:spacing w:after="0" w:line="246" w:lineRule="auto"/>
        <w:tabs>
          <w:tab w:leader="none" w:pos="1941"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4(d)</w:t>
      </w:r>
      <w:r>
        <w:rPr>
          <w:rFonts w:ascii="Arial" w:cs="Arial" w:eastAsia="Arial" w:hAnsi="Arial"/>
          <w:sz w:val="22"/>
          <w:szCs w:val="22"/>
          <w:color w:val="auto"/>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21"/>
          <w:szCs w:val="21"/>
          <w:color w:val="auto"/>
        </w:rPr>
        <w:t>immediately prior to such Change in Control, all remaining forfeiture restrictions shall immediately lapse as immediately prior to such Change in Control and the Vesting Date shall be deemed to be the date of such Change in Control.</w:t>
      </w:r>
    </w:p>
    <w:p>
      <w:pPr>
        <w:spacing w:after="0" w:line="151" w:lineRule="exact"/>
        <w:rPr>
          <w:sz w:val="20"/>
          <w:szCs w:val="20"/>
          <w:color w:val="auto"/>
        </w:rPr>
      </w:pPr>
    </w:p>
    <w:p>
      <w:pPr>
        <w:ind w:firstLine="1304"/>
        <w:spacing w:after="0" w:line="263" w:lineRule="auto"/>
        <w:tabs>
          <w:tab w:leader="none" w:pos="193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Committee Discretion to Accelerate Vesting</w:t>
      </w:r>
      <w:r>
        <w:rPr>
          <w:rFonts w:ascii="Arial" w:cs="Arial" w:eastAsia="Arial" w:hAnsi="Arial"/>
          <w:sz w:val="22"/>
          <w:szCs w:val="22"/>
          <w:color w:val="auto"/>
        </w:rPr>
        <w:t>. In addition to the foregoing, the Committee may, in its sole discretion, accelerate vesting of the RSUs at any time and for any reason.</w:t>
      </w:r>
    </w:p>
    <w:p>
      <w:pPr>
        <w:spacing w:after="0" w:line="174" w:lineRule="exact"/>
        <w:rPr>
          <w:rFonts w:ascii="Arial" w:cs="Arial" w:eastAsia="Arial" w:hAnsi="Arial"/>
          <w:sz w:val="22"/>
          <w:szCs w:val="22"/>
          <w:color w:val="auto"/>
        </w:rPr>
      </w:pPr>
    </w:p>
    <w:p>
      <w:pPr>
        <w:jc w:val="both"/>
        <w:ind w:right="20" w:firstLine="1304"/>
        <w:spacing w:after="0" w:line="253" w:lineRule="auto"/>
        <w:tabs>
          <w:tab w:leader="none" w:pos="1941"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Subject to the terms of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all unvested RSUs (taking into account any vesting that may occur upon the Participant’s Termination in accordance with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hereof) shall be immediately forfeited upon the Participant’s Termination for any reason.</w:t>
      </w:r>
    </w:p>
    <w:p>
      <w:pPr>
        <w:spacing w:after="0" w:line="179" w:lineRule="exact"/>
        <w:rPr>
          <w:sz w:val="20"/>
          <w:szCs w:val="20"/>
          <w:color w:val="auto"/>
        </w:rPr>
      </w:pPr>
    </w:p>
    <w:p>
      <w:pPr>
        <w:ind w:left="1960" w:hanging="656"/>
        <w:spacing w:after="0"/>
        <w:tabs>
          <w:tab w:leader="none" w:pos="1960"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of Shares</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312" w:lineRule="auto"/>
        <w:tabs>
          <w:tab w:leader="none" w:pos="1941"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Sections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hereof, within ten (10) days following the applicable Vesting Date of the RSUs the Participant shall receive the number of Shares that correspond to the number of RSUs that have become vested on the applicable Vesting Date, less any shares withheld by the Company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w:t>
      </w:r>
    </w:p>
    <w:p>
      <w:pPr>
        <w:spacing w:after="0" w:line="133" w:lineRule="exact"/>
        <w:rPr>
          <w:rFonts w:ascii="Arial" w:cs="Arial" w:eastAsia="Arial" w:hAnsi="Arial"/>
          <w:sz w:val="19"/>
          <w:szCs w:val="19"/>
          <w:color w:val="auto"/>
        </w:rPr>
      </w:pPr>
    </w:p>
    <w:p>
      <w:pPr>
        <w:jc w:val="both"/>
        <w:ind w:firstLine="1304"/>
        <w:spacing w:after="0" w:line="247" w:lineRule="auto"/>
        <w:tabs>
          <w:tab w:leader="none" w:pos="1939"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Blackout Periods</w:t>
      </w:r>
      <w:r>
        <w:rPr>
          <w:rFonts w:ascii="Arial" w:cs="Arial" w:eastAsia="Arial" w:hAnsi="Arial"/>
          <w:sz w:val="22"/>
          <w:szCs w:val="22"/>
          <w:color w:val="auto"/>
        </w:rPr>
        <w:t xml:space="preserve">. If the Participant is subject to any Company “blackout” policy or other trading restriction imposed by the Company on the date such distribution would otherwise be made pursuant to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hereof, such distribution shall be instead made on the earlier of (i) the date that the Participant is not subject to any such policy or restriction and (ii) the later of (A) the end of the calendar year in which such distribution would otherwise have been made and (B) a date that is immediately prior to the expiration of two and one-half months following the date such distribution would otherwise have been made hereunder.</w:t>
      </w:r>
    </w:p>
    <w:p>
      <w:pPr>
        <w:spacing w:after="0" w:line="192" w:lineRule="exact"/>
        <w:rPr>
          <w:rFonts w:ascii="Arial" w:cs="Arial" w:eastAsia="Arial" w:hAnsi="Arial"/>
          <w:sz w:val="22"/>
          <w:szCs w:val="22"/>
          <w:color w:val="auto"/>
        </w:rPr>
      </w:pPr>
    </w:p>
    <w:p>
      <w:pPr>
        <w:jc w:val="both"/>
        <w:ind w:firstLine="1304"/>
        <w:spacing w:after="0" w:line="290" w:lineRule="auto"/>
        <w:tabs>
          <w:tab w:leader="none" w:pos="1941"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If the RSUs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55"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The receipt of Shares subject to the RSUs that are eligible to vest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be subject to the execution and nonrevocation of a general release of claims in favor of the Company, in a form reasonably satisfactory to the Company.</w:t>
      </w:r>
    </w:p>
    <w:p>
      <w:pPr>
        <w:spacing w:after="0" w:line="179" w:lineRule="exact"/>
        <w:rPr>
          <w:sz w:val="20"/>
          <w:szCs w:val="20"/>
          <w:color w:val="auto"/>
        </w:rPr>
      </w:pPr>
    </w:p>
    <w:p>
      <w:pPr>
        <w:jc w:val="both"/>
        <w:ind w:right="20" w:firstLine="1304"/>
        <w:spacing w:after="0" w:line="252" w:lineRule="auto"/>
        <w:tabs>
          <w:tab w:leader="none" w:pos="1944"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Dividends; Rights as Shareholder</w:t>
      </w:r>
      <w:r>
        <w:rPr>
          <w:rFonts w:ascii="Arial" w:cs="Arial" w:eastAsia="Arial" w:hAnsi="Arial"/>
          <w:sz w:val="22"/>
          <w:szCs w:val="22"/>
          <w:color w:val="auto"/>
        </w:rPr>
        <w:t>. Cash dividends on the number of Shares issuable hereunder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credited to a dividend book entry account on behalf of the Participant with respect to each RSU granted to the Participant;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cash dividends shall not be deemed to be reinvested in Shares and shall be held uninvested and without interest</w:t>
      </w:r>
    </w:p>
    <w:p>
      <w:pPr>
        <w:spacing w:after="0" w:line="200" w:lineRule="exact"/>
        <w:rPr>
          <w:sz w:val="20"/>
          <w:szCs w:val="20"/>
          <w:color w:val="auto"/>
        </w:rPr>
      </w:pPr>
    </w:p>
    <w:p>
      <w:pPr>
        <w:spacing w:after="0" w:line="39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21"/>
          <w:szCs w:val="21"/>
          <w:color w:val="auto"/>
        </w:rPr>
        <w:t xml:space="preserve">and paid in cash at the same time that the Shares underlying the RSUs are delivered to the Participant in accordance with the provisions hereof. Stock dividends on Shares shall be credited to a dividend book entry account on behalf of the Participant with respect to each RSU granted to the Participant;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stock dividends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Participant has become the holder of record of such Shares.</w:t>
      </w:r>
    </w:p>
    <w:p>
      <w:pPr>
        <w:spacing w:after="0" w:line="173" w:lineRule="exact"/>
        <w:rPr>
          <w:sz w:val="20"/>
          <w:szCs w:val="20"/>
          <w:color w:val="auto"/>
        </w:rPr>
      </w:pPr>
    </w:p>
    <w:p>
      <w:pPr>
        <w:jc w:val="both"/>
        <w:ind w:firstLine="1304"/>
        <w:spacing w:after="0" w:line="304" w:lineRule="auto"/>
        <w:tabs>
          <w:tab w:leader="none" w:pos="1944"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RSUs, and any rights and interests with respect thereto, issued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Plan shall not be sold, exchanged, transferred, assigned, pledged, encumbered or otherwise disposed of or hypothecated in any way by the Participant (or any beneficiary of the Participant who holds the RSUs as a result of a Transfer by will or by the laws of descent and distribution), other than in accordance with the provisions of Section 10(c) of the Plan.</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 and Venue</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84" w:lineRule="auto"/>
        <w:tabs>
          <w:tab w:leader="none" w:pos="1941"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9"/>
          <w:szCs w:val="19"/>
          <w:u w:val="single" w:color="auto"/>
          <w:color w:val="auto"/>
        </w:rPr>
        <w:t>Party</w:t>
      </w:r>
      <w:r>
        <w:rPr>
          <w:rFonts w:ascii="Arial" w:cs="Arial" w:eastAsia="Arial" w:hAnsi="Arial"/>
          <w:sz w:val="19"/>
          <w:szCs w:val="19"/>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9"/>
          <w:szCs w:val="19"/>
          <w:color w:val="auto"/>
        </w:rPr>
        <w:t xml:space="preserve">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200" w:lineRule="exact"/>
        <w:rPr>
          <w:sz w:val="20"/>
          <w:szCs w:val="20"/>
          <w:color w:val="auto"/>
        </w:rPr>
      </w:pPr>
    </w:p>
    <w:p>
      <w:pPr>
        <w:spacing w:after="0" w:line="222" w:lineRule="exact"/>
        <w:rPr>
          <w:sz w:val="20"/>
          <w:szCs w:val="20"/>
          <w:color w:val="auto"/>
        </w:rPr>
      </w:pPr>
    </w:p>
    <w:p>
      <w:pPr>
        <w:jc w:val="both"/>
        <w:ind w:firstLine="1304"/>
        <w:spacing w:after="0" w:line="259" w:lineRule="auto"/>
        <w:tabs>
          <w:tab w:leader="none" w:pos="1939" w:val="left"/>
        </w:tabs>
        <w:numPr>
          <w:ilvl w:val="0"/>
          <w:numId w:val="24"/>
        </w:numPr>
        <w:rPr>
          <w:rFonts w:ascii="Arial" w:cs="Arial" w:eastAsia="Arial" w:hAnsi="Arial"/>
          <w:sz w:val="21"/>
          <w:szCs w:val="21"/>
          <w:color w:val="auto"/>
        </w:rPr>
      </w:pPr>
      <w:r>
        <w:rPr>
          <w:rFonts w:ascii="Arial" w:cs="Arial" w:eastAsia="Arial" w:hAnsi="Arial"/>
          <w:sz w:val="21"/>
          <w:szCs w:val="21"/>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83" w:lineRule="exact"/>
        <w:rPr>
          <w:rFonts w:ascii="Arial" w:cs="Arial" w:eastAsia="Arial" w:hAnsi="Arial"/>
          <w:sz w:val="21"/>
          <w:szCs w:val="21"/>
          <w:color w:val="auto"/>
        </w:rPr>
      </w:pPr>
    </w:p>
    <w:p>
      <w:pPr>
        <w:jc w:val="both"/>
        <w:ind w:firstLine="1304"/>
        <w:spacing w:after="0" w:line="248" w:lineRule="auto"/>
        <w:tabs>
          <w:tab w:leader="none" w:pos="1941"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86" w:lineRule="exact"/>
        <w:rPr>
          <w:sz w:val="20"/>
          <w:szCs w:val="20"/>
          <w:color w:val="auto"/>
        </w:rPr>
      </w:pPr>
    </w:p>
    <w:p>
      <w:pPr>
        <w:ind w:left="1960" w:hanging="656"/>
        <w:spacing w:after="0"/>
        <w:tabs>
          <w:tab w:leader="none" w:pos="196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47" w:lineRule="auto"/>
        <w:tabs>
          <w:tab w:leader="none" w:pos="194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Participant acknowledges that, regardless of any action taken by the Company or, if different, Participant’s employer (the “</w:t>
      </w:r>
      <w:r>
        <w:rPr>
          <w:rFonts w:ascii="Arial" w:cs="Arial" w:eastAsia="Arial" w:hAnsi="Arial"/>
          <w:sz w:val="22"/>
          <w:szCs w:val="22"/>
          <w:u w:val="single" w:color="auto"/>
          <w:color w:val="auto"/>
        </w:rPr>
        <w:t>Employer</w:t>
      </w:r>
      <w:r>
        <w:rPr>
          <w:rFonts w:ascii="Arial" w:cs="Arial" w:eastAsia="Arial" w:hAnsi="Arial"/>
          <w:sz w:val="22"/>
          <w:szCs w:val="22"/>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22"/>
          <w:szCs w:val="22"/>
          <w:u w:val="single" w:color="auto"/>
          <w:color w:val="auto"/>
        </w:rPr>
        <w:t>Tax-Related Items</w:t>
      </w:r>
      <w:r>
        <w:rPr>
          <w:rFonts w:ascii="Arial" w:cs="Arial" w:eastAsia="Arial" w:hAnsi="Arial"/>
          <w:sz w:val="22"/>
          <w:szCs w:val="22"/>
          <w:color w:val="auto"/>
        </w:rPr>
        <w:t>”) is and remains the Participant’s responsibility and may exceed the amount, if any, actually withheld by the Company or the Employer. The Participant further acknowledges that the Company and the Employer (i) make no representations or undertakings</w:t>
      </w:r>
    </w:p>
    <w:p>
      <w:pPr>
        <w:spacing w:after="0" w:line="200" w:lineRule="exact"/>
        <w:rPr>
          <w:sz w:val="20"/>
          <w:szCs w:val="20"/>
          <w:color w:val="auto"/>
        </w:rPr>
      </w:pPr>
    </w:p>
    <w:p>
      <w:pPr>
        <w:spacing w:after="0" w:line="398"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6" w:name="page27"/>
    <w:bookmarkEnd w:id="26"/>
    <w:p>
      <w:pPr>
        <w:jc w:val="both"/>
        <w:spacing w:after="0" w:line="297" w:lineRule="auto"/>
        <w:rPr>
          <w:sz w:val="20"/>
          <w:szCs w:val="20"/>
          <w:color w:val="auto"/>
        </w:rPr>
      </w:pPr>
      <w:r>
        <w:rPr>
          <w:rFonts w:ascii="Arial" w:cs="Arial" w:eastAsia="Arial" w:hAnsi="Arial"/>
          <w:sz w:val="19"/>
          <w:szCs w:val="19"/>
          <w:color w:val="auto"/>
        </w:rPr>
        <w:t>regarding the treatment of any Tax-Related Items in connection with any aspect of the RSUs;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47" w:lineRule="exact"/>
        <w:rPr>
          <w:sz w:val="20"/>
          <w:szCs w:val="20"/>
          <w:color w:val="auto"/>
        </w:rPr>
      </w:pPr>
    </w:p>
    <w:p>
      <w:pPr>
        <w:jc w:val="both"/>
        <w:ind w:firstLine="1304"/>
        <w:spacing w:after="0" w:line="288" w:lineRule="auto"/>
        <w:tabs>
          <w:tab w:leader="none" w:pos="193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satisfy any withholding obligations of the Company and/or the Employer with respect to Tax-Related Items, the Company will withhold Shares otherwise issuable upon vesting of the RSUs. Alternatively, or in addition, in connection with any applicable withholding event, the Participant authorizes the Company and/or the Employer, or their</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RSUs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9"/>
          <w:szCs w:val="19"/>
          <w:u w:val="single" w:color="auto"/>
          <w:color w:val="auto"/>
        </w:rPr>
        <w:t>Section 8(b)(i)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63" w:lineRule="exact"/>
        <w:rPr>
          <w:sz w:val="20"/>
          <w:szCs w:val="20"/>
          <w:color w:val="auto"/>
        </w:rPr>
      </w:pPr>
    </w:p>
    <w:p>
      <w:pPr>
        <w:jc w:val="both"/>
        <w:ind w:firstLine="1304"/>
        <w:spacing w:after="0" w:line="263" w:lineRule="auto"/>
        <w:tabs>
          <w:tab w:leader="none" w:pos="1941"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69" w:lineRule="exact"/>
        <w:rPr>
          <w:sz w:val="20"/>
          <w:szCs w:val="20"/>
          <w:color w:val="auto"/>
        </w:rPr>
      </w:pPr>
    </w:p>
    <w:p>
      <w:pPr>
        <w:jc w:val="both"/>
        <w:ind w:firstLine="1304"/>
        <w:spacing w:after="0" w:line="304" w:lineRule="auto"/>
        <w:tabs>
          <w:tab w:leader="none" w:pos="1944"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Legend</w:t>
      </w:r>
      <w:r>
        <w:rPr>
          <w:rFonts w:ascii="Arial" w:cs="Arial" w:eastAsia="Arial" w:hAnsi="Arial"/>
          <w:sz w:val="19"/>
          <w:szCs w:val="19"/>
          <w:color w:val="auto"/>
        </w:rPr>
        <w:t>. The Company may at any time place legends referencing any applicable federal, state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law restrictions on all certificates, if any, 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jc w:val="both"/>
        <w:ind w:firstLine="1304"/>
        <w:spacing w:after="0" w:line="256" w:lineRule="auto"/>
        <w:tabs>
          <w:tab w:leader="none" w:pos="1944"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Representations</w:t>
      </w:r>
      <w:r>
        <w:rPr>
          <w:rFonts w:ascii="Arial" w:cs="Arial" w:eastAsia="Arial" w:hAnsi="Arial"/>
          <w:sz w:val="22"/>
          <w:szCs w:val="22"/>
          <w:color w:val="auto"/>
        </w:rPr>
        <w:t>. This Agreement is being entered into by the Company in reliance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express representations and warranties of the Participant. The Participant hereby acknowledges, represents and warrants that:</w:t>
      </w:r>
    </w:p>
    <w:p>
      <w:pPr>
        <w:spacing w:after="0" w:line="182" w:lineRule="exact"/>
        <w:rPr>
          <w:sz w:val="20"/>
          <w:szCs w:val="20"/>
          <w:color w:val="auto"/>
        </w:rPr>
      </w:pPr>
    </w:p>
    <w:p>
      <w:pPr>
        <w:ind w:firstLine="1304"/>
        <w:spacing w:after="0" w:line="263" w:lineRule="auto"/>
        <w:tabs>
          <w:tab w:leader="none" w:pos="1941"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Participant has been advised that the Participant may be an “affiliate” within the meaning of Rule 144 under the Securities Act of 1933 (as amended, the “</w:t>
      </w:r>
      <w:r>
        <w:rPr>
          <w:rFonts w:ascii="Arial" w:cs="Arial" w:eastAsia="Arial" w:hAnsi="Arial"/>
          <w:sz w:val="22"/>
          <w:szCs w:val="22"/>
          <w:u w:val="single" w:color="auto"/>
          <w:color w:val="auto"/>
        </w:rPr>
        <w:t>Securities</w:t>
      </w:r>
    </w:p>
    <w:p>
      <w:pPr>
        <w:spacing w:after="0" w:line="200" w:lineRule="exact"/>
        <w:rPr>
          <w:sz w:val="20"/>
          <w:szCs w:val="20"/>
          <w:color w:val="auto"/>
        </w:rPr>
      </w:pPr>
    </w:p>
    <w:p>
      <w:pPr>
        <w:spacing w:after="0" w:line="380"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7" w:name="page28"/>
    <w:bookmarkEnd w:id="27"/>
    <w:p>
      <w:pPr>
        <w:spacing w:after="0"/>
        <w:rPr>
          <w:sz w:val="20"/>
          <w:szCs w:val="20"/>
          <w:color w:val="auto"/>
        </w:rPr>
      </w:pPr>
      <w:r>
        <w:rPr>
          <w:rFonts w:ascii="Arial" w:cs="Arial" w:eastAsia="Arial" w:hAnsi="Arial"/>
          <w:sz w:val="19"/>
          <w:szCs w:val="19"/>
          <w:u w:val="single" w:color="auto"/>
          <w:color w:val="auto"/>
        </w:rPr>
        <w:t>Act</w:t>
      </w:r>
      <w:r>
        <w:rPr>
          <w:rFonts w:ascii="Arial" w:cs="Arial" w:eastAsia="Arial" w:hAnsi="Arial"/>
          <w:sz w:val="19"/>
          <w:szCs w:val="19"/>
          <w:color w:val="auto"/>
        </w:rPr>
        <w:t xml:space="preserve">”) and in this connection the Company is relying in part on the Participant’s representations set forth in this </w:t>
      </w:r>
      <w:r>
        <w:rPr>
          <w:rFonts w:ascii="Arial" w:cs="Arial" w:eastAsia="Arial" w:hAnsi="Arial"/>
          <w:sz w:val="19"/>
          <w:szCs w:val="19"/>
          <w:u w:val="single" w:color="auto"/>
          <w:color w:val="auto"/>
        </w:rPr>
        <w:t>Section 10</w:t>
      </w:r>
      <w:r>
        <w:rPr>
          <w:rFonts w:ascii="Arial" w:cs="Arial" w:eastAsia="Arial" w:hAnsi="Arial"/>
          <w:sz w:val="19"/>
          <w:szCs w:val="19"/>
          <w:color w:val="auto"/>
        </w:rPr>
        <w:t>.</w:t>
      </w:r>
    </w:p>
    <w:p>
      <w:pPr>
        <w:spacing w:after="0" w:line="254" w:lineRule="exact"/>
        <w:rPr>
          <w:sz w:val="20"/>
          <w:szCs w:val="20"/>
          <w:color w:val="auto"/>
        </w:rPr>
      </w:pPr>
    </w:p>
    <w:p>
      <w:pPr>
        <w:jc w:val="both"/>
        <w:ind w:firstLine="1304"/>
        <w:spacing w:after="0" w:line="265" w:lineRule="auto"/>
        <w:tabs>
          <w:tab w:leader="none" w:pos="1939" w:val="left"/>
        </w:tabs>
        <w:numPr>
          <w:ilvl w:val="0"/>
          <w:numId w:val="31"/>
        </w:numPr>
        <w:rPr>
          <w:rFonts w:ascii="Arial" w:cs="Arial" w:eastAsia="Arial" w:hAnsi="Arial"/>
          <w:sz w:val="21"/>
          <w:szCs w:val="21"/>
          <w:color w:val="auto"/>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75" w:lineRule="exact"/>
        <w:rPr>
          <w:rFonts w:ascii="Arial" w:cs="Arial" w:eastAsia="Arial" w:hAnsi="Arial"/>
          <w:sz w:val="21"/>
          <w:szCs w:val="21"/>
          <w:color w:val="auto"/>
        </w:rPr>
      </w:pPr>
    </w:p>
    <w:p>
      <w:pPr>
        <w:jc w:val="both"/>
        <w:ind w:firstLine="1304"/>
        <w:spacing w:after="0" w:line="247" w:lineRule="auto"/>
        <w:tabs>
          <w:tab w:leader="none" w:pos="1941"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7" w:lineRule="exact"/>
        <w:rPr>
          <w:sz w:val="20"/>
          <w:szCs w:val="20"/>
          <w:color w:val="auto"/>
        </w:rPr>
      </w:pPr>
    </w:p>
    <w:p>
      <w:pPr>
        <w:jc w:val="both"/>
        <w:ind w:firstLine="1304"/>
        <w:spacing w:after="0" w:line="295" w:lineRule="auto"/>
        <w:tabs>
          <w:tab w:leader="none" w:pos="1936"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color w:val="auto"/>
        </w:rPr>
        <w:t>. The Participant shall be subject to the Company’s clawback, forfeiture or other similar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43" w:lineRule="exact"/>
        <w:rPr>
          <w:rFonts w:ascii="Arial" w:cs="Arial" w:eastAsia="Arial" w:hAnsi="Arial"/>
          <w:sz w:val="19"/>
          <w:szCs w:val="19"/>
          <w:color w:val="auto"/>
        </w:rPr>
      </w:pPr>
    </w:p>
    <w:p>
      <w:pPr>
        <w:jc w:val="both"/>
        <w:ind w:firstLine="1304"/>
        <w:spacing w:after="0" w:line="293" w:lineRule="auto"/>
        <w:tabs>
          <w:tab w:leader="none" w:pos="1944"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color w:val="auto"/>
        </w:rPr>
        <w:t>. This Agreement, together with the Plan, contains the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44" w:lineRule="exact"/>
        <w:rPr>
          <w:rFonts w:ascii="Arial" w:cs="Arial" w:eastAsia="Arial" w:hAnsi="Arial"/>
          <w:sz w:val="19"/>
          <w:szCs w:val="19"/>
          <w:color w:val="auto"/>
        </w:rPr>
      </w:pPr>
    </w:p>
    <w:p>
      <w:pPr>
        <w:jc w:val="both"/>
        <w:ind w:firstLine="1304"/>
        <w:spacing w:after="0" w:line="264" w:lineRule="auto"/>
        <w:tabs>
          <w:tab w:leader="none" w:pos="1944"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70" w:lineRule="exact"/>
        <w:rPr>
          <w:rFonts w:ascii="Arial" w:cs="Arial" w:eastAsia="Arial" w:hAnsi="Arial"/>
          <w:sz w:val="21"/>
          <w:szCs w:val="21"/>
          <w:color w:val="auto"/>
        </w:rPr>
      </w:pPr>
    </w:p>
    <w:p>
      <w:pPr>
        <w:ind w:firstLine="1304"/>
        <w:spacing w:after="0" w:line="269" w:lineRule="auto"/>
        <w:tabs>
          <w:tab w:leader="none" w:pos="1944"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 and Participation</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participation in the Plan by electronic means</w:t>
      </w:r>
    </w:p>
    <w:p>
      <w:pPr>
        <w:spacing w:after="0" w:line="200" w:lineRule="exact"/>
        <w:rPr>
          <w:sz w:val="20"/>
          <w:szCs w:val="20"/>
          <w:color w:val="auto"/>
        </w:rPr>
      </w:pPr>
    </w:p>
    <w:p>
      <w:pPr>
        <w:spacing w:after="0" w:line="373"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8" w:name="page29"/>
    <w:bookmarkEnd w:id="28"/>
    <w:p>
      <w:pPr>
        <w:jc w:val="both"/>
        <w:spacing w:after="0" w:line="312" w:lineRule="auto"/>
        <w:rPr>
          <w:sz w:val="20"/>
          <w:szCs w:val="20"/>
          <w:color w:val="auto"/>
        </w:rPr>
      </w:pPr>
      <w:r>
        <w:rPr>
          <w:rFonts w:ascii="Arial" w:cs="Arial" w:eastAsia="Arial" w:hAnsi="Arial"/>
          <w:sz w:val="19"/>
          <w:szCs w:val="19"/>
          <w:color w:val="auto"/>
        </w:rPr>
        <w:t>or to request the Participant’s consent to participate in the Plan by electronic means. By receipt of this RSU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27" w:lineRule="exact"/>
        <w:rPr>
          <w:sz w:val="20"/>
          <w:szCs w:val="20"/>
          <w:color w:val="auto"/>
        </w:rPr>
      </w:pPr>
    </w:p>
    <w:p>
      <w:pPr>
        <w:jc w:val="both"/>
        <w:ind w:firstLine="1304"/>
        <w:spacing w:after="0" w:line="298" w:lineRule="auto"/>
        <w:tabs>
          <w:tab w:leader="none" w:pos="1944" w:val="left"/>
        </w:tabs>
        <w:numPr>
          <w:ilvl w:val="1"/>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Employment</w:t>
      </w:r>
      <w:r>
        <w:rPr>
          <w:rFonts w:ascii="Arial" w:cs="Arial" w:eastAsia="Arial" w:hAnsi="Arial"/>
          <w:sz w:val="19"/>
          <w:szCs w:val="19"/>
          <w:color w:val="auto"/>
        </w:rPr>
        <w:t>. Any questions as to whether and when there has been a termination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cause of 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42" w:lineRule="exact"/>
        <w:rPr>
          <w:rFonts w:ascii="Arial" w:cs="Arial" w:eastAsia="Arial" w:hAnsi="Arial"/>
          <w:sz w:val="19"/>
          <w:szCs w:val="19"/>
          <w:color w:val="auto"/>
        </w:rPr>
      </w:pPr>
    </w:p>
    <w:p>
      <w:pPr>
        <w:jc w:val="both"/>
        <w:ind w:firstLine="1304"/>
        <w:spacing w:after="0" w:line="252" w:lineRule="auto"/>
        <w:tabs>
          <w:tab w:leader="none" w:pos="1944" w:val="left"/>
        </w:tabs>
        <w:numPr>
          <w:ilvl w:val="1"/>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 of Personal Data</w:t>
      </w:r>
      <w:r>
        <w:rPr>
          <w:rFonts w:ascii="Arial" w:cs="Arial" w:eastAsia="Arial" w:hAnsi="Arial"/>
          <w:sz w:val="22"/>
          <w:szCs w:val="22"/>
          <w:color w:val="auto"/>
        </w:rPr>
        <w:t>. The Participant authorizes, agrees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transmission by the 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spacing w:after="0" w:line="179" w:lineRule="exact"/>
        <w:rPr>
          <w:rFonts w:ascii="Arial" w:cs="Arial" w:eastAsia="Arial" w:hAnsi="Arial"/>
          <w:sz w:val="22"/>
          <w:szCs w:val="22"/>
          <w:color w:val="auto"/>
        </w:rPr>
      </w:pPr>
    </w:p>
    <w:p>
      <w:pPr>
        <w:jc w:val="both"/>
        <w:ind w:firstLine="1304"/>
        <w:spacing w:after="0" w:line="285" w:lineRule="auto"/>
        <w:tabs>
          <w:tab w:leader="none" w:pos="1944" w:val="left"/>
        </w:tabs>
        <w:numPr>
          <w:ilvl w:val="1"/>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(and the Shares upon settlement of the RSUs)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w:t>
      </w:r>
    </w:p>
    <w:p>
      <w:pPr>
        <w:spacing w:after="0" w:line="3" w:lineRule="exact"/>
        <w:rPr>
          <w:rFonts w:ascii="Arial" w:cs="Arial" w:eastAsia="Arial" w:hAnsi="Arial"/>
          <w:sz w:val="19"/>
          <w:szCs w:val="19"/>
          <w:color w:val="auto"/>
        </w:rPr>
      </w:pPr>
    </w:p>
    <w:p>
      <w:pPr>
        <w:jc w:val="both"/>
        <w:ind w:firstLine="8"/>
        <w:spacing w:after="0" w:line="256" w:lineRule="auto"/>
        <w:tabs>
          <w:tab w:leader="none" w:pos="309" w:val="left"/>
        </w:tabs>
        <w:numPr>
          <w:ilvl w:val="0"/>
          <w:numId w:val="34"/>
        </w:numPr>
        <w:rPr>
          <w:rFonts w:ascii="Arial" w:cs="Arial" w:eastAsia="Arial" w:hAnsi="Arial"/>
          <w:sz w:val="21"/>
          <w:szCs w:val="21"/>
          <w:color w:val="auto"/>
        </w:rPr>
      </w:pPr>
      <w:r>
        <w:rPr>
          <w:rFonts w:ascii="Arial" w:cs="Arial" w:eastAsia="Arial" w:hAnsi="Arial"/>
          <w:sz w:val="21"/>
          <w:szCs w:val="21"/>
          <w:color w:val="auto"/>
        </w:rPr>
        <w:t>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81" w:lineRule="exact"/>
        <w:rPr>
          <w:rFonts w:ascii="Arial" w:cs="Arial" w:eastAsia="Arial" w:hAnsi="Arial"/>
          <w:sz w:val="21"/>
          <w:szCs w:val="21"/>
          <w:color w:val="auto"/>
        </w:rPr>
      </w:pPr>
    </w:p>
    <w:p>
      <w:pPr>
        <w:jc w:val="both"/>
        <w:ind w:firstLine="1304"/>
        <w:spacing w:after="0" w:line="315" w:lineRule="auto"/>
        <w:tabs>
          <w:tab w:leader="none" w:pos="1944" w:val="left"/>
        </w:tabs>
        <w:numPr>
          <w:ilvl w:val="1"/>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This Agreement and the Plan are intended to be exempt from or comply with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of Section 409A of the Code and shall be limited, construed and interpreted in accordance with such intent. To the extent that this Award is subject to Section 409A of the Code, it shall be paid in a manner that will comply with Section 409A of</w:t>
      </w:r>
    </w:p>
    <w:p>
      <w:pPr>
        <w:spacing w:after="0" w:line="200" w:lineRule="exact"/>
        <w:rPr>
          <w:sz w:val="20"/>
          <w:szCs w:val="20"/>
          <w:color w:val="auto"/>
        </w:rPr>
      </w:pPr>
    </w:p>
    <w:p>
      <w:pPr>
        <w:spacing w:after="0" w:line="33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21"/>
          <w:szCs w:val="21"/>
          <w:color w:val="auto"/>
        </w:rPr>
        <w:t>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73" w:lineRule="exact"/>
        <w:rPr>
          <w:sz w:val="20"/>
          <w:szCs w:val="20"/>
          <w:color w:val="auto"/>
        </w:rPr>
      </w:pPr>
    </w:p>
    <w:p>
      <w:pPr>
        <w:jc w:val="both"/>
        <w:ind w:firstLine="1304"/>
        <w:spacing w:after="0" w:line="267" w:lineRule="auto"/>
        <w:tabs>
          <w:tab w:leader="none" w:pos="1944"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67" w:lineRule="exact"/>
        <w:rPr>
          <w:rFonts w:ascii="Arial" w:cs="Arial" w:eastAsia="Arial" w:hAnsi="Arial"/>
          <w:sz w:val="21"/>
          <w:szCs w:val="21"/>
          <w:color w:val="auto"/>
        </w:rPr>
      </w:pPr>
    </w:p>
    <w:p>
      <w:pPr>
        <w:jc w:val="both"/>
        <w:ind w:firstLine="1304"/>
        <w:spacing w:after="0" w:line="264" w:lineRule="auto"/>
        <w:tabs>
          <w:tab w:leader="none" w:pos="1944"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RSUs and the Shares subject to the RSUs shall be subject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terms and conditions for the Participant’s country set forth in the [Appendix].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70" w:lineRule="exact"/>
        <w:rPr>
          <w:rFonts w:ascii="Arial" w:cs="Arial" w:eastAsia="Arial" w:hAnsi="Arial"/>
          <w:sz w:val="21"/>
          <w:szCs w:val="21"/>
          <w:color w:val="auto"/>
        </w:rPr>
      </w:pPr>
    </w:p>
    <w:p>
      <w:pPr>
        <w:jc w:val="both"/>
        <w:ind w:firstLine="1304"/>
        <w:spacing w:after="0" w:line="260" w:lineRule="auto"/>
        <w:tabs>
          <w:tab w:leader="none" w:pos="1944"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This grant is subject to, and limited by, all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and such 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rFonts w:ascii="Arial" w:cs="Arial" w:eastAsia="Arial" w:hAnsi="Arial"/>
          <w:sz w:val="21"/>
          <w:szCs w:val="21"/>
          <w:color w:val="auto"/>
        </w:rPr>
      </w:pPr>
    </w:p>
    <w:p>
      <w:pPr>
        <w:jc w:val="both"/>
        <w:ind w:firstLine="1304"/>
        <w:spacing w:after="0" w:line="260" w:lineRule="auto"/>
        <w:tabs>
          <w:tab w:leader="none" w:pos="1944"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The Participant acknowledges that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(e.g., RSUs)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75" w:lineRule="exact"/>
        <w:rPr>
          <w:rFonts w:ascii="Arial" w:cs="Arial" w:eastAsia="Arial" w:hAnsi="Arial"/>
          <w:sz w:val="21"/>
          <w:szCs w:val="21"/>
          <w:color w:val="auto"/>
        </w:rPr>
      </w:pPr>
    </w:p>
    <w:p>
      <w:pPr>
        <w:ind w:firstLine="1304"/>
        <w:spacing w:after="0" w:line="269" w:lineRule="auto"/>
        <w:tabs>
          <w:tab w:leader="none" w:pos="1944"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Foreign Asset/Account Reporting; Exchange Controls</w:t>
      </w:r>
      <w:r>
        <w:rPr>
          <w:rFonts w:ascii="Arial" w:cs="Arial" w:eastAsia="Arial" w:hAnsi="Arial"/>
          <w:sz w:val="22"/>
          <w:szCs w:val="22"/>
          <w:color w:val="auto"/>
        </w:rPr>
        <w:t>. The Participant acknowledges that, depending</w:t>
      </w:r>
      <w:r>
        <w:rPr>
          <w:rFonts w:ascii="Arial" w:cs="Arial" w:eastAsia="Arial" w:hAnsi="Arial"/>
          <w:sz w:val="22"/>
          <w:szCs w:val="22"/>
          <w:b w:val="1"/>
          <w:bCs w:val="1"/>
          <w:color w:val="auto"/>
        </w:rPr>
        <w:t xml:space="preserve"> </w:t>
      </w:r>
      <w:r>
        <w:rPr>
          <w:rFonts w:ascii="Arial" w:cs="Arial" w:eastAsia="Arial" w:hAnsi="Arial"/>
          <w:sz w:val="22"/>
          <w:szCs w:val="22"/>
          <w:color w:val="auto"/>
        </w:rPr>
        <w:t>on his or her country of residence, the Participant may be subject to</w:t>
      </w:r>
    </w:p>
    <w:p>
      <w:pPr>
        <w:spacing w:after="0" w:line="200" w:lineRule="exact"/>
        <w:rPr>
          <w:sz w:val="20"/>
          <w:szCs w:val="20"/>
          <w:color w:val="auto"/>
        </w:rPr>
      </w:pPr>
    </w:p>
    <w:p>
      <w:pPr>
        <w:spacing w:after="0" w:line="373"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30" w:name="page31"/>
    <w:bookmarkEnd w:id="30"/>
    <w:p>
      <w:pPr>
        <w:jc w:val="both"/>
        <w:spacing w:after="0" w:line="292" w:lineRule="auto"/>
        <w:rPr>
          <w:sz w:val="20"/>
          <w:szCs w:val="20"/>
          <w:color w:val="auto"/>
        </w:rPr>
      </w:pPr>
      <w:r>
        <w:rPr>
          <w:rFonts w:ascii="Arial" w:cs="Arial" w:eastAsia="Arial" w:hAnsi="Arial"/>
          <w:sz w:val="19"/>
          <w:szCs w:val="19"/>
          <w:color w:val="auto"/>
        </w:rPr>
        <w:t>foreign asset and/or account reporting requirements and/or exchange controls as a result of the vesting and settlement of the RSUs,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45" w:lineRule="exact"/>
        <w:rPr>
          <w:sz w:val="20"/>
          <w:szCs w:val="20"/>
          <w:color w:val="auto"/>
        </w:rPr>
      </w:pPr>
    </w:p>
    <w:p>
      <w:pPr>
        <w:jc w:val="both"/>
        <w:ind w:firstLine="1304"/>
        <w:spacing w:after="0" w:line="293" w:lineRule="auto"/>
        <w:tabs>
          <w:tab w:leader="none" w:pos="1944"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No Secured Rights</w:t>
      </w:r>
      <w:r>
        <w:rPr>
          <w:rFonts w:ascii="Arial" w:cs="Arial" w:eastAsia="Arial" w:hAnsi="Arial"/>
          <w:sz w:val="19"/>
          <w:szCs w:val="19"/>
          <w:color w:val="auto"/>
        </w:rPr>
        <w:t>. The Participant’s right to payments under this Agreement shall not constitute nor be</w:t>
      </w:r>
      <w:r>
        <w:rPr>
          <w:rFonts w:ascii="Arial" w:cs="Arial" w:eastAsia="Arial" w:hAnsi="Arial"/>
          <w:sz w:val="19"/>
          <w:szCs w:val="19"/>
          <w:b w:val="1"/>
          <w:bCs w:val="1"/>
          <w:color w:val="auto"/>
        </w:rPr>
        <w:t xml:space="preserve"> </w:t>
      </w:r>
      <w:r>
        <w:rPr>
          <w:rFonts w:ascii="Arial" w:cs="Arial" w:eastAsia="Arial" w:hAnsi="Arial"/>
          <w:sz w:val="19"/>
          <w:szCs w:val="19"/>
          <w:color w:val="auto"/>
        </w:rPr>
        <w:t>treated as property or as a trust fund of any kind. The Participant’s rights are limited exclusively to the right to receive Shares as provided in the Agreement. The Participant shall not have any rights as an owner of the Company with respect to any RSUs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44" w:lineRule="exact"/>
        <w:rPr>
          <w:rFonts w:ascii="Arial" w:cs="Arial" w:eastAsia="Arial" w:hAnsi="Arial"/>
          <w:sz w:val="19"/>
          <w:szCs w:val="19"/>
          <w:color w:val="auto"/>
        </w:rPr>
      </w:pPr>
    </w:p>
    <w:p>
      <w:pPr>
        <w:jc w:val="both"/>
        <w:ind w:firstLine="1304"/>
        <w:spacing w:after="0" w:line="295" w:lineRule="auto"/>
        <w:tabs>
          <w:tab w:leader="none" w:pos="1944"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Agreement; Assignment; Amendment</w:t>
      </w:r>
      <w:r>
        <w:rPr>
          <w:rFonts w:ascii="Arial" w:cs="Arial" w:eastAsia="Arial" w:hAnsi="Arial"/>
          <w:sz w:val="19"/>
          <w:szCs w:val="19"/>
          <w:color w:val="auto"/>
        </w:rPr>
        <w:t>. This Agreement shall inure to the benefit of,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upon, and be 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RSUs,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9"/>
          <w:szCs w:val="19"/>
          <w:u w:val="single" w:color="auto"/>
          <w:color w:val="auto"/>
        </w:rPr>
        <w:t>Sections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hereof and Section 14 of the Plan.</w:t>
      </w:r>
    </w:p>
    <w:p>
      <w:pPr>
        <w:spacing w:after="0" w:line="143" w:lineRule="exact"/>
        <w:rPr>
          <w:rFonts w:ascii="Arial" w:cs="Arial" w:eastAsia="Arial" w:hAnsi="Arial"/>
          <w:sz w:val="19"/>
          <w:szCs w:val="19"/>
          <w:color w:val="auto"/>
        </w:rPr>
      </w:pPr>
    </w:p>
    <w:p>
      <w:pPr>
        <w:ind w:firstLine="1304"/>
        <w:spacing w:after="0" w:line="269"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titles and headings of the various sections of this Agreement have been inserted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of reference only and shall not be deemed to be a part of this Agreement.</w:t>
      </w:r>
    </w:p>
    <w:p>
      <w:pPr>
        <w:spacing w:after="0" w:line="161"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6" w:lineRule="exact"/>
        <w:rPr>
          <w:rFonts w:ascii="Arial" w:cs="Arial" w:eastAsia="Arial" w:hAnsi="Arial"/>
          <w:sz w:val="22"/>
          <w:szCs w:val="22"/>
          <w:color w:val="auto"/>
        </w:rPr>
      </w:pPr>
    </w:p>
    <w:p>
      <w:pPr>
        <w:jc w:val="both"/>
        <w:ind w:firstLine="1304"/>
        <w:spacing w:after="0" w:line="256"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Each party hereto shall do and perform (or shall cause to be done and performed) all</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acts and shall execute and deliver all such other agreements, certificates, instruments and documents as either party hereto reasonably may request</w:t>
      </w:r>
    </w:p>
    <w:p>
      <w:pPr>
        <w:spacing w:after="0" w:line="200" w:lineRule="exact"/>
        <w:rPr>
          <w:sz w:val="20"/>
          <w:szCs w:val="20"/>
          <w:color w:val="auto"/>
        </w:rPr>
      </w:pPr>
    </w:p>
    <w:p>
      <w:pPr>
        <w:spacing w:after="0" w:line="387"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31" w:name="page32"/>
    <w:bookmarkEnd w:id="31"/>
    <w:p>
      <w:pPr>
        <w:spacing w:after="0" w:line="263" w:lineRule="auto"/>
        <w:rPr>
          <w:sz w:val="20"/>
          <w:szCs w:val="20"/>
          <w:color w:val="auto"/>
        </w:rPr>
      </w:pPr>
      <w:r>
        <w:rPr>
          <w:rFonts w:ascii="Arial" w:cs="Arial" w:eastAsia="Arial" w:hAnsi="Arial"/>
          <w:sz w:val="22"/>
          <w:szCs w:val="22"/>
          <w:color w:val="auto"/>
        </w:rPr>
        <w:t>in order to carry out the intent and accomplish the purposes of this Agreement and the Plan and the consummation of the transactions contemplated thereunder.</w:t>
      </w:r>
    </w:p>
    <w:p>
      <w:pPr>
        <w:spacing w:after="0" w:line="169" w:lineRule="exact"/>
        <w:rPr>
          <w:sz w:val="20"/>
          <w:szCs w:val="20"/>
          <w:color w:val="auto"/>
        </w:rPr>
      </w:pPr>
    </w:p>
    <w:p>
      <w:pPr>
        <w:jc w:val="both"/>
        <w:ind w:firstLine="1304"/>
        <w:spacing w:after="0" w:line="274" w:lineRule="auto"/>
        <w:tabs>
          <w:tab w:leader="none" w:pos="1944" w:val="left"/>
        </w:tabs>
        <w:numPr>
          <w:ilvl w:val="0"/>
          <w:numId w:val="37"/>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58" w:lineRule="exact"/>
        <w:rPr>
          <w:rFonts w:ascii="Arial" w:cs="Arial" w:eastAsia="Arial" w:hAnsi="Arial"/>
          <w:sz w:val="21"/>
          <w:szCs w:val="21"/>
          <w:color w:val="auto"/>
        </w:rPr>
      </w:pPr>
    </w:p>
    <w:p>
      <w:pPr>
        <w:jc w:val="both"/>
        <w:ind w:firstLine="1304"/>
        <w:spacing w:after="0" w:line="262" w:lineRule="auto"/>
        <w:tabs>
          <w:tab w:leader="none" w:pos="1944" w:val="left"/>
        </w:tabs>
        <w:numPr>
          <w:ilvl w:val="0"/>
          <w:numId w:val="37"/>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RSUs or any terms of this Agreement; provided, however, that the Participant may disclose the fact that the Participant has been granted the RSUs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73" w:lineRule="exact"/>
        <w:rPr>
          <w:rFonts w:ascii="Arial" w:cs="Arial" w:eastAsia="Arial" w:hAnsi="Arial"/>
          <w:sz w:val="21"/>
          <w:szCs w:val="21"/>
          <w:color w:val="auto"/>
        </w:rPr>
      </w:pPr>
    </w:p>
    <w:p>
      <w:pPr>
        <w:jc w:val="both"/>
        <w:ind w:firstLine="1304"/>
        <w:spacing w:after="0" w:line="252" w:lineRule="auto"/>
        <w:tabs>
          <w:tab w:leader="none" w:pos="1944"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 &amp; Acceptance within 30 Days</w:t>
      </w:r>
      <w:r>
        <w:rPr>
          <w:rFonts w:ascii="Arial" w:cs="Arial" w:eastAsia="Arial" w:hAnsi="Arial"/>
          <w:sz w:val="22"/>
          <w:szCs w:val="22"/>
          <w:color w:val="auto"/>
        </w:rPr>
        <w:t>. This grant is subject to acceptance, within 30 days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Grant Date, by electronic acceptance through the website of [ ● ], the Company’s share plan administrator, or by signed documents delivered to the Company. </w:t>
      </w:r>
      <w:r>
        <w:rPr>
          <w:rFonts w:ascii="Arial" w:cs="Arial" w:eastAsia="Arial" w:hAnsi="Arial"/>
          <w:sz w:val="22"/>
          <w:szCs w:val="22"/>
          <w:b w:val="1"/>
          <w:bCs w:val="1"/>
          <w:color w:val="auto"/>
        </w:rPr>
        <w:t>Failure to accept the RSUs within 30 days of the Grant Date may result in</w:t>
      </w:r>
      <w:r>
        <w:rPr>
          <w:rFonts w:ascii="Arial" w:cs="Arial" w:eastAsia="Arial" w:hAnsi="Arial"/>
          <w:sz w:val="22"/>
          <w:szCs w:val="22"/>
          <w:color w:val="auto"/>
        </w:rPr>
        <w:t xml:space="preserve"> </w:t>
      </w:r>
      <w:r>
        <w:rPr>
          <w:rFonts w:ascii="Arial" w:cs="Arial" w:eastAsia="Arial" w:hAnsi="Arial"/>
          <w:sz w:val="22"/>
          <w:szCs w:val="22"/>
          <w:b w:val="1"/>
          <w:bCs w:val="1"/>
          <w:color w:val="auto"/>
        </w:rPr>
        <w:t>cancellation of the RSUs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8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32" w:name="page33"/>
    <w:bookmarkEnd w:id="32"/>
    <w:p>
      <w:pPr>
        <w:spacing w:after="0" w:line="200" w:lineRule="exact"/>
        <w:rPr>
          <w:sz w:val="20"/>
          <w:szCs w:val="20"/>
          <w:color w:val="auto"/>
        </w:rPr>
      </w:pPr>
    </w:p>
    <w:p>
      <w:pPr>
        <w:spacing w:after="0" w:line="247" w:lineRule="exact"/>
        <w:rPr>
          <w:sz w:val="20"/>
          <w:szCs w:val="20"/>
          <w:color w:val="auto"/>
        </w:rPr>
      </w:pPr>
    </w:p>
    <w:p>
      <w:pPr>
        <w:ind w:firstLine="895"/>
        <w:spacing w:after="0" w:line="263" w:lineRule="auto"/>
        <w:rPr>
          <w:sz w:val="20"/>
          <w:szCs w:val="20"/>
          <w:color w:val="auto"/>
        </w:rPr>
      </w:pPr>
      <w:r>
        <w:rPr>
          <w:rFonts w:ascii="Arial" w:cs="Arial" w:eastAsia="Arial" w:hAnsi="Arial"/>
          <w:sz w:val="22"/>
          <w:szCs w:val="22"/>
          <w:color w:val="auto"/>
        </w:rPr>
        <w:t>By signing below, the Participant hereby acknowledges receipt of the RSUs issued on the Grant Date indicated above, which have been issued under the terms and conditions of the Plan and this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By:__________________________________</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_______________________________</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_______________________________</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by: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the Participant]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SHARE UNIT AWARD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2019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VESTING)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 ___________________________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 ___________________________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Performance Restricted Share Units Granted: _____________</w:t>
      </w:r>
    </w:p>
    <w:p>
      <w:pPr>
        <w:spacing w:after="0" w:line="247"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jc w:val="both"/>
        <w:ind w:firstLine="337"/>
        <w:spacing w:after="0" w:line="249" w:lineRule="auto"/>
        <w:rPr>
          <w:sz w:val="20"/>
          <w:szCs w:val="20"/>
          <w:color w:val="auto"/>
        </w:rPr>
      </w:pPr>
      <w:r>
        <w:rPr>
          <w:rFonts w:ascii="Arial" w:cs="Arial" w:eastAsia="Arial" w:hAnsi="Arial"/>
          <w:sz w:val="22"/>
          <w:szCs w:val="22"/>
          <w:b w:val="1"/>
          <w:bCs w:val="1"/>
          <w:color w:val="auto"/>
        </w:rPr>
        <w:t xml:space="preserve">THIS PERFORMANCE RESTRICTED SHARE UNIT AWARD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 Date specified above, is entered into by and between WEATHERFORD INTERNATIONAL PLC, a public limited company organized under the laws of Ireland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administered by the Committee (as defined in the Plan); and</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it has been determined under the Plan that it would be in the best interests of the Company to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Restricted Share Units (“</w:t>
      </w:r>
      <w:r>
        <w:rPr>
          <w:rFonts w:ascii="Arial" w:cs="Arial" w:eastAsia="Arial" w:hAnsi="Arial"/>
          <w:sz w:val="22"/>
          <w:szCs w:val="22"/>
          <w:u w:val="single" w:color="auto"/>
          <w:color w:val="auto"/>
        </w:rPr>
        <w:t>PSUs</w:t>
      </w:r>
      <w:r>
        <w:rPr>
          <w:rFonts w:ascii="Arial" w:cs="Arial" w:eastAsia="Arial" w:hAnsi="Arial"/>
          <w:sz w:val="22"/>
          <w:szCs w:val="22"/>
          <w:color w:val="auto"/>
        </w:rPr>
        <w:t>”) provided herein to the Participant.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promises hereinafter set forth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is hereby acknowledged, the parties hereto hereby mutually covenant and agree as follows:</w:t>
      </w:r>
    </w:p>
    <w:p>
      <w:pPr>
        <w:spacing w:after="0" w:line="176" w:lineRule="exact"/>
        <w:rPr>
          <w:sz w:val="20"/>
          <w:szCs w:val="20"/>
          <w:color w:val="auto"/>
        </w:rPr>
      </w:pPr>
    </w:p>
    <w:p>
      <w:pPr>
        <w:jc w:val="both"/>
        <w:ind w:firstLine="656"/>
        <w:spacing w:after="0" w:line="291" w:lineRule="auto"/>
        <w:tabs>
          <w:tab w:leader="none" w:pos="1296"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Incorporation By Reference; Plan Document Receipt</w:t>
      </w:r>
      <w:r>
        <w:rPr>
          <w:rFonts w:ascii="Arial" w:cs="Arial" w:eastAsia="Arial" w:hAnsi="Arial"/>
          <w:sz w:val="19"/>
          <w:szCs w:val="19"/>
          <w:color w:val="auto"/>
        </w:rPr>
        <w:t>. This Agreement is subject in all respects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and the “Performance Period” shall mean the [three] fiscal-year period commencing on the first day of the fiscal year of the Company in which the Grant Date occurs. The Participant hereby acknowledges receipt of a true copy of the Plan and that the Participant has read the Plan carefully and fully understands its</w:t>
      </w:r>
    </w:p>
    <w:p>
      <w:pPr>
        <w:sectPr>
          <w:pgSz w:w="11900" w:h="16838" w:orient="portrait"/>
          <w:cols w:equalWidth="0" w:num="1">
            <w:col w:w="11240"/>
          </w:cols>
          <w:pgMar w:left="320" w:top="126" w:right="339" w:bottom="1440" w:gutter="0" w:footer="0" w:header="0"/>
        </w:sectPr>
      </w:pPr>
    </w:p>
    <w:bookmarkStart w:id="34" w:name="page35"/>
    <w:bookmarkEnd w:id="34"/>
    <w:p>
      <w:pPr>
        <w:spacing w:after="0" w:line="263" w:lineRule="auto"/>
        <w:rPr>
          <w:sz w:val="20"/>
          <w:szCs w:val="20"/>
          <w:color w:val="auto"/>
        </w:rPr>
      </w:pPr>
      <w:r>
        <w:rPr>
          <w:rFonts w:ascii="Arial" w:cs="Arial" w:eastAsia="Arial" w:hAnsi="Arial"/>
          <w:sz w:val="22"/>
          <w:szCs w:val="22"/>
          <w:color w:val="auto"/>
        </w:rPr>
        <w:t>content. In the event of any conflict between the terms of this Agreement and the terms of the Plan, the terms of the Plan shall control.</w:t>
      </w:r>
    </w:p>
    <w:p>
      <w:pPr>
        <w:spacing w:after="0" w:line="169" w:lineRule="exact"/>
        <w:rPr>
          <w:sz w:val="20"/>
          <w:szCs w:val="20"/>
          <w:color w:val="auto"/>
        </w:rPr>
      </w:pPr>
    </w:p>
    <w:p>
      <w:pPr>
        <w:jc w:val="both"/>
        <w:ind w:firstLine="656"/>
        <w:spacing w:after="0" w:line="295" w:lineRule="auto"/>
        <w:tabs>
          <w:tab w:leader="none" w:pos="1296" w:val="left"/>
        </w:tabs>
        <w:numPr>
          <w:ilvl w:val="0"/>
          <w:numId w:val="39"/>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Performance Restricted Share Unit Award</w:t>
      </w:r>
      <w:r>
        <w:rPr>
          <w:rFonts w:ascii="Arial" w:cs="Arial" w:eastAsia="Arial" w:hAnsi="Arial"/>
          <w:sz w:val="19"/>
          <w:szCs w:val="19"/>
          <w:color w:val="auto"/>
        </w:rPr>
        <w:t>. The Company hereby grants the target number of PSUs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above to the Participant, as of the Grant Date stated above (the “</w:t>
      </w:r>
      <w:r>
        <w:rPr>
          <w:rFonts w:ascii="Arial" w:cs="Arial" w:eastAsia="Arial" w:hAnsi="Arial"/>
          <w:sz w:val="19"/>
          <w:szCs w:val="19"/>
          <w:u w:val="single" w:color="auto"/>
          <w:color w:val="auto"/>
        </w:rPr>
        <w:t>Target Award</w:t>
      </w:r>
      <w:r>
        <w:rPr>
          <w:rFonts w:ascii="Arial" w:cs="Arial" w:eastAsia="Arial" w:hAnsi="Arial"/>
          <w:sz w:val="19"/>
          <w:szCs w:val="19"/>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w:t>
      </w:r>
    </w:p>
    <w:p>
      <w:pPr>
        <w:spacing w:after="0" w:line="143" w:lineRule="exact"/>
        <w:rPr>
          <w:rFonts w:ascii="Arial" w:cs="Arial" w:eastAsia="Arial" w:hAnsi="Arial"/>
          <w:sz w:val="19"/>
          <w:szCs w:val="19"/>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660" w:firstLine="644"/>
        <w:spacing w:after="0" w:line="343" w:lineRule="auto"/>
        <w:tabs>
          <w:tab w:leader="none" w:pos="1953"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Section 3</w:t>
      </w:r>
      <w:r>
        <w:rPr>
          <w:rFonts w:ascii="Arial" w:cs="Arial" w:eastAsia="Arial" w:hAnsi="Arial"/>
          <w:sz w:val="19"/>
          <w:szCs w:val="19"/>
          <w:color w:val="auto"/>
        </w:rPr>
        <w:t>, the PSUs subject to this Agreement shall be eligible to vest on the last day of the Performance Period, subject to the Participant’s continued Service with the Company on such date.</w:t>
      </w:r>
    </w:p>
    <w:p>
      <w:pPr>
        <w:spacing w:after="0" w:line="90" w:lineRule="exact"/>
        <w:rPr>
          <w:rFonts w:ascii="Arial" w:cs="Arial" w:eastAsia="Arial" w:hAnsi="Arial"/>
          <w:sz w:val="19"/>
          <w:szCs w:val="19"/>
          <w:color w:val="010000"/>
        </w:rPr>
      </w:pPr>
    </w:p>
    <w:p>
      <w:pPr>
        <w:ind w:left="2160" w:hanging="412"/>
        <w:spacing w:after="0"/>
        <w:tabs>
          <w:tab w:leader="none" w:pos="2160" w:val="left"/>
        </w:tabs>
        <w:numPr>
          <w:ilvl w:val="2"/>
          <w:numId w:val="39"/>
        </w:numPr>
        <w:rPr>
          <w:rFonts w:ascii="Arial" w:cs="Arial" w:eastAsia="Arial" w:hAnsi="Arial"/>
          <w:sz w:val="21"/>
          <w:szCs w:val="21"/>
          <w:color w:val="010000"/>
        </w:rPr>
      </w:pPr>
      <w:r>
        <w:rPr>
          <w:rFonts w:ascii="Arial" w:cs="Arial" w:eastAsia="Arial" w:hAnsi="Arial"/>
          <w:sz w:val="21"/>
          <w:szCs w:val="21"/>
          <w:color w:val="auto"/>
        </w:rPr>
        <w:t>The actual number of PSUs that are earned, if any, pursuant to the terms and conditions of this</w:t>
      </w:r>
    </w:p>
    <w:p>
      <w:pPr>
        <w:spacing w:after="0" w:line="6" w:lineRule="exact"/>
        <w:rPr>
          <w:rFonts w:ascii="Arial" w:cs="Arial" w:eastAsia="Arial" w:hAnsi="Arial"/>
          <w:sz w:val="21"/>
          <w:szCs w:val="21"/>
          <w:color w:val="010000"/>
        </w:rPr>
      </w:pPr>
    </w:p>
    <w:p>
      <w:pPr>
        <w:jc w:val="both"/>
        <w:ind w:left="1300" w:right="60"/>
        <w:spacing w:after="0" w:line="226" w:lineRule="auto"/>
        <w:rPr>
          <w:rFonts w:ascii="Arial" w:cs="Arial" w:eastAsia="Arial" w:hAnsi="Arial"/>
          <w:sz w:val="21"/>
          <w:szCs w:val="21"/>
          <w:color w:val="010000"/>
        </w:rPr>
      </w:pPr>
      <w:r>
        <w:rPr>
          <w:rFonts w:ascii="Arial" w:cs="Arial" w:eastAsia="Arial" w:hAnsi="Arial"/>
          <w:sz w:val="22"/>
          <w:szCs w:val="22"/>
          <w:color w:val="auto"/>
        </w:rPr>
        <w:t>Agreement is subject to increase or decrease based on the Company’s actual performance against the Performance Goals set forth on Exhibit A and may range from [0% to [●]%] of the Target Award, rounded to the nearest whole Share.</w:t>
      </w:r>
    </w:p>
    <w:p>
      <w:pPr>
        <w:spacing w:after="0" w:line="185" w:lineRule="exact"/>
        <w:rPr>
          <w:rFonts w:ascii="Arial" w:cs="Arial" w:eastAsia="Arial" w:hAnsi="Arial"/>
          <w:sz w:val="21"/>
          <w:szCs w:val="21"/>
          <w:color w:val="010000"/>
        </w:rPr>
      </w:pPr>
    </w:p>
    <w:p>
      <w:pPr>
        <w:jc w:val="both"/>
        <w:ind w:left="1300" w:firstLine="388"/>
        <w:spacing w:after="0" w:line="253" w:lineRule="auto"/>
        <w:tabs>
          <w:tab w:leader="none" w:pos="2224" w:val="left"/>
        </w:tabs>
        <w:numPr>
          <w:ilvl w:val="2"/>
          <w:numId w:val="39"/>
        </w:numPr>
        <w:rPr>
          <w:rFonts w:ascii="Arial" w:cs="Arial" w:eastAsia="Arial" w:hAnsi="Arial"/>
          <w:sz w:val="22"/>
          <w:szCs w:val="22"/>
          <w:color w:val="010000"/>
        </w:rPr>
      </w:pPr>
      <w:r>
        <w:rPr>
          <w:rFonts w:ascii="Arial" w:cs="Arial" w:eastAsia="Arial" w:hAnsi="Arial"/>
          <w:sz w:val="22"/>
          <w:szCs w:val="22"/>
          <w:color w:val="auto"/>
        </w:rPr>
        <w:t>Following the end of the Performance Period and no later than 60 days thereafter, the Committee will determine the number of PSUs that have been earned (the “</w:t>
      </w:r>
      <w:r>
        <w:rPr>
          <w:rFonts w:ascii="Arial" w:cs="Arial" w:eastAsia="Arial" w:hAnsi="Arial"/>
          <w:sz w:val="22"/>
          <w:szCs w:val="22"/>
          <w:u w:val="single" w:color="auto"/>
          <w:color w:val="auto"/>
        </w:rPr>
        <w:t>Earned PSUs</w:t>
      </w:r>
      <w:r>
        <w:rPr>
          <w:rFonts w:ascii="Arial" w:cs="Arial" w:eastAsia="Arial" w:hAnsi="Arial"/>
          <w:sz w:val="22"/>
          <w:szCs w:val="22"/>
          <w:color w:val="auto"/>
        </w:rPr>
        <w:t>”) in accordance with Exhibit A (such date, the “</w:t>
      </w:r>
      <w:r>
        <w:rPr>
          <w:rFonts w:ascii="Arial" w:cs="Arial" w:eastAsia="Arial" w:hAnsi="Arial"/>
          <w:sz w:val="22"/>
          <w:szCs w:val="22"/>
          <w:u w:val="single" w:color="auto"/>
          <w:color w:val="auto"/>
        </w:rPr>
        <w:t>Determination Date</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jc w:val="both"/>
        <w:ind w:left="660" w:firstLine="644"/>
        <w:spacing w:after="0" w:line="258" w:lineRule="auto"/>
        <w:tabs>
          <w:tab w:leader="none" w:pos="1951" w:val="left"/>
        </w:tabs>
        <w:numPr>
          <w:ilvl w:val="1"/>
          <w:numId w:val="39"/>
        </w:numPr>
        <w:rPr>
          <w:rFonts w:ascii="Arial" w:cs="Arial" w:eastAsia="Arial" w:hAnsi="Arial"/>
          <w:sz w:val="21"/>
          <w:szCs w:val="21"/>
          <w:color w:val="010000"/>
        </w:rPr>
      </w:pPr>
      <w:r>
        <w:rPr>
          <w:rFonts w:ascii="Arial" w:cs="Arial" w:eastAsia="Arial" w:hAnsi="Arial"/>
          <w:sz w:val="21"/>
          <w:szCs w:val="21"/>
          <w:u w:val="single" w:color="auto"/>
          <w:color w:val="auto"/>
        </w:rPr>
        <w:t>Termination without Cause; for Good Reason; or Due to Death or Disability</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4(d)</w:t>
      </w:r>
      <w:r>
        <w:rPr>
          <w:rFonts w:ascii="Arial" w:cs="Arial" w:eastAsia="Arial" w:hAnsi="Arial"/>
          <w:sz w:val="21"/>
          <w:szCs w:val="21"/>
          <w:color w:val="auto"/>
        </w:rPr>
        <w:t xml:space="preserve">, in the event the Participant’s Service is terminated by the Company without Cause or by the Participant for Good Reason (each, as defined in the Company’s Change in Control Severance Plan[, notwithstanding the definitions contained the Participant’s Offer Letter from the Company]),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Subject to </w:t>
      </w:r>
      <w:r>
        <w:rPr>
          <w:rFonts w:ascii="Arial" w:cs="Arial" w:eastAsia="Arial" w:hAnsi="Arial"/>
          <w:sz w:val="21"/>
          <w:szCs w:val="21"/>
          <w:u w:val="single" w:color="auto"/>
          <w:color w:val="auto"/>
        </w:rPr>
        <w:t>Section 4(d)</w:t>
      </w:r>
      <w:r>
        <w:rPr>
          <w:rFonts w:ascii="Arial" w:cs="Arial" w:eastAsia="Arial" w:hAnsi="Arial"/>
          <w:sz w:val="21"/>
          <w:szCs w:val="21"/>
          <w:color w:val="auto"/>
        </w:rPr>
        <w:t>, in the event the Participant’s Service is terminated due to the Participant’s death or Disability, the Shares subject to the PSUs that have not yet vested shall vest at the end of the Performance Period based on actual performance.</w:t>
      </w:r>
    </w:p>
    <w:p>
      <w:pPr>
        <w:spacing w:after="0" w:line="185" w:lineRule="exact"/>
        <w:rPr>
          <w:rFonts w:ascii="Arial" w:cs="Arial" w:eastAsia="Arial" w:hAnsi="Arial"/>
          <w:sz w:val="21"/>
          <w:szCs w:val="21"/>
          <w:color w:val="010000"/>
        </w:rPr>
      </w:pPr>
    </w:p>
    <w:p>
      <w:pPr>
        <w:jc w:val="both"/>
        <w:ind w:left="660" w:firstLine="644"/>
        <w:spacing w:after="0" w:line="253" w:lineRule="auto"/>
        <w:tabs>
          <w:tab w:leader="none" w:pos="1953" w:val="left"/>
        </w:tabs>
        <w:numPr>
          <w:ilvl w:val="1"/>
          <w:numId w:val="39"/>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4(d)</w:t>
      </w:r>
      <w:r>
        <w:rPr>
          <w:rFonts w:ascii="Arial" w:cs="Arial" w:eastAsia="Arial" w:hAnsi="Arial"/>
          <w:sz w:val="22"/>
          <w:szCs w:val="22"/>
          <w:color w:val="auto"/>
        </w:rPr>
        <w:t>, if a Change in Control occurs, and the successor or purchaser in the Change in Control has assumed the Company’s obligations with respect to the PSUs or provided a substitute award and the Participant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8" w:right="339" w:bottom="1440" w:gutter="0" w:footer="0" w:header="0"/>
        </w:sectPr>
      </w:pPr>
    </w:p>
    <w:bookmarkStart w:id="35" w:name="page36"/>
    <w:bookmarkEnd w:id="35"/>
    <w:p>
      <w:pPr>
        <w:jc w:val="both"/>
        <w:ind w:left="440"/>
        <w:spacing w:after="0" w:line="302" w:lineRule="auto"/>
        <w:rPr>
          <w:sz w:val="20"/>
          <w:szCs w:val="20"/>
          <w:color w:val="auto"/>
        </w:rPr>
      </w:pPr>
      <w:r>
        <w:rPr>
          <w:rFonts w:ascii="Arial" w:cs="Arial" w:eastAsia="Arial" w:hAnsi="Arial"/>
          <w:sz w:val="19"/>
          <w:szCs w:val="19"/>
          <w:color w:val="auto"/>
        </w:rPr>
        <w:t>a Qualifying Termination (as defined in the Company’s Change in Control Severance Plan), the PSUs shall become earned and vested based on actual achievement of the Performance Goals through the date of such termination of Service; provided that if such Qualifying Termination occurs prior to a Change in Control, then the PSUs shall become earned and vested based on actual achievement of the Performance Goals through such Change in Control.</w:t>
      </w:r>
    </w:p>
    <w:p>
      <w:pPr>
        <w:spacing w:after="0" w:line="142" w:lineRule="exact"/>
        <w:rPr>
          <w:sz w:val="20"/>
          <w:szCs w:val="20"/>
          <w:color w:val="auto"/>
        </w:rPr>
      </w:pPr>
    </w:p>
    <w:p>
      <w:pPr>
        <w:ind w:left="-220" w:firstLine="1304"/>
        <w:spacing w:after="0" w:line="263" w:lineRule="auto"/>
        <w:tabs>
          <w:tab w:leader="none" w:pos="1719" w:val="left"/>
        </w:tabs>
        <w:numPr>
          <w:ilvl w:val="0"/>
          <w:numId w:val="40"/>
        </w:numPr>
        <w:rPr>
          <w:rFonts w:ascii="Arial" w:cs="Arial" w:eastAsia="Arial" w:hAnsi="Arial"/>
          <w:sz w:val="22"/>
          <w:szCs w:val="22"/>
          <w:color w:val="010000"/>
        </w:rPr>
      </w:pPr>
      <w:r>
        <w:rPr>
          <w:rFonts w:ascii="Arial" w:cs="Arial" w:eastAsia="Arial" w:hAnsi="Arial"/>
          <w:sz w:val="22"/>
          <w:szCs w:val="22"/>
          <w:u w:val="single" w:color="auto"/>
          <w:color w:val="auto"/>
        </w:rPr>
        <w:t>Committee Discretion to Accelerate Vesting</w:t>
      </w:r>
      <w:r>
        <w:rPr>
          <w:rFonts w:ascii="Arial" w:cs="Arial" w:eastAsia="Arial" w:hAnsi="Arial"/>
          <w:sz w:val="22"/>
          <w:szCs w:val="22"/>
          <w:color w:val="auto"/>
        </w:rPr>
        <w:t>. In addition to the foregoing, the Committee may, in its sole discretion, accelerate vesting of the PSUs at any time and for any reason.</w:t>
      </w:r>
    </w:p>
    <w:p>
      <w:pPr>
        <w:spacing w:after="0" w:line="174" w:lineRule="exact"/>
        <w:rPr>
          <w:rFonts w:ascii="Arial" w:cs="Arial" w:eastAsia="Arial" w:hAnsi="Arial"/>
          <w:sz w:val="22"/>
          <w:szCs w:val="22"/>
          <w:color w:val="010000"/>
        </w:rPr>
      </w:pPr>
    </w:p>
    <w:p>
      <w:pPr>
        <w:jc w:val="both"/>
        <w:ind w:left="-220" w:firstLine="1304"/>
        <w:spacing w:after="0" w:line="253" w:lineRule="auto"/>
        <w:tabs>
          <w:tab w:leader="none" w:pos="1721" w:val="left"/>
        </w:tabs>
        <w:numPr>
          <w:ilvl w:val="0"/>
          <w:numId w:val="40"/>
        </w:numPr>
        <w:rPr>
          <w:rFonts w:ascii="Arial" w:cs="Arial" w:eastAsia="Arial" w:hAnsi="Arial"/>
          <w:sz w:val="22"/>
          <w:szCs w:val="22"/>
          <w:color w:val="010000"/>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Subject to the terms of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all unvested PSUs (taking into account any vesting that may occur upon the Participant’s Termination in accordance with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shall be immediately forfeited upon the Participant’s Termination for any reason.</w:t>
      </w:r>
    </w:p>
    <w:p>
      <w:pPr>
        <w:spacing w:after="0" w:line="179" w:lineRule="exact"/>
        <w:rPr>
          <w:sz w:val="20"/>
          <w:szCs w:val="20"/>
          <w:color w:val="auto"/>
        </w:rPr>
      </w:pPr>
    </w:p>
    <w:p>
      <w:pPr>
        <w:ind w:left="1740" w:hanging="656"/>
        <w:spacing w:after="0"/>
        <w:tabs>
          <w:tab w:leader="none" w:pos="1740"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of Shares</w:t>
      </w:r>
      <w:r>
        <w:rPr>
          <w:rFonts w:ascii="Arial" w:cs="Arial" w:eastAsia="Arial" w:hAnsi="Arial"/>
          <w:sz w:val="22"/>
          <w:szCs w:val="22"/>
          <w:color w:val="auto"/>
        </w:rPr>
        <w:t>.</w:t>
      </w:r>
    </w:p>
    <w:p>
      <w:pPr>
        <w:spacing w:after="0" w:line="226" w:lineRule="exact"/>
        <w:rPr>
          <w:sz w:val="20"/>
          <w:szCs w:val="20"/>
          <w:color w:val="auto"/>
        </w:rPr>
      </w:pPr>
    </w:p>
    <w:p>
      <w:pPr>
        <w:jc w:val="both"/>
        <w:ind w:left="-220" w:firstLine="1304"/>
        <w:spacing w:after="0" w:line="274" w:lineRule="auto"/>
        <w:tabs>
          <w:tab w:leader="none" w:pos="1721"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Sections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hereof, on the Determination Date (and no later than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Performance Period), the Participant shall receive the number of Shares that correspond to the number of Earned PSUs, less any shares withheld by the Company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w:t>
      </w:r>
    </w:p>
    <w:p>
      <w:pPr>
        <w:spacing w:after="0" w:line="158" w:lineRule="exact"/>
        <w:rPr>
          <w:rFonts w:ascii="Arial" w:cs="Arial" w:eastAsia="Arial" w:hAnsi="Arial"/>
          <w:sz w:val="19"/>
          <w:szCs w:val="19"/>
          <w:color w:val="010000"/>
        </w:rPr>
      </w:pPr>
    </w:p>
    <w:p>
      <w:pPr>
        <w:jc w:val="both"/>
        <w:ind w:left="-220" w:firstLine="1304"/>
        <w:spacing w:after="0" w:line="247" w:lineRule="auto"/>
        <w:tabs>
          <w:tab w:leader="none" w:pos="1719" w:val="left"/>
        </w:tabs>
        <w:numPr>
          <w:ilvl w:val="0"/>
          <w:numId w:val="42"/>
        </w:numPr>
        <w:rPr>
          <w:rFonts w:ascii="Arial" w:cs="Arial" w:eastAsia="Arial" w:hAnsi="Arial"/>
          <w:sz w:val="22"/>
          <w:szCs w:val="22"/>
          <w:color w:val="010000"/>
        </w:rPr>
      </w:pPr>
      <w:r>
        <w:rPr>
          <w:rFonts w:ascii="Arial" w:cs="Arial" w:eastAsia="Arial" w:hAnsi="Arial"/>
          <w:sz w:val="22"/>
          <w:szCs w:val="22"/>
          <w:u w:val="single" w:color="auto"/>
          <w:color w:val="auto"/>
        </w:rPr>
        <w:t>Blackout Periods</w:t>
      </w:r>
      <w:r>
        <w:rPr>
          <w:rFonts w:ascii="Arial" w:cs="Arial" w:eastAsia="Arial" w:hAnsi="Arial"/>
          <w:sz w:val="22"/>
          <w:szCs w:val="22"/>
          <w:color w:val="auto"/>
        </w:rPr>
        <w:t xml:space="preserve">. If the Participant is subject to any Company “blackout” policy or other trading restriction imposed by the Company on the date such distribution would otherwise be made pursuant to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hereof, such distribution shall be instead made on the earlier of (i) the date that the Participant is not subject to any such policy or restriction and (ii) the later of (A) the end of the calendar year in which such distribution would otherwise have been made and (B) a date that is immediately prior to the expiration of two and one-half months following the date such distribution would otherwise have been made hereunder.</w:t>
      </w:r>
    </w:p>
    <w:p>
      <w:pPr>
        <w:spacing w:after="0" w:line="192" w:lineRule="exact"/>
        <w:rPr>
          <w:rFonts w:ascii="Arial" w:cs="Arial" w:eastAsia="Arial" w:hAnsi="Arial"/>
          <w:sz w:val="22"/>
          <w:szCs w:val="22"/>
          <w:color w:val="010000"/>
        </w:rPr>
      </w:pPr>
    </w:p>
    <w:p>
      <w:pPr>
        <w:jc w:val="both"/>
        <w:ind w:left="-220" w:firstLine="1304"/>
        <w:spacing w:after="0" w:line="290" w:lineRule="auto"/>
        <w:tabs>
          <w:tab w:leader="none" w:pos="1721" w:val="left"/>
        </w:tabs>
        <w:numPr>
          <w:ilvl w:val="0"/>
          <w:numId w:val="42"/>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If the PSUs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55" w:lineRule="exact"/>
        <w:rPr>
          <w:rFonts w:ascii="Arial" w:cs="Arial" w:eastAsia="Arial" w:hAnsi="Arial"/>
          <w:sz w:val="19"/>
          <w:szCs w:val="19"/>
          <w:color w:val="010000"/>
        </w:rPr>
      </w:pPr>
    </w:p>
    <w:p>
      <w:pPr>
        <w:jc w:val="both"/>
        <w:ind w:left="-220" w:firstLine="1304"/>
        <w:spacing w:after="0" w:line="253" w:lineRule="auto"/>
        <w:tabs>
          <w:tab w:leader="none" w:pos="1719" w:val="left"/>
        </w:tabs>
        <w:numPr>
          <w:ilvl w:val="0"/>
          <w:numId w:val="42"/>
        </w:numPr>
        <w:rPr>
          <w:rFonts w:ascii="Arial" w:cs="Arial" w:eastAsia="Arial" w:hAnsi="Arial"/>
          <w:sz w:val="22"/>
          <w:szCs w:val="22"/>
          <w:color w:val="010000"/>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The receipt of Shares subject to the Earned PSUs that are eligible to vest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be subject to the execution and nonrevocation of a general release of claims in favor of the Company, in a form reasonably satisfactory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0"/>
          </w:cols>
          <w:pgMar w:left="540" w:top="1428" w:right="339" w:bottom="1440" w:gutter="0" w:footer="0" w:header="0"/>
        </w:sectPr>
      </w:pPr>
    </w:p>
    <w:bookmarkStart w:id="36" w:name="page37"/>
    <w:bookmarkEnd w:id="36"/>
    <w:p>
      <w:pPr>
        <w:jc w:val="both"/>
        <w:ind w:left="-220" w:firstLine="1304"/>
        <w:spacing w:after="0" w:line="290" w:lineRule="auto"/>
        <w:tabs>
          <w:tab w:leader="none" w:pos="1724"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Dividends; Rights as Shareholder</w:t>
      </w:r>
      <w:r>
        <w:rPr>
          <w:rFonts w:ascii="Arial" w:cs="Arial" w:eastAsia="Arial" w:hAnsi="Arial"/>
          <w:sz w:val="19"/>
          <w:szCs w:val="19"/>
          <w:color w:val="auto"/>
        </w:rPr>
        <w:t>. Cash dividends on the number of Shares issuable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credited to a dividend book entry account on behalf of the Participant with respect to each PSU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cash dividends shall not be deemed to be reinvested in Shares and shall be held uninvested and without interest and paid in cash at the same time that the Shares underlying the PSUs are delivered to the Participant in accordance with the provisions hereof. Stock dividends on Shares shall be credited to a dividend book entry account on behalf of the Participant with respect to each PSU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stock dividends shall be paid in Shares at the same time that the Shares underlying the PSUs are delivered to the Participant in accordance with the provisions hereof. Except as otherwise provided herein, the Participant shall have no rights as a shareholder with respect to any Shares covered by any PSU unless and until the Participant has become the holder of record of such Shares.</w:t>
      </w:r>
    </w:p>
    <w:p>
      <w:pPr>
        <w:spacing w:after="0" w:line="148" w:lineRule="exact"/>
        <w:rPr>
          <w:rFonts w:ascii="Arial" w:cs="Arial" w:eastAsia="Arial" w:hAnsi="Arial"/>
          <w:sz w:val="19"/>
          <w:szCs w:val="19"/>
          <w:color w:val="auto"/>
        </w:rPr>
      </w:pPr>
    </w:p>
    <w:p>
      <w:pPr>
        <w:jc w:val="both"/>
        <w:ind w:left="-220" w:firstLine="1304"/>
        <w:spacing w:after="0" w:line="304" w:lineRule="auto"/>
        <w:tabs>
          <w:tab w:leader="none" w:pos="1724"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PSUs, and any rights and interests with respect thereto, issued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Plan shall not be sold, exchanged, transferred, assigned, pledged, encumbered or otherwise disposed of or hypothecated in any way by the Participant (or any beneficiary of the Participant who holds the PSUs as a result of a Transfer by will or by the laws of descent and distribution), other than in accordance with the provisions of Section 10(c) of the Plan.</w:t>
      </w:r>
    </w:p>
    <w:p>
      <w:pPr>
        <w:spacing w:after="0" w:line="135" w:lineRule="exact"/>
        <w:rPr>
          <w:rFonts w:ascii="Arial" w:cs="Arial" w:eastAsia="Arial" w:hAnsi="Arial"/>
          <w:sz w:val="19"/>
          <w:szCs w:val="19"/>
          <w:color w:val="auto"/>
        </w:rPr>
      </w:pPr>
    </w:p>
    <w:p>
      <w:pPr>
        <w:ind w:left="1740" w:hanging="656"/>
        <w:spacing w:after="0"/>
        <w:tabs>
          <w:tab w:leader="none" w:pos="174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 and Venue</w:t>
      </w:r>
      <w:r>
        <w:rPr>
          <w:rFonts w:ascii="Arial" w:cs="Arial" w:eastAsia="Arial" w:hAnsi="Arial"/>
          <w:sz w:val="22"/>
          <w:szCs w:val="22"/>
          <w:color w:val="auto"/>
        </w:rPr>
        <w:t>.</w:t>
      </w:r>
    </w:p>
    <w:p>
      <w:pPr>
        <w:spacing w:after="0" w:line="226" w:lineRule="exact"/>
        <w:rPr>
          <w:sz w:val="20"/>
          <w:szCs w:val="20"/>
          <w:color w:val="auto"/>
        </w:rPr>
      </w:pPr>
    </w:p>
    <w:p>
      <w:pPr>
        <w:jc w:val="both"/>
        <w:ind w:left="-220" w:firstLine="1304"/>
        <w:spacing w:after="0" w:line="285" w:lineRule="auto"/>
        <w:tabs>
          <w:tab w:leader="none" w:pos="1721"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9"/>
          <w:szCs w:val="19"/>
          <w:u w:val="single" w:color="auto"/>
          <w:color w:val="auto"/>
        </w:rPr>
        <w:t>Party</w:t>
      </w:r>
      <w:r>
        <w:rPr>
          <w:rFonts w:ascii="Arial" w:cs="Arial" w:eastAsia="Arial" w:hAnsi="Arial"/>
          <w:sz w:val="19"/>
          <w:szCs w:val="19"/>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540" w:top="1422" w:right="339" w:bottom="1440" w:gutter="0" w:footer="0" w:header="0"/>
        </w:sectPr>
      </w:pPr>
    </w:p>
    <w:bookmarkStart w:id="37" w:name="page38"/>
    <w:bookmarkEnd w:id="37"/>
    <w:p>
      <w:pPr>
        <w:jc w:val="both"/>
        <w:spacing w:after="0" w:line="285" w:lineRule="auto"/>
        <w:rPr>
          <w:sz w:val="20"/>
          <w:szCs w:val="20"/>
          <w:color w:val="auto"/>
        </w:rPr>
      </w:pPr>
      <w:r>
        <w:rPr>
          <w:rFonts w:ascii="Arial" w:cs="Arial" w:eastAsia="Arial" w:hAnsi="Arial"/>
          <w:sz w:val="19"/>
          <w:szCs w:val="19"/>
          <w:color w:val="auto"/>
        </w:rPr>
        <w:t xml:space="preserve">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200" w:lineRule="exact"/>
        <w:rPr>
          <w:sz w:val="20"/>
          <w:szCs w:val="20"/>
          <w:color w:val="auto"/>
        </w:rPr>
      </w:pPr>
    </w:p>
    <w:p>
      <w:pPr>
        <w:spacing w:after="0" w:line="222" w:lineRule="exact"/>
        <w:rPr>
          <w:sz w:val="20"/>
          <w:szCs w:val="20"/>
          <w:color w:val="auto"/>
        </w:rPr>
      </w:pPr>
    </w:p>
    <w:p>
      <w:pPr>
        <w:jc w:val="both"/>
        <w:ind w:firstLine="1304"/>
        <w:spacing w:after="0" w:line="259" w:lineRule="auto"/>
        <w:tabs>
          <w:tab w:leader="none" w:pos="1939"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83" w:lineRule="exact"/>
        <w:rPr>
          <w:rFonts w:ascii="Arial" w:cs="Arial" w:eastAsia="Arial" w:hAnsi="Arial"/>
          <w:sz w:val="21"/>
          <w:szCs w:val="21"/>
          <w:color w:val="010000"/>
        </w:rPr>
      </w:pPr>
    </w:p>
    <w:p>
      <w:pPr>
        <w:jc w:val="both"/>
        <w:ind w:firstLine="1304"/>
        <w:spacing w:after="0" w:line="248" w:lineRule="auto"/>
        <w:tabs>
          <w:tab w:leader="none" w:pos="1941"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38" w:name="page39"/>
    <w:bookmarkEnd w:id="38"/>
    <w:p>
      <w:pPr>
        <w:ind w:left="1960" w:hanging="656"/>
        <w:spacing w:after="0"/>
        <w:tabs>
          <w:tab w:leader="none" w:pos="196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88" w:lineRule="auto"/>
        <w:tabs>
          <w:tab w:leader="none" w:pos="1941"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The Participant acknowledges that, regardless of any action taken by the Company or, if different,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PSUs; and (ii) do not commit to and are under no obligation to structure the terms of the grant or any aspect of the PSUs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9" w:lineRule="exact"/>
        <w:rPr>
          <w:rFonts w:ascii="Arial" w:cs="Arial" w:eastAsia="Arial" w:hAnsi="Arial"/>
          <w:sz w:val="19"/>
          <w:szCs w:val="19"/>
          <w:color w:val="010000"/>
        </w:rPr>
      </w:pPr>
    </w:p>
    <w:p>
      <w:pPr>
        <w:jc w:val="both"/>
        <w:ind w:firstLine="1304"/>
        <w:spacing w:after="0" w:line="288" w:lineRule="auto"/>
        <w:tabs>
          <w:tab w:leader="none" w:pos="1939"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To satisfy any withholding obligations of the Company and/or the Employer with respect to Tax-Related Items, the Company will withhold Shares otherwise issuable upon vesting of the PSUs. Alternatively, or in addition, in connection with any applicable withholding event, the Participant authorizes the Company and/or the Employer, or their</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PSUs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9"/>
          <w:szCs w:val="19"/>
          <w:u w:val="single" w:color="auto"/>
          <w:color w:val="auto"/>
        </w:rPr>
        <w:t>Section 8(b)(i)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63" w:lineRule="exact"/>
        <w:rPr>
          <w:sz w:val="20"/>
          <w:szCs w:val="20"/>
          <w:color w:val="auto"/>
        </w:rPr>
      </w:pPr>
    </w:p>
    <w:p>
      <w:pPr>
        <w:jc w:val="both"/>
        <w:ind w:firstLine="1304"/>
        <w:spacing w:after="0" w:line="263" w:lineRule="auto"/>
        <w:tabs>
          <w:tab w:leader="none" w:pos="1941"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69" w:lineRule="exact"/>
        <w:rPr>
          <w:sz w:val="20"/>
          <w:szCs w:val="20"/>
          <w:color w:val="auto"/>
        </w:rPr>
      </w:pPr>
    </w:p>
    <w:p>
      <w:pPr>
        <w:jc w:val="both"/>
        <w:ind w:firstLine="1304"/>
        <w:spacing w:after="0" w:line="256" w:lineRule="auto"/>
        <w:tabs>
          <w:tab w:leader="none" w:pos="1944"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Legend</w:t>
      </w:r>
      <w:r>
        <w:rPr>
          <w:rFonts w:ascii="Arial" w:cs="Arial" w:eastAsia="Arial" w:hAnsi="Arial"/>
          <w:sz w:val="22"/>
          <w:szCs w:val="22"/>
          <w:color w:val="auto"/>
        </w:rPr>
        <w:t>. The Company may at any time place legends referencing any applicable federal, state or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 restrictions on all certificates, if any, representing Shares issued pursuant to this Agreement. The Participant shall, at the request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2" w:right="339" w:bottom="1440" w:gutter="0" w:footer="0" w:header="0"/>
        </w:sectPr>
      </w:pPr>
    </w:p>
    <w:bookmarkStart w:id="39" w:name="page40"/>
    <w:bookmarkEnd w:id="39"/>
    <w:p>
      <w:pPr>
        <w:spacing w:after="0" w:line="263" w:lineRule="auto"/>
        <w:rPr>
          <w:sz w:val="20"/>
          <w:szCs w:val="20"/>
          <w:color w:val="auto"/>
        </w:rPr>
      </w:pPr>
      <w:r>
        <w:rPr>
          <w:rFonts w:ascii="Arial" w:cs="Arial" w:eastAsia="Arial" w:hAnsi="Arial"/>
          <w:sz w:val="22"/>
          <w:szCs w:val="22"/>
          <w:color w:val="auto"/>
        </w:rPr>
        <w:t xml:space="preserve">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69" w:lineRule="exact"/>
        <w:rPr>
          <w:sz w:val="20"/>
          <w:szCs w:val="20"/>
          <w:color w:val="auto"/>
        </w:rPr>
      </w:pPr>
    </w:p>
    <w:p>
      <w:pPr>
        <w:jc w:val="both"/>
        <w:ind w:firstLine="1304"/>
        <w:spacing w:after="0" w:line="256" w:lineRule="auto"/>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Representations</w:t>
      </w:r>
      <w:r>
        <w:rPr>
          <w:rFonts w:ascii="Arial" w:cs="Arial" w:eastAsia="Arial" w:hAnsi="Arial"/>
          <w:sz w:val="22"/>
          <w:szCs w:val="22"/>
          <w:color w:val="auto"/>
        </w:rPr>
        <w:t>. This Agreement is being entered into by the Company in reliance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express representations and warranties of the Participant. The Participant hereby acknowledges, represents and warrants that:</w:t>
      </w:r>
    </w:p>
    <w:p>
      <w:pPr>
        <w:spacing w:after="0" w:line="182" w:lineRule="exact"/>
        <w:rPr>
          <w:sz w:val="20"/>
          <w:szCs w:val="20"/>
          <w:color w:val="auto"/>
        </w:rPr>
      </w:pPr>
    </w:p>
    <w:p>
      <w:pPr>
        <w:jc w:val="both"/>
        <w:ind w:firstLine="1304"/>
        <w:spacing w:after="0" w:line="253" w:lineRule="auto"/>
        <w:tabs>
          <w:tab w:leader="none" w:pos="1941"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The Participant has been advised that the Participant may be an “affiliate” within the meaning of Rule 144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xml:space="preserve">”) and in this connection the Company is relying in part on the Participant’s representations set forth in this </w:t>
      </w:r>
      <w:r>
        <w:rPr>
          <w:rFonts w:ascii="Arial" w:cs="Arial" w:eastAsia="Arial" w:hAnsi="Arial"/>
          <w:sz w:val="22"/>
          <w:szCs w:val="22"/>
          <w:u w:val="single" w:color="auto"/>
          <w:color w:val="auto"/>
        </w:rPr>
        <w:t>Section 10</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jc w:val="both"/>
        <w:ind w:firstLine="1304"/>
        <w:spacing w:after="0" w:line="265" w:lineRule="auto"/>
        <w:tabs>
          <w:tab w:leader="none" w:pos="1939"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75" w:lineRule="exact"/>
        <w:rPr>
          <w:rFonts w:ascii="Arial" w:cs="Arial" w:eastAsia="Arial" w:hAnsi="Arial"/>
          <w:sz w:val="21"/>
          <w:szCs w:val="21"/>
          <w:color w:val="010000"/>
        </w:rPr>
      </w:pPr>
    </w:p>
    <w:p>
      <w:pPr>
        <w:jc w:val="both"/>
        <w:ind w:firstLine="1304"/>
        <w:spacing w:after="0" w:line="247" w:lineRule="auto"/>
        <w:tabs>
          <w:tab w:leader="none" w:pos="1941"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7" w:lineRule="exact"/>
        <w:rPr>
          <w:sz w:val="20"/>
          <w:szCs w:val="20"/>
          <w:color w:val="auto"/>
        </w:rPr>
      </w:pPr>
    </w:p>
    <w:p>
      <w:pPr>
        <w:jc w:val="both"/>
        <w:ind w:firstLine="1304"/>
        <w:spacing w:after="0" w:line="295" w:lineRule="auto"/>
        <w:tabs>
          <w:tab w:leader="none" w:pos="1936" w:val="left"/>
        </w:tabs>
        <w:numPr>
          <w:ilvl w:val="0"/>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color w:val="auto"/>
        </w:rPr>
        <w:t>. The Participant shall be subject to the Company’s clawback, forfeiture or other similar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43" w:lineRule="exact"/>
        <w:rPr>
          <w:rFonts w:ascii="Arial" w:cs="Arial" w:eastAsia="Arial" w:hAnsi="Arial"/>
          <w:sz w:val="19"/>
          <w:szCs w:val="19"/>
          <w:color w:val="auto"/>
        </w:rPr>
      </w:pPr>
    </w:p>
    <w:p>
      <w:pPr>
        <w:jc w:val="both"/>
        <w:ind w:firstLine="1304"/>
        <w:spacing w:after="0" w:line="293" w:lineRule="auto"/>
        <w:tabs>
          <w:tab w:leader="none" w:pos="1944" w:val="left"/>
        </w:tabs>
        <w:numPr>
          <w:ilvl w:val="0"/>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color w:val="auto"/>
        </w:rPr>
        <w:t>. This Agreement, together with the Plan, contains the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8" w:right="339" w:bottom="1440" w:gutter="0" w:footer="0" w:header="0"/>
        </w:sectPr>
      </w:pPr>
    </w:p>
    <w:bookmarkStart w:id="40" w:name="page41"/>
    <w:bookmarkEnd w:id="40"/>
    <w:p>
      <w:pPr>
        <w:jc w:val="both"/>
        <w:ind w:left="-8" w:firstLine="1304"/>
        <w:spacing w:after="0" w:line="264" w:lineRule="auto"/>
        <w:tabs>
          <w:tab w:leader="none" w:pos="1936" w:val="left"/>
        </w:tabs>
        <w:numPr>
          <w:ilvl w:val="1"/>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70" w:lineRule="exact"/>
        <w:rPr>
          <w:rFonts w:ascii="Arial" w:cs="Arial" w:eastAsia="Arial" w:hAnsi="Arial"/>
          <w:sz w:val="21"/>
          <w:szCs w:val="21"/>
          <w:color w:val="auto"/>
        </w:rPr>
      </w:pPr>
    </w:p>
    <w:p>
      <w:pPr>
        <w:jc w:val="both"/>
        <w:ind w:left="-8" w:firstLine="1304"/>
        <w:spacing w:after="0" w:line="249" w:lineRule="auto"/>
        <w:tabs>
          <w:tab w:leader="none" w:pos="1936" w:val="left"/>
        </w:tabs>
        <w:numPr>
          <w:ilvl w:val="1"/>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 and Participation</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participation in the Plan by electronic means or to request the Participant’s consent to participate in the Plan by electronic means. By receipt of this PSU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6" w:lineRule="exact"/>
        <w:rPr>
          <w:rFonts w:ascii="Arial" w:cs="Arial" w:eastAsia="Arial" w:hAnsi="Arial"/>
          <w:sz w:val="22"/>
          <w:szCs w:val="22"/>
          <w:color w:val="auto"/>
        </w:rPr>
      </w:pPr>
    </w:p>
    <w:p>
      <w:pPr>
        <w:jc w:val="both"/>
        <w:ind w:left="-8" w:firstLine="1304"/>
        <w:spacing w:after="0" w:line="298" w:lineRule="auto"/>
        <w:tabs>
          <w:tab w:leader="none" w:pos="1936" w:val="left"/>
        </w:tabs>
        <w:numPr>
          <w:ilvl w:val="1"/>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Employment</w:t>
      </w:r>
      <w:r>
        <w:rPr>
          <w:rFonts w:ascii="Arial" w:cs="Arial" w:eastAsia="Arial" w:hAnsi="Arial"/>
          <w:sz w:val="19"/>
          <w:szCs w:val="19"/>
          <w:color w:val="auto"/>
        </w:rPr>
        <w:t>. Any questions as to whether and when there has been a termination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cause of 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42" w:lineRule="exact"/>
        <w:rPr>
          <w:rFonts w:ascii="Arial" w:cs="Arial" w:eastAsia="Arial" w:hAnsi="Arial"/>
          <w:sz w:val="19"/>
          <w:szCs w:val="19"/>
          <w:color w:val="auto"/>
        </w:rPr>
      </w:pPr>
    </w:p>
    <w:p>
      <w:pPr>
        <w:jc w:val="both"/>
        <w:ind w:left="-8" w:firstLine="1304"/>
        <w:spacing w:after="0" w:line="252" w:lineRule="auto"/>
        <w:tabs>
          <w:tab w:leader="none" w:pos="1936" w:val="left"/>
        </w:tabs>
        <w:numPr>
          <w:ilvl w:val="1"/>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 of Personal Data</w:t>
      </w:r>
      <w:r>
        <w:rPr>
          <w:rFonts w:ascii="Arial" w:cs="Arial" w:eastAsia="Arial" w:hAnsi="Arial"/>
          <w:sz w:val="22"/>
          <w:szCs w:val="22"/>
          <w:color w:val="auto"/>
        </w:rPr>
        <w:t>. The Participant authorizes, agrees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transmission by the Company (or any Subsidiary) of any personal data information related to the PSUs awarded under this Agreement for legitimate business purposes (including, without limitation, the administration of the Plan). This authorization and consent is freely given by the Participant.</w:t>
      </w:r>
    </w:p>
    <w:p>
      <w:pPr>
        <w:spacing w:after="0" w:line="179" w:lineRule="exact"/>
        <w:rPr>
          <w:rFonts w:ascii="Arial" w:cs="Arial" w:eastAsia="Arial" w:hAnsi="Arial"/>
          <w:sz w:val="22"/>
          <w:szCs w:val="22"/>
          <w:color w:val="auto"/>
        </w:rPr>
      </w:pPr>
    </w:p>
    <w:p>
      <w:pPr>
        <w:jc w:val="both"/>
        <w:ind w:left="-8" w:firstLine="1304"/>
        <w:spacing w:after="0" w:line="285" w:lineRule="auto"/>
        <w:tabs>
          <w:tab w:leader="none" w:pos="1936" w:val="left"/>
        </w:tabs>
        <w:numPr>
          <w:ilvl w:val="1"/>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t>
      </w:r>
      <w:r>
        <w:rPr>
          <w:rFonts w:ascii="Arial" w:cs="Arial" w:eastAsia="Arial" w:hAnsi="Arial"/>
          <w:sz w:val="19"/>
          <w:szCs w:val="19"/>
          <w:u w:val="single" w:color="auto"/>
          <w:color w:val="auto"/>
        </w:rPr>
        <w:t>ws</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(and the Shares upon settlement of the PSUs)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w:t>
      </w:r>
    </w:p>
    <w:p>
      <w:pPr>
        <w:spacing w:after="0" w:line="3" w:lineRule="exact"/>
        <w:rPr>
          <w:rFonts w:ascii="Arial" w:cs="Arial" w:eastAsia="Arial" w:hAnsi="Arial"/>
          <w:sz w:val="19"/>
          <w:szCs w:val="19"/>
          <w:color w:val="auto"/>
        </w:rPr>
      </w:pPr>
    </w:p>
    <w:p>
      <w:pPr>
        <w:jc w:val="both"/>
        <w:ind w:left="-8" w:firstLine="8"/>
        <w:spacing w:after="0" w:line="244" w:lineRule="auto"/>
        <w:tabs>
          <w:tab w:leader="none" w:pos="301"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32"/>
          </w:cols>
          <w:pgMar w:left="328" w:top="1422" w:right="339" w:bottom="1440" w:gutter="0" w:footer="0" w:header="0"/>
        </w:sectPr>
      </w:pPr>
    </w:p>
    <w:bookmarkStart w:id="41" w:name="page42"/>
    <w:bookmarkEnd w:id="41"/>
    <w:p>
      <w:pPr>
        <w:jc w:val="both"/>
        <w:spacing w:after="0" w:line="248" w:lineRule="auto"/>
        <w:rPr>
          <w:sz w:val="20"/>
          <w:szCs w:val="20"/>
          <w:color w:val="auto"/>
        </w:rPr>
      </w:pPr>
      <w:r>
        <w:rPr>
          <w:rFonts w:ascii="Arial" w:cs="Arial" w:eastAsia="Arial" w:hAnsi="Arial"/>
          <w:sz w:val="22"/>
          <w:szCs w:val="22"/>
          <w:color w:val="auto"/>
        </w:rPr>
        <w:t>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86" w:lineRule="exact"/>
        <w:rPr>
          <w:sz w:val="20"/>
          <w:szCs w:val="20"/>
          <w:color w:val="auto"/>
        </w:rPr>
      </w:pPr>
    </w:p>
    <w:p>
      <w:pPr>
        <w:jc w:val="both"/>
        <w:ind w:firstLine="1304"/>
        <w:spacing w:after="0" w:line="259" w:lineRule="auto"/>
        <w:tabs>
          <w:tab w:leader="none" w:pos="1944"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This Agreement and the Plan are intended to be exempt from or comply with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requirements of 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79" w:lineRule="exact"/>
        <w:rPr>
          <w:rFonts w:ascii="Arial" w:cs="Arial" w:eastAsia="Arial" w:hAnsi="Arial"/>
          <w:sz w:val="21"/>
          <w:szCs w:val="21"/>
          <w:color w:val="auto"/>
        </w:rPr>
      </w:pPr>
    </w:p>
    <w:p>
      <w:pPr>
        <w:jc w:val="both"/>
        <w:ind w:firstLine="1304"/>
        <w:spacing w:after="0" w:line="267" w:lineRule="auto"/>
        <w:tabs>
          <w:tab w:leader="none" w:pos="1944"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67" w:lineRule="exact"/>
        <w:rPr>
          <w:rFonts w:ascii="Arial" w:cs="Arial" w:eastAsia="Arial" w:hAnsi="Arial"/>
          <w:sz w:val="21"/>
          <w:szCs w:val="21"/>
          <w:color w:val="auto"/>
        </w:rPr>
      </w:pPr>
    </w:p>
    <w:p>
      <w:pPr>
        <w:jc w:val="both"/>
        <w:ind w:firstLine="1304"/>
        <w:spacing w:after="0" w:line="264" w:lineRule="auto"/>
        <w:tabs>
          <w:tab w:leader="none" w:pos="1944"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PSUs and the Shares subject to the PSUs shall be subject to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for the Participant’s country set forth in the [Appendix].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70" w:lineRule="exact"/>
        <w:rPr>
          <w:rFonts w:ascii="Arial" w:cs="Arial" w:eastAsia="Arial" w:hAnsi="Arial"/>
          <w:sz w:val="21"/>
          <w:szCs w:val="21"/>
          <w:color w:val="auto"/>
        </w:rPr>
      </w:pPr>
    </w:p>
    <w:p>
      <w:pPr>
        <w:jc w:val="both"/>
        <w:ind w:firstLine="1304"/>
        <w:spacing w:after="0" w:line="260" w:lineRule="auto"/>
        <w:tabs>
          <w:tab w:leader="none" w:pos="1944"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This grant is subject to, and limited by, all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and such 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PSUs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rFonts w:ascii="Arial" w:cs="Arial" w:eastAsia="Arial" w:hAnsi="Arial"/>
          <w:sz w:val="21"/>
          <w:szCs w:val="21"/>
          <w:color w:val="auto"/>
        </w:rPr>
      </w:pPr>
    </w:p>
    <w:p>
      <w:pPr>
        <w:ind w:firstLine="1304"/>
        <w:spacing w:after="0" w:line="269" w:lineRule="auto"/>
        <w:tabs>
          <w:tab w:leader="none" w:pos="1944"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Insider Trading Restrictions/Market Abuse Laws</w:t>
      </w:r>
      <w:r>
        <w:rPr>
          <w:rFonts w:ascii="Arial" w:cs="Arial" w:eastAsia="Arial" w:hAnsi="Arial"/>
          <w:sz w:val="22"/>
          <w:szCs w:val="22"/>
          <w:color w:val="auto"/>
        </w:rPr>
        <w:t>. The Participant acknowledges that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subject to insider trading restrictions and/or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42" w:name="page43"/>
    <w:bookmarkEnd w:id="42"/>
    <w:p>
      <w:pPr>
        <w:jc w:val="both"/>
        <w:spacing w:after="0" w:line="294" w:lineRule="auto"/>
        <w:rPr>
          <w:sz w:val="20"/>
          <w:szCs w:val="20"/>
          <w:color w:val="auto"/>
        </w:rPr>
      </w:pPr>
      <w:r>
        <w:rPr>
          <w:rFonts w:ascii="Arial" w:cs="Arial" w:eastAsia="Arial" w:hAnsi="Arial"/>
          <w:sz w:val="19"/>
          <w:szCs w:val="19"/>
          <w:color w:val="auto"/>
        </w:rPr>
        <w:t>abuse laws in applicable jurisdictions including, but not limited to, the United States and, if different, the Participant’s country of residence, which may affect his or her ability to acquire or sell Shares or rights to Shares (e.g., PSUs)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43" w:lineRule="exact"/>
        <w:rPr>
          <w:sz w:val="20"/>
          <w:szCs w:val="20"/>
          <w:color w:val="auto"/>
        </w:rPr>
      </w:pPr>
    </w:p>
    <w:p>
      <w:pPr>
        <w:jc w:val="both"/>
        <w:ind w:firstLine="1304"/>
        <w:spacing w:after="0" w:line="290"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Foreign Asset/Account Reporting; Exchange Controls</w:t>
      </w:r>
      <w:r>
        <w:rPr>
          <w:rFonts w:ascii="Arial" w:cs="Arial" w:eastAsia="Arial" w:hAnsi="Arial"/>
          <w:sz w:val="19"/>
          <w:szCs w:val="19"/>
          <w:color w:val="auto"/>
        </w:rPr>
        <w:t>. The Participant acknowledges that, depending</w:t>
      </w:r>
      <w:r>
        <w:rPr>
          <w:rFonts w:ascii="Arial" w:cs="Arial" w:eastAsia="Arial" w:hAnsi="Arial"/>
          <w:sz w:val="19"/>
          <w:szCs w:val="19"/>
          <w:b w:val="1"/>
          <w:bCs w:val="1"/>
          <w:color w:val="auto"/>
        </w:rPr>
        <w:t xml:space="preserve"> </w:t>
      </w:r>
      <w:r>
        <w:rPr>
          <w:rFonts w:ascii="Arial" w:cs="Arial" w:eastAsia="Arial" w:hAnsi="Arial"/>
          <w:sz w:val="19"/>
          <w:szCs w:val="19"/>
          <w:color w:val="auto"/>
        </w:rPr>
        <w:t>on his or her country of residence, the Participant may be subject to foreign asset and/or account reporting requirements and/or exchange controls as a result of the vesting and settlement of the PSUs,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48" w:lineRule="exact"/>
        <w:rPr>
          <w:rFonts w:ascii="Arial" w:cs="Arial" w:eastAsia="Arial" w:hAnsi="Arial"/>
          <w:sz w:val="19"/>
          <w:szCs w:val="19"/>
          <w:color w:val="auto"/>
        </w:rPr>
      </w:pPr>
    </w:p>
    <w:p>
      <w:pPr>
        <w:jc w:val="both"/>
        <w:ind w:firstLine="1304"/>
        <w:spacing w:after="0" w:line="293"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No Secured Rights</w:t>
      </w:r>
      <w:r>
        <w:rPr>
          <w:rFonts w:ascii="Arial" w:cs="Arial" w:eastAsia="Arial" w:hAnsi="Arial"/>
          <w:sz w:val="19"/>
          <w:szCs w:val="19"/>
          <w:color w:val="auto"/>
        </w:rPr>
        <w:t>. The Participant’s right to payments under this Agreement shall not constitute nor be</w:t>
      </w:r>
      <w:r>
        <w:rPr>
          <w:rFonts w:ascii="Arial" w:cs="Arial" w:eastAsia="Arial" w:hAnsi="Arial"/>
          <w:sz w:val="19"/>
          <w:szCs w:val="19"/>
          <w:b w:val="1"/>
          <w:bCs w:val="1"/>
          <w:color w:val="auto"/>
        </w:rPr>
        <w:t xml:space="preserve"> </w:t>
      </w:r>
      <w:r>
        <w:rPr>
          <w:rFonts w:ascii="Arial" w:cs="Arial" w:eastAsia="Arial" w:hAnsi="Arial"/>
          <w:sz w:val="19"/>
          <w:szCs w:val="19"/>
          <w:color w:val="auto"/>
        </w:rPr>
        <w:t>treated as property or as a trust fund of any kind. The Participant’s rights are limited exclusively to the right to receive Shares as provided in the Agreement. The Participant shall not have any rights as an owner of the Company with respect to any PSUs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44" w:lineRule="exact"/>
        <w:rPr>
          <w:rFonts w:ascii="Arial" w:cs="Arial" w:eastAsia="Arial" w:hAnsi="Arial"/>
          <w:sz w:val="19"/>
          <w:szCs w:val="19"/>
          <w:color w:val="auto"/>
        </w:rPr>
      </w:pPr>
    </w:p>
    <w:p>
      <w:pPr>
        <w:jc w:val="both"/>
        <w:ind w:firstLine="1304"/>
        <w:spacing w:after="0" w:line="295"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Agreement; Assignment; Amendment</w:t>
      </w:r>
      <w:r>
        <w:rPr>
          <w:rFonts w:ascii="Arial" w:cs="Arial" w:eastAsia="Arial" w:hAnsi="Arial"/>
          <w:sz w:val="19"/>
          <w:szCs w:val="19"/>
          <w:color w:val="auto"/>
        </w:rPr>
        <w:t>. This Agreement shall inure to the benefit of,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upon, and be 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PSUs,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9"/>
          <w:szCs w:val="19"/>
          <w:u w:val="single" w:color="auto"/>
          <w:color w:val="auto"/>
        </w:rPr>
        <w:t>Sections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hereof and Section 14 of the Plan.</w:t>
      </w:r>
    </w:p>
    <w:p>
      <w:pPr>
        <w:spacing w:after="0" w:line="143" w:lineRule="exact"/>
        <w:rPr>
          <w:rFonts w:ascii="Arial" w:cs="Arial" w:eastAsia="Arial" w:hAnsi="Arial"/>
          <w:sz w:val="19"/>
          <w:szCs w:val="19"/>
          <w:color w:val="auto"/>
        </w:rPr>
      </w:pPr>
    </w:p>
    <w:p>
      <w:pPr>
        <w:ind w:firstLine="1304"/>
        <w:spacing w:after="0" w:line="269"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titles and headings of the various sections of this Agreement have been inserted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of reference only and shall not be deemed to be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43" w:name="page44"/>
    <w:bookmarkEnd w:id="43"/>
    <w:p>
      <w:pPr>
        <w:jc w:val="both"/>
        <w:ind w:left="-220" w:firstLine="1304"/>
        <w:spacing w:after="0" w:line="249" w:lineRule="auto"/>
        <w:tabs>
          <w:tab w:leader="none" w:pos="1724"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6" w:lineRule="exact"/>
        <w:rPr>
          <w:rFonts w:ascii="Arial" w:cs="Arial" w:eastAsia="Arial" w:hAnsi="Arial"/>
          <w:sz w:val="22"/>
          <w:szCs w:val="22"/>
          <w:color w:val="auto"/>
        </w:rPr>
      </w:pPr>
    </w:p>
    <w:p>
      <w:pPr>
        <w:jc w:val="both"/>
        <w:ind w:left="-220" w:firstLine="1304"/>
        <w:spacing w:after="0" w:line="252" w:lineRule="auto"/>
        <w:tabs>
          <w:tab w:leader="none" w:pos="1724"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Each party hereto shall do and perform (or shall cause to be done and performed) all</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79" w:lineRule="exact"/>
        <w:rPr>
          <w:rFonts w:ascii="Arial" w:cs="Arial" w:eastAsia="Arial" w:hAnsi="Arial"/>
          <w:sz w:val="22"/>
          <w:szCs w:val="22"/>
          <w:color w:val="auto"/>
        </w:rPr>
      </w:pPr>
    </w:p>
    <w:p>
      <w:pPr>
        <w:jc w:val="both"/>
        <w:ind w:left="-220" w:firstLine="1304"/>
        <w:spacing w:after="0" w:line="274" w:lineRule="auto"/>
        <w:tabs>
          <w:tab w:leader="none" w:pos="1724"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58" w:lineRule="exact"/>
        <w:rPr>
          <w:rFonts w:ascii="Arial" w:cs="Arial" w:eastAsia="Arial" w:hAnsi="Arial"/>
          <w:sz w:val="21"/>
          <w:szCs w:val="21"/>
          <w:color w:val="auto"/>
        </w:rPr>
      </w:pPr>
    </w:p>
    <w:p>
      <w:pPr>
        <w:jc w:val="both"/>
        <w:ind w:left="-220" w:firstLine="1304"/>
        <w:spacing w:after="0" w:line="262" w:lineRule="auto"/>
        <w:tabs>
          <w:tab w:leader="none" w:pos="1724"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PSUs or any terms of this Agreement; provided, however, that the Participant may disclose the fact that the Participant has been granted the PSUs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73" w:lineRule="exact"/>
        <w:rPr>
          <w:rFonts w:ascii="Arial" w:cs="Arial" w:eastAsia="Arial" w:hAnsi="Arial"/>
          <w:sz w:val="21"/>
          <w:szCs w:val="21"/>
          <w:color w:val="auto"/>
        </w:rPr>
      </w:pPr>
    </w:p>
    <w:p>
      <w:pPr>
        <w:jc w:val="both"/>
        <w:ind w:left="-220" w:firstLine="1304"/>
        <w:spacing w:after="0" w:line="252" w:lineRule="auto"/>
        <w:tabs>
          <w:tab w:leader="none" w:pos="1724"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 &amp; Acceptance within 30 Days</w:t>
      </w:r>
      <w:r>
        <w:rPr>
          <w:rFonts w:ascii="Arial" w:cs="Arial" w:eastAsia="Arial" w:hAnsi="Arial"/>
          <w:sz w:val="22"/>
          <w:szCs w:val="22"/>
          <w:color w:val="auto"/>
        </w:rPr>
        <w:t>. This grant is subject to acceptance, within 30 days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Grant Date, by electronic acceptance through the website of [ ● ], the Company’s share plan administrator, or by signed documents delivered to the Company. </w:t>
      </w:r>
      <w:r>
        <w:rPr>
          <w:rFonts w:ascii="Arial" w:cs="Arial" w:eastAsia="Arial" w:hAnsi="Arial"/>
          <w:sz w:val="22"/>
          <w:szCs w:val="22"/>
          <w:b w:val="1"/>
          <w:bCs w:val="1"/>
          <w:color w:val="auto"/>
        </w:rPr>
        <w:t>Failure to accept the PSUs within 30 days of the Grant Date may result in</w:t>
      </w:r>
      <w:r>
        <w:rPr>
          <w:rFonts w:ascii="Arial" w:cs="Arial" w:eastAsia="Arial" w:hAnsi="Arial"/>
          <w:sz w:val="22"/>
          <w:szCs w:val="22"/>
          <w:color w:val="auto"/>
        </w:rPr>
        <w:t xml:space="preserve"> </w:t>
      </w:r>
      <w:r>
        <w:rPr>
          <w:rFonts w:ascii="Arial" w:cs="Arial" w:eastAsia="Arial" w:hAnsi="Arial"/>
          <w:sz w:val="22"/>
          <w:szCs w:val="22"/>
          <w:b w:val="1"/>
          <w:bCs w:val="1"/>
          <w:color w:val="auto"/>
        </w:rPr>
        <w:t>cancellation of the PSUs</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ind w:left="376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020"/>
          </w:cols>
          <w:pgMar w:left="540" w:top="1422" w:right="339" w:bottom="1440" w:gutter="0" w:footer="0" w:header="0"/>
        </w:sectPr>
      </w:pPr>
    </w:p>
    <w:bookmarkStart w:id="44" w:name="page45"/>
    <w:bookmarkEnd w:id="44"/>
    <w:p>
      <w:pPr>
        <w:spacing w:after="0" w:line="200" w:lineRule="exact"/>
        <w:rPr>
          <w:sz w:val="20"/>
          <w:szCs w:val="20"/>
          <w:color w:val="auto"/>
        </w:rPr>
      </w:pPr>
    </w:p>
    <w:p>
      <w:pPr>
        <w:spacing w:after="0" w:line="247" w:lineRule="exact"/>
        <w:rPr>
          <w:sz w:val="20"/>
          <w:szCs w:val="20"/>
          <w:color w:val="auto"/>
        </w:rPr>
      </w:pPr>
    </w:p>
    <w:p>
      <w:pPr>
        <w:ind w:firstLine="900"/>
        <w:spacing w:after="0" w:line="263" w:lineRule="auto"/>
        <w:rPr>
          <w:sz w:val="20"/>
          <w:szCs w:val="20"/>
          <w:color w:val="auto"/>
        </w:rPr>
      </w:pPr>
      <w:r>
        <w:rPr>
          <w:rFonts w:ascii="Arial" w:cs="Arial" w:eastAsia="Arial" w:hAnsi="Arial"/>
          <w:sz w:val="22"/>
          <w:szCs w:val="22"/>
          <w:color w:val="auto"/>
        </w:rPr>
        <w:t>By signing below, the Participant hereby acknowledges receipt of the PSUs issued on the Grant Date indicated above, which have been issued under the terms and conditions of the Plan and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by: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the Participant]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20"/>
          <w:szCs w:val="20"/>
          <w:color w:val="auto"/>
        </w:rPr>
        <w:t>12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lowerRoman"/>
      <w:start w:val="1"/>
    </w:lvl>
  </w:abstractNum>
  <w:abstractNum w:abstractNumId="3">
    <w:nsid w:val="1E7FF521"/>
    <w:multiLevelType w:val="hybridMultilevel"/>
    <w:lvl w:ilvl="0">
      <w:lvlJc w:val="left"/>
      <w:lvlText w:val="(%1)"/>
      <w:numFmt w:val="lowerRoman"/>
      <w:start w:val="1"/>
    </w:lvl>
  </w:abstractNum>
  <w:abstractNum w:abstractNumId="4">
    <w:nsid w:val="7C3DBD3D"/>
    <w:multiLevelType w:val="hybridMultilevel"/>
    <w:lvl w:ilvl="0">
      <w:lvlJc w:val="left"/>
      <w:lvlText w:val="(%1)"/>
      <w:numFmt w:val="lowerRoman"/>
      <w:start w:val="3"/>
    </w:lvl>
  </w:abstractNum>
  <w:abstractNum w:abstractNumId="5">
    <w:nsid w:val="737B8DDC"/>
    <w:multiLevelType w:val="hybridMultilevel"/>
    <w:lvl w:ilvl="0">
      <w:lvlJc w:val="left"/>
      <w:lvlText w:val="(%1)"/>
      <w:numFmt w:val="lowerRoman"/>
      <w:start w:val="1"/>
    </w:lvl>
  </w:abstractNum>
  <w:abstractNum w:abstractNumId="6">
    <w:nsid w:val="6CEAF087"/>
    <w:multiLevelType w:val="hybridMultilevel"/>
    <w:lvl w:ilvl="0">
      <w:lvlJc w:val="left"/>
      <w:lvlText w:val="(%1)"/>
      <w:numFmt w:val="lowerRoman"/>
      <w:start w:val="4"/>
    </w:lvl>
  </w:abstractNum>
  <w:abstractNum w:abstractNumId="7">
    <w:nsid w:val="22221A70"/>
    <w:multiLevelType w:val="hybridMultilevel"/>
    <w:lvl w:ilvl="0">
      <w:lvlJc w:val="left"/>
      <w:lvlText w:val="(%1)"/>
      <w:numFmt w:val="lowerRoman"/>
      <w:start w:val="1"/>
    </w:lvl>
  </w:abstractNum>
  <w:abstractNum w:abstractNumId="8">
    <w:nsid w:val="4516D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
    <w:nsid w:val="3006C83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614FD4A1"/>
    <w:multiLevelType w:val="hybridMultilevel"/>
    <w:lvl w:ilvl="0">
      <w:lvlJc w:val="left"/>
      <w:lvlText w:val="(%1)"/>
      <w:numFmt w:val="upperLetter"/>
      <w:start w:val="2"/>
    </w:lvl>
  </w:abstractNum>
  <w:abstractNum w:abstractNumId="11">
    <w:nsid w:val="419AC241"/>
    <w:multiLevelType w:val="hybridMultilevel"/>
    <w:lvl w:ilvl="0">
      <w:lvlJc w:val="left"/>
      <w:lvlText w:val="(%1)"/>
      <w:numFmt w:val="lowerRoman"/>
      <w:start w:val="1"/>
    </w:lvl>
  </w:abstractNum>
  <w:abstractNum w:abstractNumId="12">
    <w:nsid w:val="5577F8E1"/>
    <w:multiLevelType w:val="hybridMultilevel"/>
    <w:lvl w:ilvl="0">
      <w:lvlJc w:val="left"/>
      <w:lvlText w:val="(%1)"/>
      <w:numFmt w:val="lowerRoman"/>
      <w:start w:val="3"/>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3"/>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2"/>
    </w:lvl>
  </w:abstractNum>
  <w:abstractNum w:abstractNumId="17">
    <w:nsid w:val="7724C67E"/>
    <w:multiLevelType w:val="hybridMultilevel"/>
    <w:lvl w:ilvl="0">
      <w:lvlJc w:val="left"/>
      <w:lvlText w:val="(%1)"/>
      <w:numFmt w:val="lowerLetter"/>
      <w:start w:val="4"/>
    </w:lvl>
  </w:abstractNum>
  <w:abstractNum w:abstractNumId="18">
    <w:nsid w:val="5C482A97"/>
    <w:multiLevelType w:val="hybridMultilevel"/>
    <w:lvl w:ilvl="0">
      <w:lvlJc w:val="left"/>
      <w:lvlText w:val="%1."/>
      <w:numFmt w:val="decimal"/>
      <w:start w:val="4"/>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decimal"/>
      <w:start w:val="5"/>
    </w:lvl>
  </w:abstractNum>
  <w:abstractNum w:abstractNumId="21">
    <w:nsid w:val="51EAD36B"/>
    <w:multiLevelType w:val="hybridMultilevel"/>
    <w:lvl w:ilvl="0">
      <w:lvlJc w:val="left"/>
      <w:lvlText w:val="%1."/>
      <w:numFmt w:val="decimal"/>
      <w:start w:val="6"/>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2"/>
    </w:lvl>
  </w:abstractNum>
  <w:abstractNum w:abstractNumId="24">
    <w:nsid w:val="153EA438"/>
    <w:multiLevelType w:val="hybridMultilevel"/>
    <w:lvl w:ilvl="0">
      <w:lvlJc w:val="left"/>
      <w:lvlText w:val="%1."/>
      <w:numFmt w:val="decimal"/>
      <w:start w:val="8"/>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3"/>
    </w:lvl>
  </w:abstractNum>
  <w:abstractNum w:abstractNumId="28">
    <w:nsid w:val="2A487CB0"/>
    <w:multiLevelType w:val="hybridMultilevel"/>
    <w:lvl w:ilvl="0">
      <w:lvlJc w:val="left"/>
      <w:lvlText w:val="%1."/>
      <w:numFmt w:val="decimal"/>
      <w:start w:val="9"/>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2"/>
    </w:lvl>
  </w:abstractNum>
  <w:abstractNum w:abstractNumId="31">
    <w:nsid w:val="2CD89A32"/>
    <w:multiLevelType w:val="hybridMultilevel"/>
    <w:lvl w:ilvl="0">
      <w:lvlJc w:val="left"/>
      <w:lvlText w:val="%1."/>
      <w:numFmt w:val="decimal"/>
      <w:start w:val="11"/>
    </w:lvl>
  </w:abstractNum>
  <w:abstractNum w:abstractNumId="32">
    <w:nsid w:val="57E4CCAF"/>
    <w:multiLevelType w:val="hybridMultilevel"/>
    <w:lvl w:ilvl="0">
      <w:lvlJc w:val="left"/>
      <w:lvlText w:val="%1"/>
      <w:numFmt w:val="lowerLetter"/>
      <w:start w:val="1"/>
    </w:lvl>
    <w:lvl w:ilvl="1">
      <w:lvlJc w:val="left"/>
      <w:lvlText w:val="%2."/>
      <w:numFmt w:val="decimal"/>
      <w:start w:val="15"/>
    </w:lvl>
  </w:abstractNum>
  <w:abstractNum w:abstractNumId="33">
    <w:nsid w:val="7A6D8D3C"/>
    <w:multiLevelType w:val="hybridMultilevel"/>
    <w:lvl w:ilvl="0">
      <w:lvlJc w:val="left"/>
      <w:lvlText w:val="(%1)"/>
      <w:numFmt w:val="lowerLetter"/>
      <w:start w:val="2"/>
    </w:lvl>
    <w:lvl w:ilvl="1">
      <w:lvlJc w:val="left"/>
      <w:lvlText w:val="%2."/>
      <w:numFmt w:val="decimal"/>
      <w:start w:val="18"/>
    </w:lvl>
  </w:abstractNum>
  <w:abstractNum w:abstractNumId="34">
    <w:nsid w:val="4B588F54"/>
    <w:multiLevelType w:val="hybridMultilevel"/>
    <w:lvl w:ilvl="0">
      <w:lvlJc w:val="left"/>
      <w:lvlText w:val="%1."/>
      <w:numFmt w:val="decimal"/>
      <w:start w:val="19"/>
    </w:lvl>
  </w:abstractNum>
  <w:abstractNum w:abstractNumId="35">
    <w:nsid w:val="542289EC"/>
    <w:multiLevelType w:val="hybridMultilevel"/>
    <w:lvl w:ilvl="0">
      <w:lvlJc w:val="left"/>
      <w:lvlText w:val="%1."/>
      <w:numFmt w:val="decimal"/>
      <w:start w:val="24"/>
    </w:lvl>
  </w:abstractNum>
  <w:abstractNum w:abstractNumId="36">
    <w:nsid w:val="6DE91B18"/>
    <w:multiLevelType w:val="hybridMultilevel"/>
    <w:lvl w:ilvl="0">
      <w:lvlJc w:val="left"/>
      <w:lvlText w:val="%1."/>
      <w:numFmt w:val="decimal"/>
      <w:start w:val="29"/>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32FFF902"/>
    <w:multiLevelType w:val="hybridMultilevel"/>
    <w:lvl w:ilvl="0">
      <w:lvlJc w:val="left"/>
      <w:lvlText w:val="(%1)"/>
      <w:numFmt w:val="lowerLetter"/>
      <w:start w:val="4"/>
    </w:lvl>
  </w:abstractNum>
  <w:abstractNum w:abstractNumId="40">
    <w:nsid w:val="684A481A"/>
    <w:multiLevelType w:val="hybridMultilevel"/>
    <w:lvl w:ilvl="0">
      <w:lvlJc w:val="left"/>
      <w:lvlText w:val="%1."/>
      <w:numFmt w:val="decimal"/>
      <w:start w:val="4"/>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decimal"/>
      <w:start w:val="5"/>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decimal"/>
      <w:start w:val="8"/>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3"/>
    </w:lvl>
  </w:abstractNum>
  <w:abstractNum w:abstractNumId="48">
    <w:nsid w:val="70C6A529"/>
    <w:multiLevelType w:val="hybridMultilevel"/>
    <w:lvl w:ilvl="0">
      <w:lvlJc w:val="left"/>
      <w:lvlText w:val="%1."/>
      <w:numFmt w:val="decimal"/>
      <w:start w:val="9"/>
    </w:lvl>
  </w:abstractNum>
  <w:abstractNum w:abstractNumId="49">
    <w:nsid w:val="520EEDD1"/>
    <w:multiLevelType w:val="hybridMultilevel"/>
    <w:lvl w:ilvl="0">
      <w:lvlJc w:val="left"/>
      <w:lvlText w:val="%1."/>
      <w:numFmt w:val="decimal"/>
      <w:start w:val="10"/>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11"/>
    </w:lvl>
  </w:abstractNum>
  <w:abstractNum w:abstractNumId="52">
    <w:nsid w:val="23F9C13C"/>
    <w:multiLevelType w:val="hybridMultilevel"/>
    <w:lvl w:ilvl="0">
      <w:lvlJc w:val="left"/>
      <w:lvlText w:val="%1"/>
      <w:numFmt w:val="lowerLetter"/>
      <w:start w:val="1"/>
    </w:lvl>
    <w:lvl w:ilvl="1">
      <w:lvlJc w:val="left"/>
      <w:lvlText w:val="%2."/>
      <w:numFmt w:val="decimal"/>
      <w:start w:val="13"/>
    </w:lvl>
  </w:abstractNum>
  <w:abstractNum w:abstractNumId="53">
    <w:nsid w:val="649BB77C"/>
    <w:multiLevelType w:val="hybridMultilevel"/>
    <w:lvl w:ilvl="0">
      <w:lvlJc w:val="left"/>
      <w:lvlText w:val="(%1)"/>
      <w:numFmt w:val="lowerLetter"/>
      <w:start w:val="2"/>
    </w:lvl>
    <w:lvl w:ilvl="1">
      <w:lvlJc w:val="left"/>
      <w:lvlText w:val="%2"/>
      <w:numFmt w:val="decimal"/>
      <w:start w:val="1"/>
    </w:lvl>
  </w:abstractNum>
  <w:abstractNum w:abstractNumId="54">
    <w:nsid w:val="275AC794"/>
    <w:multiLevelType w:val="hybridMultilevel"/>
    <w:lvl w:ilvl="0">
      <w:lvlJc w:val="left"/>
      <w:lvlText w:val="%1."/>
      <w:numFmt w:val="decimal"/>
      <w:start w:val="18"/>
    </w:lvl>
  </w:abstractNum>
  <w:abstractNum w:abstractNumId="55">
    <w:nsid w:val="39386575"/>
    <w:multiLevelType w:val="hybridMultilevel"/>
    <w:lvl w:ilvl="0">
      <w:lvlJc w:val="left"/>
      <w:lvlText w:val="%1."/>
      <w:numFmt w:val="decimal"/>
      <w:start w:val="23"/>
    </w:lvl>
  </w:abstractNum>
  <w:abstractNum w:abstractNumId="56">
    <w:nsid w:val="1CF10FD8"/>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2020-11-20T15:34:55Z</dcterms:created>
  <dcterms:modified xsi:type="dcterms:W3CDTF">2020-11-20T15:34:55Z</dcterms:modified>
</cp:coreProperties>
</file>