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30, 2018</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Ireland</w:t>
            </w:r>
          </w:p>
        </w:tc>
        <w:tc>
          <w:tcPr>
            <w:tcW w:w="3360" w:type="dxa"/>
            <w:vAlign w:val="bottom"/>
          </w:tcPr>
          <w:p>
            <w:pPr>
              <w:jc w:val="right"/>
              <w:ind w:right="1250"/>
              <w:spacing w:after="0"/>
              <w:rPr>
                <w:sz w:val="20"/>
                <w:szCs w:val="20"/>
                <w:color w:val="auto"/>
              </w:rPr>
            </w:pPr>
            <w:r>
              <w:rPr>
                <w:rFonts w:ascii="Arial" w:cs="Arial" w:eastAsia="Arial" w:hAnsi="Arial"/>
                <w:sz w:val="18"/>
                <w:szCs w:val="18"/>
                <w:b w:val="1"/>
                <w:bCs w:val="1"/>
                <w:color w:val="auto"/>
              </w:rPr>
              <w:t>001-36504</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98-0606750</w:t>
            </w:r>
          </w:p>
        </w:tc>
      </w:tr>
      <w:tr>
        <w:trPr>
          <w:trHeight w:val="54"/>
        </w:trPr>
        <w:tc>
          <w:tcPr>
            <w:tcW w:w="418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41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 incorporation)</w:t>
            </w:r>
          </w:p>
        </w:tc>
        <w:tc>
          <w:tcPr>
            <w:tcW w:w="3360" w:type="dxa"/>
            <w:vAlign w:val="bottom"/>
          </w:tcPr>
          <w:p>
            <w:pPr>
              <w:jc w:val="center"/>
              <w:ind w:right="10"/>
              <w:spacing w:after="0"/>
              <w:rPr>
                <w:sz w:val="20"/>
                <w:szCs w:val="20"/>
                <w:color w:val="auto"/>
              </w:rPr>
            </w:pPr>
            <w:r>
              <w:rPr>
                <w:rFonts w:ascii="Arial" w:cs="Arial" w:eastAsia="Arial" w:hAnsi="Arial"/>
                <w:sz w:val="18"/>
                <w:szCs w:val="18"/>
                <w:color w:val="auto"/>
                <w:w w:val="92"/>
              </w:rPr>
              <w:t>(Commission File Number)</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4"/>
              </w:rPr>
              <w:t>(I.R.S. Employer Identification No.)</w:t>
            </w:r>
          </w:p>
        </w:tc>
      </w:tr>
      <w:tr>
        <w:trPr>
          <w:trHeight w:val="405"/>
        </w:trPr>
        <w:tc>
          <w:tcPr>
            <w:tcW w:w="75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8"/>
              </w:rPr>
              <w:t>Weststrasse 1, 6340 Baar, Switzerland</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CH 6340</w:t>
            </w:r>
          </w:p>
        </w:tc>
      </w:tr>
      <w:tr>
        <w:trPr>
          <w:trHeight w:val="54"/>
        </w:trPr>
        <w:tc>
          <w:tcPr>
            <w:tcW w:w="7540" w:type="dxa"/>
            <w:vAlign w:val="bottom"/>
            <w:tcBorders>
              <w:bottom w:val="single" w:sz="8" w:color="auto"/>
            </w:tcBorders>
            <w:gridSpan w:val="2"/>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754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(Address of principal executive offices)</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1"/>
              </w:rPr>
              <w:t>(Zip Code)</w:t>
            </w:r>
          </w:p>
        </w:tc>
      </w:tr>
    </w:tbl>
    <w:p>
      <w:pPr>
        <w:spacing w:after="0" w:line="184"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58" w:lineRule="exact"/>
        <w:rPr>
          <w:sz w:val="24"/>
          <w:szCs w:val="24"/>
          <w:color w:val="auto"/>
        </w:rPr>
      </w:pPr>
    </w:p>
    <w:p>
      <w:pPr>
        <w:ind w:left="56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51435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20"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40"/>
        <w:spacing w:after="0"/>
        <w:tabs>
          <w:tab w:leader="none" w:pos="24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20"/>
          </w:cols>
          <w:pgMar w:left="240" w:top="1057" w:right="239" w:bottom="1440" w:gutter="0" w:footer="0" w:header="0"/>
        </w:sectPr>
      </w:pPr>
    </w:p>
    <w:bookmarkStart w:id="1" w:name="page2"/>
    <w:bookmarkEnd w:id="1"/>
    <w:p>
      <w:pPr>
        <w:ind w:left="40"/>
        <w:spacing w:after="0"/>
        <w:tabs>
          <w:tab w:leader="none" w:pos="16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November 30, 2018, Weatherford International plc (“Weatherford”) has closed on the first two of a series of four closings of the previously announced sale of its land drilling rigs operations in Algeria, Kuwait and Saudi Arabia, as well as two idle land rigs in Iraq, to ADES International Holding Ltd. (“ADES”). Weatherford received gross cash proceeds of $215.5 million in connection with the first two closings of the Kuwait and Saudi Arabia land drilling rigs operations, and the assets, liabilities of these two operations have been transferred to ADES. The closing of the sale of the land drilling rigs operations in Kuwait and Saudi Arabia included 23 drilling rigs and approximately 1,900 employees.</w:t>
      </w:r>
    </w:p>
    <w:p>
      <w:pPr>
        <w:spacing w:after="0" w:line="18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This is the second in a series of four closings, the majority of which are expected to be completed by year-end 2018, subject to regulatory approvals, consents and other customary closing conditions.</w:t>
      </w:r>
    </w:p>
    <w:p>
      <w:pPr>
        <w:spacing w:after="0" w:line="170"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The sale of the land drilling rigs operations in Kuwait and Saudi Arabia was consummated pursuant to the terms of the Sale and Purchase Agreements dated as of July 11, 2018 among a subsidiary of Weatherford and ADES, which were filed as Exhibits 10.6 and 10.7 of the Form 10-Q filed November 2, 2018 and are incorporated by reference herein.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copy of the press release is furnished as Exhibit 99.2 hereto.</w:t>
      </w:r>
    </w:p>
    <w:p>
      <w:pPr>
        <w:spacing w:after="0" w:line="200" w:lineRule="exact"/>
        <w:rPr>
          <w:sz w:val="20"/>
          <w:szCs w:val="20"/>
          <w:color w:val="auto"/>
        </w:rPr>
      </w:pPr>
    </w:p>
    <w:p>
      <w:pPr>
        <w:spacing w:after="0" w:line="399" w:lineRule="exact"/>
        <w:rPr>
          <w:sz w:val="20"/>
          <w:szCs w:val="20"/>
          <w:color w:val="auto"/>
        </w:rPr>
      </w:pPr>
    </w:p>
    <w:p>
      <w:pPr>
        <w:ind w:left="40"/>
        <w:spacing w:after="0"/>
        <w:tabs>
          <w:tab w:leader="none" w:pos="17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  Pro Forma Financial Information.</w:t>
      </w:r>
    </w:p>
    <w:p>
      <w:pPr>
        <w:spacing w:after="0" w:line="2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unaudited pro forma condensed consolidated balance sheet of Weatherford as of September 30, 2018 and the unaudited pro forma condensed consolidated statement of operations for the year ended December 31, 2017 and for the nine months ended September 30, 2018 are included as Exhibit 99.1 to this report and are incorporated into this Item 9.01 by reference.</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4"/>
              </w:rPr>
              <w:t>Exhibit Number</w:t>
            </w:r>
          </w:p>
        </w:tc>
        <w:tc>
          <w:tcPr>
            <w:tcW w:w="40" w:type="dxa"/>
            <w:vAlign w:val="bottom"/>
          </w:tcPr>
          <w:p>
            <w:pPr>
              <w:spacing w:after="0"/>
              <w:rPr>
                <w:sz w:val="20"/>
                <w:szCs w:val="20"/>
                <w:color w:val="auto"/>
              </w:rPr>
            </w:pPr>
          </w:p>
        </w:tc>
        <w:tc>
          <w:tcPr>
            <w:tcW w:w="9760" w:type="dxa"/>
            <w:vAlign w:val="bottom"/>
            <w:gridSpan w:val="3"/>
          </w:tcPr>
          <w:p>
            <w:pPr>
              <w:spacing w:after="0"/>
              <w:rPr>
                <w:sz w:val="20"/>
                <w:szCs w:val="20"/>
                <w:color w:val="auto"/>
              </w:rPr>
            </w:pPr>
            <w:r>
              <w:rPr>
                <w:rFonts w:ascii="Arial" w:cs="Arial" w:eastAsia="Arial" w:hAnsi="Arial"/>
                <w:sz w:val="18"/>
                <w:szCs w:val="18"/>
                <w:b w:val="1"/>
                <w:bCs w:val="1"/>
                <w:color w:val="auto"/>
              </w:rPr>
              <w:t>Exhibit Description</w:t>
            </w:r>
          </w:p>
        </w:tc>
      </w:tr>
      <w:tr>
        <w:trPr>
          <w:trHeight w:val="54"/>
        </w:trPr>
        <w:tc>
          <w:tcPr>
            <w:tcW w:w="6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464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196"/>
        </w:trPr>
        <w:tc>
          <w:tcPr>
            <w:tcW w:w="600" w:type="dxa"/>
            <w:vAlign w:val="bottom"/>
          </w:tcPr>
          <w:p>
            <w:pPr>
              <w:spacing w:after="0"/>
              <w:rPr>
                <w:sz w:val="17"/>
                <w:szCs w:val="17"/>
                <w:color w:val="auto"/>
              </w:rPr>
            </w:pPr>
          </w:p>
        </w:tc>
        <w:tc>
          <w:tcPr>
            <w:tcW w:w="340" w:type="dxa"/>
            <w:vAlign w:val="bottom"/>
            <w:tcBorders>
              <w:bottom w:val="single" w:sz="8" w:color="0000FF"/>
            </w:tcBorders>
            <w:gridSpan w:val="2"/>
          </w:tcPr>
          <w:p>
            <w:pPr>
              <w:jc w:val="center"/>
              <w:ind w:right="20"/>
              <w:spacing w:after="0" w:line="182" w:lineRule="exact"/>
              <w:rPr>
                <w:rFonts w:ascii="Arial" w:cs="Arial" w:eastAsia="Arial" w:hAnsi="Arial"/>
                <w:sz w:val="18"/>
                <w:szCs w:val="18"/>
                <w:color w:val="0000FF"/>
                <w:w w:val="91"/>
              </w:rPr>
            </w:pPr>
            <w:hyperlink w:anchor="page4">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1</w:t>
              </w:r>
            </w:hyperlink>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60" w:type="dxa"/>
            <w:vAlign w:val="bottom"/>
            <w:gridSpan w:val="3"/>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Unaudited Pro Forma Condensed Consolidated Financial Statements of Weatherford International plc.</w:t>
              </w:r>
            </w:hyperlink>
          </w:p>
        </w:tc>
      </w:tr>
      <w:tr>
        <w:trPr>
          <w:trHeight w:val="20"/>
        </w:trPr>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Borders>
              <w:bottom w:val="single" w:sz="8" w:color="0000FF"/>
            </w:tcBorders>
          </w:tcPr>
          <w:p>
            <w:pPr>
              <w:spacing w:after="0" w:line="20" w:lineRule="exact"/>
              <w:rPr>
                <w:sz w:val="1"/>
                <w:szCs w:val="1"/>
                <w:color w:val="auto"/>
              </w:rPr>
            </w:pPr>
          </w:p>
        </w:tc>
        <w:tc>
          <w:tcPr>
            <w:tcW w:w="4640" w:type="dxa"/>
            <w:vAlign w:val="bottom"/>
            <w:tcBorders>
              <w:bottom w:val="single" w:sz="8" w:color="0000FF"/>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64"/>
        </w:trPr>
        <w:tc>
          <w:tcPr>
            <w:tcW w:w="600" w:type="dxa"/>
            <w:vAlign w:val="bottom"/>
          </w:tcPr>
          <w:p>
            <w:pPr>
              <w:spacing w:after="0"/>
              <w:rPr>
                <w:sz w:val="22"/>
                <w:szCs w:val="22"/>
                <w:color w:val="auto"/>
              </w:rPr>
            </w:pPr>
          </w:p>
        </w:tc>
        <w:tc>
          <w:tcPr>
            <w:tcW w:w="32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9">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2</w:t>
              </w:r>
            </w:hyperlink>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760" w:type="dxa"/>
            <w:vAlign w:val="bottom"/>
            <w:gridSpan w:val="3"/>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News release announcing the closing.</w:t>
              </w:r>
            </w:hyperlink>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Borders>
              <w:bottom w:val="single" w:sz="8" w:color="0000FF"/>
            </w:tcBorders>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953"/>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0" w:type="dxa"/>
            <w:vAlign w:val="bottom"/>
            <w:gridSpan w:val="3"/>
          </w:tcPr>
          <w:p>
            <w:pPr>
              <w:jc w:val="right"/>
              <w:ind w:right="3260"/>
              <w:spacing w:after="0"/>
              <w:rPr>
                <w:sz w:val="20"/>
                <w:szCs w:val="20"/>
                <w:color w:val="auto"/>
              </w:rPr>
            </w:pPr>
            <w:r>
              <w:rPr>
                <w:rFonts w:ascii="Arial" w:cs="Arial" w:eastAsia="Arial" w:hAnsi="Arial"/>
                <w:sz w:val="18"/>
                <w:szCs w:val="18"/>
                <w:color w:val="auto"/>
              </w:rPr>
              <w:t>2</w:t>
            </w:r>
          </w:p>
        </w:tc>
        <w:tc>
          <w:tcPr>
            <w:tcW w:w="24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310"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140"/>
        <w:spacing w:after="0"/>
        <w:tabs>
          <w:tab w:leader="none" w:pos="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7, 2018</w:t>
      </w:r>
    </w:p>
    <w:p>
      <w:pPr>
        <w:spacing w:after="0" w:line="7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48895</wp:posOffset>
            </wp:positionV>
            <wp:extent cx="4013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84"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Christoph Bausch</w:t>
      </w:r>
    </w:p>
    <w:p>
      <w:pPr>
        <w:spacing w:after="0" w:line="77"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60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FINANCIAL STATEMENTS</w:t>
      </w:r>
    </w:p>
    <w:p>
      <w:pPr>
        <w:spacing w:after="0" w:line="21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of November 30, 2018, Weatherford International plc (“Weatherford”) has closed on the first two of a series of four closings of the previously announced sale of its land drilling rigs operations in Algeria, Kuwait and Saudi Arabia, as well as two idle land rigs in Iraq, to ADES International Holding Ltd. (“ADES”), for a purchase price of $287.5 million, subject to potential adjustments based on working capital, net cash, loss or destruction of rigs and drilling contract backlog shortfall. We received gross cash proceeds of $215.5 million in connection with the first two closings of the Kuwait and Saudi Arabia land drilling rigs operations, and the assets, liabilities of these two operations have been transferred to ADES. The closing of the sale of the land drilling rigs operations in Kuwait and Saudi Arabia included 23 drilling rigs and approximately 1,900 employees.</w:t>
      </w:r>
    </w:p>
    <w:p>
      <w:pPr>
        <w:spacing w:after="0" w:line="17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entire series of transactions includes a total 31 land drilling rigs and related drilling contracts, as well as approximately 2,300 employees and contract personnel. The Sale and Purchase Agreements allow for a series of four closings, on a country-by-country basis, the majority of which are expected to be completed by year-end 2018, following any required regulatory approvals, consents and other customary closing conditions.</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unaudited pro forma condensed consolidated balance sheet of Weatherford International plc as of September 30, 2018 and the unaudited pro forma condensed consolidated statement of operations for the year ended December 31, 2017 and for the nine months ended September 30, 2018 were derived from our historical condensed consolidated balance sheet and statements of operations. The unaudited pro forma condensed consolidated statement of operations gives effect to the disposition of land drilling rigs operations in Kuwait and Saudi Arabia as if the dispositions occurred on January 1, 2017. The unaudited pro forma condensed consolidated balance sheet assumes the disposition of land drilling rigs operations in Kuwait and Saudi Arabia occurred on September 30, 2018. The following unaudited pro forma condensed consolidated financial information should be read in conjunction with our historical financial statements and accompanying notes.</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pro forma adjustments are based on the best information available and assumptions that management believes are factually supportable and reasonable; however, such adjustments are estimates and subject to change. The unaudited pro forma condensed consolidated information is for illustrative and informational purposes only and is not intended to reflect what our condensed consolidated financial position and results of operations would have been had the disposition occurred on the dates indicated and is not necessarily indicative of our future condensed consolidated financial position and results of operations.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pro forma adjustments remove the Kuwait and Saudi Arabia land drilling rigs operations, assets, liabilities and results of operations, and give effect to the following items:</w:t>
      </w:r>
    </w:p>
    <w:p>
      <w:pPr>
        <w:spacing w:after="0" w:line="170" w:lineRule="exact"/>
        <w:rPr>
          <w:sz w:val="20"/>
          <w:szCs w:val="20"/>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adjustment to reflect the net cash proceeds used to repay debt;</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adjustment to interest expense associated with the repayment of company debt; and</w:t>
      </w:r>
    </w:p>
    <w:p>
      <w:pPr>
        <w:spacing w:after="0" w:line="9" w:lineRule="exact"/>
        <w:rPr>
          <w:rFonts w:ascii="Arial" w:cs="Arial" w:eastAsia="Arial" w:hAnsi="Arial"/>
          <w:sz w:val="18"/>
          <w:szCs w:val="18"/>
          <w:color w:val="auto"/>
        </w:rPr>
      </w:pPr>
    </w:p>
    <w:p>
      <w:pPr>
        <w:ind w:left="820" w:right="20" w:hanging="326"/>
        <w:spacing w:after="0" w:line="261"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adjustment to reflect accrued liabilities for estimated professional fees and closing costs related to the sale of the land drilling rigs operations in Kuwait and Saudi Arabia.</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unaudited pro forma condensed consolidated statements of operations do not include adjustments for all of the costs of operating after the disposition of the land drilling rigs operations in Kuwait and Saudi Arabia, since they are not factually supportable and recurring.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 w:name="page5"/>
    <w:bookmarkEnd w:id="4"/>
    <w:p>
      <w:pPr>
        <w:jc w:val="center"/>
        <w:ind w:right="20"/>
        <w:spacing w:after="0" w:line="329" w:lineRule="auto"/>
        <w:rPr>
          <w:sz w:val="20"/>
          <w:szCs w:val="20"/>
          <w:color w:val="auto"/>
        </w:rPr>
      </w:pPr>
      <w:r>
        <w:rPr>
          <w:rFonts w:ascii="Arial" w:cs="Arial" w:eastAsia="Arial" w:hAnsi="Arial"/>
          <w:sz w:val="18"/>
          <w:szCs w:val="18"/>
          <w:b w:val="1"/>
          <w:bCs w:val="1"/>
          <w:color w:val="auto"/>
        </w:rPr>
        <w:t>WEATHERFORD INTERNATIONAL PLC AND SUBSIDIARIES PRO FORMA CONDENSED CONSOLIDATED STATEMENT OF OPERATIONS (UNAUDITED) FOR THE PERIOD ENDED DECEMBER 31, 2017</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Weatherford</w:t>
            </w: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Disposed</w:t>
            </w:r>
          </w:p>
        </w:tc>
        <w:tc>
          <w:tcPr>
            <w:tcW w:w="140" w:type="dxa"/>
            <w:vAlign w:val="bottom"/>
          </w:tcPr>
          <w:p>
            <w:pPr>
              <w:spacing w:after="0"/>
              <w:rPr>
                <w:sz w:val="20"/>
                <w:szCs w:val="20"/>
                <w:color w:val="auto"/>
              </w:rPr>
            </w:pPr>
          </w:p>
        </w:tc>
        <w:tc>
          <w:tcPr>
            <w:tcW w:w="1120" w:type="dxa"/>
            <w:vAlign w:val="bottom"/>
          </w:tcPr>
          <w:p>
            <w:pPr>
              <w:ind w:left="100"/>
              <w:spacing w:after="0"/>
              <w:rPr>
                <w:sz w:val="20"/>
                <w:szCs w:val="20"/>
                <w:color w:val="auto"/>
              </w:rPr>
            </w:pPr>
            <w:r>
              <w:rPr>
                <w:rFonts w:ascii="Arial" w:cs="Arial" w:eastAsia="Arial" w:hAnsi="Arial"/>
                <w:sz w:val="18"/>
                <w:szCs w:val="18"/>
                <w:color w:val="auto"/>
              </w:rPr>
              <w:t>Pro Forma</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572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 except per share amounts)</w:t>
            </w:r>
          </w:p>
        </w:tc>
        <w:tc>
          <w:tcPr>
            <w:tcW w:w="140" w:type="dxa"/>
            <w:vAlign w:val="bottom"/>
          </w:tcPr>
          <w:p>
            <w:pPr>
              <w:spacing w:after="0"/>
              <w:rPr>
                <w:sz w:val="23"/>
                <w:szCs w:val="23"/>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Historical</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Businesses</w:t>
            </w:r>
          </w:p>
        </w:tc>
        <w:tc>
          <w:tcPr>
            <w:tcW w:w="14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w w:val="96"/>
              </w:rPr>
              <w:t>Pro Forma</w:t>
            </w:r>
          </w:p>
        </w:tc>
      </w:tr>
      <w:tr>
        <w:trPr>
          <w:trHeight w:val="27"/>
        </w:trPr>
        <w:tc>
          <w:tcPr>
            <w:tcW w:w="5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5,483</w:t>
            </w:r>
          </w:p>
        </w:tc>
      </w:tr>
      <w:tr>
        <w:trPr>
          <w:trHeight w:val="324"/>
        </w:trPr>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Cost of Products and Services</w:t>
            </w:r>
          </w:p>
        </w:tc>
        <w:tc>
          <w:tcPr>
            <w:tcW w:w="1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4,889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ind w:left="8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4,670</w:t>
            </w: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Attributable to Segments</w:t>
            </w:r>
          </w:p>
        </w:tc>
        <w:tc>
          <w:tcPr>
            <w:tcW w:w="1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ind w:left="8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896</w:t>
            </w: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Long-Lived Asset Impairments, Write-Downs and Other Charges</w:t>
            </w:r>
          </w:p>
        </w:tc>
        <w:tc>
          <w:tcPr>
            <w:tcW w:w="1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1,664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ind w:left="8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1,257</w:t>
            </w: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Gain on Sale of Businesses and Other</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ind w:left="8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7,188</w:t>
            </w:r>
          </w:p>
        </w:tc>
      </w:tr>
      <w:tr>
        <w:trPr>
          <w:trHeight w:val="318"/>
        </w:trPr>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r>
      <w:tr>
        <w:trPr>
          <w:trHeight w:val="324"/>
        </w:trPr>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Interest and Other Expense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12</w:t>
            </w:r>
          </w:p>
        </w:tc>
        <w:tc>
          <w:tcPr>
            <w:tcW w:w="60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0"/>
              </w:rPr>
              <w:t>(a)</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ind w:left="82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(2,220)</w:t>
            </w: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37"/>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(2,356)</w:t>
            </w: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r>
      <w:tr>
        <w:trPr>
          <w:trHeight w:val="297"/>
        </w:trPr>
        <w:tc>
          <w:tcPr>
            <w:tcW w:w="5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Net Loss Attributable to Weatherford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12</w:t>
            </w:r>
          </w:p>
        </w:tc>
        <w:tc>
          <w:tcPr>
            <w:tcW w:w="4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w:t>
            </w:r>
          </w:p>
        </w:tc>
      </w:tr>
      <w:tr>
        <w:trPr>
          <w:trHeight w:val="284"/>
        </w:trPr>
        <w:tc>
          <w:tcPr>
            <w:tcW w:w="5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 Per Share Attributable to Weatherford:</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5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w:t>
            </w: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990</w:t>
            </w: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 to the unaudited pro forma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742" w:right="239" w:bottom="1440" w:gutter="0" w:footer="0" w:header="0"/>
        </w:sectPr>
      </w:pPr>
    </w:p>
    <w:bookmarkStart w:id="5" w:name="page6"/>
    <w:bookmarkEnd w:id="5"/>
    <w:p>
      <w:pPr>
        <w:jc w:val="center"/>
        <w:ind w:right="20"/>
        <w:spacing w:after="0" w:line="329" w:lineRule="auto"/>
        <w:rPr>
          <w:sz w:val="20"/>
          <w:szCs w:val="20"/>
          <w:color w:val="auto"/>
        </w:rPr>
      </w:pPr>
      <w:r>
        <w:rPr>
          <w:rFonts w:ascii="Arial" w:cs="Arial" w:eastAsia="Arial" w:hAnsi="Arial"/>
          <w:sz w:val="18"/>
          <w:szCs w:val="18"/>
          <w:b w:val="1"/>
          <w:bCs w:val="1"/>
          <w:color w:val="auto"/>
        </w:rPr>
        <w:t>WEATHERFORD INTERNATIONAL PLC AND SUBSIDIARIES PRO FORMA CONDENSED CONSOLIDATED STATEMENT OF OPERATIONS (UNAUDITED) FOR THE PERIOD ENDED SEPTEMBER 30, 2018</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Weatherford</w:t>
            </w: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Disposed</w:t>
            </w:r>
          </w:p>
        </w:tc>
        <w:tc>
          <w:tcPr>
            <w:tcW w:w="14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w w:val="98"/>
              </w:rPr>
              <w:t>Pro Forma</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560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 except per share amounts)</w:t>
            </w:r>
          </w:p>
        </w:tc>
        <w:tc>
          <w:tcPr>
            <w:tcW w:w="160" w:type="dxa"/>
            <w:vAlign w:val="bottom"/>
          </w:tcPr>
          <w:p>
            <w:pPr>
              <w:spacing w:after="0"/>
              <w:rPr>
                <w:sz w:val="23"/>
                <w:szCs w:val="23"/>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Historical</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Businesses</w:t>
            </w:r>
          </w:p>
        </w:tc>
        <w:tc>
          <w:tcPr>
            <w:tcW w:w="14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w w:val="92"/>
              </w:rPr>
              <w:t>Adjustments</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w w:val="96"/>
              </w:rPr>
              <w:t>Pro Forma</w:t>
            </w:r>
          </w:p>
        </w:tc>
      </w:tr>
      <w:tr>
        <w:trPr>
          <w:trHeight w:val="27"/>
        </w:trPr>
        <w:tc>
          <w:tcPr>
            <w:tcW w:w="5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4,132</w:t>
            </w:r>
          </w:p>
        </w:tc>
      </w:tr>
      <w:tr>
        <w:trPr>
          <w:trHeight w:val="324"/>
        </w:trPr>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Cost of Products and Services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3,242</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Attributable to Segments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581</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Long-Lived Assets Impairments, Asset Write-Downs and Other</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112</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Restructuring and Transformation Charges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r>
      <w:tr>
        <w:trPr>
          <w:trHeight w:val="237"/>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4,440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4,232</w:t>
            </w: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18"/>
        </w:trPr>
        <w:tc>
          <w:tcPr>
            <w:tcW w:w="5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5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Net Interest and Other Expense</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720" w:type="dxa"/>
            <w:vAlign w:val="bottom"/>
            <w:gridSpan w:val="2"/>
          </w:tcPr>
          <w:p>
            <w:pPr>
              <w:jc w:val="right"/>
              <w:ind w:right="410"/>
              <w:spacing w:after="0"/>
              <w:rPr>
                <w:sz w:val="20"/>
                <w:szCs w:val="20"/>
                <w:color w:val="auto"/>
              </w:rPr>
            </w:pPr>
            <w:r>
              <w:rPr>
                <w:rFonts w:ascii="Arial" w:cs="Arial" w:eastAsia="Arial" w:hAnsi="Arial"/>
                <w:sz w:val="18"/>
                <w:szCs w:val="18"/>
                <w:color w:val="auto"/>
                <w:w w:val="90"/>
              </w:rPr>
              <w:t>(a)</w:t>
            </w:r>
          </w:p>
        </w:tc>
        <w:tc>
          <w:tcPr>
            <w:tcW w:w="108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Weatherford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Per Share Attributable to Weatherford: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Basic &amp;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(0.67)</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5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&amp; Diluted</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996</w:t>
            </w:r>
          </w:p>
        </w:tc>
      </w:tr>
      <w:tr>
        <w:trPr>
          <w:trHeight w:val="27"/>
        </w:trPr>
        <w:tc>
          <w:tcPr>
            <w:tcW w:w="5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 to the unaudited pro forma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742" w:right="239" w:bottom="1440" w:gutter="0" w:footer="0" w:header="0"/>
        </w:sectPr>
      </w:pPr>
    </w:p>
    <w:bookmarkStart w:id="6" w:name="page7"/>
    <w:bookmarkEnd w:id="6"/>
    <w:p>
      <w:pPr>
        <w:jc w:val="center"/>
        <w:spacing w:after="0" w:line="329" w:lineRule="auto"/>
        <w:rPr>
          <w:sz w:val="20"/>
          <w:szCs w:val="20"/>
          <w:color w:val="auto"/>
        </w:rPr>
      </w:pPr>
      <w:r>
        <w:rPr>
          <w:rFonts w:ascii="Arial" w:cs="Arial" w:eastAsia="Arial" w:hAnsi="Arial"/>
          <w:sz w:val="18"/>
          <w:szCs w:val="18"/>
          <w:b w:val="1"/>
          <w:bCs w:val="1"/>
          <w:color w:val="auto"/>
        </w:rPr>
        <w:t>WEATHERFORD INTERNATIONAL PLC AND SUBSIDIARIES PRO FORMA CONDENSED CONSOLIDATED BALANCE SHEET (UNAUDITED) AS OF SEPTEMBER 30, 2018</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Weatherford</w:t>
            </w:r>
          </w:p>
        </w:tc>
        <w:tc>
          <w:tcPr>
            <w:tcW w:w="240" w:type="dxa"/>
            <w:vAlign w:val="bottom"/>
          </w:tcPr>
          <w:p>
            <w:pPr>
              <w:spacing w:after="0"/>
              <w:rPr>
                <w:sz w:val="20"/>
                <w:szCs w:val="20"/>
                <w:color w:val="auto"/>
              </w:rPr>
            </w:pPr>
          </w:p>
        </w:tc>
        <w:tc>
          <w:tcPr>
            <w:tcW w:w="1340" w:type="dxa"/>
            <w:vAlign w:val="bottom"/>
          </w:tcPr>
          <w:p>
            <w:pPr>
              <w:jc w:val="right"/>
              <w:ind w:right="378"/>
              <w:spacing w:after="0"/>
              <w:rPr>
                <w:sz w:val="20"/>
                <w:szCs w:val="20"/>
                <w:color w:val="auto"/>
              </w:rPr>
            </w:pPr>
            <w:r>
              <w:rPr>
                <w:rFonts w:ascii="Arial" w:cs="Arial" w:eastAsia="Arial" w:hAnsi="Arial"/>
                <w:sz w:val="18"/>
                <w:szCs w:val="18"/>
                <w:color w:val="auto"/>
              </w:rPr>
              <w:t>Disposed</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0"/>
        </w:trPr>
        <w:tc>
          <w:tcPr>
            <w:tcW w:w="584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 except per share amounts)</w:t>
            </w:r>
          </w:p>
        </w:tc>
        <w:tc>
          <w:tcPr>
            <w:tcW w:w="220" w:type="dxa"/>
            <w:vAlign w:val="bottom"/>
          </w:tcPr>
          <w:p>
            <w:pPr>
              <w:spacing w:after="0"/>
              <w:rPr>
                <w:sz w:val="23"/>
                <w:szCs w:val="23"/>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Historical</w:t>
            </w:r>
          </w:p>
        </w:tc>
        <w:tc>
          <w:tcPr>
            <w:tcW w:w="240" w:type="dxa"/>
            <w:vAlign w:val="bottom"/>
          </w:tcPr>
          <w:p>
            <w:pPr>
              <w:spacing w:after="0"/>
              <w:rPr>
                <w:sz w:val="23"/>
                <w:szCs w:val="23"/>
                <w:color w:val="auto"/>
              </w:rPr>
            </w:pPr>
          </w:p>
        </w:tc>
        <w:tc>
          <w:tcPr>
            <w:tcW w:w="1340" w:type="dxa"/>
            <w:vAlign w:val="bottom"/>
          </w:tcPr>
          <w:p>
            <w:pPr>
              <w:jc w:val="right"/>
              <w:ind w:right="318"/>
              <w:spacing w:after="0"/>
              <w:rPr>
                <w:sz w:val="20"/>
                <w:szCs w:val="20"/>
                <w:color w:val="auto"/>
              </w:rPr>
            </w:pPr>
            <w:r>
              <w:rPr>
                <w:rFonts w:ascii="Arial" w:cs="Arial" w:eastAsia="Arial" w:hAnsi="Arial"/>
                <w:sz w:val="18"/>
                <w:szCs w:val="18"/>
                <w:color w:val="auto"/>
                <w:w w:val="99"/>
              </w:rPr>
              <w:t>Businesses</w:t>
            </w: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339"/>
              <w:spacing w:after="0"/>
              <w:rPr>
                <w:sz w:val="20"/>
                <w:szCs w:val="20"/>
                <w:color w:val="auto"/>
              </w:rPr>
            </w:pPr>
            <w:r>
              <w:rPr>
                <w:rFonts w:ascii="Arial" w:cs="Arial" w:eastAsia="Arial" w:hAnsi="Arial"/>
                <w:sz w:val="18"/>
                <w:szCs w:val="18"/>
                <w:color w:val="auto"/>
              </w:rPr>
              <w:t>Pro Forma</w:t>
            </w:r>
          </w:p>
        </w:tc>
      </w:tr>
      <w:tr>
        <w:trPr>
          <w:trHeight w:val="27"/>
        </w:trPr>
        <w:tc>
          <w:tcPr>
            <w:tcW w:w="5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393</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1,155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1,155</w:t>
            </w:r>
          </w:p>
        </w:tc>
      </w:tr>
      <w:tr>
        <w:trPr>
          <w:trHeight w:val="237"/>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Inventories, Net</w:t>
            </w:r>
          </w:p>
        </w:tc>
        <w:tc>
          <w:tcPr>
            <w:tcW w:w="220" w:type="dxa"/>
            <w:vAlign w:val="bottom"/>
          </w:tcPr>
          <w:p>
            <w:pPr>
              <w:spacing w:after="0"/>
              <w:rPr>
                <w:sz w:val="20"/>
                <w:szCs w:val="20"/>
                <w:color w:val="auto"/>
              </w:rPr>
            </w:pP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1,097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1,097</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8</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w:t>
            </w:r>
          </w:p>
        </w:tc>
      </w:tr>
      <w:tr>
        <w:trPr>
          <w:trHeight w:val="243"/>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Current Assets Held for Sale</w:t>
            </w:r>
          </w:p>
        </w:tc>
        <w:tc>
          <w:tcPr>
            <w:tcW w:w="220" w:type="dxa"/>
            <w:vAlign w:val="bottom"/>
          </w:tcPr>
          <w:p>
            <w:pPr>
              <w:spacing w:after="0"/>
              <w:rPr>
                <w:sz w:val="21"/>
                <w:szCs w:val="21"/>
                <w:color w:val="auto"/>
              </w:rPr>
            </w:pP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(254)</w:t>
            </w:r>
          </w:p>
        </w:tc>
        <w:tc>
          <w:tcPr>
            <w:tcW w:w="680" w:type="dxa"/>
            <w:vAlign w:val="bottom"/>
          </w:tcPr>
          <w:p>
            <w:pPr>
              <w:ind w:left="20"/>
              <w:spacing w:after="0"/>
              <w:rPr>
                <w:sz w:val="20"/>
                <w:szCs w:val="20"/>
                <w:color w:val="auto"/>
              </w:rPr>
            </w:pPr>
            <w:r>
              <w:rPr>
                <w:rFonts w:ascii="Arial" w:cs="Arial" w:eastAsia="Arial" w:hAnsi="Arial"/>
                <w:sz w:val="18"/>
                <w:szCs w:val="18"/>
                <w:color w:val="auto"/>
              </w:rPr>
              <w:t>(c)</w:t>
            </w:r>
          </w:p>
        </w:tc>
        <w:tc>
          <w:tcPr>
            <w:tcW w:w="26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364</w:t>
            </w: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3,730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6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3,484</w:t>
            </w:r>
          </w:p>
        </w:tc>
      </w:tr>
      <w:tr>
        <w:trPr>
          <w:trHeight w:val="324"/>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2,157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2,157</w:t>
            </w:r>
          </w:p>
        </w:tc>
      </w:tr>
      <w:tr>
        <w:trPr>
          <w:trHeight w:val="237"/>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0"/>
                <w:szCs w:val="20"/>
                <w:color w:val="auto"/>
              </w:rPr>
            </w:pP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2,632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2,632</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w:t>
            </w:r>
          </w:p>
        </w:tc>
      </w:tr>
      <w:tr>
        <w:trPr>
          <w:trHeight w:val="237"/>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Other Non-Current Assets</w:t>
            </w:r>
          </w:p>
        </w:tc>
        <w:tc>
          <w:tcPr>
            <w:tcW w:w="220" w:type="dxa"/>
            <w:vAlign w:val="bottom"/>
          </w:tcPr>
          <w:p>
            <w:pPr>
              <w:spacing w:after="0"/>
              <w:rPr>
                <w:sz w:val="20"/>
                <w:szCs w:val="20"/>
                <w:color w:val="auto"/>
              </w:rPr>
            </w:pP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127</w:t>
            </w:r>
          </w:p>
        </w:tc>
      </w:tr>
      <w:tr>
        <w:trPr>
          <w:trHeight w:val="33"/>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8,838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8,592</w:t>
            </w: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11"/>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Short-term Borrowings and Current Portion of Long-term Debt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2020" w:type="dxa"/>
            <w:vAlign w:val="bottom"/>
            <w:gridSpan w:val="2"/>
          </w:tcPr>
          <w:p>
            <w:pPr>
              <w:ind w:left="940"/>
              <w:spacing w:after="0"/>
              <w:rPr>
                <w:sz w:val="20"/>
                <w:szCs w:val="20"/>
                <w:color w:val="auto"/>
              </w:rPr>
            </w:pPr>
            <w:r>
              <w:rPr>
                <w:rFonts w:ascii="Arial" w:cs="Arial" w:eastAsia="Arial" w:hAnsi="Arial"/>
                <w:sz w:val="16"/>
                <w:szCs w:val="16"/>
                <w:color w:val="auto"/>
              </w:rPr>
              <w:t xml:space="preserve">(216) </w:t>
            </w:r>
            <w:r>
              <w:rPr>
                <w:rFonts w:ascii="Arial" w:cs="Arial" w:eastAsia="Arial" w:hAnsi="Arial"/>
                <w:sz w:val="18"/>
                <w:szCs w:val="18"/>
                <w:color w:val="auto"/>
              </w:rPr>
              <w:t>(d)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180</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728</w:t>
            </w:r>
          </w:p>
        </w:tc>
      </w:tr>
      <w:tr>
        <w:trPr>
          <w:trHeight w:val="237"/>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Accrued Salaries and Benefits</w:t>
            </w:r>
          </w:p>
        </w:tc>
        <w:tc>
          <w:tcPr>
            <w:tcW w:w="220" w:type="dxa"/>
            <w:vAlign w:val="bottom"/>
          </w:tcPr>
          <w:p>
            <w:pPr>
              <w:spacing w:after="0"/>
              <w:rPr>
                <w:sz w:val="20"/>
                <w:szCs w:val="20"/>
                <w:color w:val="auto"/>
              </w:rPr>
            </w:pP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241</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w:t>
            </w:r>
          </w:p>
        </w:tc>
      </w:tr>
      <w:tr>
        <w:trPr>
          <w:trHeight w:val="243"/>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Other Current Liabilities</w:t>
            </w:r>
          </w:p>
        </w:tc>
        <w:tc>
          <w:tcPr>
            <w:tcW w:w="220" w:type="dxa"/>
            <w:vAlign w:val="bottom"/>
          </w:tcPr>
          <w:p>
            <w:pPr>
              <w:spacing w:after="0"/>
              <w:rPr>
                <w:sz w:val="21"/>
                <w:szCs w:val="21"/>
                <w:color w:val="auto"/>
              </w:rPr>
            </w:pP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8"/>
              <w:spacing w:after="0"/>
              <w:rPr>
                <w:sz w:val="20"/>
                <w:szCs w:val="20"/>
                <w:color w:val="auto"/>
              </w:rPr>
            </w:pPr>
            <w:r>
              <w:rPr>
                <w:rFonts w:ascii="Arial" w:cs="Arial" w:eastAsia="Arial" w:hAnsi="Arial"/>
                <w:sz w:val="16"/>
                <w:szCs w:val="16"/>
                <w:color w:val="auto"/>
              </w:rPr>
              <w:t>8</w:t>
            </w:r>
          </w:p>
        </w:tc>
        <w:tc>
          <w:tcPr>
            <w:tcW w:w="680" w:type="dxa"/>
            <w:vAlign w:val="bottom"/>
          </w:tcPr>
          <w:p>
            <w:pPr>
              <w:ind w:left="20"/>
              <w:spacing w:after="0"/>
              <w:rPr>
                <w:sz w:val="20"/>
                <w:szCs w:val="20"/>
                <w:color w:val="auto"/>
              </w:rPr>
            </w:pPr>
            <w:r>
              <w:rPr>
                <w:rFonts w:ascii="Arial" w:cs="Arial" w:eastAsia="Arial" w:hAnsi="Arial"/>
                <w:sz w:val="18"/>
                <w:szCs w:val="18"/>
                <w:color w:val="auto"/>
              </w:rPr>
              <w:t>(e)</w:t>
            </w:r>
          </w:p>
        </w:tc>
        <w:tc>
          <w:tcPr>
            <w:tcW w:w="26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662</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Current Liabilities Held for Sale</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r>
      <w:tr>
        <w:trPr>
          <w:trHeight w:val="217"/>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rPr>
              <w:t>2,299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2,055</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324"/>
        </w:trPr>
        <w:tc>
          <w:tcPr>
            <w:tcW w:w="5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37"/>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20"/>
                <w:szCs w:val="20"/>
                <w:color w:val="auto"/>
              </w:rPr>
            </w:pP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7,626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7,626</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421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421</w:t>
            </w:r>
          </w:p>
        </w:tc>
      </w:tr>
      <w:tr>
        <w:trPr>
          <w:trHeight w:val="217"/>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rPr>
              <w:t>10,346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10,102</w:t>
            </w:r>
          </w:p>
        </w:tc>
      </w:tr>
      <w:tr>
        <w:trPr>
          <w:trHeight w:val="33"/>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318"/>
        </w:trPr>
        <w:tc>
          <w:tcPr>
            <w:tcW w:w="5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37"/>
        </w:trPr>
        <w:tc>
          <w:tcPr>
            <w:tcW w:w="584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0"/>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7"/>
              </w:rPr>
              <w:t>Shares - Par Value $0.001; Authorized 1,356 shares, Issued and Outstanding 1,000</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9"/>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shares</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r>
      <w:tr>
        <w:trPr>
          <w:trHeight w:val="237"/>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Capital in Excess of Par Value</w:t>
            </w:r>
          </w:p>
        </w:tc>
        <w:tc>
          <w:tcPr>
            <w:tcW w:w="220" w:type="dxa"/>
            <w:vAlign w:val="bottom"/>
          </w:tcPr>
          <w:p>
            <w:pPr>
              <w:spacing w:after="0"/>
              <w:rPr>
                <w:sz w:val="20"/>
                <w:szCs w:val="20"/>
                <w:color w:val="auto"/>
              </w:rPr>
            </w:pP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6,702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6,702</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7</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(6,561)</w:t>
            </w:r>
          </w:p>
        </w:tc>
      </w:tr>
      <w:tr>
        <w:trPr>
          <w:trHeight w:val="237"/>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(1,688)</w:t>
            </w:r>
          </w:p>
        </w:tc>
      </w:tr>
      <w:tr>
        <w:trPr>
          <w:trHeight w:val="33"/>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Weatherford Shareholders’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7</w:t>
            </w:r>
          </w:p>
        </w:tc>
        <w:tc>
          <w:tcPr>
            <w:tcW w:w="6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(1,546)</w:t>
            </w:r>
          </w:p>
        </w:tc>
      </w:tr>
      <w:tr>
        <w:trPr>
          <w:trHeight w:val="243"/>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Noncontrolling Interests</w:t>
            </w:r>
          </w:p>
        </w:tc>
        <w:tc>
          <w:tcPr>
            <w:tcW w:w="220" w:type="dxa"/>
            <w:vAlign w:val="bottom"/>
          </w:tcPr>
          <w:p>
            <w:pPr>
              <w:spacing w:after="0"/>
              <w:rPr>
                <w:sz w:val="21"/>
                <w:szCs w:val="21"/>
                <w:color w:val="auto"/>
              </w:rPr>
            </w:pPr>
          </w:p>
        </w:tc>
        <w:tc>
          <w:tcPr>
            <w:tcW w:w="1400" w:type="dxa"/>
            <w:vAlign w:val="bottom"/>
          </w:tcPr>
          <w:p>
            <w:pPr>
              <w:jc w:val="right"/>
              <w:ind w:right="58"/>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w:t>
            </w:r>
          </w:p>
        </w:tc>
        <w:tc>
          <w:tcPr>
            <w:tcW w:w="680" w:type="dxa"/>
            <w:vAlign w:val="bottom"/>
          </w:tcPr>
          <w:p>
            <w:pPr>
              <w:ind w:left="20"/>
              <w:spacing w:after="0"/>
              <w:rPr>
                <w:sz w:val="20"/>
                <w:szCs w:val="20"/>
                <w:color w:val="auto"/>
              </w:rPr>
            </w:pPr>
            <w:r>
              <w:rPr>
                <w:rFonts w:ascii="Arial" w:cs="Arial" w:eastAsia="Arial" w:hAnsi="Arial"/>
                <w:sz w:val="18"/>
                <w:szCs w:val="18"/>
                <w:color w:val="auto"/>
              </w:rPr>
              <w:t>(g)</w:t>
            </w:r>
          </w:p>
        </w:tc>
        <w:tc>
          <w:tcPr>
            <w:tcW w:w="26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36</w:t>
            </w: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(1,510)</w:t>
            </w:r>
          </w:p>
        </w:tc>
      </w:tr>
      <w:tr>
        <w:trPr>
          <w:trHeight w:val="244"/>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color w:val="auto"/>
              </w:rPr>
              <w:t>8,838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6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8,592</w:t>
            </w: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 to the unaudited pro forma condensed consolidated financial statements.</w:t>
      </w:r>
    </w:p>
    <w:p>
      <w:pPr>
        <w:sectPr>
          <w:pgSz w:w="11900" w:h="16838" w:orient="portrait"/>
          <w:cols w:equalWidth="0" w:num="1">
            <w:col w:w="11400"/>
          </w:cols>
          <w:pgMar w:left="260" w:top="74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60" w:top="742" w:right="239" w:bottom="1440" w:gutter="0" w:footer="0" w:header="0"/>
          <w:type w:val="continuous"/>
        </w:sectPr>
      </w:pPr>
    </w:p>
    <w:bookmarkStart w:id="7" w:name="page8"/>
    <w:bookmarkEnd w:id="7"/>
    <w:p>
      <w:pPr>
        <w:jc w:val="center"/>
        <w:ind w:right="92"/>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jc w:val="center"/>
        <w:ind w:right="92"/>
        <w:spacing w:after="0"/>
        <w:rPr>
          <w:sz w:val="20"/>
          <w:szCs w:val="20"/>
          <w:color w:val="auto"/>
        </w:rPr>
      </w:pPr>
      <w:r>
        <w:rPr>
          <w:rFonts w:ascii="Arial" w:cs="Arial" w:eastAsia="Arial" w:hAnsi="Arial"/>
          <w:sz w:val="18"/>
          <w:szCs w:val="18"/>
          <w:b w:val="1"/>
          <w:bCs w:val="1"/>
          <w:color w:val="auto"/>
        </w:rPr>
        <w:t>NOTES TO UNAUDITED PRO FORMA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the adjustment to interest expense resulting from the assumed repayment of company debt.</w:t>
      </w:r>
    </w:p>
    <w:p>
      <w:pPr>
        <w:spacing w:after="0" w:line="23" w:lineRule="exact"/>
        <w:rPr>
          <w:rFonts w:ascii="Arial" w:cs="Arial" w:eastAsia="Arial" w:hAnsi="Arial"/>
          <w:sz w:val="18"/>
          <w:szCs w:val="18"/>
          <w:color w:val="auto"/>
        </w:rPr>
      </w:pPr>
    </w:p>
    <w:p>
      <w:pPr>
        <w:ind w:left="328" w:right="180" w:hanging="328"/>
        <w:spacing w:after="0" w:line="250"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receivable for the reimbursement of capital expenditures related to the sale of the land drilling rigs operations in Kuwait and Saudi Arabia.</w:t>
      </w:r>
    </w:p>
    <w:p>
      <w:pPr>
        <w:ind w:left="328" w:hanging="328"/>
        <w:spacing w:after="0" w:line="250"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the removal of the property, plant and equipment, inventory, other assets and liabilities, which were classified as held for sale, from the balance sheet due to the sale of the land drilling rigs operations in Kuwait and Saudi Arabia.</w:t>
      </w:r>
    </w:p>
    <w:p>
      <w:pPr>
        <w:ind w:left="328" w:right="80" w:hanging="328"/>
        <w:spacing w:after="0" w:line="250"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the cash proceeds of $215.5 million from the sale of the land drilling rigs operations in Kuwait and Saudi Arabia, before closing costs and customary post-closing working capital adjustment, used to repay debt.</w:t>
      </w:r>
    </w:p>
    <w:p>
      <w:pPr>
        <w:ind w:left="328" w:right="40" w:hanging="328"/>
        <w:spacing w:after="0" w:line="250"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accrued liabilities for estimated professional fees and closing costs related to the sale of the land drilling rigs operations in Kuwait and Saudi Arabia.</w:t>
      </w: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the operating results, including any gain or loss on sales, that would have been recorded as of September 30, 2018.</w:t>
      </w:r>
    </w:p>
    <w:p>
      <w:pPr>
        <w:spacing w:after="0" w:line="9" w:lineRule="exact"/>
        <w:rPr>
          <w:rFonts w:ascii="Arial" w:cs="Arial" w:eastAsia="Arial" w:hAnsi="Arial"/>
          <w:sz w:val="18"/>
          <w:szCs w:val="18"/>
          <w:color w:val="auto"/>
        </w:rPr>
      </w:pPr>
    </w:p>
    <w:p>
      <w:pPr>
        <w:ind w:left="328" w:right="140" w:hanging="328"/>
        <w:spacing w:after="0" w:line="261"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the removal of income attributable to noncontrolling interest owners due to the sale of the land drilling rigs operations in Kuwait and Saudi Arabia.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8"/>
          </w:cols>
          <w:pgMar w:left="572" w:top="580" w:right="45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1637665" cy="668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766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News Release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Completes Sale of Saudi Arabia Land Drilling Rigs</w:t>
      </w:r>
    </w:p>
    <w:p>
      <w:pPr>
        <w:spacing w:after="0" w:line="256" w:lineRule="exact"/>
        <w:rPr>
          <w:sz w:val="20"/>
          <w:szCs w:val="20"/>
          <w:color w:val="auto"/>
        </w:rPr>
      </w:pPr>
    </w:p>
    <w:p>
      <w:pPr>
        <w:jc w:val="both"/>
        <w:ind w:right="720"/>
        <w:spacing w:after="0" w:line="279" w:lineRule="auto"/>
        <w:rPr>
          <w:sz w:val="20"/>
          <w:szCs w:val="20"/>
          <w:color w:val="auto"/>
        </w:rPr>
      </w:pPr>
      <w:r>
        <w:rPr>
          <w:rFonts w:ascii="Arial" w:cs="Arial" w:eastAsia="Arial" w:hAnsi="Arial"/>
          <w:sz w:val="18"/>
          <w:szCs w:val="18"/>
          <w:color w:val="auto"/>
        </w:rPr>
        <w:t>BAAR, Switzerland, November 30, 2018 – Weatherford International plc (NYSE: WFT) (the “Company” or “Weatherford”) today announced it has completed the sale of its Precision Drilling Services Saudi Arabia (“PDSSA”) land drilling operations, including 11 drilling rigs, 923 employees and associated customer contracts to ADES International Holding Ltd. for $92.5 million in cash.</w:t>
      </w:r>
    </w:p>
    <w:p>
      <w:pPr>
        <w:spacing w:after="0" w:line="1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July 2018, a subsidiary of Weatherford signed definitive agreements with ADES International Holding Ltd. for the sale of Weatherford’s land drilling rig operations in Algeria, Kuwait and Saudi Arabia as well as two idle land rigs in Iraq, for an aggregate cash purchase price of $287.5 million (the “Transaction”). The Transaction includes 31 land drilling rigs and related drilling contracts, as well as approximately 2,300 employees and contract personnel.</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is the second in a series of four closings, the majority of which are expected to be completed by year-end 2018, subject to regulatory approvals, consents and other customary closing conditions. In November 2018, the Company announced the closing of the Kuwait land drilling rigs sale for $123 million in cash, and an additional $12 million in cash pending the delivery of the two idle land drilling rigs from Iraq. Weatherford will use the proceeds to reduce its debt.</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w:t>
      </w:r>
    </w:p>
    <w:p>
      <w:pPr>
        <w:spacing w:after="0" w:line="27"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1D1D1A"/>
        </w:rPr>
        <w:t>Weatherford is one of the largest multinational oilfield service companies providing innovative solutions, technology and services to the oil and gas industry. The Company operates in over 90 countries and has a network of approximately 710 locations, including manufacturing, service, research and development, and training facilities and employs approximately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1D1D1A"/>
        </w:rPr>
        <w:t xml:space="preserve">28,450 people. For more information, visit </w:t>
      </w:r>
      <w:r>
        <w:rPr>
          <w:rFonts w:ascii="Arial" w:cs="Arial" w:eastAsia="Arial" w:hAnsi="Arial"/>
          <w:sz w:val="18"/>
          <w:szCs w:val="18"/>
          <w:u w:val="single" w:color="auto"/>
          <w:color w:val="2AA4A8"/>
        </w:rPr>
        <w:t>www.weatherford.com</w:t>
      </w:r>
      <w:r>
        <w:rPr>
          <w:rFonts w:ascii="Arial" w:cs="Arial" w:eastAsia="Arial" w:hAnsi="Arial"/>
          <w:sz w:val="18"/>
          <w:szCs w:val="18"/>
          <w:color w:val="1D1D1A"/>
        </w:rPr>
        <w:t xml:space="preserve"> and connect with Weatherford on </w:t>
      </w:r>
      <w:r>
        <w:rPr>
          <w:rFonts w:ascii="Arial" w:cs="Arial" w:eastAsia="Arial" w:hAnsi="Arial"/>
          <w:sz w:val="18"/>
          <w:szCs w:val="18"/>
          <w:u w:val="single" w:color="auto"/>
          <w:color w:val="2AA4A8"/>
        </w:rPr>
        <w:t>LinkedIn</w:t>
      </w:r>
      <w:r>
        <w:rPr>
          <w:rFonts w:ascii="Arial" w:cs="Arial" w:eastAsia="Arial" w:hAnsi="Arial"/>
          <w:sz w:val="18"/>
          <w:szCs w:val="18"/>
          <w:color w:val="1D1D1A"/>
        </w:rPr>
        <w:t xml:space="preserve">, </w:t>
      </w:r>
      <w:r>
        <w:rPr>
          <w:rFonts w:ascii="Arial" w:cs="Arial" w:eastAsia="Arial" w:hAnsi="Arial"/>
          <w:sz w:val="18"/>
          <w:szCs w:val="18"/>
          <w:u w:val="single" w:color="auto"/>
          <w:color w:val="2AA4A8"/>
        </w:rPr>
        <w:t>Facebook</w:t>
      </w:r>
      <w:r>
        <w:rPr>
          <w:rFonts w:ascii="Arial" w:cs="Arial" w:eastAsia="Arial" w:hAnsi="Arial"/>
          <w:sz w:val="18"/>
          <w:szCs w:val="18"/>
          <w:color w:val="1D1D1A"/>
        </w:rPr>
        <w:t xml:space="preserve">, </w:t>
      </w:r>
      <w:r>
        <w:rPr>
          <w:rFonts w:ascii="Arial" w:cs="Arial" w:eastAsia="Arial" w:hAnsi="Arial"/>
          <w:sz w:val="18"/>
          <w:szCs w:val="18"/>
          <w:u w:val="single" w:color="auto"/>
          <w:color w:val="2AA4A8"/>
        </w:rPr>
        <w:t>Twitter</w:t>
      </w:r>
      <w:r>
        <w:rPr>
          <w:rFonts w:ascii="Arial" w:cs="Arial" w:eastAsia="Arial" w:hAnsi="Arial"/>
          <w:sz w:val="18"/>
          <w:szCs w:val="18"/>
          <w:color w:val="1D1D1A"/>
        </w:rPr>
        <w:t xml:space="preserve"> and </w:t>
      </w:r>
      <w:r>
        <w:rPr>
          <w:rFonts w:ascii="Arial" w:cs="Arial" w:eastAsia="Arial" w:hAnsi="Arial"/>
          <w:sz w:val="18"/>
          <w:szCs w:val="18"/>
          <w:u w:val="single" w:color="auto"/>
          <w:color w:val="2AA4A8"/>
        </w:rPr>
        <w:t>YouTube</w:t>
      </w:r>
      <w:r>
        <w:rPr>
          <w:rFonts w:ascii="Arial" w:cs="Arial" w:eastAsia="Arial" w:hAnsi="Arial"/>
          <w:sz w:val="18"/>
          <w:szCs w:val="18"/>
          <w:color w:val="1D1D1A"/>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ADES International Holding</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ADES International Holding extends oil and gas drilling and production services through its subsidiaries and is a leading service provider in the Middle East and Africa, offering onshore contract drilling as well as workover and production services. Its over 2,500 employees serve clients including major national oil companies (“NOCs”) such as Saudi Aramco, Kuwait Oil Company and Sonatrach as well as joint ventures of NOCs with global majors including BP and Eni. While maintaining a superior health, safety and environmental record, the Group currently has a fleet of thirteen jack-up offshore drilling rigs, fifteen onshore drilling rigs, a jack-up barge, and a mobile offshore production.</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1D1D1A"/>
        </w:rPr>
        <w:t>This press release includes forward-looking statements as defined under federal law, including, but not limited to, those related to the sale transactions described in this press release and the use of proceeds therefrom. These forward-looking statements are generally identified by the words “believe,” “expect,” “anticipate,” “estimate,” “intend,” “plan,” “may,” “should,” “could,” “will,” “would,” and “will be,” and similar expressions, although not all forward-looking statements contain these identifying words. Such statements are subject to significant risks, assumptions and uncertainties. Known material factors that could cause the Company’s actual results to differ materially from the results contemplated by such forward-looking statements are described in the forward looking statements and risk factors in the Company’s Annual Report on Form 10-K for the fiscal year ended December 31, 2017 and those risk factors set forth from time-to-time in other filings with the Securities and Exchange Commission. Weatherford undertakes no obligation to correct or update any forward-looking statement, whether as a result of new information, future events, or otherwise, except to the extent required under federal securities laws.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2920" w:type="dxa"/>
            <w:vAlign w:val="bottom"/>
          </w:tcPr>
          <w:p>
            <w:pPr>
              <w:spacing w:after="0"/>
              <w:rPr>
                <w:sz w:val="20"/>
                <w:szCs w:val="20"/>
                <w:color w:val="auto"/>
              </w:rPr>
            </w:pPr>
          </w:p>
        </w:tc>
      </w:tr>
      <w:tr>
        <w:trPr>
          <w:trHeight w:val="378"/>
        </w:trPr>
        <w:tc>
          <w:tcPr>
            <w:tcW w:w="8260" w:type="dxa"/>
            <w:vAlign w:val="bottom"/>
          </w:tcPr>
          <w:p>
            <w:pPr>
              <w:ind w:left="40"/>
              <w:spacing w:after="0"/>
              <w:rPr>
                <w:sz w:val="20"/>
                <w:szCs w:val="20"/>
                <w:color w:val="auto"/>
              </w:rPr>
            </w:pPr>
            <w:r>
              <w:rPr>
                <w:rFonts w:ascii="Arial" w:cs="Arial" w:eastAsia="Arial" w:hAnsi="Arial"/>
                <w:sz w:val="18"/>
                <w:szCs w:val="18"/>
                <w:color w:val="auto"/>
              </w:rPr>
              <w:t>Christoph Bausch</w:t>
            </w:r>
          </w:p>
        </w:tc>
        <w:tc>
          <w:tcPr>
            <w:tcW w:w="2920" w:type="dxa"/>
            <w:vAlign w:val="bottom"/>
          </w:tcPr>
          <w:p>
            <w:pPr>
              <w:jc w:val="right"/>
              <w:spacing w:after="0"/>
              <w:rPr>
                <w:sz w:val="20"/>
                <w:szCs w:val="20"/>
                <w:color w:val="auto"/>
              </w:rPr>
            </w:pPr>
            <w:r>
              <w:rPr>
                <w:rFonts w:ascii="Arial" w:cs="Arial" w:eastAsia="Arial" w:hAnsi="Arial"/>
                <w:sz w:val="18"/>
                <w:szCs w:val="18"/>
                <w:color w:val="auto"/>
              </w:rPr>
              <w:t>+1.713.836.4615</w:t>
            </w: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c>
          <w:tcPr>
            <w:tcW w:w="2920" w:type="dxa"/>
            <w:vAlign w:val="bottom"/>
          </w:tcPr>
          <w:p>
            <w:pPr>
              <w:spacing w:after="0"/>
              <w:rPr>
                <w:sz w:val="23"/>
                <w:szCs w:val="23"/>
                <w:color w:val="auto"/>
              </w:rPr>
            </w:pPr>
          </w:p>
        </w:tc>
      </w:tr>
      <w:tr>
        <w:trPr>
          <w:trHeight w:val="540"/>
        </w:trPr>
        <w:tc>
          <w:tcPr>
            <w:tcW w:w="8260" w:type="dxa"/>
            <w:vAlign w:val="bottom"/>
          </w:tcPr>
          <w:p>
            <w:pPr>
              <w:ind w:left="40"/>
              <w:spacing w:after="0"/>
              <w:rPr>
                <w:sz w:val="20"/>
                <w:szCs w:val="20"/>
                <w:color w:val="auto"/>
              </w:rPr>
            </w:pPr>
            <w:r>
              <w:rPr>
                <w:rFonts w:ascii="Arial" w:cs="Arial" w:eastAsia="Arial" w:hAnsi="Arial"/>
                <w:sz w:val="18"/>
                <w:szCs w:val="18"/>
                <w:color w:val="auto"/>
              </w:rPr>
              <w:t>Karen David-Green</w:t>
            </w:r>
          </w:p>
        </w:tc>
        <w:tc>
          <w:tcPr>
            <w:tcW w:w="292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Senior Vice President, Stakeholder Engagement and Chief Marketing Officer, Weatherford</w:t>
            </w:r>
          </w:p>
        </w:tc>
        <w:tc>
          <w:tcPr>
            <w:tcW w:w="29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2019-12-28T17:27:47Z</dcterms:created>
  <dcterms:modified xsi:type="dcterms:W3CDTF">2019-12-28T17:27:47Z</dcterms:modified>
</cp:coreProperties>
</file>