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16,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835" w:right="239" w:bottom="1440" w:gutter="0" w:footer="0" w:header="0"/>
        </w:sectPr>
      </w:pPr>
    </w:p>
    <w:p>
      <w:pPr>
        <w:spacing w:after="0" w:line="20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001-36504</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98-0606750</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180" w:space="720"/>
            <w:col w:w="2740" w:space="720"/>
            <w:col w:w="3060"/>
          </w:cols>
          <w:pgMar w:left="240" w:top="835" w:right="2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420"/>
          </w:cols>
          <w:pgMar w:left="240" w:top="835" w:right="239" w:bottom="144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2000 St. James Place, Houston, Texas</w:t>
      </w:r>
    </w:p>
    <w:p>
      <w:pPr>
        <w:spacing w:after="0" w:line="4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77056</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835"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836-4000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$0.001 per share</w:t>
            </w:r>
          </w:p>
        </w:tc>
        <w:tc>
          <w:tcPr>
            <w:tcW w:w="12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WFTIQ</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340"/>
        <w:spacing w:after="0" w:line="207" w:lineRule="exact"/>
        <w:tabs>
          <w:tab w:leader="none" w:pos="2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5" w:right="23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5" w:lineRule="exact"/>
        <w:rPr>
          <w:sz w:val="20"/>
          <w:szCs w:val="20"/>
          <w:color w:val="auto"/>
        </w:rPr>
      </w:pPr>
    </w:p>
    <w:p>
      <w:pPr>
        <w:ind w:right="740" w:firstLine="648"/>
        <w:spacing w:after="0" w:line="286" w:lineRule="auto"/>
        <w:rPr>
          <w:sz w:val="20"/>
          <w:szCs w:val="20"/>
          <w:color w:val="auto"/>
        </w:rPr>
      </w:pPr>
      <w:r>
        <w:rPr>
          <w:rFonts w:ascii="Times New Roman" w:cs="Times New Roman" w:eastAsia="Times New Roman" w:hAnsi="Times New Roman"/>
          <w:sz w:val="18"/>
          <w:szCs w:val="18"/>
          <w:color w:val="auto"/>
        </w:rPr>
        <w:t>On October 16, 2019, Weatherford International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provided additional information related to the financial projections it previously released on October 7, 2019. The additional information is attached as Exhibit 99.1 to this Current Report on Form 8-K.</w:t>
      </w:r>
    </w:p>
    <w:p>
      <w:pPr>
        <w:spacing w:after="0" w:line="15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in Exhibit 99.1,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entered into between the Company and the other parties thereto; risks attendant to the bankruptcy process, the outcomes of bankruptcy cases and examinership proceedings in general and the length of time that we may be required to operate in bankruptcy; the effectiveness of the overall restructuring activities and any additional strategies that we may employ to address our liquidity and capital resources; restrictions on us due to the terms of any debtor-in-possession credit facility that we have entered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1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 xml:space="preserve">(d) </w:t>
            </w:r>
            <w:r>
              <w:rPr>
                <w:rFonts w:ascii="Times New Roman" w:cs="Times New Roman" w:eastAsia="Times New Roman" w:hAnsi="Times New Roman"/>
                <w:sz w:val="18"/>
                <w:szCs w:val="18"/>
                <w:i w:val="1"/>
                <w:iCs w:val="1"/>
                <w:color w:val="auto"/>
                <w:w w:val="98"/>
              </w:rPr>
              <w:t>Exhibits.</w:t>
            </w: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140" w:type="dxa"/>
            <w:vAlign w:val="bottom"/>
            <w:gridSpan w:val="2"/>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4"/>
                <w:szCs w:val="14"/>
                <w:color w:val="auto"/>
              </w:rPr>
            </w:pPr>
          </w:p>
        </w:tc>
        <w:tc>
          <w:tcPr>
            <w:tcW w:w="10160" w:type="dxa"/>
            <w:vAlign w:val="bottom"/>
            <w:gridSpan w:val="2"/>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Supplemental Forecast Information</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75"/>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vMerge w:val="restart"/>
          </w:tcPr>
          <w:p>
            <w:pPr>
              <w:jc w:val="right"/>
              <w:ind w:right="4490"/>
              <w:spacing w:after="0"/>
              <w:rPr>
                <w:sz w:val="20"/>
                <w:szCs w:val="20"/>
                <w:color w:val="auto"/>
              </w:rPr>
            </w:pPr>
            <w:r>
              <w:rPr>
                <w:rFonts w:ascii="Times New Roman" w:cs="Times New Roman" w:eastAsia="Times New Roman" w:hAnsi="Times New Roman"/>
                <w:sz w:val="18"/>
                <w:szCs w:val="18"/>
                <w:color w:val="auto"/>
                <w:w w:val="99"/>
              </w:rPr>
              <w:t>Date: October 16, 2019</w:t>
            </w: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tc>
        <w:tc>
          <w:tcPr>
            <w:tcW w:w="0" w:type="dxa"/>
            <w:vAlign w:val="bottom"/>
          </w:tcPr>
          <w:p>
            <w:pPr>
              <w:spacing w:after="0"/>
              <w:rPr>
                <w:sz w:val="1"/>
                <w:szCs w:val="1"/>
                <w:color w:val="auto"/>
              </w:rPr>
            </w:pPr>
          </w:p>
        </w:tc>
      </w:tr>
      <w:tr>
        <w:trPr>
          <w:trHeight w:val="216"/>
        </w:trPr>
        <w:tc>
          <w:tcPr>
            <w:tcW w:w="6280" w:type="dxa"/>
            <w:vAlign w:val="bottom"/>
            <w:vMerge w:val="continue"/>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M. Ibrahim</w:t>
            </w:r>
          </w:p>
        </w:tc>
        <w:tc>
          <w:tcPr>
            <w:tcW w:w="0" w:type="dxa"/>
            <w:vAlign w:val="bottom"/>
          </w:tcPr>
          <w:p>
            <w:pPr>
              <w:spacing w:after="0"/>
              <w:rPr>
                <w:sz w:val="1"/>
                <w:szCs w:val="1"/>
                <w:color w:val="auto"/>
              </w:rPr>
            </w:pPr>
          </w:p>
        </w:tc>
      </w:tr>
      <w:tr>
        <w:trPr>
          <w:trHeight w:val="191"/>
        </w:trPr>
        <w:tc>
          <w:tcPr>
            <w:tcW w:w="62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Christina M. Ibrahim</w:t>
            </w:r>
          </w:p>
        </w:tc>
        <w:tc>
          <w:tcPr>
            <w:tcW w:w="0" w:type="dxa"/>
            <w:vAlign w:val="bottom"/>
          </w:tcPr>
          <w:p>
            <w:pPr>
              <w:spacing w:after="0"/>
              <w:rPr>
                <w:sz w:val="1"/>
                <w:szCs w:val="1"/>
                <w:color w:val="auto"/>
              </w:rPr>
            </w:pPr>
          </w:p>
        </w:tc>
      </w:tr>
      <w:tr>
        <w:trPr>
          <w:trHeight w:val="216"/>
        </w:trPr>
        <w:tc>
          <w:tcPr>
            <w:tcW w:w="6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 Officer</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Secretary</w:t>
            </w:r>
          </w:p>
        </w:tc>
        <w:tc>
          <w:tcPr>
            <w:tcW w:w="0" w:type="dxa"/>
            <w:vAlign w:val="bottom"/>
          </w:tcPr>
          <w:p>
            <w:pPr>
              <w:spacing w:after="0"/>
              <w:rPr>
                <w:sz w:val="1"/>
                <w:szCs w:val="1"/>
                <w:color w:val="auto"/>
              </w:rPr>
            </w:pPr>
          </w:p>
        </w:tc>
      </w:tr>
      <w:tr>
        <w:trPr>
          <w:trHeight w:val="702"/>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ind w:left="103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both"/>
        <w:ind w:right="680" w:firstLine="551"/>
        <w:spacing w:after="0" w:line="262" w:lineRule="auto"/>
        <w:rPr>
          <w:sz w:val="20"/>
          <w:szCs w:val="20"/>
          <w:color w:val="auto"/>
        </w:rPr>
      </w:pPr>
      <w:r>
        <w:rPr>
          <w:rFonts w:ascii="Times New Roman" w:cs="Times New Roman" w:eastAsia="Times New Roman" w:hAnsi="Times New Roman"/>
          <w:sz w:val="18"/>
          <w:szCs w:val="18"/>
          <w:color w:val="auto"/>
        </w:rPr>
        <w:t>Weatherford International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prepared a set of financial projections for years 2019 through 2022 that were included in the Company’s disclosure statement (the “</w:t>
      </w:r>
      <w:r>
        <w:rPr>
          <w:rFonts w:ascii="Times New Roman" w:cs="Times New Roman" w:eastAsia="Times New Roman" w:hAnsi="Times New Roman"/>
          <w:sz w:val="18"/>
          <w:szCs w:val="18"/>
          <w:b w:val="1"/>
          <w:bCs w:val="1"/>
          <w:i w:val="1"/>
          <w:iCs w:val="1"/>
          <w:color w:val="auto"/>
        </w:rPr>
        <w:t>Disclosure Statement Projections</w:t>
      </w:r>
      <w:r>
        <w:rPr>
          <w:rFonts w:ascii="Times New Roman" w:cs="Times New Roman" w:eastAsia="Times New Roman" w:hAnsi="Times New Roman"/>
          <w:sz w:val="18"/>
          <w:szCs w:val="18"/>
          <w:color w:val="auto"/>
        </w:rPr>
        <w:t>”) as part of its case under Chapter 11 of the United States Bankruptcy Code (“</w:t>
      </w:r>
      <w:r>
        <w:rPr>
          <w:rFonts w:ascii="Times New Roman" w:cs="Times New Roman" w:eastAsia="Times New Roman" w:hAnsi="Times New Roman"/>
          <w:sz w:val="18"/>
          <w:szCs w:val="18"/>
          <w:b w:val="1"/>
          <w:bCs w:val="1"/>
          <w:i w:val="1"/>
          <w:iCs w:val="1"/>
          <w:color w:val="auto"/>
        </w:rPr>
        <w:t>Chapter 11</w:t>
      </w:r>
      <w:r>
        <w:rPr>
          <w:rFonts w:ascii="Times New Roman" w:cs="Times New Roman" w:eastAsia="Times New Roman" w:hAnsi="Times New Roman"/>
          <w:sz w:val="18"/>
          <w:szCs w:val="18"/>
          <w:color w:val="auto"/>
        </w:rPr>
        <w:t>”) in the U.S. Bankruptcy Court for the Southern District of Texas. The Company has subsequently revised its financial projections (the “</w:t>
      </w:r>
      <w:r>
        <w:rPr>
          <w:rFonts w:ascii="Times New Roman" w:cs="Times New Roman" w:eastAsia="Times New Roman" w:hAnsi="Times New Roman"/>
          <w:sz w:val="18"/>
          <w:szCs w:val="18"/>
          <w:b w:val="1"/>
          <w:bCs w:val="1"/>
          <w:i w:val="1"/>
          <w:iCs w:val="1"/>
          <w:color w:val="auto"/>
        </w:rPr>
        <w:t>Updated Projections</w:t>
      </w:r>
      <w:r>
        <w:rPr>
          <w:rFonts w:ascii="Times New Roman" w:cs="Times New Roman" w:eastAsia="Times New Roman" w:hAnsi="Times New Roman"/>
          <w:sz w:val="18"/>
          <w:szCs w:val="18"/>
          <w:color w:val="auto"/>
        </w:rPr>
        <w:t>”) and on October 7, 2019, disclosed via a Form 8-K as required pursuant to its Irish examinership proceeding.</w:t>
      </w:r>
    </w:p>
    <w:p>
      <w:pPr>
        <w:spacing w:after="0" w:line="181"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The Disclosure Statement Projections were finalized in June 2019 and included the Company’s actual financial results through April 2019 and forecasted financial results from May 2019 onwards. Since that time, the outlook for the oilfield services sector has declined necessitating that the Company reassess its outlook for 2019 as well as the subsequent projection years.</w:t>
      </w:r>
    </w:p>
    <w:p>
      <w:pPr>
        <w:spacing w:after="0" w:line="176" w:lineRule="exact"/>
        <w:rPr>
          <w:sz w:val="20"/>
          <w:szCs w:val="20"/>
          <w:color w:val="auto"/>
        </w:rPr>
      </w:pPr>
    </w:p>
    <w:p>
      <w:pPr>
        <w:ind w:right="20" w:firstLine="551"/>
        <w:spacing w:after="0" w:line="255" w:lineRule="auto"/>
        <w:rPr>
          <w:sz w:val="20"/>
          <w:szCs w:val="20"/>
          <w:color w:val="auto"/>
        </w:rPr>
      </w:pPr>
      <w:r>
        <w:rPr>
          <w:rFonts w:ascii="Times New Roman" w:cs="Times New Roman" w:eastAsia="Times New Roman" w:hAnsi="Times New Roman"/>
          <w:sz w:val="18"/>
          <w:szCs w:val="18"/>
          <w:color w:val="auto"/>
        </w:rPr>
        <w:t>The Updated Projections reflect the Company’s revised outlook for 2019, including actual financial results through August 2019 as well as a lower oil price forecast through 2021, which consequently reduces the outlook for both rig count and customer spending. For example, the Updated Projections are predicated on assumed Brent Crude Oil prices in 2020 of $60 per barrel as compared to a $70 per barrel price used for the Disclosure Statement Projections. The negative impact of the revised market outlook is concentrated in the United States, as evidenced by a 12% reduction in US rig count from June to October 2019 and is also expected to impact the ramp-up of new technology introductions. The Updated Projections assume negative current end-market growth assumptions for North America, largely driven by the United States. Internationally, growth in Latin America is expected to contract in the short-term, offset by improvements in Asia and Middle East North Africa. Overall, capital expenditure is expected to decline globally in 2020 across the Company’s end-markets. A summary of the key changes encapsulated in the Updated Projections is shown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Revised Management Forecast Bridge for Updated Projections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Pr>
          <w:p>
            <w:pPr>
              <w:spacing w:after="0"/>
              <w:rPr>
                <w:sz w:val="15"/>
                <w:szCs w:val="15"/>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49"/>
              <w:spacing w:after="0" w:line="183" w:lineRule="exact"/>
              <w:rPr>
                <w:sz w:val="20"/>
                <w:szCs w:val="20"/>
                <w:color w:val="auto"/>
              </w:rPr>
            </w:pPr>
            <w:r>
              <w:rPr>
                <w:rFonts w:ascii="Times New Roman" w:cs="Times New Roman" w:eastAsia="Times New Roman" w:hAnsi="Times New Roman"/>
                <w:sz w:val="13"/>
                <w:szCs w:val="13"/>
                <w:b w:val="1"/>
                <w:bCs w:val="1"/>
                <w:color w:val="auto"/>
              </w:rPr>
              <w:t>2019</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Disclosure Statement Projections</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5,385</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5,442</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5,632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5,801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640</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1,046</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6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 of World</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Technology</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w:t>
            </w:r>
          </w:p>
        </w:tc>
        <w:tc>
          <w:tcPr>
            <w:tcW w:w="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(267</w:t>
            </w:r>
          </w:p>
        </w:tc>
        <w:tc>
          <w:tcPr>
            <w:tcW w:w="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w:t>
            </w:r>
          </w:p>
        </w:tc>
        <w:tc>
          <w:tcPr>
            <w:tcW w:w="1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w:t>
            </w:r>
          </w:p>
        </w:tc>
        <w:tc>
          <w:tcPr>
            <w:tcW w:w="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w:t>
            </w:r>
          </w:p>
        </w:tc>
        <w:tc>
          <w:tcPr>
            <w:tcW w:w="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w:t>
            </w:r>
          </w:p>
        </w:tc>
        <w:tc>
          <w:tcPr>
            <w:tcW w:w="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w:t>
            </w:r>
          </w:p>
        </w:tc>
        <w:tc>
          <w:tcPr>
            <w:tcW w:w="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Updated Projections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5,348</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5,175</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5,452</w:t>
            </w:r>
          </w:p>
        </w:tc>
        <w:tc>
          <w:tcPr>
            <w:tcW w:w="26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5,615</w:t>
            </w: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580</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750</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900</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Memo: EBITDA Margin</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i w:val="1"/>
                <w:iCs w:val="1"/>
                <w:color w:val="auto"/>
              </w:rPr>
              <w:t>10.8%</w:t>
            </w: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14.5%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rPr>
              <w:t>16.5%</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16.9%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Actual EBITDA for the first six months of 2019 was approximately $243 million.</w:t>
      </w:r>
    </w:p>
    <w:p>
      <w:pPr>
        <w:spacing w:after="0" w:line="225" w:lineRule="exact"/>
        <w:rPr>
          <w:sz w:val="20"/>
          <w:szCs w:val="20"/>
          <w:color w:val="auto"/>
        </w:rPr>
      </w:pPr>
    </w:p>
    <w:p>
      <w:pPr>
        <w:ind w:right="80" w:firstLine="551"/>
        <w:spacing w:after="0" w:line="256" w:lineRule="auto"/>
        <w:rPr>
          <w:sz w:val="20"/>
          <w:szCs w:val="20"/>
          <w:color w:val="auto"/>
        </w:rPr>
      </w:pPr>
      <w:r>
        <w:rPr>
          <w:rFonts w:ascii="Times New Roman" w:cs="Times New Roman" w:eastAsia="Times New Roman" w:hAnsi="Times New Roman"/>
          <w:sz w:val="18"/>
          <w:szCs w:val="18"/>
          <w:color w:val="auto"/>
        </w:rPr>
        <w:t>The Updated Projections reflect improved operating performance in 2020 and 2021 relative to 2019. Consistent with the Disclosure Statement Projections, the Updated Projections for 2020 include approximately $120 million of anticipated benefits from cost savings initiatives related to reductions in direct and support costs consistent with lower activity levels, combined with benefits from the Company’s manufacturing footprint rationalization implemented at the end of 2018 and early 2019. The Company also expects benefits from several supply chain initiatives that have been executed over the past calendar year and an approximately $50 million reduction in net compensation costs as restructuring-retention programs are phased out. Summarized below is a bridge of the key factors that underlie the changes in revenue and EBITDA performance in the Updated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Year-Over-Year Forecast Bridge for Updated Projections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in Millions)</w:t>
            </w:r>
          </w:p>
        </w:tc>
        <w:tc>
          <w:tcPr>
            <w:tcW w:w="26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Prior Year Projections</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5,175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Activity</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w:t>
            </w:r>
          </w:p>
        </w:tc>
        <w:tc>
          <w:tcPr>
            <w:tcW w:w="4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c>
          <w:tcPr>
            <w:tcW w:w="100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Transformation &amp; New Technology</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Divestitures</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&amp; Other One-Time Items</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7"/>
                <w:szCs w:val="17"/>
                <w:color w:val="auto"/>
              </w:rPr>
            </w:pPr>
          </w:p>
        </w:tc>
        <w:tc>
          <w:tcPr>
            <w:tcW w:w="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240" w:type="dxa"/>
            <w:vAlign w:val="bottom"/>
          </w:tcPr>
          <w:p>
            <w:pPr>
              <w:spacing w:after="0"/>
              <w:rPr>
                <w:sz w:val="17"/>
                <w:szCs w:val="17"/>
                <w:color w:val="auto"/>
              </w:rPr>
            </w:pPr>
          </w:p>
        </w:tc>
        <w:tc>
          <w:tcPr>
            <w:tcW w:w="52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Year Projections</w:t>
            </w: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5,175</w:t>
            </w:r>
          </w:p>
        </w:tc>
        <w:tc>
          <w:tcPr>
            <w:tcW w:w="140" w:type="dxa"/>
            <w:vAlign w:val="bottom"/>
          </w:tcPr>
          <w:p>
            <w:pPr>
              <w:spacing w:after="0"/>
              <w:rPr>
                <w:sz w:val="17"/>
                <w:szCs w:val="17"/>
                <w:color w:val="auto"/>
              </w:rPr>
            </w:pPr>
          </w:p>
        </w:tc>
        <w:tc>
          <w:tcPr>
            <w:tcW w:w="56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5,452</w:t>
            </w:r>
          </w:p>
        </w:tc>
        <w:tc>
          <w:tcPr>
            <w:tcW w:w="64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750</w:t>
            </w: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Memo: EBITDA Margin</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14.5%</w:t>
            </w:r>
          </w:p>
        </w:tc>
        <w:tc>
          <w:tcPr>
            <w:tcW w:w="5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color w:val="auto"/>
        </w:rPr>
        <w:t>As announced on October 7, 2019, the Company remains on its previously disclosed timeline to emerge from bankruptcy in the fourth quarter of 2019 with ample liquidity and significantly reduced debt. Anticipated liquidity at year-end 2019 is approximately $950 million comprised of $535 million of unrestricted cash, as shown in the Form 8-K, approximately $100 million of trapped cash, approximately $50 million of cash collateralizing bilateral letters of credit (“LCs”) in foreign jurisdictions and approximately $250 million of liquidity through availability on its contemplated exit financing facilities ranging between $600 and $650 million. The $535 million of unrestricted cash disclosed in the Form 8-K can be bridged to the $419 million Q4’19 ending cash balance in the Disclosure Statement Projections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Disclosure Statement to 8-K Cash Bridge</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 Q4'19 DS Ending Cash</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New Money Exit Senior Unsecured Notes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2H'19 Operating Performance / Working Capital</w:t>
            </w:r>
          </w:p>
        </w:tc>
        <w:tc>
          <w:tcPr>
            <w:tcW w:w="2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Additional Backstop Fees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Trapped Cash</w:t>
            </w:r>
          </w:p>
        </w:tc>
        <w:tc>
          <w:tcPr>
            <w:tcW w:w="2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Cash Collateralizing LCs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Anticipated Incremental Process Costs Due To Longer Process</w:t>
            </w:r>
          </w:p>
        </w:tc>
        <w:tc>
          <w:tcPr>
            <w:tcW w:w="2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8-K Q4'19 Unrestricted Cash</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Trapped Cash</w:t>
            </w:r>
          </w:p>
        </w:tc>
        <w:tc>
          <w:tcPr>
            <w:tcW w:w="2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Cash Collateralizing LCs</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Q4'19 Total Cash</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FFFFFF"/>
              </w:rPr>
              <w:t>Disclosure Statement to 8-K Cash Bridge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2019-12-28T05:32:55Z</dcterms:created>
  <dcterms:modified xsi:type="dcterms:W3CDTF">2019-12-28T05:32:55Z</dcterms:modified>
</cp:coreProperties>
</file>