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511175</wp:posOffset>
            </wp:positionH>
            <wp:positionV relativeFrom="paragraph">
              <wp:posOffset>-224155</wp:posOffset>
            </wp:positionV>
            <wp:extent cx="664654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46545" cy="8890"/>
                    </a:xfrm>
                    <a:prstGeom prst="rect">
                      <a:avLst/>
                    </a:prstGeom>
                    <a:noFill/>
                  </pic:spPr>
                </pic:pic>
              </a:graphicData>
            </a:graphic>
          </wp:anchor>
        </w:drawing>
      </w:r>
    </w:p>
    <w:p>
      <w:pPr>
        <w:spacing w:after="0" w:line="2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2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312"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CURRENT REPORT</w:t>
      </w:r>
    </w:p>
    <w:p>
      <w:pPr>
        <w:spacing w:after="0" w:line="4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34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April 24, 2018</w:t>
      </w:r>
    </w:p>
    <w:p>
      <w:pPr>
        <w:spacing w:after="0" w:line="348" w:lineRule="exact"/>
        <w:rPr>
          <w:sz w:val="24"/>
          <w:szCs w:val="24"/>
          <w:color w:val="auto"/>
        </w:rPr>
      </w:pPr>
    </w:p>
    <w:p>
      <w:pPr>
        <w:jc w:val="center"/>
        <w:ind w:right="-119"/>
        <w:spacing w:after="0"/>
        <w:rPr>
          <w:sz w:val="20"/>
          <w:szCs w:val="20"/>
          <w:color w:val="auto"/>
        </w:rPr>
      </w:pPr>
      <w:r>
        <w:rPr>
          <w:rFonts w:ascii="Arial" w:cs="Arial" w:eastAsia="Arial" w:hAnsi="Arial"/>
          <w:sz w:val="40"/>
          <w:szCs w:val="40"/>
          <w:b w:val="1"/>
          <w:bCs w:val="1"/>
          <w:color w:val="auto"/>
        </w:rPr>
        <w:t>Weatherford International public limited company</w:t>
      </w:r>
    </w:p>
    <w:p>
      <w:pPr>
        <w:spacing w:after="0" w:line="4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67" w:lineRule="exact"/>
        <w:rPr>
          <w:sz w:val="24"/>
          <w:szCs w:val="24"/>
          <w:color w:val="auto"/>
        </w:rPr>
      </w:pPr>
    </w:p>
    <w:tbl>
      <w:tblPr>
        <w:tblLayout w:type="fixed"/>
        <w:tblInd w:w="1100" w:type="dxa"/>
        <w:tblCellMar>
          <w:top w:w="0" w:type="dxa"/>
          <w:left w:w="0" w:type="dxa"/>
          <w:bottom w:w="0" w:type="dxa"/>
          <w:right w:w="0" w:type="dxa"/>
        </w:tblCellMar>
      </w:tblPr>
      <w:tr>
        <w:trPr>
          <w:trHeight w:val="234"/>
        </w:trPr>
        <w:tc>
          <w:tcPr>
            <w:tcW w:w="3100" w:type="dxa"/>
            <w:vAlign w:val="bottom"/>
          </w:tcPr>
          <w:p>
            <w:pPr>
              <w:jc w:val="center"/>
              <w:spacing w:after="0"/>
              <w:rPr>
                <w:sz w:val="20"/>
                <w:szCs w:val="20"/>
                <w:color w:val="auto"/>
              </w:rPr>
            </w:pPr>
            <w:r>
              <w:rPr>
                <w:rFonts w:ascii="Arial" w:cs="Arial" w:eastAsia="Arial" w:hAnsi="Arial"/>
                <w:sz w:val="18"/>
                <w:szCs w:val="18"/>
                <w:b w:val="1"/>
                <w:bCs w:val="1"/>
                <w:color w:val="auto"/>
                <w:w w:val="94"/>
              </w:rPr>
              <w:t>Ireland</w:t>
            </w:r>
          </w:p>
        </w:tc>
        <w:tc>
          <w:tcPr>
            <w:tcW w:w="2900" w:type="dxa"/>
            <w:vAlign w:val="bottom"/>
          </w:tcPr>
          <w:p>
            <w:pPr>
              <w:jc w:val="right"/>
              <w:ind w:right="910"/>
              <w:spacing w:after="0"/>
              <w:rPr>
                <w:sz w:val="20"/>
                <w:szCs w:val="20"/>
                <w:color w:val="auto"/>
              </w:rPr>
            </w:pPr>
            <w:r>
              <w:rPr>
                <w:rFonts w:ascii="Arial" w:cs="Arial" w:eastAsia="Arial" w:hAnsi="Arial"/>
                <w:sz w:val="18"/>
                <w:szCs w:val="18"/>
                <w:b w:val="1"/>
                <w:bCs w:val="1"/>
                <w:color w:val="auto"/>
              </w:rPr>
              <w:t>001-36504</w:t>
            </w:r>
          </w:p>
        </w:tc>
        <w:tc>
          <w:tcPr>
            <w:tcW w:w="3220" w:type="dxa"/>
            <w:vAlign w:val="bottom"/>
          </w:tcPr>
          <w:p>
            <w:pPr>
              <w:jc w:val="center"/>
              <w:ind w:left="70"/>
              <w:spacing w:after="0"/>
              <w:rPr>
                <w:sz w:val="20"/>
                <w:szCs w:val="20"/>
                <w:color w:val="auto"/>
              </w:rPr>
            </w:pPr>
            <w:r>
              <w:rPr>
                <w:rFonts w:ascii="Arial" w:cs="Arial" w:eastAsia="Arial" w:hAnsi="Arial"/>
                <w:sz w:val="18"/>
                <w:szCs w:val="18"/>
                <w:b w:val="1"/>
                <w:bCs w:val="1"/>
                <w:color w:val="auto"/>
                <w:w w:val="89"/>
              </w:rPr>
              <w:t>98-0606750</w:t>
            </w:r>
          </w:p>
        </w:tc>
        <w:tc>
          <w:tcPr>
            <w:tcW w:w="20" w:type="dxa"/>
            <w:vAlign w:val="bottom"/>
          </w:tcPr>
          <w:p>
            <w:pPr>
              <w:spacing w:after="0"/>
              <w:rPr>
                <w:sz w:val="20"/>
                <w:szCs w:val="20"/>
                <w:color w:val="auto"/>
              </w:rPr>
            </w:pPr>
          </w:p>
        </w:tc>
      </w:tr>
      <w:tr>
        <w:trPr>
          <w:trHeight w:val="27"/>
        </w:trPr>
        <w:tc>
          <w:tcPr>
            <w:tcW w:w="310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22"/>
        </w:trPr>
        <w:tc>
          <w:tcPr>
            <w:tcW w:w="3100" w:type="dxa"/>
            <w:vAlign w:val="bottom"/>
          </w:tcPr>
          <w:p>
            <w:pPr>
              <w:jc w:val="center"/>
              <w:spacing w:after="0"/>
              <w:rPr>
                <w:sz w:val="20"/>
                <w:szCs w:val="20"/>
                <w:color w:val="auto"/>
              </w:rPr>
            </w:pPr>
            <w:r>
              <w:rPr>
                <w:rFonts w:ascii="Arial" w:cs="Arial" w:eastAsia="Arial" w:hAnsi="Arial"/>
                <w:sz w:val="18"/>
                <w:szCs w:val="18"/>
                <w:color w:val="auto"/>
                <w:w w:val="92"/>
              </w:rPr>
              <w:t>(State or other jurisdiction of</w:t>
            </w:r>
          </w:p>
        </w:tc>
        <w:tc>
          <w:tcPr>
            <w:tcW w:w="2900" w:type="dxa"/>
            <w:vAlign w:val="bottom"/>
          </w:tcPr>
          <w:p>
            <w:pPr>
              <w:jc w:val="center"/>
              <w:ind w:left="30"/>
              <w:spacing w:after="0"/>
              <w:rPr>
                <w:sz w:val="20"/>
                <w:szCs w:val="20"/>
                <w:color w:val="auto"/>
              </w:rPr>
            </w:pPr>
            <w:r>
              <w:rPr>
                <w:rFonts w:ascii="Arial" w:cs="Arial" w:eastAsia="Arial" w:hAnsi="Arial"/>
                <w:sz w:val="18"/>
                <w:szCs w:val="18"/>
                <w:color w:val="auto"/>
                <w:w w:val="92"/>
              </w:rPr>
              <w:t>(Commission File Number)</w:t>
            </w:r>
          </w:p>
        </w:tc>
        <w:tc>
          <w:tcPr>
            <w:tcW w:w="3240" w:type="dxa"/>
            <w:vAlign w:val="bottom"/>
            <w:gridSpan w:val="2"/>
          </w:tcPr>
          <w:p>
            <w:pPr>
              <w:jc w:val="center"/>
              <w:ind w:left="5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3100" w:type="dxa"/>
            <w:vAlign w:val="bottom"/>
          </w:tcPr>
          <w:p>
            <w:pPr>
              <w:jc w:val="center"/>
              <w:spacing w:after="0"/>
              <w:rPr>
                <w:sz w:val="20"/>
                <w:szCs w:val="20"/>
                <w:color w:val="auto"/>
              </w:rPr>
            </w:pPr>
            <w:r>
              <w:rPr>
                <w:rFonts w:ascii="Arial" w:cs="Arial" w:eastAsia="Arial" w:hAnsi="Arial"/>
                <w:sz w:val="18"/>
                <w:szCs w:val="18"/>
                <w:color w:val="auto"/>
                <w:w w:val="92"/>
              </w:rPr>
              <w:t>incorporation)</w:t>
            </w:r>
          </w:p>
        </w:tc>
        <w:tc>
          <w:tcPr>
            <w:tcW w:w="290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621"/>
        </w:trPr>
        <w:tc>
          <w:tcPr>
            <w:tcW w:w="6000" w:type="dxa"/>
            <w:vAlign w:val="bottom"/>
            <w:gridSpan w:val="2"/>
          </w:tcPr>
          <w:p>
            <w:pPr>
              <w:jc w:val="center"/>
              <w:ind w:left="70"/>
              <w:spacing w:after="0"/>
              <w:rPr>
                <w:sz w:val="20"/>
                <w:szCs w:val="20"/>
                <w:color w:val="auto"/>
              </w:rPr>
            </w:pPr>
            <w:r>
              <w:rPr>
                <w:rFonts w:ascii="Arial" w:cs="Arial" w:eastAsia="Arial" w:hAnsi="Arial"/>
                <w:sz w:val="18"/>
                <w:szCs w:val="18"/>
                <w:b w:val="1"/>
                <w:bCs w:val="1"/>
                <w:color w:val="auto"/>
                <w:w w:val="89"/>
              </w:rPr>
              <w:t>Weststrasse 1, 6340 Baar, Switzerland</w:t>
            </w:r>
          </w:p>
        </w:tc>
        <w:tc>
          <w:tcPr>
            <w:tcW w:w="3240" w:type="dxa"/>
            <w:vAlign w:val="bottom"/>
            <w:gridSpan w:val="2"/>
          </w:tcPr>
          <w:p>
            <w:pPr>
              <w:jc w:val="center"/>
              <w:ind w:left="70"/>
              <w:spacing w:after="0"/>
              <w:rPr>
                <w:sz w:val="20"/>
                <w:szCs w:val="20"/>
                <w:color w:val="auto"/>
              </w:rPr>
            </w:pPr>
            <w:r>
              <w:rPr>
                <w:rFonts w:ascii="Arial" w:cs="Arial" w:eastAsia="Arial" w:hAnsi="Arial"/>
                <w:sz w:val="18"/>
                <w:szCs w:val="18"/>
                <w:b w:val="1"/>
                <w:bCs w:val="1"/>
                <w:color w:val="auto"/>
                <w:w w:val="95"/>
              </w:rPr>
              <w:t>CH 6340</w:t>
            </w:r>
          </w:p>
        </w:tc>
      </w:tr>
      <w:tr>
        <w:trPr>
          <w:trHeight w:val="27"/>
        </w:trPr>
        <w:tc>
          <w:tcPr>
            <w:tcW w:w="6000" w:type="dxa"/>
            <w:vAlign w:val="bottom"/>
            <w:tcBorders>
              <w:bottom w:val="single" w:sz="8" w:color="auto"/>
            </w:tcBorders>
            <w:gridSpan w:val="2"/>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6000" w:type="dxa"/>
            <w:vAlign w:val="bottom"/>
            <w:gridSpan w:val="2"/>
          </w:tcPr>
          <w:p>
            <w:pPr>
              <w:jc w:val="center"/>
              <w:ind w:left="70"/>
              <w:spacing w:after="0"/>
              <w:rPr>
                <w:sz w:val="20"/>
                <w:szCs w:val="20"/>
                <w:color w:val="auto"/>
              </w:rPr>
            </w:pPr>
            <w:r>
              <w:rPr>
                <w:rFonts w:ascii="Arial" w:cs="Arial" w:eastAsia="Arial" w:hAnsi="Arial"/>
                <w:sz w:val="18"/>
                <w:szCs w:val="18"/>
                <w:color w:val="auto"/>
                <w:w w:val="92"/>
              </w:rPr>
              <w:t>(Address of principal executive offices)</w:t>
            </w:r>
          </w:p>
        </w:tc>
        <w:tc>
          <w:tcPr>
            <w:tcW w:w="3240" w:type="dxa"/>
            <w:vAlign w:val="bottom"/>
            <w:gridSpan w:val="2"/>
          </w:tcPr>
          <w:p>
            <w:pPr>
              <w:jc w:val="center"/>
              <w:ind w:left="70"/>
              <w:spacing w:after="0"/>
              <w:rPr>
                <w:sz w:val="20"/>
                <w:szCs w:val="20"/>
                <w:color w:val="auto"/>
              </w:rPr>
            </w:pPr>
            <w:r>
              <w:rPr>
                <w:rFonts w:ascii="Arial" w:cs="Arial" w:eastAsia="Arial" w:hAnsi="Arial"/>
                <w:sz w:val="18"/>
                <w:szCs w:val="18"/>
                <w:color w:val="auto"/>
                <w:w w:val="94"/>
              </w:rPr>
              <w:t>(Zip Code)</w:t>
            </w:r>
          </w:p>
        </w:tc>
      </w:tr>
    </w:tbl>
    <w:p>
      <w:pPr>
        <w:spacing w:after="0" w:line="200" w:lineRule="exact"/>
        <w:rPr>
          <w:sz w:val="24"/>
          <w:szCs w:val="24"/>
          <w:color w:val="auto"/>
        </w:rPr>
      </w:pPr>
    </w:p>
    <w:p>
      <w:pPr>
        <w:spacing w:after="0" w:line="376" w:lineRule="exact"/>
        <w:rPr>
          <w:sz w:val="24"/>
          <w:szCs w:val="24"/>
          <w:color w:val="auto"/>
        </w:rPr>
      </w:pPr>
    </w:p>
    <w:p>
      <w:pPr>
        <w:ind w:left="3100"/>
        <w:spacing w:after="0"/>
        <w:rPr>
          <w:sz w:val="20"/>
          <w:szCs w:val="20"/>
          <w:color w:val="auto"/>
        </w:rPr>
      </w:pPr>
      <w:r>
        <w:rPr>
          <w:rFonts w:ascii="Arial" w:cs="Arial" w:eastAsia="Arial" w:hAnsi="Arial"/>
          <w:sz w:val="18"/>
          <w:szCs w:val="18"/>
          <w:b w:val="1"/>
          <w:bCs w:val="1"/>
          <w:color w:val="auto"/>
        </w:rPr>
        <w:t>Registrant’s telephone number, including area code: +41.22.816.1500</w:t>
      </w:r>
    </w:p>
    <w:p>
      <w:pPr>
        <w:spacing w:after="0" w:line="171" w:lineRule="exact"/>
        <w:rPr>
          <w:sz w:val="24"/>
          <w:szCs w:val="24"/>
          <w:color w:val="auto"/>
        </w:rPr>
      </w:pPr>
    </w:p>
    <w:p>
      <w:pPr>
        <w:ind w:left="5560"/>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467995</wp:posOffset>
            </wp:positionH>
            <wp:positionV relativeFrom="paragraph">
              <wp:posOffset>34290</wp:posOffset>
            </wp:positionV>
            <wp:extent cx="632904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61"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0" w:lineRule="exact"/>
        <w:rPr>
          <w:sz w:val="24"/>
          <w:szCs w:val="24"/>
          <w:color w:val="auto"/>
        </w:rPr>
      </w:pPr>
    </w:p>
    <w:p>
      <w:pPr>
        <w:spacing w:after="0" w:line="21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71" w:lineRule="exact"/>
        <w:rPr>
          <w:sz w:val="24"/>
          <w:szCs w:val="24"/>
          <w:color w:val="auto"/>
        </w:rPr>
      </w:pPr>
    </w:p>
    <w:p>
      <w:pPr>
        <w:ind w:right="4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1934 (§240.12b-2 of this chapter).</w:t>
      </w:r>
    </w:p>
    <w:p>
      <w:pPr>
        <w:spacing w:after="0" w:line="3"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04"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300"/>
          </w:cols>
          <w:pgMar w:left="240" w:top="1003" w:right="359" w:bottom="1440" w:gutter="0" w:footer="0" w:header="0"/>
        </w:sectPr>
      </w:pPr>
    </w:p>
    <w:bookmarkStart w:id="1" w:name="page2"/>
    <w:bookmarkEnd w:id="1"/>
    <w:p>
      <w:pPr>
        <w:ind w:left="40"/>
        <w:spacing w:after="0"/>
        <w:tabs>
          <w:tab w:leader="none" w:pos="162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April 24, 2018, Weatherford International plc (“we” or the “Company”) issued a news release announcing results for the first quarter ended March 31, 2018. A copy of the news release is furnished as Exhibit 99.1 and incorporated into this Item 2.02.</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April 24, 2018, we will hold a conference call at 8:30 a.m. eastern time (“ET”), 7:30 a.m. central time (“CT”), regarding the Company’s first quarter ended March 31, 2018 results. This scheduled conference call was previously announced on March 12, 2018. To access the call, please contact the conference call operator at 866-393-8572, or 706-643-6499 for international calls, approximately 10 minutes prior to the scheduled start time, and ask for the Weatherford conference call. The passcode is “Weatherford.” Weatherford invites investors to listen to the call live via the Company’s website, at https://www.weatherford.com/en/investor-relations/conference-call-details/. To access the conference call click on the webcast link. Presentation materials will also be posted on the Company’s website prior to the conference call. To view the presentation materials, go to https://www.weatherford.com/en/investor-relations/investor-presentations/.</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recording of the conference call and transcript of the call will be available in Investor Relations section of the website shortly after the call ends at the Company’s website at http://www.weatherford.com. A replay of the call will be available until 5:00 p.m. eastern time (“ET”), May 8, 2018. To access the webcast of the conference call replay, click on the Investor Relations link and then click on the webcast link. The number for the replay is 855-859-2056 or 404-537-3406 for international calls; passcode 8798106.</w:t>
      </w:r>
    </w:p>
    <w:p>
      <w:pPr>
        <w:spacing w:after="0" w:line="345" w:lineRule="exact"/>
        <w:rPr>
          <w:sz w:val="20"/>
          <w:szCs w:val="20"/>
          <w:color w:val="auto"/>
        </w:rPr>
      </w:pPr>
    </w:p>
    <w:p>
      <w:pPr>
        <w:ind w:left="40"/>
        <w:spacing w:after="0"/>
        <w:tabs>
          <w:tab w:leader="none" w:pos="162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April 24, 2018, we issued a news release announcing results for the Company’s first quarter ended March 31, 2018. A copy of the news release is furnished as Exhibit 99.1 and incorporated into this Item 7.01.</w:t>
      </w:r>
    </w:p>
    <w:p>
      <w:pPr>
        <w:spacing w:after="0" w:line="329" w:lineRule="exact"/>
        <w:rPr>
          <w:sz w:val="20"/>
          <w:szCs w:val="20"/>
          <w:color w:val="auto"/>
        </w:rPr>
      </w:pPr>
    </w:p>
    <w:p>
      <w:pPr>
        <w:ind w:left="40"/>
        <w:spacing w:after="0"/>
        <w:tabs>
          <w:tab w:leader="none" w:pos="16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351" w:lineRule="exact"/>
        <w:rPr>
          <w:sz w:val="20"/>
          <w:szCs w:val="20"/>
          <w:color w:val="auto"/>
        </w:rPr>
      </w:pPr>
    </w:p>
    <w:p>
      <w:pPr>
        <w:ind w:left="1640" w:hanging="994"/>
        <w:spacing w:after="0"/>
        <w:tabs>
          <w:tab w:leader="none" w:pos="1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The exhibits listed below are furnished pursuant to Item 9.01 of this Form 8-K.</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Exhibit Number</w:t>
            </w:r>
          </w:p>
        </w:tc>
        <w:tc>
          <w:tcPr>
            <w:tcW w:w="9800" w:type="dxa"/>
            <w:vAlign w:val="bottom"/>
          </w:tcPr>
          <w:p>
            <w:pPr>
              <w:ind w:left="20"/>
              <w:spacing w:after="0"/>
              <w:rPr>
                <w:sz w:val="20"/>
                <w:szCs w:val="20"/>
                <w:color w:val="auto"/>
              </w:rPr>
            </w:pPr>
            <w:r>
              <w:rPr>
                <w:rFonts w:ascii="Arial" w:cs="Arial" w:eastAsia="Arial" w:hAnsi="Arial"/>
                <w:sz w:val="18"/>
                <w:szCs w:val="18"/>
                <w:b w:val="1"/>
                <w:bCs w:val="1"/>
                <w:color w:val="auto"/>
              </w:rPr>
              <w:t>Exhibit Description</w:t>
            </w:r>
          </w:p>
        </w:tc>
      </w:tr>
      <w:tr>
        <w:trPr>
          <w:trHeight w:val="27"/>
        </w:trPr>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800" w:type="dxa"/>
            <w:vAlign w:val="bottom"/>
            <w:tcBorders>
              <w:bottom w:val="single" w:sz="8" w:color="auto"/>
            </w:tcBorders>
          </w:tcPr>
          <w:p>
            <w:pPr>
              <w:spacing w:after="0"/>
              <w:rPr>
                <w:sz w:val="2"/>
                <w:szCs w:val="2"/>
                <w:color w:val="auto"/>
              </w:rPr>
            </w:pPr>
          </w:p>
        </w:tc>
      </w:tr>
      <w:tr>
        <w:trPr>
          <w:trHeight w:val="237"/>
        </w:trPr>
        <w:tc>
          <w:tcPr>
            <w:tcW w:w="1500" w:type="dxa"/>
            <w:vAlign w:val="bottom"/>
          </w:tcPr>
          <w:p>
            <w:pPr>
              <w:jc w:val="right"/>
              <w:ind w:right="510"/>
              <w:spacing w:after="0"/>
              <w:rPr>
                <w:sz w:val="20"/>
                <w:szCs w:val="20"/>
                <w:color w:val="auto"/>
              </w:rPr>
            </w:pPr>
            <w:r>
              <w:rPr>
                <w:rFonts w:ascii="Arial" w:cs="Arial" w:eastAsia="Arial" w:hAnsi="Arial"/>
                <w:sz w:val="18"/>
                <w:szCs w:val="18"/>
                <w:color w:val="auto"/>
              </w:rPr>
              <w:t>99.1</w:t>
            </w:r>
          </w:p>
        </w:tc>
        <w:tc>
          <w:tcPr>
            <w:tcW w:w="120" w:type="dxa"/>
            <w:vAlign w:val="bottom"/>
          </w:tcPr>
          <w:p>
            <w:pPr>
              <w:spacing w:after="0"/>
              <w:rPr>
                <w:sz w:val="20"/>
                <w:szCs w:val="20"/>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News Release dated April 24, 2018, announcing results for the first quarter ended March 31, 2018.</w:t>
            </w:r>
          </w:p>
        </w:tc>
      </w:tr>
    </w:tbl>
    <w:p>
      <w:pPr>
        <w:sectPr>
          <w:pgSz w:w="11900" w:h="16838" w:orient="portrait"/>
          <w:cols w:equalWidth="0" w:num="1">
            <w:col w:w="11420"/>
          </w:cols>
          <w:pgMar w:left="240" w:top="742" w:right="23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45" w:lineRule="exact"/>
        <w:rPr>
          <w:sz w:val="20"/>
          <w:szCs w:val="20"/>
          <w:color w:val="auto"/>
        </w:rPr>
      </w:pPr>
    </w:p>
    <w:p>
      <w:pPr>
        <w:ind w:left="6940"/>
        <w:spacing w:after="0"/>
        <w:rPr>
          <w:sz w:val="20"/>
          <w:szCs w:val="20"/>
          <w:color w:val="auto"/>
        </w:rPr>
      </w:pPr>
      <w:r>
        <w:rPr>
          <w:rFonts w:ascii="Arial" w:cs="Arial" w:eastAsia="Arial" w:hAnsi="Arial"/>
          <w:sz w:val="18"/>
          <w:szCs w:val="18"/>
          <w:b w:val="1"/>
          <w:bCs w:val="1"/>
          <w:color w:val="auto"/>
        </w:rPr>
        <w:t>Weatherford International plc</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April 24, 2018</w:t>
      </w:r>
    </w:p>
    <w:p>
      <w:pPr>
        <w:spacing w:after="0" w:line="63"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/s/ Christoph Bausch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31750</wp:posOffset>
            </wp:positionV>
            <wp:extent cx="38931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893185" cy="8890"/>
                    </a:xfrm>
                    <a:prstGeom prst="rect">
                      <a:avLst/>
                    </a:prstGeom>
                    <a:noFill/>
                  </pic:spPr>
                </pic:pic>
              </a:graphicData>
            </a:graphic>
          </wp:anchor>
        </w:drawing>
      </w:r>
    </w:p>
    <w:p>
      <w:pPr>
        <w:spacing w:after="0" w:line="57" w:lineRule="exact"/>
        <w:rPr>
          <w:sz w:val="20"/>
          <w:szCs w:val="20"/>
          <w:color w:val="auto"/>
        </w:rPr>
      </w:pPr>
    </w:p>
    <w:p>
      <w:pPr>
        <w:ind w:left="7460"/>
        <w:spacing w:after="0"/>
        <w:rPr>
          <w:sz w:val="20"/>
          <w:szCs w:val="20"/>
          <w:color w:val="auto"/>
        </w:rPr>
      </w:pPr>
      <w:r>
        <w:rPr>
          <w:rFonts w:ascii="Arial" w:cs="Arial" w:eastAsia="Arial" w:hAnsi="Arial"/>
          <w:sz w:val="18"/>
          <w:szCs w:val="18"/>
          <w:color w:val="auto"/>
        </w:rPr>
        <w:t>Christoph Bausch</w:t>
      </w:r>
    </w:p>
    <w:p>
      <w:pPr>
        <w:spacing w:after="0" w:line="63"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Executive Vice President and</w:t>
      </w:r>
    </w:p>
    <w:p>
      <w:pPr>
        <w:spacing w:after="0" w:line="23" w:lineRule="exact"/>
        <w:rPr>
          <w:sz w:val="20"/>
          <w:szCs w:val="20"/>
          <w:color w:val="auto"/>
        </w:rPr>
      </w:pPr>
    </w:p>
    <w:p>
      <w:pPr>
        <w:ind w:left="72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20"/>
          </w:cols>
          <w:pgMar w:left="240" w:top="580" w:right="4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0" w:type="dxa"/>
            <w:vAlign w:val="bottom"/>
          </w:tcPr>
          <w:p>
            <w:pPr>
              <w:ind w:left="3400"/>
              <w:spacing w:after="0"/>
              <w:rPr>
                <w:sz w:val="20"/>
                <w:szCs w:val="20"/>
                <w:color w:val="auto"/>
              </w:rPr>
            </w:pPr>
            <w:r>
              <w:rPr>
                <w:rFonts w:ascii="Arial" w:cs="Arial" w:eastAsia="Arial" w:hAnsi="Arial"/>
                <w:sz w:val="18"/>
                <w:szCs w:val="18"/>
                <w:b w:val="1"/>
                <w:bCs w:val="1"/>
                <w:color w:val="auto"/>
              </w:rPr>
              <w:t>EXHIBIT INDEX</w:t>
            </w:r>
          </w:p>
        </w:tc>
      </w:tr>
      <w:tr>
        <w:trPr>
          <w:trHeight w:val="594"/>
        </w:trPr>
        <w:tc>
          <w:tcPr>
            <w:tcW w:w="162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4"/>
              </w:rPr>
              <w:t>Exhibit Number</w:t>
            </w:r>
          </w:p>
        </w:tc>
        <w:tc>
          <w:tcPr>
            <w:tcW w:w="9800" w:type="dxa"/>
            <w:vAlign w:val="bottom"/>
          </w:tcPr>
          <w:p>
            <w:pPr>
              <w:ind w:left="20"/>
              <w:spacing w:after="0"/>
              <w:rPr>
                <w:sz w:val="20"/>
                <w:szCs w:val="20"/>
                <w:color w:val="auto"/>
              </w:rPr>
            </w:pPr>
            <w:r>
              <w:rPr>
                <w:rFonts w:ascii="Arial" w:cs="Arial" w:eastAsia="Arial" w:hAnsi="Arial"/>
                <w:sz w:val="18"/>
                <w:szCs w:val="18"/>
                <w:b w:val="1"/>
                <w:bCs w:val="1"/>
                <w:color w:val="auto"/>
              </w:rPr>
              <w:t>Exhibit Description</w:t>
            </w:r>
          </w:p>
        </w:tc>
      </w:tr>
      <w:tr>
        <w:trPr>
          <w:trHeight w:val="27"/>
        </w:trPr>
        <w:tc>
          <w:tcPr>
            <w:tcW w:w="6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800" w:type="dxa"/>
            <w:vAlign w:val="bottom"/>
            <w:tcBorders>
              <w:bottom w:val="single" w:sz="8" w:color="auto"/>
            </w:tcBorders>
          </w:tcPr>
          <w:p>
            <w:pPr>
              <w:spacing w:after="0"/>
              <w:rPr>
                <w:sz w:val="2"/>
                <w:szCs w:val="2"/>
                <w:color w:val="auto"/>
              </w:rPr>
            </w:pPr>
          </w:p>
        </w:tc>
      </w:tr>
      <w:tr>
        <w:trPr>
          <w:trHeight w:val="196"/>
        </w:trPr>
        <w:tc>
          <w:tcPr>
            <w:tcW w:w="900" w:type="dxa"/>
            <w:vAlign w:val="bottom"/>
            <w:gridSpan w:val="2"/>
          </w:tcPr>
          <w:p>
            <w:pPr>
              <w:jc w:val="center"/>
              <w:spacing w:after="0" w:line="196" w:lineRule="exact"/>
              <w:rPr>
                <w:rFonts w:ascii="Arial" w:cs="Arial" w:eastAsia="Arial" w:hAnsi="Arial"/>
                <w:sz w:val="18"/>
                <w:szCs w:val="18"/>
                <w:color w:val="0000FF"/>
              </w:rPr>
            </w:pPr>
            <w:hyperlink w:anchor="page5">
              <w:r>
                <w:rPr>
                  <w:rFonts w:ascii="Arial" w:cs="Arial" w:eastAsia="Arial" w:hAnsi="Arial"/>
                  <w:sz w:val="18"/>
                  <w:szCs w:val="18"/>
                  <w:color w:val="0000FF"/>
                </w:rPr>
                <w:t>99.</w:t>
              </w:r>
              <w:r>
                <w:rPr>
                  <w:rFonts w:ascii="Arial" w:cs="Arial" w:eastAsia="Arial" w:hAnsi="Arial"/>
                  <w:sz w:val="18"/>
                  <w:szCs w:val="18"/>
                  <w:u w:val="single" w:color="auto"/>
                  <w:color w:val="0000FF"/>
                </w:rPr>
                <w:t>1</w:t>
              </w:r>
            </w:hyperlink>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0" w:type="dxa"/>
            <w:vAlign w:val="bottom"/>
          </w:tcPr>
          <w:p>
            <w:pPr>
              <w:ind w:left="20"/>
              <w:spacing w:after="0" w:line="196" w:lineRule="exact"/>
              <w:rPr>
                <w:sz w:val="20"/>
                <w:szCs w:val="20"/>
                <w:color w:val="auto"/>
              </w:rPr>
            </w:pPr>
            <w:r>
              <w:rPr>
                <w:rFonts w:ascii="Arial" w:cs="Arial" w:eastAsia="Arial" w:hAnsi="Arial"/>
                <w:sz w:val="18"/>
                <w:szCs w:val="18"/>
                <w:color w:val="auto"/>
              </w:rPr>
              <w:t>News Release dated April 24, 2018, announcing results for the first quarter ended March 31, 2018.</w:t>
            </w:r>
          </w:p>
        </w:tc>
      </w:tr>
      <w:tr>
        <w:trPr>
          <w:trHeight w:val="20"/>
        </w:trPr>
        <w:tc>
          <w:tcPr>
            <w:tcW w:w="60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0" w:type="dxa"/>
            <w:vAlign w:val="bottom"/>
          </w:tcPr>
          <w:p>
            <w:pPr>
              <w:spacing w:after="0" w:line="20" w:lineRule="exact"/>
              <w:rPr>
                <w:sz w:val="1"/>
                <w:szCs w:val="1"/>
                <w:color w:val="auto"/>
              </w:rPr>
            </w:pPr>
          </w:p>
        </w:tc>
      </w:tr>
    </w:tbl>
    <w:p>
      <w:pPr>
        <w:sectPr>
          <w:pgSz w:w="11900" w:h="16838" w:orient="portrait"/>
          <w:cols w:equalWidth="0" w:num="1">
            <w:col w:w="11420"/>
          </w:cols>
          <w:pgMar w:left="240" w:top="580"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283210</wp:posOffset>
            </wp:positionV>
            <wp:extent cx="1903730" cy="7886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03730"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0360"/>
        <w:spacing w:after="0"/>
        <w:rPr>
          <w:sz w:val="20"/>
          <w:szCs w:val="20"/>
          <w:color w:val="auto"/>
        </w:rPr>
      </w:pPr>
      <w:r>
        <w:rPr>
          <w:rFonts w:ascii="Arial" w:cs="Arial" w:eastAsia="Arial" w:hAnsi="Arial"/>
          <w:sz w:val="15"/>
          <w:szCs w:val="15"/>
          <w:b w:val="1"/>
          <w:bCs w:val="1"/>
          <w:color w:val="auto"/>
        </w:rPr>
        <w:t>News Release</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Weatherford Reports First Quarter 2018 Results</w:t>
      </w:r>
    </w:p>
    <w:p>
      <w:pPr>
        <w:spacing w:after="0" w:line="200" w:lineRule="exact"/>
        <w:rPr>
          <w:sz w:val="20"/>
          <w:szCs w:val="20"/>
          <w:color w:val="auto"/>
        </w:rPr>
      </w:pPr>
    </w:p>
    <w:p>
      <w:pPr>
        <w:spacing w:after="0" w:line="318" w:lineRule="exact"/>
        <w:rPr>
          <w:sz w:val="20"/>
          <w:szCs w:val="20"/>
          <w:color w:val="auto"/>
        </w:rPr>
      </w:pPr>
    </w:p>
    <w:p>
      <w:pPr>
        <w:ind w:right="20"/>
        <w:spacing w:after="0" w:line="387" w:lineRule="auto"/>
        <w:rPr>
          <w:sz w:val="20"/>
          <w:szCs w:val="20"/>
          <w:color w:val="auto"/>
        </w:rPr>
      </w:pPr>
      <w:r>
        <w:rPr>
          <w:rFonts w:ascii="Arial" w:cs="Arial" w:eastAsia="Arial" w:hAnsi="Arial"/>
          <w:sz w:val="18"/>
          <w:szCs w:val="18"/>
          <w:color w:val="auto"/>
        </w:rPr>
        <w:t>BAAR, SWITZERLAND, April 24, 2018 - Weatherford International plc (NYSE: WFT) reported a net loss of $245 million, or a loss of $0.25 per share for the first quarter of 2018.</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First Quarter 2018 Highlights</w:t>
      </w:r>
    </w:p>
    <w:p>
      <w:pPr>
        <w:spacing w:after="0" w:line="108" w:lineRule="exact"/>
        <w:rPr>
          <w:sz w:val="20"/>
          <w:szCs w:val="20"/>
          <w:color w:val="auto"/>
        </w:rPr>
      </w:pPr>
    </w:p>
    <w:p>
      <w:pPr>
        <w:ind w:left="500" w:hanging="330"/>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Segment operating income improved by 145% year-over-year</w:t>
      </w:r>
    </w:p>
    <w:p>
      <w:pPr>
        <w:spacing w:after="0" w:line="103" w:lineRule="exact"/>
        <w:rPr>
          <w:rFonts w:ascii="Arial" w:cs="Arial" w:eastAsia="Arial" w:hAnsi="Arial"/>
          <w:sz w:val="18"/>
          <w:szCs w:val="18"/>
          <w:color w:val="auto"/>
        </w:rPr>
      </w:pPr>
    </w:p>
    <w:p>
      <w:pPr>
        <w:ind w:left="500" w:hanging="330"/>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Successfully extended 2019 and 2020 debt maturities through closing a private offering of $600 million in senior notes</w:t>
      </w:r>
    </w:p>
    <w:p>
      <w:pPr>
        <w:spacing w:after="0" w:line="103" w:lineRule="exact"/>
        <w:rPr>
          <w:rFonts w:ascii="Arial" w:cs="Arial" w:eastAsia="Arial" w:hAnsi="Arial"/>
          <w:sz w:val="18"/>
          <w:szCs w:val="18"/>
          <w:color w:val="auto"/>
        </w:rPr>
      </w:pPr>
    </w:p>
    <w:p>
      <w:pPr>
        <w:ind w:left="500" w:hanging="330"/>
        <w:spacing w:after="0"/>
        <w:tabs>
          <w:tab w:leader="none" w:pos="500" w:val="left"/>
        </w:tabs>
        <w:numPr>
          <w:ilvl w:val="0"/>
          <w:numId w:val="3"/>
        </w:numPr>
        <w:rPr>
          <w:rFonts w:ascii="Arial" w:cs="Arial" w:eastAsia="Arial" w:hAnsi="Arial"/>
          <w:sz w:val="17"/>
          <w:szCs w:val="17"/>
          <w:color w:val="auto"/>
        </w:rPr>
      </w:pPr>
      <w:r>
        <w:rPr>
          <w:rFonts w:ascii="Arial" w:cs="Arial" w:eastAsia="Arial" w:hAnsi="Arial"/>
          <w:sz w:val="17"/>
          <w:szCs w:val="17"/>
          <w:color w:val="auto"/>
        </w:rPr>
        <w:t>Estimated recurring benefit of $108 million in annualized cost savings and $41 million in one-time benefits as part of the transformation effort</w:t>
      </w:r>
    </w:p>
    <w:p>
      <w:pPr>
        <w:spacing w:after="0" w:line="61" w:lineRule="exact"/>
        <w:rPr>
          <w:rFonts w:ascii="Arial" w:cs="Arial" w:eastAsia="Arial" w:hAnsi="Arial"/>
          <w:sz w:val="17"/>
          <w:szCs w:val="17"/>
          <w:color w:val="auto"/>
        </w:rPr>
      </w:pPr>
    </w:p>
    <w:p>
      <w:pPr>
        <w:ind w:left="500" w:hanging="330"/>
        <w:spacing w:after="0"/>
        <w:tabs>
          <w:tab w:leader="none" w:pos="500" w:val="left"/>
        </w:tabs>
        <w:numPr>
          <w:ilvl w:val="0"/>
          <w:numId w:val="3"/>
        </w:numPr>
        <w:rPr>
          <w:rFonts w:ascii="Arial" w:cs="Arial" w:eastAsia="Arial" w:hAnsi="Arial"/>
          <w:sz w:val="17"/>
          <w:szCs w:val="17"/>
          <w:color w:val="auto"/>
        </w:rPr>
      </w:pPr>
      <w:r>
        <w:rPr>
          <w:rFonts w:ascii="Arial" w:cs="Arial" w:eastAsia="Arial" w:hAnsi="Arial"/>
          <w:sz w:val="17"/>
          <w:szCs w:val="17"/>
          <w:color w:val="auto"/>
        </w:rPr>
        <w:t>Won OTC Asia Spotlight on New Technology Awards for the HeatWave Extreme</w:t>
      </w:r>
      <w:r>
        <w:rPr>
          <w:rFonts w:ascii="Arial" w:cs="Arial" w:eastAsia="Arial" w:hAnsi="Arial"/>
          <w:sz w:val="24"/>
          <w:szCs w:val="24"/>
          <w:color w:val="auto"/>
          <w:vertAlign w:val="superscript"/>
        </w:rPr>
        <w:t>SM</w:t>
      </w:r>
      <w:r>
        <w:rPr>
          <w:rFonts w:ascii="Arial" w:cs="Arial" w:eastAsia="Arial" w:hAnsi="Arial"/>
          <w:sz w:val="17"/>
          <w:szCs w:val="17"/>
          <w:color w:val="auto"/>
        </w:rPr>
        <w:t xml:space="preserve"> service and the WFX0™ openhole gravel-pack system</w:t>
      </w:r>
    </w:p>
    <w:p>
      <w:pPr>
        <w:spacing w:after="0" w:line="88" w:lineRule="exact"/>
        <w:rPr>
          <w:rFonts w:ascii="Arial" w:cs="Arial" w:eastAsia="Arial" w:hAnsi="Arial"/>
          <w:sz w:val="17"/>
          <w:szCs w:val="17"/>
          <w:color w:val="auto"/>
        </w:rPr>
      </w:pPr>
    </w:p>
    <w:p>
      <w:pPr>
        <w:ind w:left="500" w:hanging="330"/>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Launched two of the planned divestitures processes and made further progress on our Land Drilling Rigs divestiture</w:t>
      </w:r>
    </w:p>
    <w:p>
      <w:pPr>
        <w:spacing w:after="0" w:line="200" w:lineRule="exact"/>
        <w:rPr>
          <w:sz w:val="20"/>
          <w:szCs w:val="20"/>
          <w:color w:val="auto"/>
        </w:rPr>
      </w:pPr>
    </w:p>
    <w:p>
      <w:pPr>
        <w:spacing w:after="0" w:line="214" w:lineRule="exact"/>
        <w:rPr>
          <w:sz w:val="20"/>
          <w:szCs w:val="20"/>
          <w:color w:val="auto"/>
        </w:rPr>
      </w:pPr>
    </w:p>
    <w:p>
      <w:pPr>
        <w:jc w:val="both"/>
        <w:spacing w:after="0" w:line="373" w:lineRule="auto"/>
        <w:rPr>
          <w:sz w:val="20"/>
          <w:szCs w:val="20"/>
          <w:color w:val="auto"/>
        </w:rPr>
      </w:pPr>
      <w:r>
        <w:rPr>
          <w:rFonts w:ascii="Arial" w:cs="Arial" w:eastAsia="Arial" w:hAnsi="Arial"/>
          <w:sz w:val="18"/>
          <w:szCs w:val="18"/>
          <w:color w:val="auto"/>
        </w:rPr>
        <w:t>Non-GAAP net loss for the first quarter of 2018, excluding unusual charges and credits, was $188 million, or $0.19, diluted loss per share. This compares to a $329 million non-GAAP net loss for the fourth quarter of 2017, or $0.33 diluted loss per share, and a $318 million non-GAAP net loss for the first quarter of the prior year, or $0.32 diluted loss per share.</w:t>
      </w:r>
    </w:p>
    <w:p>
      <w:pPr>
        <w:spacing w:after="0" w:line="277" w:lineRule="exact"/>
        <w:rPr>
          <w:sz w:val="20"/>
          <w:szCs w:val="20"/>
          <w:color w:val="auto"/>
        </w:rPr>
      </w:pPr>
    </w:p>
    <w:p>
      <w:pPr>
        <w:jc w:val="both"/>
        <w:spacing w:after="0" w:line="392" w:lineRule="auto"/>
        <w:rPr>
          <w:sz w:val="20"/>
          <w:szCs w:val="20"/>
          <w:color w:val="auto"/>
        </w:rPr>
      </w:pPr>
      <w:r>
        <w:rPr>
          <w:rFonts w:ascii="Arial" w:cs="Arial" w:eastAsia="Arial" w:hAnsi="Arial"/>
          <w:sz w:val="17"/>
          <w:szCs w:val="17"/>
          <w:color w:val="auto"/>
        </w:rPr>
        <w:t>Revenue in the first quarter of 2018 was $1.42 billion, which decreased 4% from revenue of $1.49 billion for the fourth quarter of 2017 and was 3% higher than the $1.39 billion of revenue reported for the first quarter of 2017. The sequential revenue decrease was due to non-repeating year-end product sales as well as seasonal declines in the North Sea and Russia. The year-over-year increase was primarily due to activity increases in the U.S., Argentina and Mexico in the Western Hemisphere and Kuwait, Iraq, Russia and Saudi Arabia in the Eastern Hemisphere, partially offset by a decrease in Venezuela as a result of a change in accounting for revenue to cash basis and depressed offshore markets in the North Sea, West Africa and Asia.</w:t>
      </w:r>
    </w:p>
    <w:p>
      <w:pPr>
        <w:spacing w:after="0" w:line="267" w:lineRule="exact"/>
        <w:rPr>
          <w:sz w:val="20"/>
          <w:szCs w:val="20"/>
          <w:color w:val="auto"/>
        </w:rPr>
      </w:pPr>
    </w:p>
    <w:p>
      <w:pPr>
        <w:jc w:val="both"/>
        <w:spacing w:after="0" w:line="395" w:lineRule="auto"/>
        <w:rPr>
          <w:sz w:val="20"/>
          <w:szCs w:val="20"/>
          <w:color w:val="auto"/>
        </w:rPr>
      </w:pPr>
      <w:r>
        <w:rPr>
          <w:rFonts w:ascii="Arial" w:cs="Arial" w:eastAsia="Arial" w:hAnsi="Arial"/>
          <w:sz w:val="17"/>
          <w:szCs w:val="17"/>
          <w:color w:val="auto"/>
        </w:rPr>
        <w:t>Operating loss for the first quarter of 2018 was $39 million. Excluding unusual charges and credits, segment operating income in the first quarter of 2018 was $40 million, up $123 million or 148% sequentially, and up $129 million, or 145%, year-over-year. The sequential improvement was primarily due to improved product margins benefiting from a favorable sales mix, lower personnel and other support costs, the timing of revenue and cost recognition related to deliveries in Kuwait and lower depreciation expenses resulting from asset impairments recorded in the prior quarter.</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75" w:right="239" w:bottom="1440" w:gutter="0" w:footer="0" w:header="0"/>
        </w:sectPr>
      </w:pPr>
    </w:p>
    <w:bookmarkStart w:id="5" w:name="page6"/>
    <w:bookmarkEnd w:id="5"/>
    <w:p>
      <w:pPr>
        <w:jc w:val="both"/>
        <w:spacing w:after="0" w:line="369" w:lineRule="auto"/>
        <w:rPr>
          <w:sz w:val="20"/>
          <w:szCs w:val="20"/>
          <w:color w:val="auto"/>
        </w:rPr>
      </w:pPr>
      <w:r>
        <w:rPr>
          <w:rFonts w:ascii="Arial" w:cs="Arial" w:eastAsia="Arial" w:hAnsi="Arial"/>
          <w:sz w:val="18"/>
          <w:szCs w:val="18"/>
          <w:color w:val="auto"/>
        </w:rPr>
        <w:t>Year-over-year improvement was led by revenue growth in Production and Well Construction in the U.S. and parts of Latin America combined with higher activity and improved service quality across all product lines in the Middle East and Russia. Results also benefited from an overall reduction in cost structure as well as lower depreciation due to asset sales and impairments in prior quarters. These improvements were partially offset by a decline in revenue in Venezuela after our change in accounting for revenue to a cash basis last quarter.</w:t>
      </w:r>
    </w:p>
    <w:p>
      <w:pPr>
        <w:spacing w:after="0" w:line="280" w:lineRule="exact"/>
        <w:rPr>
          <w:sz w:val="20"/>
          <w:szCs w:val="20"/>
          <w:color w:val="auto"/>
        </w:rPr>
      </w:pPr>
    </w:p>
    <w:p>
      <w:pPr>
        <w:jc w:val="both"/>
        <w:spacing w:after="0" w:line="373" w:lineRule="auto"/>
        <w:rPr>
          <w:sz w:val="20"/>
          <w:szCs w:val="20"/>
          <w:color w:val="auto"/>
        </w:rPr>
      </w:pPr>
      <w:r>
        <w:rPr>
          <w:rFonts w:ascii="Arial" w:cs="Arial" w:eastAsia="Arial" w:hAnsi="Arial"/>
          <w:sz w:val="18"/>
          <w:szCs w:val="18"/>
          <w:color w:val="auto"/>
        </w:rPr>
        <w:t>In the quarter, we recorded pre-tax charges of $57 million, which include $34 million related to the bond tender and call premium, $26 million in currency devaluation charges mostly in the Angolan kwanza, $25 million in restructuring and transformation charges and $18 million in asset write-downs and other, net. This was partially offset by $46 million in credits related to the fair value adjustment of the outstanding warrant.</w:t>
      </w:r>
    </w:p>
    <w:p>
      <w:pPr>
        <w:spacing w:after="0" w:line="277" w:lineRule="exact"/>
        <w:rPr>
          <w:sz w:val="20"/>
          <w:szCs w:val="20"/>
          <w:color w:val="auto"/>
        </w:rPr>
      </w:pPr>
    </w:p>
    <w:p>
      <w:pPr>
        <w:jc w:val="both"/>
        <w:spacing w:after="0" w:line="373" w:lineRule="auto"/>
        <w:rPr>
          <w:sz w:val="20"/>
          <w:szCs w:val="20"/>
          <w:color w:val="auto"/>
        </w:rPr>
      </w:pPr>
      <w:r>
        <w:rPr>
          <w:rFonts w:ascii="Arial" w:cs="Arial" w:eastAsia="Arial" w:hAnsi="Arial"/>
          <w:sz w:val="18"/>
          <w:szCs w:val="18"/>
          <w:color w:val="auto"/>
        </w:rPr>
        <w:t>In the first quarter of 2018, estimated recurring benefits as a result of the transformation plan were $27 million or $108 million on an annualized basis. In addition, we achieved $41 million in one-time benefits, mostly driven by the sale of surplus or non-strategic assets along with an improved collections process.</w:t>
      </w:r>
    </w:p>
    <w:p>
      <w:pPr>
        <w:spacing w:after="0" w:line="277" w:lineRule="exact"/>
        <w:rPr>
          <w:sz w:val="20"/>
          <w:szCs w:val="20"/>
          <w:color w:val="auto"/>
        </w:rPr>
      </w:pPr>
    </w:p>
    <w:p>
      <w:pPr>
        <w:jc w:val="both"/>
        <w:spacing w:after="0" w:line="425" w:lineRule="auto"/>
        <w:rPr>
          <w:sz w:val="20"/>
          <w:szCs w:val="20"/>
          <w:color w:val="auto"/>
        </w:rPr>
      </w:pPr>
      <w:r>
        <w:rPr>
          <w:rFonts w:ascii="Arial" w:cs="Arial" w:eastAsia="Arial" w:hAnsi="Arial"/>
          <w:sz w:val="16"/>
          <w:szCs w:val="16"/>
          <w:color w:val="auto"/>
        </w:rPr>
        <w:t>Mark A. McCollum, President and Chief Executive Officer, commented, “As we continue on our transformational path, our results for the first quarter of 2018 reflect our focus on planning and executing tangible actions to improve our position as a strong, viable and innovative organization. Sequentially and on a year-over-year basis, our operating income, margins and adjusted EBITDA improved substantially, as we steadily reduced our core costs and benefited from an improving market environment. Additionally, we have increased accountability, efficiency and process discipline across the entire Company.”</w:t>
      </w:r>
    </w:p>
    <w:p>
      <w:pPr>
        <w:spacing w:after="0" w:line="250" w:lineRule="exact"/>
        <w:rPr>
          <w:sz w:val="20"/>
          <w:szCs w:val="20"/>
          <w:color w:val="auto"/>
        </w:rPr>
      </w:pPr>
    </w:p>
    <w:p>
      <w:pPr>
        <w:jc w:val="both"/>
        <w:spacing w:after="0" w:line="369" w:lineRule="auto"/>
        <w:rPr>
          <w:sz w:val="20"/>
          <w:szCs w:val="20"/>
          <w:color w:val="auto"/>
        </w:rPr>
      </w:pPr>
      <w:r>
        <w:rPr>
          <w:rFonts w:ascii="Arial" w:cs="Arial" w:eastAsia="Arial" w:hAnsi="Arial"/>
          <w:sz w:val="18"/>
          <w:szCs w:val="18"/>
          <w:color w:val="auto"/>
        </w:rPr>
        <w:t>McCollum continued, “The goals we have set forth for 2018 and 2019 are realistic and achievable. We are on track and, in the first quarter, have already achieved 10% of our annualized recurring benefit target. I am excited about our progress as we continue to build momentum. We have the right people, technologies and processes to be successful, and by executing on the detailed action plans we have developed over the past few months, we will generate improved returns and create significant value for our shareholders.”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Cash Flow and Financial Covenants</w:t>
      </w:r>
    </w:p>
    <w:p>
      <w:pPr>
        <w:spacing w:after="0" w:line="200" w:lineRule="exact"/>
        <w:rPr>
          <w:sz w:val="20"/>
          <w:szCs w:val="20"/>
          <w:color w:val="auto"/>
        </w:rPr>
      </w:pPr>
    </w:p>
    <w:p>
      <w:pPr>
        <w:spacing w:after="0" w:line="218" w:lineRule="exact"/>
        <w:rPr>
          <w:sz w:val="20"/>
          <w:szCs w:val="20"/>
          <w:color w:val="auto"/>
        </w:rPr>
      </w:pPr>
    </w:p>
    <w:p>
      <w:pPr>
        <w:jc w:val="both"/>
        <w:spacing w:after="0" w:line="395" w:lineRule="auto"/>
        <w:rPr>
          <w:sz w:val="20"/>
          <w:szCs w:val="20"/>
          <w:color w:val="auto"/>
        </w:rPr>
      </w:pPr>
      <w:r>
        <w:rPr>
          <w:rFonts w:ascii="Arial" w:cs="Arial" w:eastAsia="Arial" w:hAnsi="Arial"/>
          <w:sz w:val="17"/>
          <w:szCs w:val="17"/>
          <w:color w:val="auto"/>
        </w:rPr>
        <w:t>Net cash used in operating activities was $185 million for the first quarter of 2018, driven by cash payments of $174 million for debt interest and $26 million for cash severance and restructuring costs partially offset by improved collections of accounts receivables. First quarter capital expenditures of $38 million, including investments in Land Drilling Rigs held-for-sale assets, decreased by $40 million, or 51%, sequentially due to lower spending in Well Construction due to project delays and delayed rig mobilizations, and decreased $2 million or 5% from the same quarter in the prior year.</w:t>
      </w:r>
    </w:p>
    <w:p>
      <w:pPr>
        <w:spacing w:after="0" w:line="266" w:lineRule="exact"/>
        <w:rPr>
          <w:sz w:val="20"/>
          <w:szCs w:val="20"/>
          <w:color w:val="auto"/>
        </w:rPr>
      </w:pPr>
    </w:p>
    <w:p>
      <w:pPr>
        <w:jc w:val="both"/>
        <w:spacing w:after="0" w:line="387" w:lineRule="auto"/>
        <w:rPr>
          <w:sz w:val="20"/>
          <w:szCs w:val="20"/>
          <w:color w:val="auto"/>
        </w:rPr>
      </w:pPr>
      <w:r>
        <w:rPr>
          <w:rFonts w:ascii="Arial" w:cs="Arial" w:eastAsia="Arial" w:hAnsi="Arial"/>
          <w:sz w:val="18"/>
          <w:szCs w:val="18"/>
          <w:color w:val="auto"/>
        </w:rPr>
        <w:t>The Company is in compliance with its financial covenants as defined under our revolving and secured term loan credit facilities as of March 31, 2018, and expects to continue to remain in compliance with all covenants based on current financial projections.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22"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auto"/>
        </w:rPr>
        <w:t>Taxes</w:t>
      </w:r>
    </w:p>
    <w:p>
      <w:pPr>
        <w:spacing w:after="0" w:line="337" w:lineRule="exact"/>
        <w:rPr>
          <w:sz w:val="20"/>
          <w:szCs w:val="20"/>
          <w:color w:val="auto"/>
        </w:rPr>
      </w:pPr>
    </w:p>
    <w:p>
      <w:pPr>
        <w:jc w:val="both"/>
        <w:spacing w:after="0" w:line="402" w:lineRule="auto"/>
        <w:rPr>
          <w:sz w:val="20"/>
          <w:szCs w:val="20"/>
          <w:color w:val="auto"/>
        </w:rPr>
      </w:pPr>
      <w:r>
        <w:rPr>
          <w:rFonts w:ascii="Arial" w:cs="Arial" w:eastAsia="Arial" w:hAnsi="Arial"/>
          <w:sz w:val="17"/>
          <w:szCs w:val="17"/>
          <w:color w:val="auto"/>
        </w:rPr>
        <w:t>The first quarter of 2018 tax provision was $32 million including tax expenses related to profits in certain jurisdictions, deemed profit countries, and withholding taxes on intercompany and third-party transactions. The tax expense is lower sequentially due to the establishment of an additional valuation allowance and provisions for foreign law changes, offset by a one-time tax benefit as a result of a U.S. tax reform, in the prior quarter.</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60" w:type="dxa"/>
            <w:vAlign w:val="bottom"/>
            <w:gridSpan w:val="5"/>
          </w:tcPr>
          <w:p>
            <w:pPr>
              <w:spacing w:after="0"/>
              <w:rPr>
                <w:sz w:val="20"/>
                <w:szCs w:val="20"/>
                <w:color w:val="auto"/>
              </w:rPr>
            </w:pPr>
            <w:r>
              <w:rPr>
                <w:rFonts w:ascii="Arial" w:cs="Arial" w:eastAsia="Arial" w:hAnsi="Arial"/>
                <w:sz w:val="18"/>
                <w:szCs w:val="18"/>
                <w:b w:val="1"/>
                <w:bCs w:val="1"/>
                <w:color w:val="auto"/>
              </w:rPr>
              <w:t>Operating Segments</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439"/>
        </w:trPr>
        <w:tc>
          <w:tcPr>
            <w:tcW w:w="40" w:type="dxa"/>
            <w:vAlign w:val="bottom"/>
            <w:tcBorders>
              <w:top w:val="single" w:sz="8" w:color="auto"/>
            </w:tcBorders>
          </w:tcPr>
          <w:p>
            <w:pPr>
              <w:spacing w:after="0"/>
              <w:rPr>
                <w:sz w:val="24"/>
                <w:szCs w:val="24"/>
                <w:color w:val="auto"/>
              </w:rPr>
            </w:pPr>
          </w:p>
        </w:tc>
        <w:tc>
          <w:tcPr>
            <w:tcW w:w="15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60" w:type="dxa"/>
            <w:vAlign w:val="bottom"/>
            <w:gridSpan w:val="6"/>
          </w:tcPr>
          <w:p>
            <w:pPr>
              <w:jc w:val="right"/>
              <w:ind w:right="180"/>
              <w:spacing w:after="0"/>
              <w:rPr>
                <w:sz w:val="20"/>
                <w:szCs w:val="20"/>
                <w:color w:val="auto"/>
              </w:rPr>
            </w:pPr>
            <w:r>
              <w:rPr>
                <w:rFonts w:ascii="Arial" w:cs="Arial" w:eastAsia="Arial" w:hAnsi="Arial"/>
                <w:sz w:val="18"/>
                <w:szCs w:val="18"/>
                <w:b w:val="1"/>
                <w:bCs w:val="1"/>
                <w:color w:val="auto"/>
                <w:w w:val="93"/>
              </w:rPr>
              <w:t>Three Months Ended</w:t>
            </w: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0" w:type="dxa"/>
            <w:vAlign w:val="bottom"/>
            <w:gridSpan w:val="3"/>
          </w:tcPr>
          <w:p>
            <w:pPr>
              <w:ind w:left="220"/>
              <w:spacing w:after="0"/>
              <w:rPr>
                <w:sz w:val="20"/>
                <w:szCs w:val="20"/>
                <w:color w:val="auto"/>
              </w:rPr>
            </w:pPr>
            <w:r>
              <w:rPr>
                <w:rFonts w:ascii="Arial" w:cs="Arial" w:eastAsia="Arial" w:hAnsi="Arial"/>
                <w:sz w:val="18"/>
                <w:szCs w:val="18"/>
                <w:b w:val="1"/>
                <w:bCs w:val="1"/>
                <w:color w:val="auto"/>
              </w:rPr>
              <w:t>Change</w:t>
            </w: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120" w:type="dxa"/>
            <w:vAlign w:val="bottom"/>
            <w:tcBorders>
              <w:bottom w:val="single" w:sz="8" w:color="auto"/>
            </w:tcBorders>
            <w:gridSpan w:val="4"/>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37"/>
        </w:trPr>
        <w:tc>
          <w:tcPr>
            <w:tcW w:w="3560" w:type="dxa"/>
            <w:vAlign w:val="bottom"/>
            <w:gridSpan w:val="5"/>
          </w:tcPr>
          <w:p>
            <w:pPr>
              <w:ind w:left="40"/>
              <w:spacing w:after="0"/>
              <w:rPr>
                <w:sz w:val="20"/>
                <w:szCs w:val="20"/>
                <w:color w:val="auto"/>
              </w:rPr>
            </w:pPr>
            <w:r>
              <w:rPr>
                <w:rFonts w:ascii="Arial" w:cs="Arial" w:eastAsia="Arial" w:hAnsi="Arial"/>
                <w:sz w:val="18"/>
                <w:szCs w:val="18"/>
                <w:color w:val="auto"/>
              </w:rPr>
              <w:t>(In Millions)</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3/31/2018</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w w:val="95"/>
              </w:rPr>
              <w:t>12/31/2017</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3/31/2017</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20" w:type="dxa"/>
            <w:vAlign w:val="bottom"/>
            <w:gridSpan w:val="4"/>
          </w:tcPr>
          <w:p>
            <w:pPr>
              <w:ind w:left="400"/>
              <w:spacing w:after="0"/>
              <w:rPr>
                <w:sz w:val="20"/>
                <w:szCs w:val="20"/>
                <w:color w:val="auto"/>
              </w:rPr>
            </w:pPr>
            <w:r>
              <w:rPr>
                <w:rFonts w:ascii="Arial" w:cs="Arial" w:eastAsia="Arial" w:hAnsi="Arial"/>
                <w:sz w:val="18"/>
                <w:szCs w:val="18"/>
                <w:b w:val="1"/>
                <w:bCs w:val="1"/>
                <w:color w:val="auto"/>
              </w:rPr>
              <w:t>Sequential</w:t>
            </w:r>
          </w:p>
        </w:tc>
        <w:tc>
          <w:tcPr>
            <w:tcW w:w="660" w:type="dxa"/>
            <w:vAlign w:val="bottom"/>
          </w:tcPr>
          <w:p>
            <w:pPr>
              <w:jc w:val="right"/>
              <w:ind w:right="50"/>
              <w:spacing w:after="0"/>
              <w:rPr>
                <w:sz w:val="20"/>
                <w:szCs w:val="20"/>
                <w:color w:val="auto"/>
              </w:rPr>
            </w:pPr>
            <w:r>
              <w:rPr>
                <w:rFonts w:ascii="Arial" w:cs="Arial" w:eastAsia="Arial" w:hAnsi="Arial"/>
                <w:sz w:val="18"/>
                <w:szCs w:val="18"/>
                <w:b w:val="1"/>
                <w:bCs w:val="1"/>
                <w:color w:val="auto"/>
              </w:rPr>
              <w:t>YoY</w:t>
            </w:r>
          </w:p>
        </w:tc>
        <w:tc>
          <w:tcPr>
            <w:tcW w:w="480" w:type="dxa"/>
            <w:vAlign w:val="bottom"/>
          </w:tcPr>
          <w:p>
            <w:pPr>
              <w:spacing w:after="0"/>
              <w:rPr>
                <w:sz w:val="20"/>
                <w:szCs w:val="20"/>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196"/>
        </w:trPr>
        <w:tc>
          <w:tcPr>
            <w:tcW w:w="3560" w:type="dxa"/>
            <w:vAlign w:val="bottom"/>
            <w:gridSpan w:val="5"/>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Western Hemisphere</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54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19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r>
      <w:tr>
        <w:trPr>
          <w:trHeight w:val="243"/>
        </w:trPr>
        <w:tc>
          <w:tcPr>
            <w:tcW w:w="3560" w:type="dxa"/>
            <w:vAlign w:val="bottom"/>
            <w:gridSpan w:val="5"/>
          </w:tcPr>
          <w:p>
            <w:pPr>
              <w:ind w:left="40"/>
              <w:spacing w:after="0"/>
              <w:rPr>
                <w:sz w:val="20"/>
                <w:szCs w:val="20"/>
                <w:color w:val="auto"/>
              </w:rPr>
            </w:pPr>
            <w:r>
              <w:rPr>
                <w:rFonts w:ascii="Arial" w:cs="Arial" w:eastAsia="Arial" w:hAnsi="Arial"/>
                <w:sz w:val="18"/>
                <w:szCs w:val="18"/>
                <w:color w:val="auto"/>
              </w:rPr>
              <w:t>Net Revenues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756</w:t>
            </w:r>
          </w:p>
        </w:tc>
        <w:tc>
          <w:tcPr>
            <w:tcW w:w="260" w:type="dxa"/>
            <w:vAlign w:val="bottom"/>
          </w:tcPr>
          <w:p>
            <w:pPr>
              <w:spacing w:after="0"/>
              <w:rPr>
                <w:sz w:val="21"/>
                <w:szCs w:val="21"/>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759</w:t>
            </w:r>
          </w:p>
        </w:tc>
        <w:tc>
          <w:tcPr>
            <w:tcW w:w="6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733</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(0.4)</w:t>
            </w:r>
          </w:p>
        </w:tc>
        <w:tc>
          <w:tcPr>
            <w:tcW w:w="460" w:type="dxa"/>
            <w:vAlign w:val="bottom"/>
          </w:tcPr>
          <w:p>
            <w:pPr>
              <w:ind w:lef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w:t>
            </w:r>
          </w:p>
        </w:tc>
        <w:tc>
          <w:tcPr>
            <w:tcW w:w="480" w:type="dxa"/>
            <w:vAlign w:val="bottom"/>
          </w:tcPr>
          <w:p>
            <w:pPr>
              <w:ind w:left="6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35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Segment Operating Income (Loss)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6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w:t>
            </w:r>
          </w:p>
        </w:tc>
        <w:tc>
          <w:tcPr>
            <w:tcW w:w="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4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w:t>
            </w:r>
          </w:p>
        </w:tc>
      </w:tr>
      <w:tr>
        <w:trPr>
          <w:trHeight w:val="243"/>
        </w:trPr>
        <w:tc>
          <w:tcPr>
            <w:tcW w:w="3560" w:type="dxa"/>
            <w:vAlign w:val="bottom"/>
            <w:gridSpan w:val="5"/>
          </w:tcPr>
          <w:p>
            <w:pPr>
              <w:ind w:left="40"/>
              <w:spacing w:after="0"/>
              <w:rPr>
                <w:sz w:val="20"/>
                <w:szCs w:val="20"/>
                <w:color w:val="auto"/>
              </w:rPr>
            </w:pPr>
            <w:r>
              <w:rPr>
                <w:rFonts w:ascii="Arial" w:cs="Arial" w:eastAsia="Arial" w:hAnsi="Arial"/>
                <w:sz w:val="18"/>
                <w:szCs w:val="18"/>
                <w:color w:val="auto"/>
              </w:rPr>
              <w:t>Segment Operating Margin</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w:t>
            </w:r>
          </w:p>
        </w:tc>
        <w:tc>
          <w:tcPr>
            <w:tcW w:w="20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780</w:t>
            </w:r>
          </w:p>
        </w:tc>
        <w:tc>
          <w:tcPr>
            <w:tcW w:w="1000" w:type="dxa"/>
            <w:vAlign w:val="bottom"/>
            <w:gridSpan w:val="3"/>
          </w:tcPr>
          <w:p>
            <w:pPr>
              <w:ind w:left="40"/>
              <w:spacing w:after="0"/>
              <w:rPr>
                <w:sz w:val="20"/>
                <w:szCs w:val="20"/>
                <w:color w:val="auto"/>
              </w:rPr>
            </w:pPr>
            <w:r>
              <w:rPr>
                <w:rFonts w:ascii="Arial" w:cs="Arial" w:eastAsia="Arial" w:hAnsi="Arial"/>
                <w:sz w:val="18"/>
                <w:szCs w:val="18"/>
                <w:color w:val="auto"/>
              </w:rPr>
              <w:t>bps</w:t>
            </w:r>
          </w:p>
        </w:tc>
        <w:tc>
          <w:tcPr>
            <w:tcW w:w="660" w:type="dxa"/>
            <w:vAlign w:val="bottom"/>
          </w:tcPr>
          <w:p>
            <w:pPr>
              <w:jc w:val="right"/>
              <w:spacing w:after="0"/>
              <w:rPr>
                <w:sz w:val="20"/>
                <w:szCs w:val="20"/>
                <w:color w:val="auto"/>
              </w:rPr>
            </w:pPr>
            <w:r>
              <w:rPr>
                <w:rFonts w:ascii="Arial" w:cs="Arial" w:eastAsia="Arial" w:hAnsi="Arial"/>
                <w:sz w:val="18"/>
                <w:szCs w:val="18"/>
                <w:color w:val="auto"/>
              </w:rPr>
              <w:t>730</w:t>
            </w:r>
          </w:p>
        </w:tc>
        <w:tc>
          <w:tcPr>
            <w:tcW w:w="480" w:type="dxa"/>
            <w:vAlign w:val="bottom"/>
          </w:tcPr>
          <w:p>
            <w:pPr>
              <w:ind w:left="60"/>
              <w:spacing w:after="0"/>
              <w:rPr>
                <w:sz w:val="20"/>
                <w:szCs w:val="20"/>
                <w:color w:val="auto"/>
              </w:rPr>
            </w:pPr>
            <w:r>
              <w:rPr>
                <w:rFonts w:ascii="Arial" w:cs="Arial" w:eastAsia="Arial" w:hAnsi="Arial"/>
                <w:sz w:val="18"/>
                <w:szCs w:val="18"/>
                <w:color w:val="auto"/>
              </w:rPr>
              <w:t>bps</w:t>
            </w:r>
          </w:p>
        </w:tc>
      </w:tr>
      <w:tr>
        <w:trPr>
          <w:trHeight w:val="27"/>
        </w:trPr>
        <w:tc>
          <w:tcPr>
            <w:tcW w:w="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324"/>
        </w:trPr>
        <w:tc>
          <w:tcPr>
            <w:tcW w:w="4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9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r>
      <w:tr>
        <w:trPr>
          <w:trHeight w:val="203"/>
        </w:trPr>
        <w:tc>
          <w:tcPr>
            <w:tcW w:w="3560" w:type="dxa"/>
            <w:vAlign w:val="bottom"/>
            <w:gridSpan w:val="5"/>
          </w:tcPr>
          <w:p>
            <w:pPr>
              <w:ind w:left="40"/>
              <w:spacing w:after="0" w:line="202" w:lineRule="exact"/>
              <w:rPr>
                <w:sz w:val="20"/>
                <w:szCs w:val="20"/>
                <w:color w:val="auto"/>
              </w:rPr>
            </w:pPr>
            <w:r>
              <w:rPr>
                <w:rFonts w:ascii="Arial" w:cs="Arial" w:eastAsia="Arial" w:hAnsi="Arial"/>
                <w:sz w:val="18"/>
                <w:szCs w:val="18"/>
                <w:b w:val="1"/>
                <w:bCs w:val="1"/>
                <w:color w:val="auto"/>
              </w:rPr>
              <w:t>Eastern Hemisphere</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5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19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480" w:type="dxa"/>
            <w:vAlign w:val="bottom"/>
          </w:tcPr>
          <w:p>
            <w:pPr>
              <w:spacing w:after="0"/>
              <w:rPr>
                <w:sz w:val="4"/>
                <w:szCs w:val="4"/>
                <w:color w:val="auto"/>
              </w:rPr>
            </w:pPr>
          </w:p>
        </w:tc>
      </w:tr>
      <w:tr>
        <w:trPr>
          <w:trHeight w:val="250"/>
        </w:trPr>
        <w:tc>
          <w:tcPr>
            <w:tcW w:w="35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2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731</w:t>
            </w:r>
          </w:p>
        </w:tc>
        <w:tc>
          <w:tcPr>
            <w:tcW w:w="6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653</w:t>
            </w: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w:t>
            </w:r>
          </w:p>
        </w:tc>
      </w:tr>
      <w:tr>
        <w:trPr>
          <w:trHeight w:val="243"/>
        </w:trPr>
        <w:tc>
          <w:tcPr>
            <w:tcW w:w="3560" w:type="dxa"/>
            <w:vAlign w:val="bottom"/>
            <w:gridSpan w:val="5"/>
          </w:tcPr>
          <w:p>
            <w:pPr>
              <w:ind w:left="40"/>
              <w:spacing w:after="0"/>
              <w:rPr>
                <w:sz w:val="20"/>
                <w:szCs w:val="20"/>
                <w:color w:val="auto"/>
              </w:rPr>
            </w:pPr>
            <w:r>
              <w:rPr>
                <w:rFonts w:ascii="Arial" w:cs="Arial" w:eastAsia="Arial" w:hAnsi="Arial"/>
                <w:sz w:val="18"/>
                <w:szCs w:val="18"/>
                <w:color w:val="auto"/>
              </w:rPr>
              <w:t>Segment Operating Income (Loss)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w:t>
            </w:r>
          </w:p>
        </w:tc>
        <w:tc>
          <w:tcPr>
            <w:tcW w:w="260" w:type="dxa"/>
            <w:vAlign w:val="bottom"/>
          </w:tcPr>
          <w:p>
            <w:pPr>
              <w:spacing w:after="0"/>
              <w:rPr>
                <w:sz w:val="21"/>
                <w:szCs w:val="21"/>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(48)</w:t>
            </w:r>
          </w:p>
        </w:tc>
        <w:tc>
          <w:tcPr>
            <w:tcW w:w="6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(59)</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133</w:t>
            </w:r>
          </w:p>
        </w:tc>
        <w:tc>
          <w:tcPr>
            <w:tcW w:w="460" w:type="dxa"/>
            <w:vAlign w:val="bottom"/>
          </w:tcPr>
          <w:p>
            <w:pPr>
              <w:ind w:lef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127</w:t>
            </w:r>
          </w:p>
        </w:tc>
        <w:tc>
          <w:tcPr>
            <w:tcW w:w="480" w:type="dxa"/>
            <w:vAlign w:val="bottom"/>
          </w:tcPr>
          <w:p>
            <w:pPr>
              <w:ind w:left="6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43"/>
        </w:trPr>
        <w:tc>
          <w:tcPr>
            <w:tcW w:w="356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Segment Operating Margin</w:t>
            </w: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900</w:t>
            </w:r>
          </w:p>
        </w:tc>
        <w:tc>
          <w:tcPr>
            <w:tcW w:w="10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bps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w:t>
            </w:r>
          </w:p>
        </w:tc>
        <w:tc>
          <w:tcPr>
            <w:tcW w:w="480" w:type="dxa"/>
            <w:vAlign w:val="bottom"/>
            <w:shd w:val="clear" w:color="auto" w:fill="CCEEFF"/>
          </w:tcPr>
          <w:p>
            <w:pPr>
              <w:ind w:left="60"/>
              <w:spacing w:after="0"/>
              <w:rPr>
                <w:sz w:val="20"/>
                <w:szCs w:val="20"/>
                <w:color w:val="auto"/>
              </w:rPr>
            </w:pPr>
            <w:r>
              <w:rPr>
                <w:rFonts w:ascii="Arial" w:cs="Arial" w:eastAsia="Arial" w:hAnsi="Arial"/>
                <w:sz w:val="18"/>
                <w:szCs w:val="18"/>
                <w:color w:val="auto"/>
              </w:rPr>
              <w:t>bps</w:t>
            </w:r>
          </w:p>
        </w:tc>
      </w:tr>
      <w:tr>
        <w:trPr>
          <w:trHeight w:val="27"/>
        </w:trPr>
        <w:tc>
          <w:tcPr>
            <w:tcW w:w="4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Western Hemisphere</w:t>
      </w:r>
    </w:p>
    <w:p>
      <w:pPr>
        <w:spacing w:after="0" w:line="200" w:lineRule="exact"/>
        <w:rPr>
          <w:sz w:val="20"/>
          <w:szCs w:val="20"/>
          <w:color w:val="auto"/>
        </w:rPr>
      </w:pPr>
    </w:p>
    <w:p>
      <w:pPr>
        <w:spacing w:after="0" w:line="214" w:lineRule="exact"/>
        <w:rPr>
          <w:sz w:val="20"/>
          <w:szCs w:val="20"/>
          <w:color w:val="auto"/>
        </w:rPr>
      </w:pPr>
    </w:p>
    <w:p>
      <w:pPr>
        <w:jc w:val="both"/>
        <w:spacing w:after="0" w:line="369" w:lineRule="auto"/>
        <w:rPr>
          <w:sz w:val="20"/>
          <w:szCs w:val="20"/>
          <w:color w:val="auto"/>
        </w:rPr>
      </w:pPr>
      <w:r>
        <w:rPr>
          <w:rFonts w:ascii="Arial" w:cs="Arial" w:eastAsia="Arial" w:hAnsi="Arial"/>
          <w:sz w:val="18"/>
          <w:szCs w:val="18"/>
          <w:color w:val="auto"/>
        </w:rPr>
        <w:t>First quarter revenues of $756 million were down $3 million or 0.4% sequentially, and up $23 million, or 3%, year-over-year. The sequential decrease was primarily in the U.S. due to non-repeating year-end product sales of pumping units and the completion of the Pressure Pumping and Pump-Down Perforating assets sale in the prior quarter, offset by increased Integrated Services and Projects activity in Mexico and higher activity in Argentina from Production and Drilling Services.</w:t>
      </w:r>
    </w:p>
    <w:p>
      <w:pPr>
        <w:spacing w:after="0" w:line="280" w:lineRule="exact"/>
        <w:rPr>
          <w:sz w:val="20"/>
          <w:szCs w:val="20"/>
          <w:color w:val="auto"/>
        </w:rPr>
      </w:pPr>
    </w:p>
    <w:p>
      <w:pPr>
        <w:jc w:val="both"/>
        <w:spacing w:after="0" w:line="373" w:lineRule="auto"/>
        <w:rPr>
          <w:sz w:val="20"/>
          <w:szCs w:val="20"/>
          <w:color w:val="auto"/>
        </w:rPr>
      </w:pPr>
      <w:r>
        <w:rPr>
          <w:rFonts w:ascii="Arial" w:cs="Arial" w:eastAsia="Arial" w:hAnsi="Arial"/>
          <w:sz w:val="18"/>
          <w:szCs w:val="18"/>
          <w:color w:val="auto"/>
        </w:rPr>
        <w:t>Year-over-year revenues increased primarily due to higher adoption of Managed Pressure Drilling and improved utilization of Drilling Tools in the U.S., growing demand for Pressure Pumping services in Argentina and Integrated Services and Projects in Mexico, partially offset by lower revenues in Venezuela after our change in accounting for revenue to cash basis last quarter.</w:t>
      </w:r>
    </w:p>
    <w:p>
      <w:pPr>
        <w:spacing w:after="0" w:line="277" w:lineRule="exact"/>
        <w:rPr>
          <w:sz w:val="20"/>
          <w:szCs w:val="20"/>
          <w:color w:val="auto"/>
        </w:rPr>
      </w:pPr>
    </w:p>
    <w:p>
      <w:pPr>
        <w:jc w:val="both"/>
        <w:spacing w:after="0" w:line="373" w:lineRule="auto"/>
        <w:rPr>
          <w:sz w:val="20"/>
          <w:szCs w:val="20"/>
          <w:color w:val="auto"/>
        </w:rPr>
      </w:pPr>
      <w:r>
        <w:rPr>
          <w:rFonts w:ascii="Arial" w:cs="Arial" w:eastAsia="Arial" w:hAnsi="Arial"/>
          <w:sz w:val="18"/>
          <w:szCs w:val="18"/>
          <w:color w:val="auto"/>
        </w:rPr>
        <w:t>First quarter segment operating income of $24 million was up $59 million sequentially, and up $54 million year-over-year. The sequential increase was due to improved margins resulting from a favorable product mix, lower personnel expenses and lower depreciation and amortization after impairments recognized in the prior quarter.</w:t>
      </w:r>
    </w:p>
    <w:p>
      <w:pPr>
        <w:spacing w:after="0" w:line="277" w:lineRule="exact"/>
        <w:rPr>
          <w:sz w:val="20"/>
          <w:szCs w:val="20"/>
          <w:color w:val="auto"/>
        </w:rPr>
      </w:pPr>
    </w:p>
    <w:p>
      <w:pPr>
        <w:jc w:val="both"/>
        <w:spacing w:after="0" w:line="465" w:lineRule="auto"/>
        <w:rPr>
          <w:sz w:val="20"/>
          <w:szCs w:val="20"/>
          <w:color w:val="auto"/>
        </w:rPr>
      </w:pPr>
      <w:r>
        <w:rPr>
          <w:rFonts w:ascii="Arial" w:cs="Arial" w:eastAsia="Arial" w:hAnsi="Arial"/>
          <w:sz w:val="16"/>
          <w:szCs w:val="16"/>
          <w:color w:val="auto"/>
        </w:rPr>
        <w:t>Year-over-year results increased primarily in the U.S. as result of revenue growth in Production and Well Construction, a decline in operating costs and lower depreciation. These improvements were partially offset by lower revenues in Venezuela after our change in accounting for revenue to a cash basis last quarter.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18"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Operational highlights in the Western Hemisphere during the quarter include:</w:t>
      </w:r>
    </w:p>
    <w:p>
      <w:pPr>
        <w:spacing w:after="0" w:line="104" w:lineRule="exact"/>
        <w:rPr>
          <w:sz w:val="20"/>
          <w:szCs w:val="20"/>
          <w:color w:val="auto"/>
        </w:rPr>
      </w:pPr>
    </w:p>
    <w:p>
      <w:pPr>
        <w:ind w:left="660" w:hanging="328"/>
        <w:spacing w:after="0" w:line="405"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An operator in the Eagle Ford Shale deployed Weatherford logging-while-drilling services to identify wellbore fractures while drilling. The customer estimates that the data provided will reduce completions costs while matching production estimates, saving approximately $300,000 per well.</w:t>
      </w:r>
    </w:p>
    <w:p>
      <w:pPr>
        <w:jc w:val="both"/>
        <w:ind w:left="660" w:hanging="328"/>
        <w:spacing w:after="0" w:line="36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Working closely alongside a major operator in the U.S. Gulf of Mexico, Weatherford developed a new tubular handling system that enabled the customer to safely and efficiently run 16-in. casing. The solution saved approximately 1 day of operational time and the customer plans to deploy the same technology on future jobs.</w:t>
      </w:r>
    </w:p>
    <w:p>
      <w:pPr>
        <w:jc w:val="both"/>
        <w:ind w:left="660" w:hanging="328"/>
        <w:spacing w:after="0" w:line="36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Weatherford replaced the incumbent service provider on a South Texas well where the operator was experiencing high levels of nonproductive time and well-control risks. By deploying a managed pressure drilling solution, Weatherford resolved these issues and saved the operator approximately $1 million.</w:t>
      </w:r>
    </w:p>
    <w:p>
      <w:pPr>
        <w:jc w:val="both"/>
        <w:ind w:left="660" w:right="20" w:hanging="328"/>
        <w:spacing w:after="0" w:line="36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Weatherford deployed a comprehensive managed pressure drilling system, including the Microflux® control system and the OneSync® software platform, to drill a challenging well in the pre-salt area of Brazil. By successfully maintaining constant bottomhole pressure, the team reached total depth 50 hours ahead of plan and using a single bit, saving the operator approximately $780,000 in rig time.</w:t>
      </w:r>
    </w:p>
    <w:p>
      <w:pPr>
        <w:jc w:val="both"/>
        <w:ind w:left="660" w:hanging="328"/>
        <w:spacing w:after="0" w:line="36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Working in close collaboration with the operator, Weatherford designed and executed an innovative completion program for an onshore well in Mexico. First, the team applied a wireline perforation technique that reduced intervention time by 30%. Additionally, a stimulated reservoir volume pressure pumping technique increased production expectations by 250%.</w:t>
      </w:r>
    </w:p>
    <w:p>
      <w:pPr>
        <w:jc w:val="both"/>
        <w:ind w:left="660" w:hanging="328"/>
        <w:spacing w:after="0" w:line="405"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Weatherford was awarded a one-year contract for all service and inspection of reciprocating-rod-lift surface equipment across more than 400 wells in the Bakken Shale. Through a comprehensive process that included collecting and analyzing data, performing root-cause analysis, and delivering an integrated solution, Weatherford reduced the failure rate by 10% and eliminated thousands of hours of downtime and deferred production.</w:t>
      </w:r>
    </w:p>
    <w:p>
      <w:pPr>
        <w:ind w:left="660" w:right="20" w:hanging="328"/>
        <w:spacing w:after="0" w:line="38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Weatherford was awarded a 3-year exclusive contract to supply Maximizer® pumping units to the largest operator of reciprocating rod-lift systems in Argentina, replacing the incumbent.</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Eastern Hemisphere</w:t>
      </w:r>
    </w:p>
    <w:p>
      <w:pPr>
        <w:spacing w:after="0" w:line="320" w:lineRule="exact"/>
        <w:rPr>
          <w:sz w:val="20"/>
          <w:szCs w:val="20"/>
          <w:color w:val="auto"/>
        </w:rPr>
      </w:pPr>
    </w:p>
    <w:p>
      <w:pPr>
        <w:jc w:val="both"/>
        <w:spacing w:after="0" w:line="425" w:lineRule="auto"/>
        <w:rPr>
          <w:sz w:val="20"/>
          <w:szCs w:val="20"/>
          <w:color w:val="auto"/>
        </w:rPr>
      </w:pPr>
      <w:r>
        <w:rPr>
          <w:rFonts w:ascii="Arial" w:cs="Arial" w:eastAsia="Arial" w:hAnsi="Arial"/>
          <w:sz w:val="16"/>
          <w:szCs w:val="16"/>
          <w:color w:val="auto"/>
        </w:rPr>
        <w:t>First quarter revenues of $667 million were down $64 million or 9% sequentially, and up $14 million or 2% year-over-year. The sequential decrease was primarily due to non-repeating product sales as well as seasonally lower activity in the North Sea and Russia. These factors were partially offset by increased revenue from Integrated Services and Projects. Year-over-year revenues increased across the Middle East and Russia due to contract gains and increased rig activity. These gains were partially offset by lower activity levels in the North Sea, West Africa and Asia as offshore markets remain subdued.</w:t>
      </w:r>
    </w:p>
    <w:p>
      <w:pPr>
        <w:spacing w:after="0" w:line="250" w:lineRule="exact"/>
        <w:rPr>
          <w:sz w:val="20"/>
          <w:szCs w:val="20"/>
          <w:color w:val="auto"/>
        </w:rPr>
      </w:pPr>
    </w:p>
    <w:p>
      <w:pPr>
        <w:jc w:val="both"/>
        <w:spacing w:after="0" w:line="373" w:lineRule="auto"/>
        <w:rPr>
          <w:sz w:val="20"/>
          <w:szCs w:val="20"/>
          <w:color w:val="auto"/>
        </w:rPr>
      </w:pPr>
      <w:r>
        <w:rPr>
          <w:rFonts w:ascii="Arial" w:cs="Arial" w:eastAsia="Arial" w:hAnsi="Arial"/>
          <w:sz w:val="18"/>
          <w:szCs w:val="18"/>
          <w:color w:val="auto"/>
        </w:rPr>
        <w:t>First quarter segment operating income of $16 million was up $64 million sequentially, and up $75 million year-over-year. The sequential increase was primarily due to a more favorable revenue mix, the timing of revenue and cost recognition related to deliveries in Kuwait, non-repeating start-up costs in Asia and an overall lower cost structure.</w:t>
      </w:r>
    </w:p>
    <w:p>
      <w:pPr>
        <w:spacing w:after="0" w:line="277" w:lineRule="exact"/>
        <w:rPr>
          <w:sz w:val="20"/>
          <w:szCs w:val="20"/>
          <w:color w:val="auto"/>
        </w:rPr>
      </w:pPr>
    </w:p>
    <w:p>
      <w:pPr>
        <w:jc w:val="both"/>
        <w:spacing w:after="0" w:line="387" w:lineRule="auto"/>
        <w:rPr>
          <w:sz w:val="20"/>
          <w:szCs w:val="20"/>
          <w:color w:val="auto"/>
        </w:rPr>
      </w:pPr>
      <w:r>
        <w:rPr>
          <w:rFonts w:ascii="Arial" w:cs="Arial" w:eastAsia="Arial" w:hAnsi="Arial"/>
          <w:sz w:val="18"/>
          <w:szCs w:val="18"/>
          <w:color w:val="auto"/>
        </w:rPr>
        <w:t>Year-over-year operating income increased in all product lines primarily in the Middle East and Russia due to higher activity levels, a reduced cost structure and improved service quality resulting in greater revenue efficiency.</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22"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Operational highlights in the Eastern Hemisphere during the quarter include:</w:t>
      </w:r>
    </w:p>
    <w:p>
      <w:pPr>
        <w:spacing w:after="0" w:line="104" w:lineRule="exact"/>
        <w:rPr>
          <w:sz w:val="20"/>
          <w:szCs w:val="20"/>
          <w:color w:val="auto"/>
        </w:rPr>
      </w:pPr>
    </w:p>
    <w:p>
      <w:pPr>
        <w:ind w:left="660" w:hanging="328"/>
        <w:spacing w:after="0" w:line="36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Weatherford won a 3-year wireline services contract in Algeria. Together with a major drilling services contract won in the fourth quarter of 2017, this award significantly expands the Company’s exposure and footprint in Algeria.</w:t>
      </w:r>
    </w:p>
    <w:p>
      <w:pPr>
        <w:jc w:val="both"/>
        <w:ind w:left="660" w:hanging="328"/>
        <w:spacing w:after="0" w:line="326"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Weatherford won a 4-year contract for logging while drilling, surface logging systems, tubular running services and float equipment for a major international operator in the Gulf of Thailand. Weatherford secured the win in large part due to the strength of the HeatWave</w:t>
      </w:r>
      <w:r>
        <w:rPr>
          <w:rFonts w:ascii="Arial" w:cs="Arial" w:eastAsia="Arial" w:hAnsi="Arial"/>
          <w:sz w:val="25"/>
          <w:szCs w:val="25"/>
          <w:color w:val="auto"/>
          <w:vertAlign w:val="superscript"/>
        </w:rPr>
        <w:t>SM</w:t>
      </w:r>
      <w:r>
        <w:rPr>
          <w:rFonts w:ascii="Arial" w:cs="Arial" w:eastAsia="Arial" w:hAnsi="Arial"/>
          <w:sz w:val="18"/>
          <w:szCs w:val="18"/>
          <w:color w:val="auto"/>
        </w:rPr>
        <w:t xml:space="preserve"> logging-while-drilling service, which was developed specifically to acquire high-quality formation evaluation data in the ultrahigh-temperature environments common in the Gulf of Thailand.</w:t>
      </w:r>
    </w:p>
    <w:p>
      <w:pPr>
        <w:spacing w:after="0" w:line="8" w:lineRule="exact"/>
        <w:rPr>
          <w:rFonts w:ascii="Arial" w:cs="Arial" w:eastAsia="Arial" w:hAnsi="Arial"/>
          <w:sz w:val="18"/>
          <w:szCs w:val="18"/>
          <w:color w:val="auto"/>
        </w:rPr>
      </w:pPr>
    </w:p>
    <w:p>
      <w:pPr>
        <w:jc w:val="both"/>
        <w:ind w:left="660" w:hanging="328"/>
        <w:spacing w:after="0" w:line="36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Weatherford won a 5-year contract to provide intervention services including fishing, re-entry and thru-tubing services in the Middle East. The customer selected Weatherford from a large number of competitors because of the Company’s service quality record and advanced technologies in this area.</w:t>
      </w:r>
    </w:p>
    <w:p>
      <w:pPr>
        <w:ind w:left="660" w:right="20" w:hanging="328"/>
        <w:spacing w:after="0" w:line="36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Weatherford deployed the AcidSure® system on an underperforming well in a highly fractured carbonate reservoir in the Middle East. The stimulation operation avoided the need for a workover and resulted in a 600% production increase.</w:t>
      </w:r>
    </w:p>
    <w:p>
      <w:pPr>
        <w:ind w:left="660" w:right="20" w:hanging="328"/>
        <w:spacing w:after="0" w:line="405"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Weatherford deployed the AccuView® real-time remote support system to execute a shallow-angle casing exit in Sakhalin Island, Russia. The software system facilitated real-time analysis of foot-by-foot performance, which enabled the operator to complete the casing exit in a single trip.</w:t>
      </w:r>
    </w:p>
    <w:p>
      <w:pPr>
        <w:ind w:left="660" w:hanging="328"/>
        <w:spacing w:after="0" w:line="36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Weatherford successfully executed three casing exits from an offshore platform in Malaysia using the QuickCut™ whipstock system. By meeting all targets on a short lead time, Weatherford enabled the customer to complete three infill wells.</w:t>
      </w:r>
    </w:p>
    <w:p>
      <w:pPr>
        <w:ind w:left="660" w:right="20" w:hanging="328"/>
        <w:spacing w:after="0" w:line="36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Weatherford Land Drilling Rigs reduced nonproductive time to 1.6%, which represents a 43% decrease from the business’s 2017 average and marks the best quarter on record.</w:t>
      </w: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Despite mobilization delays, profitability for the Land Drilling Rigs business increased sequentially.</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Reclassifications</w:t>
      </w:r>
    </w:p>
    <w:p>
      <w:pPr>
        <w:spacing w:after="0" w:line="200" w:lineRule="exact"/>
        <w:rPr>
          <w:sz w:val="20"/>
          <w:szCs w:val="20"/>
          <w:color w:val="auto"/>
        </w:rPr>
      </w:pPr>
    </w:p>
    <w:p>
      <w:pPr>
        <w:spacing w:after="0" w:line="218" w:lineRule="exact"/>
        <w:rPr>
          <w:sz w:val="20"/>
          <w:szCs w:val="20"/>
          <w:color w:val="auto"/>
        </w:rPr>
      </w:pPr>
    </w:p>
    <w:p>
      <w:pPr>
        <w:jc w:val="both"/>
        <w:spacing w:after="0" w:line="369" w:lineRule="auto"/>
        <w:rPr>
          <w:sz w:val="20"/>
          <w:szCs w:val="20"/>
          <w:color w:val="auto"/>
        </w:rPr>
      </w:pPr>
      <w:r>
        <w:rPr>
          <w:rFonts w:ascii="Arial" w:cs="Arial" w:eastAsia="Arial" w:hAnsi="Arial"/>
          <w:sz w:val="18"/>
          <w:szCs w:val="18"/>
          <w:color w:val="auto"/>
        </w:rPr>
        <w:t>In the first quarter of 2018, we adopted pension accounting standards on a retrospective basis, reclassifying the presentation of non-service cost components of net periodic pension and post-retirement cost from our operating income to non-operating Other Income (Expense), Net. All prior periods have been restated to conform to the current presentation within the Condensed Consolidated Statements of Operations and other financial information in the following pages.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Weatherford</w:t>
      </w:r>
    </w:p>
    <w:p>
      <w:pPr>
        <w:spacing w:after="0" w:line="200" w:lineRule="exact"/>
        <w:rPr>
          <w:sz w:val="20"/>
          <w:szCs w:val="20"/>
          <w:color w:val="auto"/>
        </w:rPr>
      </w:pPr>
    </w:p>
    <w:p>
      <w:pPr>
        <w:spacing w:after="0" w:line="218" w:lineRule="exact"/>
        <w:rPr>
          <w:sz w:val="20"/>
          <w:szCs w:val="20"/>
          <w:color w:val="auto"/>
        </w:rPr>
      </w:pPr>
    </w:p>
    <w:p>
      <w:pPr>
        <w:jc w:val="both"/>
        <w:spacing w:after="0" w:line="369" w:lineRule="auto"/>
        <w:rPr>
          <w:sz w:val="20"/>
          <w:szCs w:val="20"/>
          <w:color w:val="auto"/>
        </w:rPr>
      </w:pPr>
      <w:r>
        <w:rPr>
          <w:rFonts w:ascii="Arial" w:cs="Arial" w:eastAsia="Arial" w:hAnsi="Arial"/>
          <w:sz w:val="18"/>
          <w:szCs w:val="18"/>
          <w:color w:val="auto"/>
        </w:rPr>
        <w:t xml:space="preserve">Weatherford is one of the largest multinational oilfield service companies providing innovative solutions, technology and services to the oil and gas industry. The Company operates in over 90 countries and has a network of approximately 780 locations, including manufacturing, service, research and development, and training facilities and employs approximately 28,700 people. For more information, visit </w:t>
      </w:r>
      <w:r>
        <w:rPr>
          <w:rFonts w:ascii="Arial" w:cs="Arial" w:eastAsia="Arial" w:hAnsi="Arial"/>
          <w:sz w:val="18"/>
          <w:szCs w:val="18"/>
          <w:u w:val="single" w:color="auto"/>
          <w:color w:val="auto"/>
        </w:rPr>
        <w:t>www.weatherford.com</w:t>
      </w:r>
      <w:r>
        <w:rPr>
          <w:rFonts w:ascii="Arial" w:cs="Arial" w:eastAsia="Arial" w:hAnsi="Arial"/>
          <w:sz w:val="18"/>
          <w:szCs w:val="18"/>
          <w:color w:val="auto"/>
        </w:rPr>
        <w:t xml:space="preserve"> and connect with Weatherford on </w:t>
      </w:r>
      <w:r>
        <w:rPr>
          <w:rFonts w:ascii="Arial" w:cs="Arial" w:eastAsia="Arial" w:hAnsi="Arial"/>
          <w:sz w:val="18"/>
          <w:szCs w:val="18"/>
          <w:u w:val="single" w:color="auto"/>
          <w:color w:val="auto"/>
        </w:rPr>
        <w:t>LinkedIn</w:t>
      </w:r>
      <w:r>
        <w:rPr>
          <w:rFonts w:ascii="Arial" w:cs="Arial" w:eastAsia="Arial" w:hAnsi="Arial"/>
          <w:sz w:val="18"/>
          <w:szCs w:val="18"/>
          <w:color w:val="auto"/>
        </w:rPr>
        <w:t xml:space="preserve">, </w:t>
      </w:r>
      <w:r>
        <w:rPr>
          <w:rFonts w:ascii="Arial" w:cs="Arial" w:eastAsia="Arial" w:hAnsi="Arial"/>
          <w:sz w:val="18"/>
          <w:szCs w:val="18"/>
          <w:u w:val="single" w:color="auto"/>
          <w:color w:val="auto"/>
        </w:rPr>
        <w:t>Facebook</w:t>
      </w:r>
      <w:r>
        <w:rPr>
          <w:rFonts w:ascii="Arial" w:cs="Arial" w:eastAsia="Arial" w:hAnsi="Arial"/>
          <w:sz w:val="18"/>
          <w:szCs w:val="18"/>
          <w:color w:val="auto"/>
        </w:rPr>
        <w:t xml:space="preserve">, </w:t>
      </w:r>
      <w:r>
        <w:rPr>
          <w:rFonts w:ascii="Arial" w:cs="Arial" w:eastAsia="Arial" w:hAnsi="Arial"/>
          <w:sz w:val="18"/>
          <w:szCs w:val="18"/>
          <w:u w:val="single" w:color="auto"/>
          <w:color w:val="auto"/>
        </w:rPr>
        <w:t>Twitter</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YouTube</w:t>
      </w:r>
      <w:r>
        <w:rPr>
          <w:rFonts w:ascii="Arial" w:cs="Arial" w:eastAsia="Arial" w:hAnsi="Arial"/>
          <w:sz w:val="18"/>
          <w:szCs w:val="18"/>
          <w:color w:val="auto"/>
        </w:rPr>
        <w:t>.</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22"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auto"/>
        </w:rPr>
        <w:t>Conference Call</w:t>
      </w:r>
    </w:p>
    <w:p>
      <w:pPr>
        <w:spacing w:after="0" w:line="200" w:lineRule="exact"/>
        <w:rPr>
          <w:sz w:val="20"/>
          <w:szCs w:val="20"/>
          <w:color w:val="auto"/>
        </w:rPr>
      </w:pPr>
    </w:p>
    <w:p>
      <w:pPr>
        <w:spacing w:after="0" w:line="218" w:lineRule="exact"/>
        <w:rPr>
          <w:sz w:val="20"/>
          <w:szCs w:val="20"/>
          <w:color w:val="auto"/>
        </w:rPr>
      </w:pPr>
    </w:p>
    <w:p>
      <w:pPr>
        <w:jc w:val="both"/>
        <w:spacing w:after="0" w:line="392" w:lineRule="auto"/>
        <w:rPr>
          <w:sz w:val="20"/>
          <w:szCs w:val="20"/>
          <w:color w:val="auto"/>
        </w:rPr>
      </w:pPr>
      <w:r>
        <w:rPr>
          <w:rFonts w:ascii="Arial" w:cs="Arial" w:eastAsia="Arial" w:hAnsi="Arial"/>
          <w:sz w:val="17"/>
          <w:szCs w:val="17"/>
          <w:color w:val="auto"/>
        </w:rPr>
        <w:t xml:space="preserve">The Company will host a conference call with financial analysts to discuss the quarterly results on April 24, 2018, at 8:30 a.m. eastern time (ET), 7:30 a.m. central time (CT). Weatherford invites investors to listen to the call live and review related presentation materials via the Company’s website. Conference call details can be found at </w:t>
      </w:r>
      <w:r>
        <w:rPr>
          <w:rFonts w:ascii="Arial" w:cs="Arial" w:eastAsia="Arial" w:hAnsi="Arial"/>
          <w:sz w:val="17"/>
          <w:szCs w:val="17"/>
          <w:u w:val="single" w:color="auto"/>
          <w:color w:val="auto"/>
        </w:rPr>
        <w:t>https://www.weatherford.com/en/investor-relations/financial-information/conference-call-details/</w:t>
      </w:r>
      <w:r>
        <w:rPr>
          <w:rFonts w:ascii="Arial" w:cs="Arial" w:eastAsia="Arial" w:hAnsi="Arial"/>
          <w:sz w:val="17"/>
          <w:szCs w:val="17"/>
          <w:color w:val="auto"/>
        </w:rPr>
        <w:t xml:space="preserve"> and presentation materials can be found at </w:t>
      </w:r>
      <w:r>
        <w:rPr>
          <w:rFonts w:ascii="Arial" w:cs="Arial" w:eastAsia="Arial" w:hAnsi="Arial"/>
          <w:sz w:val="17"/>
          <w:szCs w:val="17"/>
          <w:u w:val="single" w:color="auto"/>
          <w:color w:val="auto"/>
        </w:rPr>
        <w:t>https://www.weatherford.com/en/investor-relations/investor-presentations/</w:t>
      </w:r>
      <w:r>
        <w:rPr>
          <w:rFonts w:ascii="Arial" w:cs="Arial" w:eastAsia="Arial" w:hAnsi="Arial"/>
          <w:sz w:val="17"/>
          <w:szCs w:val="17"/>
          <w:color w:val="auto"/>
        </w:rPr>
        <w:t>. A recording of the conference call and transcript of the call will be available in the Investor Relations section of the website shortly after the call ends.</w:t>
      </w:r>
    </w:p>
    <w:p>
      <w:pPr>
        <w:spacing w:after="0" w:line="267" w:lineRule="exact"/>
        <w:rPr>
          <w:sz w:val="20"/>
          <w:szCs w:val="20"/>
          <w:color w:val="auto"/>
        </w:rPr>
      </w:pPr>
    </w:p>
    <w:tbl>
      <w:tblPr>
        <w:tblLayout w:type="fixed"/>
        <w:tblInd w:w="1120" w:type="dxa"/>
        <w:tblCellMar>
          <w:top w:w="0" w:type="dxa"/>
          <w:left w:w="0" w:type="dxa"/>
          <w:bottom w:w="0" w:type="dxa"/>
          <w:right w:w="0" w:type="dxa"/>
        </w:tblCellMar>
      </w:tblPr>
      <w:tr>
        <w:trPr>
          <w:trHeight w:val="230"/>
        </w:trPr>
        <w:tc>
          <w:tcPr>
            <w:tcW w:w="1120" w:type="dxa"/>
            <w:vAlign w:val="bottom"/>
          </w:tcPr>
          <w:p>
            <w:pPr>
              <w:spacing w:after="0"/>
              <w:rPr>
                <w:sz w:val="20"/>
                <w:szCs w:val="20"/>
                <w:color w:val="auto"/>
              </w:rPr>
            </w:pPr>
          </w:p>
        </w:tc>
        <w:tc>
          <w:tcPr>
            <w:tcW w:w="6100" w:type="dxa"/>
            <w:vAlign w:val="bottom"/>
          </w:tcPr>
          <w:p>
            <w:pPr>
              <w:ind w:left="3300"/>
              <w:spacing w:after="0"/>
              <w:rPr>
                <w:sz w:val="20"/>
                <w:szCs w:val="20"/>
                <w:color w:val="auto"/>
              </w:rPr>
            </w:pPr>
            <w:r>
              <w:rPr>
                <w:rFonts w:ascii="Arial" w:cs="Arial" w:eastAsia="Arial" w:hAnsi="Arial"/>
                <w:sz w:val="18"/>
                <w:szCs w:val="18"/>
                <w:color w:val="auto"/>
              </w:rPr>
              <w:t># # #</w:t>
            </w:r>
          </w:p>
        </w:tc>
        <w:tc>
          <w:tcPr>
            <w:tcW w:w="1960" w:type="dxa"/>
            <w:vAlign w:val="bottom"/>
          </w:tcPr>
          <w:p>
            <w:pPr>
              <w:spacing w:after="0"/>
              <w:rPr>
                <w:sz w:val="20"/>
                <w:szCs w:val="20"/>
                <w:color w:val="auto"/>
              </w:rPr>
            </w:pPr>
          </w:p>
        </w:tc>
      </w:tr>
      <w:tr>
        <w:trPr>
          <w:trHeight w:val="419"/>
        </w:trPr>
        <w:tc>
          <w:tcPr>
            <w:tcW w:w="1120" w:type="dxa"/>
            <w:vAlign w:val="bottom"/>
          </w:tcPr>
          <w:p>
            <w:pPr>
              <w:spacing w:after="0"/>
              <w:rPr>
                <w:sz w:val="20"/>
                <w:szCs w:val="20"/>
                <w:color w:val="auto"/>
              </w:rPr>
            </w:pPr>
            <w:r>
              <w:rPr>
                <w:rFonts w:ascii="Arial" w:cs="Arial" w:eastAsia="Arial" w:hAnsi="Arial"/>
                <w:sz w:val="18"/>
                <w:szCs w:val="18"/>
                <w:color w:val="auto"/>
              </w:rPr>
              <w:t>Contacts:</w:t>
            </w:r>
          </w:p>
        </w:tc>
        <w:tc>
          <w:tcPr>
            <w:tcW w:w="6100" w:type="dxa"/>
            <w:vAlign w:val="bottom"/>
          </w:tcPr>
          <w:p>
            <w:pPr>
              <w:ind w:left="420"/>
              <w:spacing w:after="0"/>
              <w:rPr>
                <w:sz w:val="20"/>
                <w:szCs w:val="20"/>
                <w:color w:val="auto"/>
              </w:rPr>
            </w:pPr>
            <w:r>
              <w:rPr>
                <w:rFonts w:ascii="Arial" w:cs="Arial" w:eastAsia="Arial" w:hAnsi="Arial"/>
                <w:sz w:val="18"/>
                <w:szCs w:val="18"/>
                <w:color w:val="auto"/>
              </w:rPr>
              <w:t>Christoph Bausch</w:t>
            </w:r>
          </w:p>
        </w:tc>
        <w:tc>
          <w:tcPr>
            <w:tcW w:w="1960" w:type="dxa"/>
            <w:vAlign w:val="bottom"/>
          </w:tcPr>
          <w:p>
            <w:pPr>
              <w:jc w:val="right"/>
              <w:spacing w:after="0"/>
              <w:rPr>
                <w:sz w:val="20"/>
                <w:szCs w:val="20"/>
                <w:color w:val="auto"/>
              </w:rPr>
            </w:pPr>
            <w:r>
              <w:rPr>
                <w:rFonts w:ascii="Arial" w:cs="Arial" w:eastAsia="Arial" w:hAnsi="Arial"/>
                <w:sz w:val="18"/>
                <w:szCs w:val="18"/>
                <w:color w:val="auto"/>
              </w:rPr>
              <w:t>+1.713.836.4615</w:t>
            </w:r>
          </w:p>
        </w:tc>
      </w:tr>
      <w:tr>
        <w:trPr>
          <w:trHeight w:val="270"/>
        </w:trPr>
        <w:tc>
          <w:tcPr>
            <w:tcW w:w="1120" w:type="dxa"/>
            <w:vAlign w:val="bottom"/>
          </w:tcPr>
          <w:p>
            <w:pPr>
              <w:spacing w:after="0"/>
              <w:rPr>
                <w:sz w:val="23"/>
                <w:szCs w:val="23"/>
                <w:color w:val="auto"/>
              </w:rPr>
            </w:pPr>
          </w:p>
        </w:tc>
        <w:tc>
          <w:tcPr>
            <w:tcW w:w="6100" w:type="dxa"/>
            <w:vAlign w:val="bottom"/>
          </w:tcPr>
          <w:p>
            <w:pPr>
              <w:ind w:left="420"/>
              <w:spacing w:after="0"/>
              <w:rPr>
                <w:sz w:val="20"/>
                <w:szCs w:val="20"/>
                <w:color w:val="auto"/>
              </w:rPr>
            </w:pPr>
            <w:r>
              <w:rPr>
                <w:rFonts w:ascii="Arial" w:cs="Arial" w:eastAsia="Arial" w:hAnsi="Arial"/>
                <w:sz w:val="18"/>
                <w:szCs w:val="18"/>
                <w:color w:val="auto"/>
              </w:rPr>
              <w:t>Executive Vice President and Chief Financial Officer</w:t>
            </w:r>
          </w:p>
        </w:tc>
        <w:tc>
          <w:tcPr>
            <w:tcW w:w="1960" w:type="dxa"/>
            <w:vAlign w:val="bottom"/>
          </w:tcPr>
          <w:p>
            <w:pPr>
              <w:spacing w:after="0"/>
              <w:rPr>
                <w:sz w:val="23"/>
                <w:szCs w:val="23"/>
                <w:color w:val="auto"/>
              </w:rPr>
            </w:pPr>
          </w:p>
        </w:tc>
      </w:tr>
      <w:tr>
        <w:trPr>
          <w:trHeight w:val="540"/>
        </w:trPr>
        <w:tc>
          <w:tcPr>
            <w:tcW w:w="1120" w:type="dxa"/>
            <w:vAlign w:val="bottom"/>
          </w:tcPr>
          <w:p>
            <w:pPr>
              <w:spacing w:after="0"/>
              <w:rPr>
                <w:sz w:val="24"/>
                <w:szCs w:val="24"/>
                <w:color w:val="auto"/>
              </w:rPr>
            </w:pPr>
          </w:p>
        </w:tc>
        <w:tc>
          <w:tcPr>
            <w:tcW w:w="6100" w:type="dxa"/>
            <w:vAlign w:val="bottom"/>
          </w:tcPr>
          <w:p>
            <w:pPr>
              <w:ind w:left="420"/>
              <w:spacing w:after="0"/>
              <w:rPr>
                <w:sz w:val="20"/>
                <w:szCs w:val="20"/>
                <w:color w:val="auto"/>
              </w:rPr>
            </w:pPr>
            <w:r>
              <w:rPr>
                <w:rFonts w:ascii="Arial" w:cs="Arial" w:eastAsia="Arial" w:hAnsi="Arial"/>
                <w:sz w:val="18"/>
                <w:szCs w:val="18"/>
                <w:color w:val="auto"/>
              </w:rPr>
              <w:t>Karen David-Green</w:t>
            </w:r>
          </w:p>
        </w:tc>
        <w:tc>
          <w:tcPr>
            <w:tcW w:w="1960" w:type="dxa"/>
            <w:vAlign w:val="bottom"/>
          </w:tcPr>
          <w:p>
            <w:pPr>
              <w:jc w:val="right"/>
              <w:spacing w:after="0"/>
              <w:rPr>
                <w:sz w:val="20"/>
                <w:szCs w:val="20"/>
                <w:color w:val="auto"/>
              </w:rPr>
            </w:pPr>
            <w:r>
              <w:rPr>
                <w:rFonts w:ascii="Arial" w:cs="Arial" w:eastAsia="Arial" w:hAnsi="Arial"/>
                <w:sz w:val="18"/>
                <w:szCs w:val="18"/>
                <w:color w:val="auto"/>
              </w:rPr>
              <w:t>+1.713.836.7430</w:t>
            </w:r>
          </w:p>
        </w:tc>
      </w:tr>
      <w:tr>
        <w:trPr>
          <w:trHeight w:val="270"/>
        </w:trPr>
        <w:tc>
          <w:tcPr>
            <w:tcW w:w="1120" w:type="dxa"/>
            <w:vAlign w:val="bottom"/>
          </w:tcPr>
          <w:p>
            <w:pPr>
              <w:spacing w:after="0"/>
              <w:rPr>
                <w:sz w:val="23"/>
                <w:szCs w:val="23"/>
                <w:color w:val="auto"/>
              </w:rPr>
            </w:pPr>
          </w:p>
        </w:tc>
        <w:tc>
          <w:tcPr>
            <w:tcW w:w="6100" w:type="dxa"/>
            <w:vAlign w:val="bottom"/>
          </w:tcPr>
          <w:p>
            <w:pPr>
              <w:ind w:left="420"/>
              <w:spacing w:after="0"/>
              <w:rPr>
                <w:sz w:val="20"/>
                <w:szCs w:val="20"/>
                <w:color w:val="auto"/>
              </w:rPr>
            </w:pPr>
            <w:r>
              <w:rPr>
                <w:rFonts w:ascii="Arial" w:cs="Arial" w:eastAsia="Arial" w:hAnsi="Arial"/>
                <w:sz w:val="18"/>
                <w:szCs w:val="18"/>
                <w:color w:val="auto"/>
              </w:rPr>
              <w:t>Vice President – Investor Relations, Marketing and Communications</w:t>
            </w:r>
          </w:p>
        </w:tc>
        <w:tc>
          <w:tcPr>
            <w:tcW w:w="1960" w:type="dxa"/>
            <w:vAlign w:val="bottom"/>
          </w:tcPr>
          <w:p>
            <w:pPr>
              <w:spacing w:after="0"/>
              <w:rPr>
                <w:sz w:val="23"/>
                <w:szCs w:val="23"/>
                <w:color w:val="auto"/>
              </w:rPr>
            </w:pPr>
          </w:p>
        </w:tc>
      </w:tr>
    </w:tbl>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200" w:lineRule="exact"/>
        <w:rPr>
          <w:sz w:val="20"/>
          <w:szCs w:val="20"/>
          <w:color w:val="auto"/>
        </w:rPr>
      </w:pPr>
    </w:p>
    <w:p>
      <w:pPr>
        <w:spacing w:after="0" w:line="218" w:lineRule="exact"/>
        <w:rPr>
          <w:sz w:val="20"/>
          <w:szCs w:val="20"/>
          <w:color w:val="auto"/>
        </w:rPr>
      </w:pPr>
    </w:p>
    <w:p>
      <w:pPr>
        <w:jc w:val="both"/>
        <w:spacing w:after="0" w:line="384" w:lineRule="auto"/>
        <w:rPr>
          <w:sz w:val="20"/>
          <w:szCs w:val="20"/>
          <w:color w:val="auto"/>
        </w:rPr>
      </w:pPr>
      <w:r>
        <w:rPr>
          <w:rFonts w:ascii="Arial" w:cs="Arial" w:eastAsia="Arial" w:hAnsi="Arial"/>
          <w:sz w:val="17"/>
          <w:szCs w:val="17"/>
          <w:color w:val="auto"/>
        </w:rPr>
        <w:t>This news release contains, and the conference call announced in this release may include, forward-looking statements. These forward-looking statements include, among other things, the Company’s quarterly non-GAAP earnings per shar</w:t>
      </w:r>
      <w:r>
        <w:rPr>
          <w:rFonts w:ascii="Arial" w:cs="Arial" w:eastAsia="Arial" w:hAnsi="Arial"/>
          <w:sz w:val="17"/>
          <w:szCs w:val="17"/>
          <w:color w:val="1F497D"/>
        </w:rPr>
        <w:t>e</w:t>
      </w:r>
      <w:r>
        <w:rPr>
          <w:rFonts w:ascii="Arial" w:cs="Arial" w:eastAsia="Arial" w:hAnsi="Arial"/>
          <w:sz w:val="17"/>
          <w:szCs w:val="17"/>
          <w:color w:val="auto"/>
        </w:rPr>
        <w:t>, effective tax rate, net debt, forecasts or expectations regarding business outlook, and capital expenditures, and are also generally identified by the words “believe,” “project,” “expect,” “anticipate,” “estimate,” “outlook,” “budget,” “intend,” “strategy,” “plan,” “guidance,” “may,” “should,” “could,” “will,” “would,” “will be,” “will continue,” “will likely result,” and similar expressions, although not all forward-looking statements contain these identifying words. Such statements are based upon the current beliefs of Weatherford’s management, and are subject to significant risks, assumptions and uncertainties. Should one or more of these risks or uncertainties materialize, or underlying assumptions prove incorrect, actual results may vary materially from those indicated in our forward-looking statements. Readers are also cautioned that forward-looking statements are only predictions and may differ materially from actual future events or results, including possible changes in the expected efficiencies and cost savings associated with our transformation plans; completion of potential dispositions, and the changes in spending and payment timing by our clients and customers. Forward-looking statements are also affected by the risk factors described in the Company’s Annual Report on Form 10-K for the year ended December 31, 2017 and those set forth from time-to-time in the Company’s other filings with the Securities and Exchange Commission. We undertake no obligation to correct or update any forward-looking statement, whether as a result of new information, future events, or otherwise, except to the extent required under federal securities laws.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18"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Weatherford International plc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Amounts)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2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60" w:type="dxa"/>
            <w:vAlign w:val="bottom"/>
            <w:gridSpan w:val="4"/>
          </w:tcPr>
          <w:p>
            <w:pPr>
              <w:jc w:val="right"/>
              <w:ind w:right="390"/>
              <w:spacing w:after="0"/>
              <w:rPr>
                <w:sz w:val="20"/>
                <w:szCs w:val="20"/>
                <w:color w:val="auto"/>
              </w:rPr>
            </w:pPr>
            <w:r>
              <w:rPr>
                <w:rFonts w:ascii="Arial" w:cs="Arial" w:eastAsia="Arial" w:hAnsi="Arial"/>
                <w:sz w:val="18"/>
                <w:szCs w:val="18"/>
                <w:b w:val="1"/>
                <w:bCs w:val="1"/>
                <w:color w:val="auto"/>
              </w:rPr>
              <w:t>Three Months Ended</w:t>
            </w:r>
          </w:p>
        </w:tc>
      </w:tr>
      <w:tr>
        <w:trPr>
          <w:trHeight w:val="27"/>
        </w:trPr>
        <w:tc>
          <w:tcPr>
            <w:tcW w:w="4720" w:type="dxa"/>
            <w:vAlign w:val="bottom"/>
          </w:tcPr>
          <w:p>
            <w:pPr>
              <w:spacing w:after="0"/>
              <w:rPr>
                <w:sz w:val="2"/>
                <w:szCs w:val="2"/>
                <w:color w:val="auto"/>
              </w:rPr>
            </w:pPr>
          </w:p>
        </w:tc>
        <w:tc>
          <w:tcPr>
            <w:tcW w:w="40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472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b w:val="1"/>
                <w:bCs w:val="1"/>
                <w:color w:val="auto"/>
              </w:rPr>
              <w:t>3/31/2018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3/31/2017</w:t>
            </w:r>
          </w:p>
        </w:tc>
      </w:tr>
      <w:tr>
        <w:trPr>
          <w:trHeight w:val="27"/>
        </w:trPr>
        <w:tc>
          <w:tcPr>
            <w:tcW w:w="4720" w:type="dxa"/>
            <w:vAlign w:val="bottom"/>
            <w:tcBorders>
              <w:bottom w:val="single" w:sz="8" w:color="CCEEFF"/>
            </w:tcBorders>
          </w:tcPr>
          <w:p>
            <w:pPr>
              <w:spacing w:after="0"/>
              <w:rPr>
                <w:sz w:val="2"/>
                <w:szCs w:val="2"/>
                <w:color w:val="auto"/>
              </w:rPr>
            </w:pPr>
          </w:p>
        </w:tc>
        <w:tc>
          <w:tcPr>
            <w:tcW w:w="40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Revenues:</w:t>
            </w:r>
          </w:p>
        </w:tc>
        <w:tc>
          <w:tcPr>
            <w:tcW w:w="40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4720" w:type="dxa"/>
            <w:vAlign w:val="bottom"/>
          </w:tcPr>
          <w:p>
            <w:pPr>
              <w:ind w:left="180"/>
              <w:spacing w:after="0"/>
              <w:rPr>
                <w:sz w:val="20"/>
                <w:szCs w:val="20"/>
                <w:color w:val="auto"/>
              </w:rPr>
            </w:pPr>
            <w:r>
              <w:rPr>
                <w:rFonts w:ascii="Arial" w:cs="Arial" w:eastAsia="Arial" w:hAnsi="Arial"/>
                <w:sz w:val="18"/>
                <w:szCs w:val="18"/>
                <w:color w:val="auto"/>
              </w:rPr>
              <w:t>Western Hemisphere</w:t>
            </w:r>
          </w:p>
        </w:tc>
        <w:tc>
          <w:tcPr>
            <w:tcW w:w="4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756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733</w:t>
            </w:r>
          </w:p>
        </w:tc>
      </w:tr>
      <w:tr>
        <w:trPr>
          <w:trHeight w:val="27"/>
        </w:trPr>
        <w:tc>
          <w:tcPr>
            <w:tcW w:w="4720" w:type="dxa"/>
            <w:vAlign w:val="bottom"/>
          </w:tcPr>
          <w:p>
            <w:pPr>
              <w:spacing w:after="0"/>
              <w:rPr>
                <w:sz w:val="2"/>
                <w:szCs w:val="2"/>
                <w:color w:val="auto"/>
              </w:rPr>
            </w:pPr>
          </w:p>
        </w:tc>
        <w:tc>
          <w:tcPr>
            <w:tcW w:w="4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Eastern Hemisphere</w:t>
            </w:r>
          </w:p>
        </w:tc>
        <w:tc>
          <w:tcPr>
            <w:tcW w:w="40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653</w:t>
            </w:r>
          </w:p>
        </w:tc>
      </w:tr>
      <w:tr>
        <w:trPr>
          <w:trHeight w:val="237"/>
        </w:trPr>
        <w:tc>
          <w:tcPr>
            <w:tcW w:w="4720" w:type="dxa"/>
            <w:vAlign w:val="bottom"/>
          </w:tcPr>
          <w:p>
            <w:pPr>
              <w:ind w:left="400"/>
              <w:spacing w:after="0"/>
              <w:rPr>
                <w:sz w:val="20"/>
                <w:szCs w:val="20"/>
                <w:color w:val="auto"/>
              </w:rPr>
            </w:pPr>
            <w:r>
              <w:rPr>
                <w:rFonts w:ascii="Arial" w:cs="Arial" w:eastAsia="Arial" w:hAnsi="Arial"/>
                <w:sz w:val="18"/>
                <w:szCs w:val="18"/>
                <w:color w:val="auto"/>
              </w:rPr>
              <w:t>Total Net Revenues</w:t>
            </w:r>
          </w:p>
        </w:tc>
        <w:tc>
          <w:tcPr>
            <w:tcW w:w="40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1,423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1,386</w:t>
            </w:r>
          </w:p>
        </w:tc>
      </w:tr>
      <w:tr>
        <w:trPr>
          <w:trHeight w:val="27"/>
        </w:trPr>
        <w:tc>
          <w:tcPr>
            <w:tcW w:w="4720" w:type="dxa"/>
            <w:vAlign w:val="bottom"/>
          </w:tcPr>
          <w:p>
            <w:pPr>
              <w:spacing w:after="0"/>
              <w:rPr>
                <w:sz w:val="2"/>
                <w:szCs w:val="2"/>
                <w:color w:val="auto"/>
              </w:rPr>
            </w:pPr>
          </w:p>
        </w:tc>
        <w:tc>
          <w:tcPr>
            <w:tcW w:w="4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97"/>
        </w:trPr>
        <w:tc>
          <w:tcPr>
            <w:tcW w:w="4720" w:type="dxa"/>
            <w:vAlign w:val="bottom"/>
            <w:shd w:val="clear" w:color="auto" w:fill="CCEEFF"/>
          </w:tcPr>
          <w:p>
            <w:pPr>
              <w:spacing w:after="0"/>
              <w:rPr>
                <w:sz w:val="24"/>
                <w:szCs w:val="24"/>
                <w:color w:val="auto"/>
              </w:rPr>
            </w:pPr>
          </w:p>
        </w:tc>
        <w:tc>
          <w:tcPr>
            <w:tcW w:w="40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b w:val="1"/>
                <w:bCs w:val="1"/>
                <w:color w:val="auto"/>
              </w:rPr>
              <w:t>Operating Income (Loss):</w:t>
            </w:r>
          </w:p>
        </w:tc>
        <w:tc>
          <w:tcPr>
            <w:tcW w:w="4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4720" w:type="dxa"/>
            <w:vAlign w:val="bottom"/>
          </w:tcPr>
          <w:p>
            <w:pPr>
              <w:spacing w:after="0"/>
              <w:rPr>
                <w:sz w:val="2"/>
                <w:szCs w:val="2"/>
                <w:color w:val="auto"/>
              </w:rPr>
            </w:pPr>
          </w:p>
        </w:tc>
        <w:tc>
          <w:tcPr>
            <w:tcW w:w="4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Western Hemisphere</w:t>
            </w:r>
          </w:p>
        </w:tc>
        <w:tc>
          <w:tcPr>
            <w:tcW w:w="40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43"/>
        </w:trPr>
        <w:tc>
          <w:tcPr>
            <w:tcW w:w="4720" w:type="dxa"/>
            <w:vAlign w:val="bottom"/>
          </w:tcPr>
          <w:p>
            <w:pPr>
              <w:ind w:left="180"/>
              <w:spacing w:after="0"/>
              <w:rPr>
                <w:sz w:val="20"/>
                <w:szCs w:val="20"/>
                <w:color w:val="auto"/>
              </w:rPr>
            </w:pPr>
            <w:r>
              <w:rPr>
                <w:rFonts w:ascii="Arial" w:cs="Arial" w:eastAsia="Arial" w:hAnsi="Arial"/>
                <w:sz w:val="18"/>
                <w:szCs w:val="18"/>
                <w:color w:val="auto"/>
              </w:rPr>
              <w:t>Eastern Hemisphere</w:t>
            </w:r>
          </w:p>
        </w:tc>
        <w:tc>
          <w:tcPr>
            <w:tcW w:w="4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7"/>
        </w:trPr>
        <w:tc>
          <w:tcPr>
            <w:tcW w:w="4720" w:type="dxa"/>
            <w:vAlign w:val="bottom"/>
            <w:tcBorders>
              <w:bottom w:val="single" w:sz="8" w:color="CCEEFF"/>
            </w:tcBorders>
          </w:tcPr>
          <w:p>
            <w:pPr>
              <w:spacing w:after="0"/>
              <w:rPr>
                <w:sz w:val="2"/>
                <w:szCs w:val="2"/>
                <w:color w:val="auto"/>
              </w:rPr>
            </w:pPr>
          </w:p>
        </w:tc>
        <w:tc>
          <w:tcPr>
            <w:tcW w:w="40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7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Segment Operating Income (Loss)</w:t>
            </w:r>
          </w:p>
        </w:tc>
        <w:tc>
          <w:tcPr>
            <w:tcW w:w="40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r>
      <w:tr>
        <w:trPr>
          <w:trHeight w:val="243"/>
        </w:trPr>
        <w:tc>
          <w:tcPr>
            <w:tcW w:w="4720" w:type="dxa"/>
            <w:vAlign w:val="bottom"/>
          </w:tcPr>
          <w:p>
            <w:pPr>
              <w:ind w:left="180"/>
              <w:spacing w:after="0"/>
              <w:rPr>
                <w:sz w:val="20"/>
                <w:szCs w:val="20"/>
                <w:color w:val="auto"/>
              </w:rPr>
            </w:pPr>
            <w:r>
              <w:rPr>
                <w:rFonts w:ascii="Arial" w:cs="Arial" w:eastAsia="Arial" w:hAnsi="Arial"/>
                <w:sz w:val="18"/>
                <w:szCs w:val="18"/>
                <w:color w:val="auto"/>
              </w:rPr>
              <w:t>Corporate Expenses</w:t>
            </w:r>
          </w:p>
        </w:tc>
        <w:tc>
          <w:tcPr>
            <w:tcW w:w="4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7"/>
        </w:trPr>
        <w:tc>
          <w:tcPr>
            <w:tcW w:w="4720" w:type="dxa"/>
            <w:vAlign w:val="bottom"/>
          </w:tcPr>
          <w:p>
            <w:pPr>
              <w:spacing w:after="0"/>
              <w:rPr>
                <w:sz w:val="2"/>
                <w:szCs w:val="2"/>
                <w:color w:val="auto"/>
              </w:rPr>
            </w:pPr>
          </w:p>
        </w:tc>
        <w:tc>
          <w:tcPr>
            <w:tcW w:w="4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Restructuring and Transformation Charges</w:t>
            </w:r>
          </w:p>
        </w:tc>
        <w:tc>
          <w:tcPr>
            <w:tcW w:w="40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43"/>
        </w:trPr>
        <w:tc>
          <w:tcPr>
            <w:tcW w:w="4720" w:type="dxa"/>
            <w:vAlign w:val="bottom"/>
          </w:tcPr>
          <w:p>
            <w:pPr>
              <w:ind w:left="180"/>
              <w:spacing w:after="0"/>
              <w:rPr>
                <w:sz w:val="20"/>
                <w:szCs w:val="20"/>
                <w:color w:val="auto"/>
              </w:rPr>
            </w:pPr>
            <w:r>
              <w:rPr>
                <w:rFonts w:ascii="Arial" w:cs="Arial" w:eastAsia="Arial" w:hAnsi="Arial"/>
                <w:sz w:val="18"/>
                <w:szCs w:val="18"/>
                <w:color w:val="auto"/>
              </w:rPr>
              <w:t>Other Charges, Net</w:t>
            </w:r>
          </w:p>
        </w:tc>
        <w:tc>
          <w:tcPr>
            <w:tcW w:w="4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
        </w:trPr>
        <w:tc>
          <w:tcPr>
            <w:tcW w:w="4720" w:type="dxa"/>
            <w:vAlign w:val="bottom"/>
            <w:tcBorders>
              <w:bottom w:val="single" w:sz="8" w:color="CCEEFF"/>
            </w:tcBorders>
          </w:tcPr>
          <w:p>
            <w:pPr>
              <w:spacing w:after="0"/>
              <w:rPr>
                <w:sz w:val="2"/>
                <w:szCs w:val="2"/>
                <w:color w:val="auto"/>
              </w:rPr>
            </w:pPr>
          </w:p>
        </w:tc>
        <w:tc>
          <w:tcPr>
            <w:tcW w:w="40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Operating Loss</w:t>
            </w:r>
          </w:p>
        </w:tc>
        <w:tc>
          <w:tcPr>
            <w:tcW w:w="40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w:t>
            </w:r>
          </w:p>
        </w:tc>
      </w:tr>
      <w:tr>
        <w:trPr>
          <w:trHeight w:val="297"/>
        </w:trPr>
        <w:tc>
          <w:tcPr>
            <w:tcW w:w="47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40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4720" w:type="dxa"/>
            <w:vAlign w:val="bottom"/>
          </w:tcPr>
          <w:p>
            <w:pPr>
              <w:ind w:left="180"/>
              <w:spacing w:after="0"/>
              <w:rPr>
                <w:sz w:val="20"/>
                <w:szCs w:val="20"/>
                <w:color w:val="auto"/>
              </w:rPr>
            </w:pPr>
            <w:r>
              <w:rPr>
                <w:rFonts w:ascii="Arial" w:cs="Arial" w:eastAsia="Arial" w:hAnsi="Arial"/>
                <w:sz w:val="18"/>
                <w:szCs w:val="18"/>
                <w:color w:val="auto"/>
              </w:rPr>
              <w:t>Interest Expense, Net</w:t>
            </w:r>
          </w:p>
        </w:tc>
        <w:tc>
          <w:tcPr>
            <w:tcW w:w="4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27"/>
        </w:trPr>
        <w:tc>
          <w:tcPr>
            <w:tcW w:w="4720" w:type="dxa"/>
            <w:vAlign w:val="bottom"/>
          </w:tcPr>
          <w:p>
            <w:pPr>
              <w:spacing w:after="0"/>
              <w:rPr>
                <w:sz w:val="2"/>
                <w:szCs w:val="2"/>
                <w:color w:val="auto"/>
              </w:rPr>
            </w:pPr>
          </w:p>
        </w:tc>
        <w:tc>
          <w:tcPr>
            <w:tcW w:w="4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Bond Tender and Call Premium</w:t>
            </w:r>
          </w:p>
        </w:tc>
        <w:tc>
          <w:tcPr>
            <w:tcW w:w="40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720" w:type="dxa"/>
            <w:vAlign w:val="bottom"/>
          </w:tcPr>
          <w:p>
            <w:pPr>
              <w:ind w:left="180"/>
              <w:spacing w:after="0"/>
              <w:rPr>
                <w:sz w:val="20"/>
                <w:szCs w:val="20"/>
                <w:color w:val="auto"/>
              </w:rPr>
            </w:pPr>
            <w:r>
              <w:rPr>
                <w:rFonts w:ascii="Arial" w:cs="Arial" w:eastAsia="Arial" w:hAnsi="Arial"/>
                <w:sz w:val="18"/>
                <w:szCs w:val="18"/>
                <w:color w:val="auto"/>
              </w:rPr>
              <w:t>Warrant Fair Value Adjustment</w:t>
            </w:r>
          </w:p>
        </w:tc>
        <w:tc>
          <w:tcPr>
            <w:tcW w:w="4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7"/>
        </w:trPr>
        <w:tc>
          <w:tcPr>
            <w:tcW w:w="4720" w:type="dxa"/>
            <w:vAlign w:val="bottom"/>
          </w:tcPr>
          <w:p>
            <w:pPr>
              <w:spacing w:after="0"/>
              <w:rPr>
                <w:sz w:val="2"/>
                <w:szCs w:val="2"/>
                <w:color w:val="auto"/>
              </w:rPr>
            </w:pPr>
          </w:p>
        </w:tc>
        <w:tc>
          <w:tcPr>
            <w:tcW w:w="4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Currency Devaluation Charges</w:t>
            </w:r>
          </w:p>
        </w:tc>
        <w:tc>
          <w:tcPr>
            <w:tcW w:w="40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720" w:type="dxa"/>
            <w:vAlign w:val="bottom"/>
          </w:tcPr>
          <w:p>
            <w:pPr>
              <w:ind w:left="180"/>
              <w:spacing w:after="0"/>
              <w:rPr>
                <w:sz w:val="20"/>
                <w:szCs w:val="20"/>
                <w:color w:val="auto"/>
              </w:rPr>
            </w:pPr>
            <w:r>
              <w:rPr>
                <w:rFonts w:ascii="Arial" w:cs="Arial" w:eastAsia="Arial" w:hAnsi="Arial"/>
                <w:sz w:val="18"/>
                <w:szCs w:val="18"/>
                <w:color w:val="auto"/>
              </w:rPr>
              <w:t>Other Income (Expense), Net</w:t>
            </w:r>
          </w:p>
        </w:tc>
        <w:tc>
          <w:tcPr>
            <w:tcW w:w="4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w:t>
            </w:r>
          </w:p>
        </w:tc>
      </w:tr>
      <w:tr>
        <w:trPr>
          <w:trHeight w:val="27"/>
        </w:trPr>
        <w:tc>
          <w:tcPr>
            <w:tcW w:w="4720" w:type="dxa"/>
            <w:vAlign w:val="bottom"/>
            <w:tcBorders>
              <w:bottom w:val="single" w:sz="8" w:color="CCEEFF"/>
            </w:tcBorders>
          </w:tcPr>
          <w:p>
            <w:pPr>
              <w:spacing w:after="0"/>
              <w:rPr>
                <w:sz w:val="2"/>
                <w:szCs w:val="2"/>
                <w:color w:val="auto"/>
              </w:rPr>
            </w:pPr>
          </w:p>
        </w:tc>
        <w:tc>
          <w:tcPr>
            <w:tcW w:w="40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Before Income Taxes</w:t>
            </w:r>
          </w:p>
        </w:tc>
        <w:tc>
          <w:tcPr>
            <w:tcW w:w="40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w:t>
            </w:r>
          </w:p>
        </w:tc>
      </w:tr>
      <w:tr>
        <w:trPr>
          <w:trHeight w:val="324"/>
        </w:trPr>
        <w:tc>
          <w:tcPr>
            <w:tcW w:w="47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7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Provision</w:t>
            </w:r>
          </w:p>
        </w:tc>
        <w:tc>
          <w:tcPr>
            <w:tcW w:w="40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91"/>
        </w:trPr>
        <w:tc>
          <w:tcPr>
            <w:tcW w:w="47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r>
      <w:tr>
        <w:trPr>
          <w:trHeight w:val="25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40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(443)</w:t>
            </w: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4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w:t>
            </w:r>
          </w:p>
        </w:tc>
      </w:tr>
      <w:tr>
        <w:trPr>
          <w:trHeight w:val="27"/>
        </w:trPr>
        <w:tc>
          <w:tcPr>
            <w:tcW w:w="4720" w:type="dxa"/>
            <w:vAlign w:val="bottom"/>
            <w:tcBorders>
              <w:bottom w:val="single" w:sz="8" w:color="CCEEFF"/>
            </w:tcBorders>
          </w:tcPr>
          <w:p>
            <w:pPr>
              <w:spacing w:after="0"/>
              <w:rPr>
                <w:sz w:val="2"/>
                <w:szCs w:val="2"/>
                <w:color w:val="auto"/>
              </w:rPr>
            </w:pPr>
          </w:p>
        </w:tc>
        <w:tc>
          <w:tcPr>
            <w:tcW w:w="40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4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Loss Attributable to Weatherford</w:t>
            </w:r>
          </w:p>
        </w:tc>
        <w:tc>
          <w:tcPr>
            <w:tcW w:w="4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w:t>
            </w: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40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284"/>
        </w:trPr>
        <w:tc>
          <w:tcPr>
            <w:tcW w:w="47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Per Share Attributable to Weatherford:</w:t>
            </w:r>
          </w:p>
        </w:tc>
        <w:tc>
          <w:tcPr>
            <w:tcW w:w="40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4720" w:type="dxa"/>
            <w:vAlign w:val="bottom"/>
          </w:tcPr>
          <w:p>
            <w:pPr>
              <w:ind w:left="180"/>
              <w:spacing w:after="0"/>
              <w:rPr>
                <w:sz w:val="20"/>
                <w:szCs w:val="20"/>
                <w:color w:val="auto"/>
              </w:rPr>
            </w:pPr>
            <w:r>
              <w:rPr>
                <w:rFonts w:ascii="Arial" w:cs="Arial" w:eastAsia="Arial" w:hAnsi="Arial"/>
                <w:sz w:val="18"/>
                <w:szCs w:val="18"/>
                <w:color w:val="auto"/>
              </w:rPr>
              <w:t>Basic &amp; Diluted</w:t>
            </w:r>
          </w:p>
        </w:tc>
        <w:tc>
          <w:tcPr>
            <w:tcW w:w="4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(0.25)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(0.45)</w:t>
            </w:r>
          </w:p>
        </w:tc>
      </w:tr>
      <w:tr>
        <w:trPr>
          <w:trHeight w:val="27"/>
        </w:trPr>
        <w:tc>
          <w:tcPr>
            <w:tcW w:w="4720" w:type="dxa"/>
            <w:vAlign w:val="bottom"/>
          </w:tcPr>
          <w:p>
            <w:pPr>
              <w:spacing w:after="0"/>
              <w:rPr>
                <w:sz w:val="2"/>
                <w:szCs w:val="2"/>
                <w:color w:val="auto"/>
              </w:rPr>
            </w:pPr>
          </w:p>
        </w:tc>
        <w:tc>
          <w:tcPr>
            <w:tcW w:w="4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97"/>
        </w:trPr>
        <w:tc>
          <w:tcPr>
            <w:tcW w:w="4720" w:type="dxa"/>
            <w:vAlign w:val="bottom"/>
            <w:shd w:val="clear" w:color="auto" w:fill="CCEEFF"/>
          </w:tcPr>
          <w:p>
            <w:pPr>
              <w:spacing w:after="0"/>
              <w:rPr>
                <w:sz w:val="24"/>
                <w:szCs w:val="24"/>
                <w:color w:val="auto"/>
              </w:rPr>
            </w:pPr>
          </w:p>
        </w:tc>
        <w:tc>
          <w:tcPr>
            <w:tcW w:w="40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Weighted Average Shares Outstanding:</w:t>
            </w:r>
          </w:p>
        </w:tc>
        <w:tc>
          <w:tcPr>
            <w:tcW w:w="4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4720" w:type="dxa"/>
            <w:vAlign w:val="bottom"/>
          </w:tcPr>
          <w:p>
            <w:pPr>
              <w:spacing w:after="0"/>
              <w:rPr>
                <w:sz w:val="2"/>
                <w:szCs w:val="2"/>
                <w:color w:val="auto"/>
              </w:rPr>
            </w:pPr>
          </w:p>
        </w:tc>
        <w:tc>
          <w:tcPr>
            <w:tcW w:w="4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 &amp; Diluted</w:t>
            </w:r>
          </w:p>
        </w:tc>
        <w:tc>
          <w:tcPr>
            <w:tcW w:w="40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988</w:t>
            </w:r>
          </w:p>
        </w:tc>
      </w:tr>
      <w:tr>
        <w:trPr>
          <w:trHeight w:val="891"/>
        </w:trPr>
        <w:tc>
          <w:tcPr>
            <w:tcW w:w="4720" w:type="dxa"/>
            <w:vAlign w:val="bottom"/>
          </w:tcPr>
          <w:p>
            <w:pPr>
              <w:spacing w:after="0"/>
              <w:rPr>
                <w:sz w:val="24"/>
                <w:szCs w:val="24"/>
                <w:color w:val="auto"/>
              </w:rPr>
            </w:pPr>
          </w:p>
        </w:tc>
        <w:tc>
          <w:tcPr>
            <w:tcW w:w="4080" w:type="dxa"/>
            <w:vAlign w:val="bottom"/>
          </w:tcPr>
          <w:p>
            <w:pPr>
              <w:jc w:val="right"/>
              <w:ind w:right="2950"/>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1420"/>
          </w:cols>
          <w:pgMar w:left="240" w:top="742" w:right="23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4220" w:type="dxa"/>
            <w:vAlign w:val="bottom"/>
            <w:gridSpan w:val="7"/>
          </w:tcPr>
          <w:p>
            <w:pPr>
              <w:jc w:val="center"/>
              <w:spacing w:after="0"/>
              <w:rPr>
                <w:sz w:val="20"/>
                <w:szCs w:val="20"/>
                <w:color w:val="auto"/>
              </w:rPr>
            </w:pPr>
            <w:r>
              <w:rPr>
                <w:rFonts w:ascii="Arial" w:cs="Arial" w:eastAsia="Arial" w:hAnsi="Arial"/>
                <w:sz w:val="18"/>
                <w:szCs w:val="18"/>
                <w:b w:val="1"/>
                <w:bCs w:val="1"/>
                <w:color w:val="auto"/>
                <w:w w:val="93"/>
              </w:rPr>
              <w:t>Weatherford International plc</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0"/>
        </w:trPr>
        <w:tc>
          <w:tcPr>
            <w:tcW w:w="3580" w:type="dxa"/>
            <w:vAlign w:val="bottom"/>
          </w:tcPr>
          <w:p>
            <w:pPr>
              <w:spacing w:after="0"/>
              <w:rPr>
                <w:sz w:val="23"/>
                <w:szCs w:val="23"/>
                <w:color w:val="auto"/>
              </w:rPr>
            </w:pPr>
          </w:p>
        </w:tc>
        <w:tc>
          <w:tcPr>
            <w:tcW w:w="4220" w:type="dxa"/>
            <w:vAlign w:val="bottom"/>
            <w:gridSpan w:val="7"/>
          </w:tcPr>
          <w:p>
            <w:pPr>
              <w:jc w:val="center"/>
              <w:spacing w:after="0"/>
              <w:rPr>
                <w:sz w:val="20"/>
                <w:szCs w:val="20"/>
                <w:color w:val="auto"/>
              </w:rPr>
            </w:pPr>
            <w:r>
              <w:rPr>
                <w:rFonts w:ascii="Arial" w:cs="Arial" w:eastAsia="Arial" w:hAnsi="Arial"/>
                <w:sz w:val="18"/>
                <w:szCs w:val="18"/>
                <w:b w:val="1"/>
                <w:bCs w:val="1"/>
                <w:color w:val="auto"/>
                <w:w w:val="90"/>
              </w:rPr>
              <w:t>Selected Statements of Operations Information</w:t>
            </w:r>
          </w:p>
        </w:tc>
        <w:tc>
          <w:tcPr>
            <w:tcW w:w="2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70"/>
        </w:trPr>
        <w:tc>
          <w:tcPr>
            <w:tcW w:w="358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300" w:type="dxa"/>
            <w:vAlign w:val="bottom"/>
            <w:gridSpan w:val="3"/>
          </w:tcPr>
          <w:p>
            <w:pPr>
              <w:ind w:left="20"/>
              <w:spacing w:after="0"/>
              <w:rPr>
                <w:sz w:val="20"/>
                <w:szCs w:val="20"/>
                <w:color w:val="auto"/>
              </w:rPr>
            </w:pPr>
            <w:r>
              <w:rPr>
                <w:rFonts w:ascii="Arial" w:cs="Arial" w:eastAsia="Arial" w:hAnsi="Arial"/>
                <w:sz w:val="18"/>
                <w:szCs w:val="18"/>
                <w:color w:val="auto"/>
              </w:rPr>
              <w:t>(Unaudited)</w:t>
            </w:r>
          </w:p>
        </w:tc>
        <w:tc>
          <w:tcPr>
            <w:tcW w:w="1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70"/>
        </w:trPr>
        <w:tc>
          <w:tcPr>
            <w:tcW w:w="3580" w:type="dxa"/>
            <w:vAlign w:val="bottom"/>
          </w:tcPr>
          <w:p>
            <w:pPr>
              <w:spacing w:after="0"/>
              <w:rPr>
                <w:sz w:val="23"/>
                <w:szCs w:val="23"/>
                <w:color w:val="auto"/>
              </w:rPr>
            </w:pPr>
          </w:p>
        </w:tc>
        <w:tc>
          <w:tcPr>
            <w:tcW w:w="2980" w:type="dxa"/>
            <w:vAlign w:val="bottom"/>
            <w:gridSpan w:val="4"/>
          </w:tcPr>
          <w:p>
            <w:pPr>
              <w:jc w:val="center"/>
              <w:ind w:left="1210"/>
              <w:spacing w:after="0"/>
              <w:rPr>
                <w:sz w:val="20"/>
                <w:szCs w:val="20"/>
                <w:color w:val="auto"/>
              </w:rPr>
            </w:pPr>
            <w:r>
              <w:rPr>
                <w:rFonts w:ascii="Arial" w:cs="Arial" w:eastAsia="Arial" w:hAnsi="Arial"/>
                <w:sz w:val="18"/>
                <w:szCs w:val="18"/>
                <w:color w:val="auto"/>
                <w:w w:val="99"/>
              </w:rPr>
              <w:t>(In Millions)</w:t>
            </w:r>
          </w:p>
        </w:tc>
        <w:tc>
          <w:tcPr>
            <w:tcW w:w="1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70"/>
        </w:trPr>
        <w:tc>
          <w:tcPr>
            <w:tcW w:w="358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540" w:type="dxa"/>
            <w:vAlign w:val="bottom"/>
            <w:gridSpan w:val="6"/>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7"/>
        </w:trPr>
        <w:tc>
          <w:tcPr>
            <w:tcW w:w="35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35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b w:val="1"/>
                <w:bCs w:val="1"/>
                <w:color w:val="auto"/>
              </w:rPr>
              <w:t>3/31/2018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w w:val="93"/>
              </w:rPr>
              <w:t>12/31/2017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9/30/2017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w w:val="97"/>
              </w:rPr>
              <w:t>6/30/2017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3/31/2017</w:t>
            </w:r>
          </w:p>
        </w:tc>
      </w:tr>
      <w:tr>
        <w:trPr>
          <w:trHeight w:val="27"/>
        </w:trPr>
        <w:tc>
          <w:tcPr>
            <w:tcW w:w="358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Revenues:</w:t>
            </w:r>
          </w:p>
        </w:tc>
        <w:tc>
          <w:tcPr>
            <w:tcW w:w="16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3580" w:type="dxa"/>
            <w:vAlign w:val="bottom"/>
          </w:tcPr>
          <w:p>
            <w:pPr>
              <w:ind w:left="40"/>
              <w:spacing w:after="0"/>
              <w:rPr>
                <w:sz w:val="20"/>
                <w:szCs w:val="20"/>
                <w:color w:val="auto"/>
              </w:rPr>
            </w:pPr>
            <w:r>
              <w:rPr>
                <w:rFonts w:ascii="Arial" w:cs="Arial" w:eastAsia="Arial" w:hAnsi="Arial"/>
                <w:sz w:val="18"/>
                <w:szCs w:val="18"/>
                <w:color w:val="auto"/>
              </w:rPr>
              <w:t>Western Hemisphere</w:t>
            </w:r>
          </w:p>
        </w:tc>
        <w:tc>
          <w:tcPr>
            <w:tcW w:w="1900" w:type="dxa"/>
            <w:vAlign w:val="bottom"/>
            <w:gridSpan w:val="2"/>
          </w:tcPr>
          <w:p>
            <w:pPr>
              <w:ind w:left="170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756</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759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767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678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733</w:t>
            </w:r>
          </w:p>
        </w:tc>
      </w:tr>
      <w:tr>
        <w:trPr>
          <w:trHeight w:val="27"/>
        </w:trPr>
        <w:tc>
          <w:tcPr>
            <w:tcW w:w="35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Eastern Hemisphere</w:t>
            </w:r>
          </w:p>
        </w:tc>
        <w:tc>
          <w:tcPr>
            <w:tcW w:w="16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653</w:t>
            </w:r>
          </w:p>
        </w:tc>
      </w:tr>
      <w:tr>
        <w:trPr>
          <w:trHeight w:val="297"/>
        </w:trPr>
        <w:tc>
          <w:tcPr>
            <w:tcW w:w="358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 Net Revenues</w:t>
            </w:r>
          </w:p>
        </w:tc>
        <w:tc>
          <w:tcPr>
            <w:tcW w:w="168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1,423</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1,490</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1,460</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1,363</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1,386</w:t>
            </w:r>
          </w:p>
        </w:tc>
      </w:tr>
      <w:tr>
        <w:trPr>
          <w:trHeight w:val="284"/>
        </w:trPr>
        <w:tc>
          <w:tcPr>
            <w:tcW w:w="358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43"/>
        </w:trPr>
        <w:tc>
          <w:tcPr>
            <w:tcW w:w="35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540" w:type="dxa"/>
            <w:vAlign w:val="bottom"/>
            <w:gridSpan w:val="6"/>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358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4"/>
        </w:trPr>
        <w:tc>
          <w:tcPr>
            <w:tcW w:w="358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3/31/2018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3"/>
              </w:rPr>
              <w:t>12/31/2017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9/30/2017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7"/>
              </w:rPr>
              <w:t>6/30/2017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3/31/2017</w:t>
            </w:r>
          </w:p>
        </w:tc>
      </w:tr>
      <w:tr>
        <w:trPr>
          <w:trHeight w:val="237"/>
        </w:trPr>
        <w:tc>
          <w:tcPr>
            <w:tcW w:w="3580" w:type="dxa"/>
            <w:vAlign w:val="bottom"/>
          </w:tcPr>
          <w:p>
            <w:pPr>
              <w:ind w:left="40"/>
              <w:spacing w:after="0"/>
              <w:rPr>
                <w:sz w:val="20"/>
                <w:szCs w:val="20"/>
                <w:color w:val="auto"/>
              </w:rPr>
            </w:pPr>
            <w:r>
              <w:rPr>
                <w:rFonts w:ascii="Arial" w:cs="Arial" w:eastAsia="Arial" w:hAnsi="Arial"/>
                <w:sz w:val="18"/>
                <w:szCs w:val="18"/>
                <w:b w:val="1"/>
                <w:bCs w:val="1"/>
                <w:color w:val="auto"/>
              </w:rPr>
              <w:t>Operating Income (Loss):</w:t>
            </w:r>
          </w:p>
        </w:tc>
        <w:tc>
          <w:tcPr>
            <w:tcW w:w="16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r>
      <w:tr>
        <w:trPr>
          <w:trHeight w:val="27"/>
        </w:trPr>
        <w:tc>
          <w:tcPr>
            <w:tcW w:w="35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Western Hemisphere</w:t>
            </w:r>
          </w:p>
        </w:tc>
        <w:tc>
          <w:tcPr>
            <w:tcW w:w="1900" w:type="dxa"/>
            <w:vAlign w:val="bottom"/>
            <w:tcBorders>
              <w:bottom w:val="single" w:sz="8" w:color="CCEEFF"/>
            </w:tcBorders>
            <w:gridSpan w:val="2"/>
            <w:shd w:val="clear" w:color="auto" w:fill="CCEEFF"/>
          </w:tcPr>
          <w:p>
            <w:pPr>
              <w:ind w:left="170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43"/>
        </w:trPr>
        <w:tc>
          <w:tcPr>
            <w:tcW w:w="3580" w:type="dxa"/>
            <w:vAlign w:val="bottom"/>
          </w:tcPr>
          <w:p>
            <w:pPr>
              <w:ind w:left="40"/>
              <w:spacing w:after="0"/>
              <w:rPr>
                <w:sz w:val="20"/>
                <w:szCs w:val="20"/>
                <w:color w:val="auto"/>
              </w:rPr>
            </w:pPr>
            <w:r>
              <w:rPr>
                <w:rFonts w:ascii="Arial" w:cs="Arial" w:eastAsia="Arial" w:hAnsi="Arial"/>
                <w:sz w:val="18"/>
                <w:szCs w:val="18"/>
                <w:color w:val="auto"/>
              </w:rPr>
              <w:t>Eastern Hemisphere</w:t>
            </w:r>
          </w:p>
        </w:tc>
        <w:tc>
          <w:tcPr>
            <w:tcW w:w="1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7"/>
        </w:trPr>
        <w:tc>
          <w:tcPr>
            <w:tcW w:w="358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35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Segment Operating Income (Loss)</w:t>
            </w:r>
          </w:p>
        </w:tc>
        <w:tc>
          <w:tcPr>
            <w:tcW w:w="16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r>
      <w:tr>
        <w:trPr>
          <w:trHeight w:val="243"/>
        </w:trPr>
        <w:tc>
          <w:tcPr>
            <w:tcW w:w="3580" w:type="dxa"/>
            <w:vAlign w:val="bottom"/>
          </w:tcPr>
          <w:p>
            <w:pPr>
              <w:ind w:left="40"/>
              <w:spacing w:after="0"/>
              <w:rPr>
                <w:sz w:val="20"/>
                <w:szCs w:val="20"/>
                <w:color w:val="auto"/>
              </w:rPr>
            </w:pPr>
            <w:r>
              <w:rPr>
                <w:rFonts w:ascii="Arial" w:cs="Arial" w:eastAsia="Arial" w:hAnsi="Arial"/>
                <w:sz w:val="18"/>
                <w:szCs w:val="18"/>
                <w:color w:val="auto"/>
              </w:rPr>
              <w:t>Corporate Expenses</w:t>
            </w:r>
          </w:p>
        </w:tc>
        <w:tc>
          <w:tcPr>
            <w:tcW w:w="1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7"/>
        </w:trPr>
        <w:tc>
          <w:tcPr>
            <w:tcW w:w="35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and Transformation Charges</w:t>
            </w:r>
          </w:p>
        </w:tc>
        <w:tc>
          <w:tcPr>
            <w:tcW w:w="16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43"/>
        </w:trPr>
        <w:tc>
          <w:tcPr>
            <w:tcW w:w="3580" w:type="dxa"/>
            <w:vAlign w:val="bottom"/>
          </w:tcPr>
          <w:p>
            <w:pPr>
              <w:ind w:left="40"/>
              <w:spacing w:after="0"/>
              <w:rPr>
                <w:sz w:val="20"/>
                <w:szCs w:val="20"/>
                <w:color w:val="auto"/>
              </w:rPr>
            </w:pPr>
            <w:r>
              <w:rPr>
                <w:rFonts w:ascii="Arial" w:cs="Arial" w:eastAsia="Arial" w:hAnsi="Arial"/>
                <w:sz w:val="18"/>
                <w:szCs w:val="18"/>
                <w:color w:val="auto"/>
              </w:rPr>
              <w:t>Other Charges, Net</w:t>
            </w:r>
          </w:p>
        </w:tc>
        <w:tc>
          <w:tcPr>
            <w:tcW w:w="1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(1,579)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
        </w:trPr>
        <w:tc>
          <w:tcPr>
            <w:tcW w:w="358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7"/>
        </w:trPr>
        <w:tc>
          <w:tcPr>
            <w:tcW w:w="3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Operating Loss</w:t>
            </w:r>
          </w:p>
        </w:tc>
        <w:tc>
          <w:tcPr>
            <w:tcW w:w="16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w:t>
            </w:r>
          </w:p>
        </w:tc>
      </w:tr>
      <w:tr>
        <w:trPr>
          <w:trHeight w:val="20"/>
        </w:trPr>
        <w:tc>
          <w:tcPr>
            <w:tcW w:w="35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84"/>
        </w:trPr>
        <w:tc>
          <w:tcPr>
            <w:tcW w:w="35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r>
      <w:tr>
        <w:trPr>
          <w:trHeight w:val="270"/>
        </w:trPr>
        <w:tc>
          <w:tcPr>
            <w:tcW w:w="358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2540" w:type="dxa"/>
            <w:vAlign w:val="bottom"/>
            <w:tcBorders>
              <w:bottom w:val="single" w:sz="8" w:color="CCEEFF"/>
            </w:tcBorders>
            <w:gridSpan w:val="6"/>
            <w:shd w:val="clear" w:color="auto" w:fill="CCEEFF"/>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9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r>
      <w:tr>
        <w:trPr>
          <w:trHeight w:val="237"/>
        </w:trPr>
        <w:tc>
          <w:tcPr>
            <w:tcW w:w="35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3/31/2018</w:t>
            </w:r>
          </w:p>
        </w:tc>
        <w:tc>
          <w:tcPr>
            <w:tcW w:w="1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3"/>
              </w:rPr>
              <w:t>12/31/2017</w:t>
            </w: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9/30/2017</w:t>
            </w:r>
          </w:p>
        </w:tc>
        <w:tc>
          <w:tcPr>
            <w:tcW w:w="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7"/>
              </w:rPr>
              <w:t>6/30/2017</w:t>
            </w:r>
          </w:p>
        </w:tc>
        <w:tc>
          <w:tcPr>
            <w:tcW w:w="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3/31/2017</w:t>
            </w:r>
          </w:p>
        </w:tc>
      </w:tr>
      <w:tr>
        <w:trPr>
          <w:trHeight w:val="27"/>
        </w:trPr>
        <w:tc>
          <w:tcPr>
            <w:tcW w:w="358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4"/>
        </w:trPr>
        <w:tc>
          <w:tcPr>
            <w:tcW w:w="358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b w:val="1"/>
                <w:bCs w:val="1"/>
                <w:color w:val="auto"/>
              </w:rPr>
              <w:t xml:space="preserve">Product and Service Line </w:t>
            </w:r>
            <w:r>
              <w:rPr>
                <w:rFonts w:ascii="Arial" w:cs="Arial" w:eastAsia="Arial" w:hAnsi="Arial"/>
                <w:sz w:val="25"/>
                <w:szCs w:val="25"/>
                <w:b w:val="1"/>
                <w:bCs w:val="1"/>
                <w:color w:val="auto"/>
                <w:vertAlign w:val="superscript"/>
              </w:rPr>
              <w:t>(a</w:t>
            </w:r>
            <w:r>
              <w:rPr>
                <w:rFonts w:ascii="Arial" w:cs="Arial" w:eastAsia="Arial" w:hAnsi="Arial"/>
                <w:sz w:val="25"/>
                <w:szCs w:val="25"/>
                <w:color w:val="auto"/>
                <w:vertAlign w:val="superscript"/>
              </w:rPr>
              <w:t>)</w:t>
            </w:r>
            <w:r>
              <w:rPr>
                <w:rFonts w:ascii="Arial" w:cs="Arial" w:eastAsia="Arial" w:hAnsi="Arial"/>
                <w:sz w:val="18"/>
                <w:szCs w:val="18"/>
                <w:b w:val="1"/>
                <w:bCs w:val="1"/>
                <w:color w:val="auto"/>
              </w:rPr>
              <w:t xml:space="preserve"> Revenues:</w:t>
            </w:r>
          </w:p>
        </w:tc>
        <w:tc>
          <w:tcPr>
            <w:tcW w:w="16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r>
      <w:tr>
        <w:trPr>
          <w:trHeight w:val="243"/>
        </w:trPr>
        <w:tc>
          <w:tcPr>
            <w:tcW w:w="3580" w:type="dxa"/>
            <w:vAlign w:val="bottom"/>
          </w:tcPr>
          <w:p>
            <w:pPr>
              <w:ind w:left="40"/>
              <w:spacing w:after="0"/>
              <w:rPr>
                <w:sz w:val="20"/>
                <w:szCs w:val="20"/>
                <w:color w:val="auto"/>
              </w:rPr>
            </w:pPr>
            <w:r>
              <w:rPr>
                <w:rFonts w:ascii="Arial" w:cs="Arial" w:eastAsia="Arial" w:hAnsi="Arial"/>
                <w:sz w:val="18"/>
                <w:szCs w:val="18"/>
                <w:color w:val="auto"/>
              </w:rPr>
              <w:t>Production</w:t>
            </w:r>
          </w:p>
        </w:tc>
        <w:tc>
          <w:tcPr>
            <w:tcW w:w="1900" w:type="dxa"/>
            <w:vAlign w:val="bottom"/>
            <w:gridSpan w:val="2"/>
          </w:tcPr>
          <w:p>
            <w:pPr>
              <w:ind w:left="170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381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408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381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335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341</w:t>
            </w:r>
          </w:p>
        </w:tc>
      </w:tr>
      <w:tr>
        <w:trPr>
          <w:trHeight w:val="27"/>
        </w:trPr>
        <w:tc>
          <w:tcPr>
            <w:tcW w:w="35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Completion</w:t>
            </w:r>
          </w:p>
        </w:tc>
        <w:tc>
          <w:tcPr>
            <w:tcW w:w="16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304</w:t>
            </w:r>
          </w:p>
        </w:tc>
      </w:tr>
      <w:tr>
        <w:trPr>
          <w:trHeight w:val="243"/>
        </w:trPr>
        <w:tc>
          <w:tcPr>
            <w:tcW w:w="3580" w:type="dxa"/>
            <w:vAlign w:val="bottom"/>
          </w:tcPr>
          <w:p>
            <w:pPr>
              <w:ind w:left="40"/>
              <w:spacing w:after="0"/>
              <w:rPr>
                <w:sz w:val="20"/>
                <w:szCs w:val="20"/>
                <w:color w:val="auto"/>
              </w:rPr>
            </w:pPr>
            <w:r>
              <w:rPr>
                <w:rFonts w:ascii="Arial" w:cs="Arial" w:eastAsia="Arial" w:hAnsi="Arial"/>
                <w:sz w:val="18"/>
                <w:szCs w:val="18"/>
                <w:color w:val="auto"/>
              </w:rPr>
              <w:t>Drilling and Evaluation</w:t>
            </w:r>
          </w:p>
        </w:tc>
        <w:tc>
          <w:tcPr>
            <w:tcW w:w="1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358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347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331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364</w:t>
            </w:r>
          </w:p>
        </w:tc>
      </w:tr>
      <w:tr>
        <w:trPr>
          <w:trHeight w:val="27"/>
        </w:trPr>
        <w:tc>
          <w:tcPr>
            <w:tcW w:w="35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Well Construction</w:t>
            </w:r>
          </w:p>
        </w:tc>
        <w:tc>
          <w:tcPr>
            <w:tcW w:w="16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377</w:t>
            </w:r>
          </w:p>
        </w:tc>
      </w:tr>
      <w:tr>
        <w:trPr>
          <w:trHeight w:val="297"/>
        </w:trPr>
        <w:tc>
          <w:tcPr>
            <w:tcW w:w="358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w w:val="98"/>
              </w:rPr>
              <w:t>Total Product and Service Line Revenues</w:t>
            </w:r>
          </w:p>
        </w:tc>
        <w:tc>
          <w:tcPr>
            <w:tcW w:w="168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1,423</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1,490</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1,460</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1,363</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1,386</w:t>
            </w:r>
          </w:p>
        </w:tc>
      </w:tr>
      <w:tr>
        <w:trPr>
          <w:trHeight w:val="284"/>
        </w:trPr>
        <w:tc>
          <w:tcPr>
            <w:tcW w:w="358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43"/>
        </w:trPr>
        <w:tc>
          <w:tcPr>
            <w:tcW w:w="35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540" w:type="dxa"/>
            <w:vAlign w:val="bottom"/>
            <w:gridSpan w:val="6"/>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358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4"/>
        </w:trPr>
        <w:tc>
          <w:tcPr>
            <w:tcW w:w="358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3/31/2018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3"/>
              </w:rPr>
              <w:t>12/31/2017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9/30/2017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7"/>
              </w:rPr>
              <w:t>6/30/2017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3/31/2017</w:t>
            </w:r>
          </w:p>
        </w:tc>
      </w:tr>
      <w:tr>
        <w:trPr>
          <w:trHeight w:val="237"/>
        </w:trPr>
        <w:tc>
          <w:tcPr>
            <w:tcW w:w="3580" w:type="dxa"/>
            <w:vAlign w:val="bottom"/>
          </w:tcPr>
          <w:p>
            <w:pPr>
              <w:ind w:left="40"/>
              <w:spacing w:after="0"/>
              <w:rPr>
                <w:sz w:val="20"/>
                <w:szCs w:val="20"/>
                <w:color w:val="auto"/>
              </w:rPr>
            </w:pPr>
            <w:r>
              <w:rPr>
                <w:rFonts w:ascii="Arial" w:cs="Arial" w:eastAsia="Arial" w:hAnsi="Arial"/>
                <w:sz w:val="18"/>
                <w:szCs w:val="18"/>
                <w:b w:val="1"/>
                <w:bCs w:val="1"/>
                <w:color w:val="auto"/>
              </w:rPr>
              <w:t>Depreciation and Amortization:</w:t>
            </w:r>
          </w:p>
        </w:tc>
        <w:tc>
          <w:tcPr>
            <w:tcW w:w="16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r>
      <w:tr>
        <w:trPr>
          <w:trHeight w:val="27"/>
        </w:trPr>
        <w:tc>
          <w:tcPr>
            <w:tcW w:w="35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Western Hemisphere</w:t>
            </w:r>
          </w:p>
        </w:tc>
        <w:tc>
          <w:tcPr>
            <w:tcW w:w="1900" w:type="dxa"/>
            <w:vAlign w:val="bottom"/>
            <w:tcBorders>
              <w:bottom w:val="single" w:sz="8" w:color="CCEEFF"/>
            </w:tcBorders>
            <w:gridSpan w:val="2"/>
            <w:shd w:val="clear" w:color="auto" w:fill="CCEEFF"/>
          </w:tcPr>
          <w:p>
            <w:pPr>
              <w:ind w:left="170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w:t>
            </w:r>
          </w:p>
        </w:tc>
      </w:tr>
      <w:tr>
        <w:trPr>
          <w:trHeight w:val="243"/>
        </w:trPr>
        <w:tc>
          <w:tcPr>
            <w:tcW w:w="3580" w:type="dxa"/>
            <w:vAlign w:val="bottom"/>
          </w:tcPr>
          <w:p>
            <w:pPr>
              <w:ind w:left="40"/>
              <w:spacing w:after="0"/>
              <w:rPr>
                <w:sz w:val="20"/>
                <w:szCs w:val="20"/>
                <w:color w:val="auto"/>
              </w:rPr>
            </w:pPr>
            <w:r>
              <w:rPr>
                <w:rFonts w:ascii="Arial" w:cs="Arial" w:eastAsia="Arial" w:hAnsi="Arial"/>
                <w:sz w:val="18"/>
                <w:szCs w:val="18"/>
                <w:color w:val="auto"/>
              </w:rPr>
              <w:t>Eastern Hemisphere</w:t>
            </w:r>
          </w:p>
        </w:tc>
        <w:tc>
          <w:tcPr>
            <w:tcW w:w="1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115</w:t>
            </w:r>
          </w:p>
        </w:tc>
      </w:tr>
      <w:tr>
        <w:trPr>
          <w:trHeight w:val="27"/>
        </w:trPr>
        <w:tc>
          <w:tcPr>
            <w:tcW w:w="35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16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257"/>
        </w:trPr>
        <w:tc>
          <w:tcPr>
            <w:tcW w:w="3580" w:type="dxa"/>
            <w:vAlign w:val="bottom"/>
          </w:tcPr>
          <w:p>
            <w:pPr>
              <w:ind w:left="280"/>
              <w:spacing w:after="0"/>
              <w:rPr>
                <w:sz w:val="20"/>
                <w:szCs w:val="20"/>
                <w:color w:val="auto"/>
              </w:rPr>
            </w:pPr>
            <w:r>
              <w:rPr>
                <w:rFonts w:ascii="Arial" w:cs="Arial" w:eastAsia="Arial" w:hAnsi="Arial"/>
                <w:sz w:val="18"/>
                <w:szCs w:val="18"/>
                <w:color w:val="auto"/>
              </w:rPr>
              <w:t>Total Depreciation and Amortization</w:t>
            </w:r>
          </w:p>
        </w:tc>
        <w:tc>
          <w:tcPr>
            <w:tcW w:w="1680" w:type="dxa"/>
            <w:vAlign w:val="bottom"/>
          </w:tcPr>
          <w:p>
            <w:pPr>
              <w:spacing w:after="0"/>
              <w:rPr>
                <w:sz w:val="22"/>
                <w:szCs w:val="22"/>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208</w:t>
            </w:r>
          </w:p>
        </w:tc>
      </w:tr>
      <w:tr>
        <w:trPr>
          <w:trHeight w:val="20"/>
        </w:trPr>
        <w:tc>
          <w:tcPr>
            <w:tcW w:w="35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35" w:lineRule="exact"/>
        <w:rPr>
          <w:sz w:val="20"/>
          <w:szCs w:val="20"/>
          <w:color w:val="auto"/>
        </w:rPr>
      </w:pPr>
    </w:p>
    <w:p>
      <w:pPr>
        <w:jc w:val="both"/>
        <w:ind w:left="340" w:hanging="332"/>
        <w:spacing w:after="0" w:line="257" w:lineRule="auto"/>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Production includes Artificial Lift Systems, Stimulation and Testing and Production Services. Completions includes Completion Systems, Liner Systems and Cementing Products. Drilling and Evaluation includes Drilling Services, Managed Pressure Drilling, Surface Logging Systems, Wireline Services and Reservoir Solutions. Well Construction includes Tubular Running Services, Intervention Services, Drilling Tools and Rental Equipment and Land Drilling Rigs.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742" w:right="239" w:bottom="1440" w:gutter="0" w:footer="0" w:header="0"/>
        </w:sectPr>
      </w:pPr>
    </w:p>
    <w:bookmarkStart w:id="12" w:name="page13"/>
    <w:bookmarkEnd w:id="12"/>
    <w:p>
      <w:pPr>
        <w:jc w:val="both"/>
        <w:spacing w:after="0" w:line="274" w:lineRule="auto"/>
        <w:rPr>
          <w:sz w:val="20"/>
          <w:szCs w:val="20"/>
          <w:color w:val="auto"/>
        </w:rPr>
      </w:pPr>
      <w:r>
        <w:rPr>
          <w:rFonts w:ascii="Arial" w:cs="Arial" w:eastAsia="Arial" w:hAnsi="Arial"/>
          <w:sz w:val="16"/>
          <w:szCs w:val="16"/>
          <w:color w:val="auto"/>
        </w:rPr>
        <w:t>We report our financial results in accordance with U.S. generally accepted accounting principles (GAAP). However, Weatherford’s management believes that certain non-GAAP financial measures and ratios (as defined under the SEC’s Regulation G) may provide users of this financial information, additional meaningful comparisons between current results and results of prior periods and comparisons with peer companies. The non-GAAP amounts shown in the following tables should not be considered as substitutes for operating income, provision for income taxes, net income or other data prepared and reported in accordance with GAAP, but should be viewed in addition to the Company’s reported results prepared in accordance with GAAP.</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Weatherford International plc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GAAP to Non-GAAP Financial Measures</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Amounts)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40" w:type="dxa"/>
            <w:vAlign w:val="bottom"/>
            <w:gridSpan w:val="6"/>
          </w:tcPr>
          <w:p>
            <w:pPr>
              <w:jc w:val="right"/>
              <w:ind w:right="90"/>
              <w:spacing w:after="0"/>
              <w:rPr>
                <w:sz w:val="20"/>
                <w:szCs w:val="20"/>
                <w:color w:val="auto"/>
              </w:rPr>
            </w:pPr>
            <w:r>
              <w:rPr>
                <w:rFonts w:ascii="Arial" w:cs="Arial" w:eastAsia="Arial" w:hAnsi="Arial"/>
                <w:sz w:val="18"/>
                <w:szCs w:val="18"/>
                <w:b w:val="1"/>
                <w:bCs w:val="1"/>
                <w:color w:val="auto"/>
                <w:w w:val="92"/>
              </w:rPr>
              <w:t>Three Months Ended</w:t>
            </w:r>
          </w:p>
        </w:tc>
        <w:tc>
          <w:tcPr>
            <w:tcW w:w="1160" w:type="dxa"/>
            <w:vAlign w:val="bottom"/>
          </w:tcPr>
          <w:p>
            <w:pPr>
              <w:spacing w:after="0"/>
              <w:rPr>
                <w:sz w:val="20"/>
                <w:szCs w:val="20"/>
                <w:color w:val="auto"/>
              </w:rPr>
            </w:pPr>
          </w:p>
        </w:tc>
      </w:tr>
      <w:tr>
        <w:trPr>
          <w:trHeight w:val="27"/>
        </w:trPr>
        <w:tc>
          <w:tcPr>
            <w:tcW w:w="70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7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ind w:right="210"/>
              <w:spacing w:after="0"/>
              <w:rPr>
                <w:sz w:val="20"/>
                <w:szCs w:val="20"/>
                <w:color w:val="auto"/>
              </w:rPr>
            </w:pPr>
            <w:r>
              <w:rPr>
                <w:rFonts w:ascii="Arial" w:cs="Arial" w:eastAsia="Arial" w:hAnsi="Arial"/>
                <w:sz w:val="18"/>
                <w:szCs w:val="18"/>
                <w:b w:val="1"/>
                <w:bCs w:val="1"/>
                <w:color w:val="auto"/>
                <w:w w:val="99"/>
              </w:rPr>
              <w:t>3/31/2018</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190"/>
              <w:spacing w:after="0"/>
              <w:rPr>
                <w:sz w:val="20"/>
                <w:szCs w:val="20"/>
                <w:color w:val="auto"/>
              </w:rPr>
            </w:pPr>
            <w:r>
              <w:rPr>
                <w:rFonts w:ascii="Arial" w:cs="Arial" w:eastAsia="Arial" w:hAnsi="Arial"/>
                <w:sz w:val="18"/>
                <w:szCs w:val="18"/>
                <w:b w:val="1"/>
                <w:bCs w:val="1"/>
                <w:color w:val="auto"/>
                <w:w w:val="97"/>
              </w:rPr>
              <w:t>12/31/2017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ind w:right="230"/>
              <w:spacing w:after="0"/>
              <w:rPr>
                <w:sz w:val="20"/>
                <w:szCs w:val="20"/>
                <w:color w:val="auto"/>
              </w:rPr>
            </w:pPr>
            <w:r>
              <w:rPr>
                <w:rFonts w:ascii="Arial" w:cs="Arial" w:eastAsia="Arial" w:hAnsi="Arial"/>
                <w:sz w:val="18"/>
                <w:szCs w:val="18"/>
                <w:b w:val="1"/>
                <w:bCs w:val="1"/>
                <w:color w:val="auto"/>
              </w:rPr>
              <w:t>3/31/2017</w:t>
            </w:r>
          </w:p>
        </w:tc>
      </w:tr>
      <w:tr>
        <w:trPr>
          <w:trHeight w:val="27"/>
        </w:trPr>
        <w:tc>
          <w:tcPr>
            <w:tcW w:w="7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Loss:</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GAAP Operating Loss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(39)</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(1,741)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(214)</w:t>
            </w: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08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 xml:space="preserve">Restructuring and Transformation Charges </w:t>
            </w:r>
            <w:r>
              <w:rPr>
                <w:rFonts w:ascii="Arial" w:cs="Arial" w:eastAsia="Arial" w:hAnsi="Arial"/>
                <w:sz w:val="25"/>
                <w:szCs w:val="25"/>
                <w:color w:val="auto"/>
                <w:vertAlign w:val="superscript"/>
              </w:rPr>
              <w:t>(a)</w:t>
            </w: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25</w:t>
            </w: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75</w:t>
            </w: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Litigation Charges, Net</w:t>
            </w:r>
          </w:p>
        </w:tc>
        <w:tc>
          <w:tcPr>
            <w:tcW w:w="220" w:type="dxa"/>
            <w:vAlign w:val="bottom"/>
          </w:tcPr>
          <w:p>
            <w:pPr>
              <w:spacing w:after="0"/>
              <w:rPr>
                <w:sz w:val="21"/>
                <w:szCs w:val="21"/>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08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 xml:space="preserve">Impairments, Asset Write-Downs and Other </w:t>
            </w:r>
            <w:r>
              <w:rPr>
                <w:rFonts w:ascii="Arial" w:cs="Arial" w:eastAsia="Arial" w:hAnsi="Arial"/>
                <w:sz w:val="25"/>
                <w:szCs w:val="25"/>
                <w:color w:val="auto"/>
                <w:vertAlign w:val="superscript"/>
              </w:rPr>
              <w:t>(b)</w:t>
            </w: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18</w:t>
            </w: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1,681</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17</w:t>
            </w:r>
          </w:p>
        </w:tc>
      </w:tr>
      <w:tr>
        <w:trPr>
          <w:trHeight w:val="270"/>
        </w:trPr>
        <w:tc>
          <w:tcPr>
            <w:tcW w:w="7080" w:type="dxa"/>
            <w:vAlign w:val="bottom"/>
            <w:tcBorders>
              <w:bottom w:val="single" w:sz="8" w:color="CCEEFF"/>
            </w:tcBorders>
          </w:tcPr>
          <w:p>
            <w:pPr>
              <w:ind w:left="280"/>
              <w:spacing w:after="0" w:line="270" w:lineRule="exact"/>
              <w:rPr>
                <w:sz w:val="20"/>
                <w:szCs w:val="20"/>
                <w:color w:val="auto"/>
              </w:rPr>
            </w:pPr>
            <w:r>
              <w:rPr>
                <w:rFonts w:ascii="Arial" w:cs="Arial" w:eastAsia="Arial" w:hAnsi="Arial"/>
                <w:sz w:val="18"/>
                <w:szCs w:val="18"/>
                <w:color w:val="auto"/>
              </w:rPr>
              <w:t xml:space="preserve">Gain from Dispositions </w:t>
            </w:r>
            <w:r>
              <w:rPr>
                <w:rFonts w:ascii="Arial" w:cs="Arial" w:eastAsia="Arial" w:hAnsi="Arial"/>
                <w:sz w:val="25"/>
                <w:szCs w:val="25"/>
                <w:color w:val="auto"/>
                <w:vertAlign w:val="superscript"/>
              </w:rPr>
              <w:t>(c)</w:t>
            </w:r>
          </w:p>
        </w:tc>
        <w:tc>
          <w:tcPr>
            <w:tcW w:w="2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r>
      <w:tr>
        <w:trPr>
          <w:trHeight w:val="264"/>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Non-GAAP Adjustments</w:t>
            </w: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43</w:t>
            </w: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1,622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92</w:t>
            </w:r>
          </w:p>
        </w:tc>
      </w:tr>
      <w:tr>
        <w:trPr>
          <w:trHeight w:val="297"/>
        </w:trPr>
        <w:tc>
          <w:tcPr>
            <w:tcW w:w="70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Non-GAAP Adjusted Operating Income (Loss)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4</w:t>
            </w:r>
          </w:p>
        </w:tc>
        <w:tc>
          <w:tcPr>
            <w:tcW w:w="2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(122)</w:t>
            </w:r>
          </w:p>
        </w:tc>
      </w:tr>
      <w:tr>
        <w:trPr>
          <w:trHeight w:val="203"/>
        </w:trPr>
        <w:tc>
          <w:tcPr>
            <w:tcW w:w="7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b w:val="1"/>
                <w:bCs w:val="1"/>
                <w:color w:val="auto"/>
              </w:rPr>
              <w:t>Loss Before Income Taxes:</w:t>
            </w: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GAAP Loss Before Income Taxes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(210)</w:t>
            </w:r>
          </w:p>
        </w:tc>
        <w:tc>
          <w:tcPr>
            <w:tcW w:w="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(1,872)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(410)</w:t>
            </w: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Operating Non-GAAP Adjustments</w:t>
            </w:r>
          </w:p>
        </w:tc>
        <w:tc>
          <w:tcPr>
            <w:tcW w:w="220" w:type="dxa"/>
            <w:vAlign w:val="bottom"/>
          </w:tcPr>
          <w:p>
            <w:pPr>
              <w:spacing w:after="0"/>
              <w:rPr>
                <w:sz w:val="21"/>
                <w:szCs w:val="21"/>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1,622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92</w:t>
            </w: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08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 xml:space="preserve">Bond Tender and Call Premium </w:t>
            </w:r>
            <w:r>
              <w:rPr>
                <w:rFonts w:ascii="Arial" w:cs="Arial" w:eastAsia="Arial" w:hAnsi="Arial"/>
                <w:sz w:val="25"/>
                <w:szCs w:val="25"/>
                <w:color w:val="auto"/>
                <w:vertAlign w:val="superscript"/>
              </w:rPr>
              <w:t>(d)</w:t>
            </w: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34</w:t>
            </w: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Warrant Fair Value Adjustment</w:t>
            </w:r>
          </w:p>
        </w:tc>
        <w:tc>
          <w:tcPr>
            <w:tcW w:w="22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62</w:t>
            </w: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08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 xml:space="preserve">Defined Benefit Pension Plan Gains </w:t>
            </w:r>
            <w:r>
              <w:rPr>
                <w:rFonts w:ascii="Arial" w:cs="Arial" w:eastAsia="Arial" w:hAnsi="Arial"/>
                <w:sz w:val="25"/>
                <w:szCs w:val="25"/>
                <w:color w:val="auto"/>
                <w:vertAlign w:val="superscript"/>
              </w:rPr>
              <w:t>(e)</w:t>
            </w: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(20)</w:t>
            </w:r>
          </w:p>
        </w:tc>
      </w:tr>
      <w:tr>
        <w:trPr>
          <w:trHeight w:val="270"/>
        </w:trPr>
        <w:tc>
          <w:tcPr>
            <w:tcW w:w="7080" w:type="dxa"/>
            <w:vAlign w:val="bottom"/>
            <w:tcBorders>
              <w:bottom w:val="single" w:sz="8" w:color="CCEEFF"/>
            </w:tcBorders>
          </w:tcPr>
          <w:p>
            <w:pPr>
              <w:ind w:left="280"/>
              <w:spacing w:after="0" w:line="270" w:lineRule="exact"/>
              <w:rPr>
                <w:sz w:val="20"/>
                <w:szCs w:val="20"/>
                <w:color w:val="auto"/>
              </w:rPr>
            </w:pPr>
            <w:r>
              <w:rPr>
                <w:rFonts w:ascii="Arial" w:cs="Arial" w:eastAsia="Arial" w:hAnsi="Arial"/>
                <w:sz w:val="18"/>
                <w:szCs w:val="18"/>
                <w:color w:val="auto"/>
              </w:rPr>
              <w:t xml:space="preserve">Currency Devaluation Charges </w:t>
            </w:r>
            <w:r>
              <w:rPr>
                <w:rFonts w:ascii="Arial" w:cs="Arial" w:eastAsia="Arial" w:hAnsi="Arial"/>
                <w:sz w:val="25"/>
                <w:szCs w:val="25"/>
                <w:color w:val="auto"/>
                <w:vertAlign w:val="superscript"/>
              </w:rPr>
              <w:t>(f)</w:t>
            </w:r>
          </w:p>
        </w:tc>
        <w:tc>
          <w:tcPr>
            <w:tcW w:w="2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26</w:t>
            </w:r>
          </w:p>
        </w:tc>
        <w:tc>
          <w:tcPr>
            <w:tcW w:w="2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r>
      <w:tr>
        <w:trPr>
          <w:trHeight w:val="257"/>
        </w:trPr>
        <w:tc>
          <w:tcPr>
            <w:tcW w:w="7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Non-GAAP Loss Before Income Taxes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(153)</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(278)</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(276)</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203"/>
        </w:trPr>
        <w:tc>
          <w:tcPr>
            <w:tcW w:w="7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(Provision) Benefit for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GAAP Provision for Income Taxes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(32)</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(33)</w:t>
            </w: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Tax Effect on Non-GAAP Adjustments</w:t>
            </w: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w:t>
            </w:r>
          </w:p>
        </w:tc>
      </w:tr>
      <w:tr>
        <w:trPr>
          <w:trHeight w:val="297"/>
        </w:trPr>
        <w:tc>
          <w:tcPr>
            <w:tcW w:w="70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Non-GAAP Provision for Income Taxes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(32)</w:t>
            </w:r>
          </w:p>
        </w:tc>
        <w:tc>
          <w:tcPr>
            <w:tcW w:w="2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(37)</w:t>
            </w:r>
          </w:p>
        </w:tc>
      </w:tr>
      <w:tr>
        <w:trPr>
          <w:trHeight w:val="203"/>
        </w:trPr>
        <w:tc>
          <w:tcPr>
            <w:tcW w:w="7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b w:val="1"/>
                <w:bCs w:val="1"/>
                <w:color w:val="auto"/>
              </w:rPr>
              <w:t>Net Loss Attributable to Weatherford:</w:t>
            </w: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GAAP Net Loss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(245)</w:t>
            </w:r>
          </w:p>
        </w:tc>
        <w:tc>
          <w:tcPr>
            <w:tcW w:w="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(1,938)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(448)</w:t>
            </w: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Non-GAAP Adjustments, net of tax</w:t>
            </w:r>
          </w:p>
        </w:tc>
        <w:tc>
          <w:tcPr>
            <w:tcW w:w="220" w:type="dxa"/>
            <w:vAlign w:val="bottom"/>
          </w:tcPr>
          <w:p>
            <w:pPr>
              <w:spacing w:after="0"/>
              <w:rPr>
                <w:sz w:val="21"/>
                <w:szCs w:val="21"/>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1,609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130</w:t>
            </w:r>
          </w:p>
        </w:tc>
      </w:tr>
      <w:tr>
        <w:trPr>
          <w:trHeight w:val="27"/>
        </w:trPr>
        <w:tc>
          <w:tcPr>
            <w:tcW w:w="7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7"/>
        </w:trPr>
        <w:tc>
          <w:tcPr>
            <w:tcW w:w="7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Non-GAAP Net Loss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(188)</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(329)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(318)</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230"/>
        </w:trPr>
        <w:tc>
          <w:tcPr>
            <w:tcW w:w="7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 Loss Per Share Attributable to Weatherford:</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GAAP Diluted Loss per Share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(0.25)</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(0.45)</w:t>
            </w: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Non-GAAP Adjustments, net of tax</w:t>
            </w: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0.06</w:t>
            </w: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0.13</w:t>
            </w:r>
          </w:p>
        </w:tc>
      </w:tr>
      <w:tr>
        <w:trPr>
          <w:trHeight w:val="297"/>
        </w:trPr>
        <w:tc>
          <w:tcPr>
            <w:tcW w:w="70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Non-GAAP Diluted Loss per Share</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(0.19)</w:t>
            </w:r>
          </w:p>
        </w:tc>
        <w:tc>
          <w:tcPr>
            <w:tcW w:w="2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(0.33)</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(0.32)</w:t>
            </w:r>
          </w:p>
        </w:tc>
      </w:tr>
      <w:tr>
        <w:trPr>
          <w:trHeight w:val="203"/>
        </w:trPr>
        <w:tc>
          <w:tcPr>
            <w:tcW w:w="7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70"/>
        </w:trPr>
        <w:tc>
          <w:tcPr>
            <w:tcW w:w="7080" w:type="dxa"/>
            <w:vAlign w:val="bottom"/>
          </w:tcPr>
          <w:p>
            <w:pPr>
              <w:ind w:left="180"/>
              <w:spacing w:after="0" w:line="270" w:lineRule="exact"/>
              <w:rPr>
                <w:sz w:val="20"/>
                <w:szCs w:val="20"/>
                <w:color w:val="auto"/>
              </w:rPr>
            </w:pPr>
            <w:r>
              <w:rPr>
                <w:rFonts w:ascii="Arial" w:cs="Arial" w:eastAsia="Arial" w:hAnsi="Arial"/>
                <w:sz w:val="18"/>
                <w:szCs w:val="18"/>
                <w:b w:val="1"/>
                <w:bCs w:val="1"/>
                <w:color w:val="auto"/>
              </w:rPr>
              <w:t xml:space="preserve">GAAP Effective Tax Rate </w:t>
            </w:r>
            <w:r>
              <w:rPr>
                <w:rFonts w:ascii="Arial" w:cs="Arial" w:eastAsia="Arial" w:hAnsi="Arial"/>
                <w:sz w:val="25"/>
                <w:szCs w:val="25"/>
                <w:b w:val="1"/>
                <w:bCs w:val="1"/>
                <w:color w:val="auto"/>
                <w:vertAlign w:val="superscript"/>
              </w:rPr>
              <w:t>(g)</w:t>
            </w:r>
          </w:p>
        </w:tc>
        <w:tc>
          <w:tcPr>
            <w:tcW w:w="2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70"/>
        </w:trPr>
        <w:tc>
          <w:tcPr>
            <w:tcW w:w="708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b w:val="1"/>
                <w:bCs w:val="1"/>
                <w:color w:val="auto"/>
              </w:rPr>
              <w:t xml:space="preserve">Non-GAAP Effective Tax Rate </w:t>
            </w:r>
            <w:r>
              <w:rPr>
                <w:rFonts w:ascii="Arial" w:cs="Arial" w:eastAsia="Arial" w:hAnsi="Arial"/>
                <w:sz w:val="25"/>
                <w:szCs w:val="25"/>
                <w:b w:val="1"/>
                <w:bCs w:val="1"/>
                <w:color w:val="auto"/>
                <w:vertAlign w:val="superscript"/>
              </w:rPr>
              <w:t>(h)</w:t>
            </w: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bl>
    <w:p>
      <w:pPr>
        <w:ind w:left="260" w:hanging="252"/>
        <w:spacing w:after="0"/>
        <w:tabs>
          <w:tab w:leader="none" w:pos="260" w:val="left"/>
        </w:tabs>
        <w:numPr>
          <w:ilvl w:val="0"/>
          <w:numId w:val="7"/>
        </w:numPr>
        <w:rPr>
          <w:rFonts w:ascii="Arial" w:cs="Arial" w:eastAsia="Arial" w:hAnsi="Arial"/>
          <w:sz w:val="14"/>
          <w:szCs w:val="14"/>
          <w:color w:val="auto"/>
        </w:rPr>
      </w:pPr>
      <w:r>
        <w:rPr>
          <w:rFonts w:ascii="Arial" w:cs="Arial" w:eastAsia="Arial" w:hAnsi="Arial"/>
          <w:sz w:val="14"/>
          <w:szCs w:val="14"/>
          <w:color w:val="auto"/>
        </w:rPr>
        <w:t>Represents $11 million in severance costs, $9 million in transformation costs and $5 million in facility exit costs in the first quarter of 2018.</w:t>
      </w:r>
    </w:p>
    <w:p>
      <w:pPr>
        <w:jc w:val="both"/>
        <w:ind w:left="260" w:hanging="252"/>
        <w:spacing w:after="0" w:line="241" w:lineRule="auto"/>
        <w:tabs>
          <w:tab w:leader="none" w:pos="260" w:val="left"/>
        </w:tabs>
        <w:numPr>
          <w:ilvl w:val="0"/>
          <w:numId w:val="7"/>
        </w:numPr>
        <w:rPr>
          <w:rFonts w:ascii="Arial" w:cs="Arial" w:eastAsia="Arial" w:hAnsi="Arial"/>
          <w:sz w:val="14"/>
          <w:szCs w:val="14"/>
          <w:color w:val="auto"/>
        </w:rPr>
      </w:pPr>
      <w:r>
        <w:rPr>
          <w:rFonts w:ascii="Arial" w:cs="Arial" w:eastAsia="Arial" w:hAnsi="Arial"/>
          <w:sz w:val="14"/>
          <w:szCs w:val="14"/>
          <w:color w:val="auto"/>
        </w:rPr>
        <w:t>Represents $26 million in long-lived asset impairments and $8 million in net credits in the first quarter of 2018. The fourth quarter of 2017, impairments, asset write-downs and other include $928 million in long-lived asset impairments (of which $740 million relates to Land Drilling Rigs assets reclassified to held for sale), $440 million in inventory write-downs, $230 million in the write-down of Venezuelan receivables, $83 million of other write-downs charges and credits of which $4 million were related to transformation costs.</w:t>
      </w:r>
    </w:p>
    <w:p>
      <w:pPr>
        <w:spacing w:after="0" w:line="1" w:lineRule="exact"/>
        <w:rPr>
          <w:rFonts w:ascii="Arial" w:cs="Arial" w:eastAsia="Arial" w:hAnsi="Arial"/>
          <w:sz w:val="14"/>
          <w:szCs w:val="14"/>
          <w:color w:val="auto"/>
        </w:rPr>
      </w:pPr>
    </w:p>
    <w:p>
      <w:pPr>
        <w:ind w:left="260" w:hanging="252"/>
        <w:spacing w:after="0"/>
        <w:tabs>
          <w:tab w:leader="none" w:pos="260" w:val="left"/>
        </w:tabs>
        <w:numPr>
          <w:ilvl w:val="0"/>
          <w:numId w:val="7"/>
        </w:numPr>
        <w:rPr>
          <w:rFonts w:ascii="Arial" w:cs="Arial" w:eastAsia="Arial" w:hAnsi="Arial"/>
          <w:sz w:val="14"/>
          <w:szCs w:val="14"/>
          <w:color w:val="auto"/>
        </w:rPr>
      </w:pPr>
      <w:r>
        <w:rPr>
          <w:rFonts w:ascii="Arial" w:cs="Arial" w:eastAsia="Arial" w:hAnsi="Arial"/>
          <w:sz w:val="14"/>
          <w:szCs w:val="14"/>
          <w:color w:val="auto"/>
        </w:rPr>
        <w:t>Represents the sale of U.S. Pressure Pumping and Pump-Down Perforating assets.</w:t>
      </w:r>
    </w:p>
    <w:p>
      <w:pPr>
        <w:spacing w:after="0" w:line="1" w:lineRule="exact"/>
        <w:rPr>
          <w:rFonts w:ascii="Arial" w:cs="Arial" w:eastAsia="Arial" w:hAnsi="Arial"/>
          <w:sz w:val="14"/>
          <w:szCs w:val="14"/>
          <w:color w:val="auto"/>
        </w:rPr>
      </w:pPr>
    </w:p>
    <w:p>
      <w:pPr>
        <w:ind w:left="260" w:hanging="252"/>
        <w:spacing w:after="0"/>
        <w:tabs>
          <w:tab w:leader="none" w:pos="260" w:val="left"/>
        </w:tabs>
        <w:numPr>
          <w:ilvl w:val="0"/>
          <w:numId w:val="7"/>
        </w:numPr>
        <w:rPr>
          <w:rFonts w:ascii="Arial" w:cs="Arial" w:eastAsia="Arial" w:hAnsi="Arial"/>
          <w:sz w:val="14"/>
          <w:szCs w:val="14"/>
          <w:color w:val="auto"/>
        </w:rPr>
      </w:pPr>
      <w:r>
        <w:rPr>
          <w:rFonts w:ascii="Arial" w:cs="Arial" w:eastAsia="Arial" w:hAnsi="Arial"/>
          <w:sz w:val="14"/>
          <w:szCs w:val="14"/>
          <w:color w:val="auto"/>
        </w:rPr>
        <w:t>Represents a bond tender premium of $30 million and a call premium of $4 million on the 9.625% senior notes.</w:t>
      </w:r>
    </w:p>
    <w:p>
      <w:pPr>
        <w:spacing w:after="0" w:line="1" w:lineRule="exact"/>
        <w:rPr>
          <w:rFonts w:ascii="Arial" w:cs="Arial" w:eastAsia="Arial" w:hAnsi="Arial"/>
          <w:sz w:val="14"/>
          <w:szCs w:val="14"/>
          <w:color w:val="auto"/>
        </w:rPr>
      </w:pPr>
    </w:p>
    <w:p>
      <w:pPr>
        <w:ind w:left="260" w:hanging="252"/>
        <w:spacing w:after="0" w:line="241" w:lineRule="auto"/>
        <w:tabs>
          <w:tab w:leader="none" w:pos="260" w:val="left"/>
        </w:tabs>
        <w:numPr>
          <w:ilvl w:val="0"/>
          <w:numId w:val="7"/>
        </w:numPr>
        <w:rPr>
          <w:rFonts w:ascii="Arial" w:cs="Arial" w:eastAsia="Arial" w:hAnsi="Arial"/>
          <w:sz w:val="14"/>
          <w:szCs w:val="14"/>
          <w:color w:val="auto"/>
        </w:rPr>
      </w:pPr>
      <w:r>
        <w:rPr>
          <w:rFonts w:ascii="Arial" w:cs="Arial" w:eastAsia="Arial" w:hAnsi="Arial"/>
          <w:sz w:val="14"/>
          <w:szCs w:val="14"/>
          <w:color w:val="auto"/>
        </w:rPr>
        <w:t>Represents the supplemental executive retirement plan gain that was reclassified from Operating Non-GAAP Adjustments to non-operating Other Income (Expense), Net in the first quarter of 2018 upon retrospective adoption of the new pension accounting standards.</w:t>
      </w:r>
    </w:p>
    <w:p>
      <w:pPr>
        <w:ind w:left="260" w:hanging="252"/>
        <w:spacing w:after="0"/>
        <w:tabs>
          <w:tab w:leader="none" w:pos="260" w:val="left"/>
        </w:tabs>
        <w:numPr>
          <w:ilvl w:val="0"/>
          <w:numId w:val="7"/>
        </w:numPr>
        <w:rPr>
          <w:rFonts w:ascii="Arial" w:cs="Arial" w:eastAsia="Arial" w:hAnsi="Arial"/>
          <w:sz w:val="14"/>
          <w:szCs w:val="14"/>
          <w:color w:val="auto"/>
        </w:rPr>
      </w:pPr>
      <w:r>
        <w:rPr>
          <w:rFonts w:ascii="Arial" w:cs="Arial" w:eastAsia="Arial" w:hAnsi="Arial"/>
          <w:sz w:val="14"/>
          <w:szCs w:val="14"/>
          <w:color w:val="auto"/>
        </w:rPr>
        <w:t>Represents currency devaluations of the Angolan kwanza and Venezuelan bolivar.</w:t>
      </w:r>
    </w:p>
    <w:p>
      <w:pPr>
        <w:spacing w:after="0" w:line="1" w:lineRule="exact"/>
        <w:rPr>
          <w:rFonts w:ascii="Arial" w:cs="Arial" w:eastAsia="Arial" w:hAnsi="Arial"/>
          <w:sz w:val="14"/>
          <w:szCs w:val="14"/>
          <w:color w:val="auto"/>
        </w:rPr>
      </w:pPr>
    </w:p>
    <w:p>
      <w:pPr>
        <w:ind w:left="260" w:hanging="252"/>
        <w:spacing w:after="0"/>
        <w:tabs>
          <w:tab w:leader="none" w:pos="260" w:val="left"/>
        </w:tabs>
        <w:numPr>
          <w:ilvl w:val="0"/>
          <w:numId w:val="7"/>
        </w:numPr>
        <w:rPr>
          <w:rFonts w:ascii="Arial" w:cs="Arial" w:eastAsia="Arial" w:hAnsi="Arial"/>
          <w:sz w:val="14"/>
          <w:szCs w:val="14"/>
          <w:color w:val="auto"/>
        </w:rPr>
      </w:pPr>
      <w:r>
        <w:rPr>
          <w:rFonts w:ascii="Arial" w:cs="Arial" w:eastAsia="Arial" w:hAnsi="Arial"/>
          <w:sz w:val="14"/>
          <w:szCs w:val="14"/>
          <w:color w:val="auto"/>
        </w:rPr>
        <w:t>GAAP Effective Tax Rate is the GAAP provision for income taxes divided by GAAP income before income taxes and calculated in thousands.</w:t>
      </w:r>
    </w:p>
    <w:p>
      <w:pPr>
        <w:spacing w:after="0" w:line="1" w:lineRule="exact"/>
        <w:rPr>
          <w:rFonts w:ascii="Arial" w:cs="Arial" w:eastAsia="Arial" w:hAnsi="Arial"/>
          <w:sz w:val="14"/>
          <w:szCs w:val="14"/>
          <w:color w:val="auto"/>
        </w:rPr>
      </w:pPr>
    </w:p>
    <w:p>
      <w:pPr>
        <w:ind w:left="260" w:hanging="252"/>
        <w:spacing w:after="0"/>
        <w:tabs>
          <w:tab w:leader="none" w:pos="260" w:val="left"/>
        </w:tabs>
        <w:numPr>
          <w:ilvl w:val="0"/>
          <w:numId w:val="7"/>
        </w:numPr>
        <w:rPr>
          <w:rFonts w:ascii="Arial" w:cs="Arial" w:eastAsia="Arial" w:hAnsi="Arial"/>
          <w:sz w:val="14"/>
          <w:szCs w:val="14"/>
          <w:color w:val="auto"/>
        </w:rPr>
      </w:pPr>
      <w:r>
        <w:rPr>
          <w:rFonts w:ascii="Arial" w:cs="Arial" w:eastAsia="Arial" w:hAnsi="Arial"/>
          <w:sz w:val="14"/>
          <w:szCs w:val="14"/>
          <w:color w:val="auto"/>
        </w:rPr>
        <w:t>Non-GAAP Effective Tax Rate is the Non-GAAP provision for income taxes divided by Non-GAAP income before income taxes and calculated in thousands.</w:t>
      </w:r>
    </w:p>
    <w:p>
      <w:pPr>
        <w:sectPr>
          <w:pgSz w:w="11900" w:h="16838" w:orient="portrait"/>
          <w:cols w:equalWidth="0" w:num="1">
            <w:col w:w="11420"/>
          </w:cols>
          <w:pgMar w:left="240" w:top="581" w:right="239" w:bottom="1043" w:gutter="0" w:footer="0" w:header="0"/>
        </w:sect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581" w:right="239" w:bottom="1043" w:gutter="0" w:footer="0" w:header="0"/>
          <w:type w:val="continuous"/>
        </w:sectPr>
      </w:pPr>
    </w:p>
    <w:bookmarkStart w:id="13" w:name="page14"/>
    <w:bookmarkEnd w:id="13"/>
    <w:p>
      <w:pPr>
        <w:jc w:val="center"/>
        <w:ind w:right="20"/>
        <w:spacing w:after="0"/>
        <w:rPr>
          <w:sz w:val="20"/>
          <w:szCs w:val="20"/>
          <w:color w:val="auto"/>
        </w:rPr>
      </w:pPr>
      <w:r>
        <w:rPr>
          <w:rFonts w:ascii="Arial" w:cs="Arial" w:eastAsia="Arial" w:hAnsi="Arial"/>
          <w:sz w:val="18"/>
          <w:szCs w:val="18"/>
          <w:b w:val="1"/>
          <w:bCs w:val="1"/>
          <w:color w:val="auto"/>
        </w:rPr>
        <w:t>Weatherford International plc</w:t>
      </w:r>
    </w:p>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Reconciliation of GAAP to Non-GAAP Financial Measures - EBITDA</w:t>
      </w:r>
    </w:p>
    <w:p>
      <w:pPr>
        <w:spacing w:after="0" w:line="6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Millions, Except Per Share Amounts)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00" w:type="dxa"/>
            <w:vAlign w:val="bottom"/>
            <w:gridSpan w:val="6"/>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6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190"/>
              <w:spacing w:after="0"/>
              <w:rPr>
                <w:sz w:val="20"/>
                <w:szCs w:val="20"/>
                <w:color w:val="auto"/>
              </w:rPr>
            </w:pPr>
            <w:r>
              <w:rPr>
                <w:rFonts w:ascii="Arial" w:cs="Arial" w:eastAsia="Arial" w:hAnsi="Arial"/>
                <w:sz w:val="18"/>
                <w:szCs w:val="18"/>
                <w:b w:val="1"/>
                <w:bCs w:val="1"/>
                <w:color w:val="auto"/>
                <w:w w:val="97"/>
              </w:rPr>
              <w:t>3/31/2018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b w:val="1"/>
                <w:bCs w:val="1"/>
                <w:color w:val="auto"/>
                <w:w w:val="93"/>
              </w:rPr>
              <w:t>12/31/2017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ind w:right="170"/>
              <w:spacing w:after="0"/>
              <w:rPr>
                <w:sz w:val="20"/>
                <w:szCs w:val="20"/>
                <w:color w:val="auto"/>
              </w:rPr>
            </w:pPr>
            <w:r>
              <w:rPr>
                <w:rFonts w:ascii="Arial" w:cs="Arial" w:eastAsia="Arial" w:hAnsi="Arial"/>
                <w:sz w:val="18"/>
                <w:szCs w:val="18"/>
                <w:b w:val="1"/>
                <w:bCs w:val="1"/>
                <w:color w:val="auto"/>
                <w:w w:val="94"/>
              </w:rPr>
              <w:t>3/31/2017</w:t>
            </w:r>
          </w:p>
        </w:tc>
        <w:tc>
          <w:tcPr>
            <w:tcW w:w="0" w:type="dxa"/>
            <w:vAlign w:val="bottom"/>
          </w:tcPr>
          <w:p>
            <w:pPr>
              <w:spacing w:after="0"/>
              <w:rPr>
                <w:sz w:val="1"/>
                <w:szCs w:val="1"/>
                <w:color w:val="auto"/>
              </w:rPr>
            </w:pPr>
          </w:p>
        </w:tc>
      </w:tr>
      <w:tr>
        <w:trPr>
          <w:trHeight w:val="27"/>
        </w:trPr>
        <w:tc>
          <w:tcPr>
            <w:tcW w:w="4660" w:type="dxa"/>
            <w:vAlign w:val="bottom"/>
            <w:tcBorders>
              <w:bottom w:val="single" w:sz="8" w:color="CCEEFF"/>
            </w:tcBorders>
          </w:tcPr>
          <w:p>
            <w:pPr>
              <w:spacing w:after="0"/>
              <w:rPr>
                <w:sz w:val="2"/>
                <w:szCs w:val="2"/>
                <w:color w:val="auto"/>
              </w:rPr>
            </w:pPr>
          </w:p>
        </w:tc>
        <w:tc>
          <w:tcPr>
            <w:tcW w:w="2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4660" w:type="dxa"/>
            <w:vAlign w:val="bottom"/>
            <w:shd w:val="clear" w:color="auto" w:fill="CCEEFF"/>
          </w:tcPr>
          <w:p>
            <w:pPr>
              <w:spacing w:after="0"/>
              <w:rPr>
                <w:sz w:val="24"/>
                <w:szCs w:val="24"/>
                <w:color w:val="auto"/>
              </w:rPr>
            </w:pPr>
          </w:p>
        </w:tc>
        <w:tc>
          <w:tcPr>
            <w:tcW w:w="26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660" w:type="dxa"/>
            <w:vAlign w:val="bottom"/>
          </w:tcPr>
          <w:p>
            <w:pPr>
              <w:ind w:left="20"/>
              <w:spacing w:after="0"/>
              <w:rPr>
                <w:sz w:val="20"/>
                <w:szCs w:val="20"/>
                <w:color w:val="auto"/>
              </w:rPr>
            </w:pPr>
            <w:r>
              <w:rPr>
                <w:rFonts w:ascii="Arial" w:cs="Arial" w:eastAsia="Arial" w:hAnsi="Arial"/>
                <w:sz w:val="18"/>
                <w:szCs w:val="18"/>
                <w:b w:val="1"/>
                <w:bCs w:val="1"/>
                <w:color w:val="auto"/>
              </w:rPr>
              <w:t>Net Loss Attributable to Weatherford</w:t>
            </w:r>
          </w:p>
        </w:tc>
        <w:tc>
          <w:tcPr>
            <w:tcW w:w="28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(1,938)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Net Income Attributable to Noncontrolling Interests</w:t>
            </w:r>
          </w:p>
        </w:tc>
        <w:tc>
          <w:tcPr>
            <w:tcW w:w="26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7"/>
        </w:trPr>
        <w:tc>
          <w:tcPr>
            <w:tcW w:w="4660" w:type="dxa"/>
            <w:vAlign w:val="bottom"/>
          </w:tcPr>
          <w:p>
            <w:pPr>
              <w:ind w:left="20"/>
              <w:spacing w:after="0"/>
              <w:rPr>
                <w:sz w:val="20"/>
                <w:szCs w:val="20"/>
                <w:color w:val="auto"/>
              </w:rPr>
            </w:pPr>
            <w:r>
              <w:rPr>
                <w:rFonts w:ascii="Arial" w:cs="Arial" w:eastAsia="Arial" w:hAnsi="Arial"/>
                <w:sz w:val="18"/>
                <w:szCs w:val="18"/>
                <w:b w:val="1"/>
                <w:bCs w:val="1"/>
                <w:color w:val="auto"/>
              </w:rPr>
              <w:t>Net Loss</w:t>
            </w:r>
          </w:p>
        </w:tc>
        <w:tc>
          <w:tcPr>
            <w:tcW w:w="26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Interest Expense, Net</w:t>
            </w:r>
          </w:p>
        </w:tc>
        <w:tc>
          <w:tcPr>
            <w:tcW w:w="26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43"/>
        </w:trPr>
        <w:tc>
          <w:tcPr>
            <w:tcW w:w="4660" w:type="dxa"/>
            <w:vAlign w:val="bottom"/>
          </w:tcPr>
          <w:p>
            <w:pPr>
              <w:ind w:left="260"/>
              <w:spacing w:after="0"/>
              <w:rPr>
                <w:sz w:val="20"/>
                <w:szCs w:val="20"/>
                <w:color w:val="auto"/>
              </w:rPr>
            </w:pPr>
            <w:r>
              <w:rPr>
                <w:rFonts w:ascii="Arial" w:cs="Arial" w:eastAsia="Arial" w:hAnsi="Arial"/>
                <w:sz w:val="18"/>
                <w:szCs w:val="18"/>
                <w:color w:val="auto"/>
              </w:rPr>
              <w:t>Income Tax Provision</w:t>
            </w:r>
          </w:p>
        </w:tc>
        <w:tc>
          <w:tcPr>
            <w:tcW w:w="2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Depreciation and Amortization</w:t>
            </w:r>
          </w:p>
        </w:tc>
        <w:tc>
          <w:tcPr>
            <w:tcW w:w="26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37"/>
        </w:trPr>
        <w:tc>
          <w:tcPr>
            <w:tcW w:w="4660" w:type="dxa"/>
            <w:vAlign w:val="bottom"/>
          </w:tcPr>
          <w:p>
            <w:pPr>
              <w:ind w:left="20"/>
              <w:spacing w:after="0"/>
              <w:rPr>
                <w:sz w:val="20"/>
                <w:szCs w:val="20"/>
                <w:color w:val="auto"/>
              </w:rPr>
            </w:pPr>
            <w:r>
              <w:rPr>
                <w:rFonts w:ascii="Arial" w:cs="Arial" w:eastAsia="Arial" w:hAnsi="Arial"/>
                <w:sz w:val="18"/>
                <w:szCs w:val="18"/>
                <w:b w:val="1"/>
                <w:bCs w:val="1"/>
                <w:color w:val="auto"/>
              </w:rPr>
              <w:t>EBITDA</w:t>
            </w:r>
          </w:p>
        </w:tc>
        <w:tc>
          <w:tcPr>
            <w:tcW w:w="26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4660" w:type="dxa"/>
            <w:vAlign w:val="bottom"/>
            <w:shd w:val="clear" w:color="auto" w:fill="CCEEFF"/>
          </w:tcPr>
          <w:p>
            <w:pPr>
              <w:spacing w:after="0"/>
              <w:rPr>
                <w:sz w:val="24"/>
                <w:szCs w:val="24"/>
                <w:color w:val="auto"/>
              </w:rPr>
            </w:pPr>
          </w:p>
        </w:tc>
        <w:tc>
          <w:tcPr>
            <w:tcW w:w="26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660" w:type="dxa"/>
            <w:vAlign w:val="bottom"/>
          </w:tcPr>
          <w:p>
            <w:pPr>
              <w:ind w:left="20"/>
              <w:spacing w:after="0"/>
              <w:rPr>
                <w:sz w:val="20"/>
                <w:szCs w:val="20"/>
                <w:color w:val="auto"/>
              </w:rPr>
            </w:pPr>
            <w:r>
              <w:rPr>
                <w:rFonts w:ascii="Arial" w:cs="Arial" w:eastAsia="Arial" w:hAnsi="Arial"/>
                <w:sz w:val="18"/>
                <w:szCs w:val="18"/>
                <w:b w:val="1"/>
                <w:bCs w:val="1"/>
                <w:color w:val="auto"/>
              </w:rPr>
              <w:t>Other (Income) Expense Adjustments:</w:t>
            </w:r>
          </w:p>
        </w:tc>
        <w:tc>
          <w:tcPr>
            <w:tcW w:w="2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Warrant Fair Value Adjustment</w:t>
            </w:r>
          </w:p>
        </w:tc>
        <w:tc>
          <w:tcPr>
            <w:tcW w:w="26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43"/>
        </w:trPr>
        <w:tc>
          <w:tcPr>
            <w:tcW w:w="4660" w:type="dxa"/>
            <w:vAlign w:val="bottom"/>
          </w:tcPr>
          <w:p>
            <w:pPr>
              <w:ind w:left="260"/>
              <w:spacing w:after="0"/>
              <w:rPr>
                <w:sz w:val="20"/>
                <w:szCs w:val="20"/>
                <w:color w:val="auto"/>
              </w:rPr>
            </w:pPr>
            <w:r>
              <w:rPr>
                <w:rFonts w:ascii="Arial" w:cs="Arial" w:eastAsia="Arial" w:hAnsi="Arial"/>
                <w:sz w:val="18"/>
                <w:szCs w:val="18"/>
                <w:color w:val="auto"/>
              </w:rPr>
              <w:t>Bond Tender and Call Premium</w:t>
            </w:r>
          </w:p>
        </w:tc>
        <w:tc>
          <w:tcPr>
            <w:tcW w:w="2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Currency Devaluation Charges</w:t>
            </w:r>
          </w:p>
        </w:tc>
        <w:tc>
          <w:tcPr>
            <w:tcW w:w="26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660" w:type="dxa"/>
            <w:vAlign w:val="bottom"/>
          </w:tcPr>
          <w:p>
            <w:pPr>
              <w:ind w:left="260"/>
              <w:spacing w:after="0"/>
              <w:rPr>
                <w:sz w:val="20"/>
                <w:szCs w:val="20"/>
                <w:color w:val="auto"/>
              </w:rPr>
            </w:pPr>
            <w:r>
              <w:rPr>
                <w:rFonts w:ascii="Arial" w:cs="Arial" w:eastAsia="Arial" w:hAnsi="Arial"/>
                <w:sz w:val="18"/>
                <w:szCs w:val="18"/>
                <w:color w:val="auto"/>
              </w:rPr>
              <w:t>Other (Income) Expense, Net</w:t>
            </w:r>
          </w:p>
        </w:tc>
        <w:tc>
          <w:tcPr>
            <w:tcW w:w="2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Restructuring and Transformation Charges</w:t>
            </w:r>
          </w:p>
        </w:tc>
        <w:tc>
          <w:tcPr>
            <w:tcW w:w="26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43"/>
        </w:trPr>
        <w:tc>
          <w:tcPr>
            <w:tcW w:w="4660" w:type="dxa"/>
            <w:vAlign w:val="bottom"/>
          </w:tcPr>
          <w:p>
            <w:pPr>
              <w:ind w:left="260"/>
              <w:spacing w:after="0"/>
              <w:rPr>
                <w:sz w:val="20"/>
                <w:szCs w:val="20"/>
                <w:color w:val="auto"/>
              </w:rPr>
            </w:pPr>
            <w:r>
              <w:rPr>
                <w:rFonts w:ascii="Arial" w:cs="Arial" w:eastAsia="Arial" w:hAnsi="Arial"/>
                <w:sz w:val="18"/>
                <w:szCs w:val="18"/>
                <w:color w:val="auto"/>
              </w:rPr>
              <w:t>Impairments, Asset Write-Downs and Other</w:t>
            </w:r>
          </w:p>
        </w:tc>
        <w:tc>
          <w:tcPr>
            <w:tcW w:w="2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1,681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Litigation Charges, Net</w:t>
            </w:r>
          </w:p>
        </w:tc>
        <w:tc>
          <w:tcPr>
            <w:tcW w:w="26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660" w:type="dxa"/>
            <w:vAlign w:val="bottom"/>
          </w:tcPr>
          <w:p>
            <w:pPr>
              <w:ind w:left="260"/>
              <w:spacing w:after="0"/>
              <w:rPr>
                <w:sz w:val="20"/>
                <w:szCs w:val="20"/>
                <w:color w:val="auto"/>
              </w:rPr>
            </w:pPr>
            <w:r>
              <w:rPr>
                <w:rFonts w:ascii="Arial" w:cs="Arial" w:eastAsia="Arial" w:hAnsi="Arial"/>
                <w:sz w:val="18"/>
                <w:szCs w:val="18"/>
                <w:color w:val="auto"/>
              </w:rPr>
              <w:t>Gain from Dispositions</w:t>
            </w:r>
          </w:p>
        </w:tc>
        <w:tc>
          <w:tcPr>
            <w:tcW w:w="2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660" w:type="dxa"/>
            <w:vAlign w:val="bottom"/>
            <w:tcBorders>
              <w:bottom w:val="single" w:sz="8" w:color="CCEEFF"/>
            </w:tcBorders>
          </w:tcPr>
          <w:p>
            <w:pPr>
              <w:spacing w:after="0"/>
              <w:rPr>
                <w:sz w:val="2"/>
                <w:szCs w:val="2"/>
                <w:color w:val="auto"/>
              </w:rPr>
            </w:pPr>
          </w:p>
        </w:tc>
        <w:tc>
          <w:tcPr>
            <w:tcW w:w="2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w:t>
            </w:r>
          </w:p>
        </w:tc>
        <w:tc>
          <w:tcPr>
            <w:tcW w:w="2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2620" w:type="dxa"/>
            <w:vAlign w:val="bottom"/>
            <w:tcBorders>
              <w:top w:val="single" w:sz="8" w:color="CCEEFF"/>
              <w:bottom w:val="single" w:sz="8" w:color="CCEEFF"/>
            </w:tcBorders>
            <w:vMerge w:val="restart"/>
          </w:tcPr>
          <w:p>
            <w:pPr>
              <w:jc w:val="right"/>
              <w:ind w:right="1510"/>
              <w:spacing w:after="0"/>
              <w:rPr>
                <w:sz w:val="20"/>
                <w:szCs w:val="20"/>
                <w:color w:val="auto"/>
              </w:rPr>
            </w:pPr>
            <w:r>
              <w:rPr>
                <w:rFonts w:ascii="Arial" w:cs="Arial" w:eastAsia="Arial" w:hAnsi="Arial"/>
                <w:sz w:val="18"/>
                <w:szCs w:val="18"/>
                <w:color w:val="auto"/>
              </w:rPr>
              <w:t>10</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2"/>
        </w:trPr>
        <w:tc>
          <w:tcPr>
            <w:tcW w:w="4660" w:type="dxa"/>
            <w:vAlign w:val="bottom"/>
          </w:tcPr>
          <w:p>
            <w:pPr>
              <w:spacing w:after="0"/>
              <w:rPr>
                <w:sz w:val="24"/>
                <w:szCs w:val="24"/>
                <w:color w:val="auto"/>
              </w:rPr>
            </w:pPr>
          </w:p>
        </w:tc>
        <w:tc>
          <w:tcPr>
            <w:tcW w:w="26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360" w:top="742" w:right="339" w:bottom="1440" w:gutter="0" w:footer="0" w:header="0"/>
        </w:sectPr>
      </w:pPr>
    </w:p>
    <w:bookmarkStart w:id="14" w:name="page15"/>
    <w:bookmarkEnd w:id="14"/>
    <w:p>
      <w:pPr>
        <w:jc w:val="center"/>
        <w:ind w:right="80"/>
        <w:spacing w:after="0"/>
        <w:rPr>
          <w:sz w:val="20"/>
          <w:szCs w:val="20"/>
          <w:color w:val="auto"/>
        </w:rPr>
      </w:pPr>
      <w:r>
        <w:rPr>
          <w:rFonts w:ascii="Arial" w:cs="Arial" w:eastAsia="Arial" w:hAnsi="Arial"/>
          <w:sz w:val="18"/>
          <w:szCs w:val="18"/>
          <w:b w:val="1"/>
          <w:bCs w:val="1"/>
          <w:color w:val="auto"/>
        </w:rPr>
        <w:t>Weatherford International plc</w:t>
      </w:r>
    </w:p>
    <w:p>
      <w:pPr>
        <w:spacing w:after="0" w:line="63"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Selected Balance Sheet Data</w:t>
      </w:r>
    </w:p>
    <w:p>
      <w:pPr>
        <w:spacing w:after="0" w:line="67"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(Unaudited)</w:t>
      </w:r>
    </w:p>
    <w:p>
      <w:pPr>
        <w:spacing w:after="0" w:line="63"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(In Millions)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3/31/2018</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b w:val="1"/>
                <w:bCs w:val="1"/>
                <w:color w:val="auto"/>
                <w:w w:val="97"/>
              </w:rPr>
              <w:t>12/31/2017</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9/30/2017</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6/30/2017</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3/31/2017</w:t>
            </w:r>
          </w:p>
        </w:tc>
      </w:tr>
      <w:tr>
        <w:trPr>
          <w:trHeight w:val="27"/>
        </w:trPr>
        <w:tc>
          <w:tcPr>
            <w:tcW w:w="2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24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96"/>
        </w:trPr>
        <w:tc>
          <w:tcPr>
            <w:tcW w:w="20" w:type="dxa"/>
            <w:vAlign w:val="bottom"/>
            <w:shd w:val="clear" w:color="auto" w:fill="CCEEFF"/>
          </w:tcPr>
          <w:p>
            <w:pPr>
              <w:spacing w:after="0"/>
              <w:rPr>
                <w:sz w:val="17"/>
                <w:szCs w:val="17"/>
                <w:color w:val="auto"/>
              </w:rPr>
            </w:pPr>
          </w:p>
        </w:tc>
        <w:tc>
          <w:tcPr>
            <w:tcW w:w="4160" w:type="dxa"/>
            <w:vAlign w:val="bottom"/>
            <w:gridSpan w:val="4"/>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auto"/>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24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r>
      <w:tr>
        <w:trPr>
          <w:trHeight w:val="243"/>
        </w:trPr>
        <w:tc>
          <w:tcPr>
            <w:tcW w:w="20" w:type="dxa"/>
            <w:vAlign w:val="bottom"/>
          </w:tcPr>
          <w:p>
            <w:pPr>
              <w:spacing w:after="0"/>
              <w:rPr>
                <w:sz w:val="21"/>
                <w:szCs w:val="21"/>
                <w:color w:val="auto"/>
              </w:rPr>
            </w:pPr>
          </w:p>
        </w:tc>
        <w:tc>
          <w:tcPr>
            <w:tcW w:w="4160" w:type="dxa"/>
            <w:vAlign w:val="bottom"/>
            <w:gridSpan w:val="4"/>
          </w:tcPr>
          <w:p>
            <w:pPr>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459</w:t>
            </w:r>
          </w:p>
        </w:tc>
        <w:tc>
          <w:tcPr>
            <w:tcW w:w="2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613</w:t>
            </w:r>
          </w:p>
        </w:tc>
        <w:tc>
          <w:tcPr>
            <w:tcW w:w="2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445</w:t>
            </w:r>
          </w:p>
        </w:tc>
        <w:tc>
          <w:tcPr>
            <w:tcW w:w="2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584</w:t>
            </w:r>
          </w:p>
        </w:tc>
        <w:tc>
          <w:tcPr>
            <w:tcW w:w="2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546</w:t>
            </w:r>
          </w:p>
        </w:tc>
      </w:tr>
      <w:tr>
        <w:trPr>
          <w:trHeight w:val="27"/>
        </w:trPr>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1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1,100</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1,103</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1,236</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1,165</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1,292</w:t>
            </w:r>
          </w:p>
        </w:tc>
      </w:tr>
      <w:tr>
        <w:trPr>
          <w:trHeight w:val="243"/>
        </w:trPr>
        <w:tc>
          <w:tcPr>
            <w:tcW w:w="20" w:type="dxa"/>
            <w:vAlign w:val="bottom"/>
          </w:tcPr>
          <w:p>
            <w:pPr>
              <w:spacing w:after="0"/>
              <w:rPr>
                <w:sz w:val="21"/>
                <w:szCs w:val="21"/>
                <w:color w:val="auto"/>
              </w:rPr>
            </w:pPr>
          </w:p>
        </w:tc>
        <w:tc>
          <w:tcPr>
            <w:tcW w:w="4160" w:type="dxa"/>
            <w:vAlign w:val="bottom"/>
            <w:gridSpan w:val="4"/>
          </w:tcPr>
          <w:p>
            <w:pPr>
              <w:spacing w:after="0"/>
              <w:rPr>
                <w:sz w:val="20"/>
                <w:szCs w:val="20"/>
                <w:color w:val="auto"/>
              </w:rPr>
            </w:pPr>
            <w:r>
              <w:rPr>
                <w:rFonts w:ascii="Arial" w:cs="Arial" w:eastAsia="Arial" w:hAnsi="Arial"/>
                <w:sz w:val="18"/>
                <w:szCs w:val="18"/>
                <w:color w:val="auto"/>
              </w:rPr>
              <w:t>Inventories, Net</w:t>
            </w:r>
          </w:p>
        </w:tc>
        <w:tc>
          <w:tcPr>
            <w:tcW w:w="2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1,225</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1,234</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1,752</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1,728</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1,700</w:t>
            </w:r>
          </w:p>
        </w:tc>
      </w:tr>
      <w:tr>
        <w:trPr>
          <w:trHeight w:val="27"/>
        </w:trPr>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1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Assets Held for Sale</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369</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359</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935</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929</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860</w:t>
            </w:r>
          </w:p>
        </w:tc>
      </w:tr>
      <w:tr>
        <w:trPr>
          <w:trHeight w:val="243"/>
        </w:trPr>
        <w:tc>
          <w:tcPr>
            <w:tcW w:w="20" w:type="dxa"/>
            <w:vAlign w:val="bottom"/>
          </w:tcPr>
          <w:p>
            <w:pPr>
              <w:spacing w:after="0"/>
              <w:rPr>
                <w:sz w:val="21"/>
                <w:szCs w:val="21"/>
                <w:color w:val="auto"/>
              </w:rPr>
            </w:pPr>
          </w:p>
        </w:tc>
        <w:tc>
          <w:tcPr>
            <w:tcW w:w="4160" w:type="dxa"/>
            <w:vAlign w:val="bottom"/>
            <w:gridSpan w:val="4"/>
          </w:tcPr>
          <w:p>
            <w:pPr>
              <w:spacing w:after="0"/>
              <w:rPr>
                <w:sz w:val="20"/>
                <w:szCs w:val="20"/>
                <w:color w:val="auto"/>
              </w:rPr>
            </w:pPr>
            <w:r>
              <w:rPr>
                <w:rFonts w:ascii="Arial" w:cs="Arial" w:eastAsia="Arial" w:hAnsi="Arial"/>
                <w:sz w:val="18"/>
                <w:szCs w:val="18"/>
                <w:color w:val="auto"/>
              </w:rPr>
              <w:t>Property, Plant and Equipment, Net</w:t>
            </w:r>
          </w:p>
        </w:tc>
        <w:tc>
          <w:tcPr>
            <w:tcW w:w="2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2,580</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2,708</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3,989</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4,111</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4,265</w:t>
            </w:r>
          </w:p>
        </w:tc>
      </w:tr>
      <w:tr>
        <w:trPr>
          <w:trHeight w:val="27"/>
        </w:trPr>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1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Goodwill and Intangibles, Net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2,968</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2,940</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2,575</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2,527</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2,602</w:t>
            </w:r>
          </w:p>
        </w:tc>
      </w:tr>
      <w:tr>
        <w:trPr>
          <w:trHeight w:val="324"/>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w w:val="92"/>
              </w:rPr>
              <w:t>Liabilities:</w:t>
            </w:r>
          </w:p>
        </w:tc>
        <w:tc>
          <w:tcPr>
            <w:tcW w:w="3320" w:type="dxa"/>
            <w:vAlign w:val="bottom"/>
            <w:tcBorders>
              <w:bottom w:val="single" w:sz="8" w:color="CCEEFF"/>
            </w:tcBorders>
            <w:gridSpan w:val="2"/>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160" w:type="dxa"/>
            <w:vAlign w:val="bottom"/>
            <w:gridSpan w:val="4"/>
          </w:tcPr>
          <w:p>
            <w:pPr>
              <w:spacing w:after="0"/>
              <w:rPr>
                <w:sz w:val="20"/>
                <w:szCs w:val="20"/>
                <w:color w:val="auto"/>
              </w:rPr>
            </w:pPr>
            <w:r>
              <w:rPr>
                <w:rFonts w:ascii="Arial" w:cs="Arial" w:eastAsia="Arial" w:hAnsi="Arial"/>
                <w:sz w:val="18"/>
                <w:szCs w:val="18"/>
                <w:color w:val="auto"/>
              </w:rPr>
              <w:t>Accounts Payable</w:t>
            </w:r>
          </w:p>
        </w:tc>
        <w:tc>
          <w:tcPr>
            <w:tcW w:w="2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809</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856</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815</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837</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803</w:t>
            </w:r>
          </w:p>
        </w:tc>
      </w:tr>
      <w:tr>
        <w:trPr>
          <w:trHeight w:val="27"/>
        </w:trPr>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20" w:type="dxa"/>
            <w:vAlign w:val="bottom"/>
            <w:shd w:val="clear" w:color="auto" w:fill="CCEEFF"/>
          </w:tcPr>
          <w:p>
            <w:pPr>
              <w:spacing w:after="0"/>
              <w:rPr>
                <w:sz w:val="19"/>
                <w:szCs w:val="19"/>
                <w:color w:val="auto"/>
              </w:rPr>
            </w:pPr>
          </w:p>
        </w:tc>
        <w:tc>
          <w:tcPr>
            <w:tcW w:w="41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Short-term Borrowings and Current Portion of Long-</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41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term Debt</w:t>
            </w: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w:t>
            </w:r>
          </w:p>
        </w:tc>
        <w:tc>
          <w:tcPr>
            <w:tcW w:w="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148</w:t>
            </w:r>
          </w:p>
        </w:tc>
        <w:tc>
          <w:tcPr>
            <w:tcW w:w="2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391</w:t>
            </w:r>
          </w:p>
        </w:tc>
        <w:tc>
          <w:tcPr>
            <w:tcW w:w="2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152</w:t>
            </w:r>
          </w:p>
        </w:tc>
        <w:tc>
          <w:tcPr>
            <w:tcW w:w="2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240</w:t>
            </w:r>
          </w:p>
        </w:tc>
      </w:tr>
      <w:tr>
        <w:trPr>
          <w:trHeight w:val="243"/>
        </w:trPr>
        <w:tc>
          <w:tcPr>
            <w:tcW w:w="20" w:type="dxa"/>
            <w:vAlign w:val="bottom"/>
          </w:tcPr>
          <w:p>
            <w:pPr>
              <w:spacing w:after="0"/>
              <w:rPr>
                <w:sz w:val="21"/>
                <w:szCs w:val="21"/>
                <w:color w:val="auto"/>
              </w:rPr>
            </w:pPr>
          </w:p>
        </w:tc>
        <w:tc>
          <w:tcPr>
            <w:tcW w:w="4160" w:type="dxa"/>
            <w:vAlign w:val="bottom"/>
            <w:gridSpan w:val="4"/>
          </w:tcPr>
          <w:p>
            <w:pPr>
              <w:spacing w:after="0"/>
              <w:rPr>
                <w:sz w:val="20"/>
                <w:szCs w:val="20"/>
                <w:color w:val="auto"/>
              </w:rPr>
            </w:pPr>
            <w:r>
              <w:rPr>
                <w:rFonts w:ascii="Arial" w:cs="Arial" w:eastAsia="Arial" w:hAnsi="Arial"/>
                <w:sz w:val="18"/>
                <w:szCs w:val="18"/>
                <w:color w:val="auto"/>
              </w:rPr>
              <w:t>Long-term Debt</w:t>
            </w:r>
          </w:p>
        </w:tc>
        <w:tc>
          <w:tcPr>
            <w:tcW w:w="2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7,639</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7,541</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7,530</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7,538</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7,299</w:t>
            </w:r>
          </w:p>
        </w:tc>
      </w:tr>
      <w:tr>
        <w:trPr>
          <w:trHeight w:val="27"/>
        </w:trPr>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324"/>
        </w:trPr>
        <w:tc>
          <w:tcPr>
            <w:tcW w:w="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24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4160" w:type="dxa"/>
            <w:vAlign w:val="bottom"/>
            <w:gridSpan w:val="4"/>
          </w:tcPr>
          <w:p>
            <w:pPr>
              <w:spacing w:after="0" w:line="202" w:lineRule="exact"/>
              <w:rPr>
                <w:sz w:val="20"/>
                <w:szCs w:val="20"/>
                <w:color w:val="auto"/>
              </w:rPr>
            </w:pPr>
            <w:r>
              <w:rPr>
                <w:rFonts w:ascii="Arial" w:cs="Arial" w:eastAsia="Arial" w:hAnsi="Arial"/>
                <w:sz w:val="18"/>
                <w:szCs w:val="18"/>
                <w:b w:val="1"/>
                <w:bCs w:val="1"/>
                <w:color w:val="auto"/>
              </w:rPr>
              <w:t>Shareholders’ Equity:</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700" w:type="dxa"/>
            <w:vAlign w:val="bottom"/>
            <w:gridSpan w:val="3"/>
            <w:shd w:val="clear" w:color="auto" w:fill="000000"/>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313"/>
        </w:trPr>
        <w:tc>
          <w:tcPr>
            <w:tcW w:w="20" w:type="dxa"/>
            <w:vAlign w:val="bottom"/>
          </w:tcPr>
          <w:p>
            <w:pPr>
              <w:spacing w:after="0"/>
              <w:rPr>
                <w:sz w:val="24"/>
                <w:szCs w:val="24"/>
                <w:color w:val="auto"/>
              </w:rPr>
            </w:pPr>
          </w:p>
        </w:tc>
        <w:tc>
          <w:tcPr>
            <w:tcW w:w="4160" w:type="dxa"/>
            <w:vAlign w:val="bottom"/>
            <w:gridSpan w:val="4"/>
          </w:tcPr>
          <w:p>
            <w:pPr>
              <w:spacing w:after="0"/>
              <w:rPr>
                <w:sz w:val="20"/>
                <w:szCs w:val="20"/>
                <w:color w:val="auto"/>
              </w:rPr>
            </w:pPr>
            <w:r>
              <w:rPr>
                <w:rFonts w:ascii="Arial" w:cs="Arial" w:eastAsia="Arial" w:hAnsi="Arial"/>
                <w:sz w:val="18"/>
                <w:szCs w:val="18"/>
                <w:color w:val="auto"/>
              </w:rPr>
              <w:t xml:space="preserve">Total Shareholders’ Equity </w:t>
            </w:r>
            <w:r>
              <w:rPr>
                <w:rFonts w:ascii="Arial" w:cs="Arial" w:eastAsia="Arial" w:hAnsi="Arial"/>
                <w:sz w:val="25"/>
                <w:szCs w:val="25"/>
                <w:color w:val="auto"/>
                <w:vertAlign w:val="superscript"/>
              </w:rPr>
              <w:t>(a)</w:t>
            </w: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(898)</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(571)</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1,384</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1,524</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1,691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-168275</wp:posOffset>
            </wp:positionV>
            <wp:extent cx="7160895"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895" cy="171450"/>
                    </a:xfrm>
                    <a:prstGeom prst="rect">
                      <a:avLst/>
                    </a:prstGeom>
                    <a:noFill/>
                  </pic:spPr>
                </pic:pic>
              </a:graphicData>
            </a:graphic>
          </wp:anchor>
        </w:drawing>
      </w:r>
    </w:p>
    <w:p>
      <w:pPr>
        <w:jc w:val="both"/>
        <w:ind w:left="420" w:hanging="330"/>
        <w:spacing w:after="0" w:line="239" w:lineRule="auto"/>
        <w:tabs>
          <w:tab w:leader="none" w:pos="420" w:val="left"/>
        </w:tabs>
        <w:numPr>
          <w:ilvl w:val="0"/>
          <w:numId w:val="8"/>
        </w:numPr>
        <w:rPr>
          <w:rFonts w:ascii="Arial" w:cs="Arial" w:eastAsia="Arial" w:hAnsi="Arial"/>
          <w:sz w:val="13"/>
          <w:szCs w:val="13"/>
          <w:color w:val="auto"/>
        </w:rPr>
      </w:pPr>
      <w:r>
        <w:rPr>
          <w:rFonts w:ascii="Arial" w:cs="Arial" w:eastAsia="Arial" w:hAnsi="Arial"/>
          <w:sz w:val="13"/>
          <w:szCs w:val="13"/>
          <w:color w:val="auto"/>
        </w:rPr>
        <w:t>On January 1, 2018, we adopted the accounting standard related to taxes on intra-entity transfers of non-inventory assets on a modified retrospective basis and the impact from this adoption was to record the previously recorded prepaid taxes as an adjustment to retained earnings. In addition we also adopted the revenue recognition accounting standard and recorded the cumulative effect of the changes made to our consolidated balance sheet as an adjustment to retained earnings.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40"/>
          </w:cols>
          <w:pgMar w:left="320" w:top="742" w:right="239" w:bottom="1440" w:gutter="0" w:footer="0" w:header="0"/>
        </w:sectPr>
      </w:pPr>
    </w:p>
    <w:bookmarkStart w:id="15" w:name="page16"/>
    <w:bookmarkEnd w:id="15"/>
    <w:tbl>
      <w:tblPr>
        <w:tblLayout w:type="fixed"/>
        <w:tblInd w:w="12" w:type="dxa"/>
        <w:tblCellMar>
          <w:top w:w="0" w:type="dxa"/>
          <w:left w:w="0" w:type="dxa"/>
          <w:bottom w:w="0" w:type="dxa"/>
          <w:right w:w="0" w:type="dxa"/>
        </w:tblCellMar>
      </w:tblPr>
      <w:tr>
        <w:trPr>
          <w:trHeight w:val="234"/>
        </w:trPr>
        <w:tc>
          <w:tcPr>
            <w:tcW w:w="7080" w:type="dxa"/>
            <w:vAlign w:val="bottom"/>
          </w:tcPr>
          <w:p>
            <w:pPr>
              <w:jc w:val="center"/>
              <w:ind w:left="4210"/>
              <w:spacing w:after="0"/>
              <w:rPr>
                <w:sz w:val="20"/>
                <w:szCs w:val="20"/>
                <w:color w:val="auto"/>
              </w:rPr>
            </w:pPr>
            <w:r>
              <w:rPr>
                <w:rFonts w:ascii="Arial" w:cs="Arial" w:eastAsia="Arial" w:hAnsi="Arial"/>
                <w:sz w:val="18"/>
                <w:szCs w:val="18"/>
                <w:b w:val="1"/>
                <w:bCs w:val="1"/>
                <w:color w:val="auto"/>
                <w:w w:val="93"/>
              </w:rPr>
              <w:t>Weatherford International plc</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10"/>
        </w:trPr>
        <w:tc>
          <w:tcPr>
            <w:tcW w:w="7080" w:type="dxa"/>
            <w:vAlign w:val="bottom"/>
          </w:tcPr>
          <w:p>
            <w:pPr>
              <w:jc w:val="center"/>
              <w:ind w:left="4230"/>
              <w:spacing w:after="0"/>
              <w:rPr>
                <w:sz w:val="20"/>
                <w:szCs w:val="20"/>
                <w:color w:val="auto"/>
              </w:rPr>
            </w:pPr>
            <w:r>
              <w:rPr>
                <w:rFonts w:ascii="Arial" w:cs="Arial" w:eastAsia="Arial" w:hAnsi="Arial"/>
                <w:sz w:val="18"/>
                <w:szCs w:val="18"/>
                <w:b w:val="1"/>
                <w:bCs w:val="1"/>
                <w:color w:val="auto"/>
                <w:w w:val="88"/>
              </w:rPr>
              <w:t xml:space="preserve">Net Debt </w:t>
            </w:r>
            <w:r>
              <w:rPr>
                <w:rFonts w:ascii="Arial" w:cs="Arial" w:eastAsia="Arial" w:hAnsi="Arial"/>
                <w:sz w:val="25"/>
                <w:szCs w:val="25"/>
                <w:b w:val="1"/>
                <w:bCs w:val="1"/>
                <w:color w:val="auto"/>
                <w:w w:val="88"/>
                <w:vertAlign w:val="superscript"/>
              </w:rPr>
              <w:t>(a)</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30"/>
        </w:trPr>
        <w:tc>
          <w:tcPr>
            <w:tcW w:w="7080" w:type="dxa"/>
            <w:vAlign w:val="bottom"/>
          </w:tcPr>
          <w:p>
            <w:pPr>
              <w:jc w:val="center"/>
              <w:ind w:left="4210"/>
              <w:spacing w:after="0"/>
              <w:rPr>
                <w:sz w:val="20"/>
                <w:szCs w:val="20"/>
                <w:color w:val="auto"/>
              </w:rPr>
            </w:pPr>
            <w:r>
              <w:rPr>
                <w:rFonts w:ascii="Arial" w:cs="Arial" w:eastAsia="Arial" w:hAnsi="Arial"/>
                <w:sz w:val="18"/>
                <w:szCs w:val="18"/>
                <w:color w:val="auto"/>
                <w:w w:val="91"/>
              </w:rPr>
              <w:t>(Unaudited)</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0"/>
        </w:trPr>
        <w:tc>
          <w:tcPr>
            <w:tcW w:w="7080" w:type="dxa"/>
            <w:vAlign w:val="bottom"/>
          </w:tcPr>
          <w:p>
            <w:pPr>
              <w:jc w:val="center"/>
              <w:ind w:left="4230"/>
              <w:spacing w:after="0"/>
              <w:rPr>
                <w:sz w:val="20"/>
                <w:szCs w:val="20"/>
                <w:color w:val="auto"/>
              </w:rPr>
            </w:pPr>
            <w:r>
              <w:rPr>
                <w:rFonts w:ascii="Arial" w:cs="Arial" w:eastAsia="Arial" w:hAnsi="Arial"/>
                <w:sz w:val="18"/>
                <w:szCs w:val="18"/>
                <w:color w:val="auto"/>
                <w:w w:val="99"/>
              </w:rPr>
              <w:t>(In Millions)</w:t>
            </w: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162"/>
        </w:trPr>
        <w:tc>
          <w:tcPr>
            <w:tcW w:w="7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50"/>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Change in Net Debt for the Three Months Ended 3/31/2018:</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70"/>
        </w:trPr>
        <w:tc>
          <w:tcPr>
            <w:tcW w:w="7080" w:type="dxa"/>
            <w:vAlign w:val="bottom"/>
          </w:tcPr>
          <w:p>
            <w:pPr>
              <w:ind w:left="160"/>
              <w:spacing w:after="0" w:line="270" w:lineRule="exact"/>
              <w:rPr>
                <w:sz w:val="20"/>
                <w:szCs w:val="20"/>
                <w:color w:val="auto"/>
              </w:rPr>
            </w:pPr>
            <w:r>
              <w:rPr>
                <w:rFonts w:ascii="Arial" w:cs="Arial" w:eastAsia="Arial" w:hAnsi="Arial"/>
                <w:sz w:val="18"/>
                <w:szCs w:val="18"/>
                <w:color w:val="auto"/>
              </w:rPr>
              <w:t xml:space="preserve">Net Debt at 12/31/2017 </w:t>
            </w:r>
            <w:r>
              <w:rPr>
                <w:rFonts w:ascii="Arial" w:cs="Arial" w:eastAsia="Arial" w:hAnsi="Arial"/>
                <w:sz w:val="25"/>
                <w:szCs w:val="25"/>
                <w:color w:val="auto"/>
                <w:vertAlign w:val="superscript"/>
              </w:rPr>
              <w:t>(a)</w:t>
            </w: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(7,076)</w:t>
            </w: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Loss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147</w:t>
            </w: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Capital Expenditures for Property, Plant and Equipment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Capital Expenditures for Assets Held for Sale</w:t>
            </w: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Proceeds from Sale of Assets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Acquisition of Intangibles</w:t>
            </w: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708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 xml:space="preserve">Increase in Working Capital </w:t>
            </w:r>
            <w:r>
              <w:rPr>
                <w:rFonts w:ascii="Arial" w:cs="Arial" w:eastAsia="Arial" w:hAnsi="Arial"/>
                <w:sz w:val="25"/>
                <w:szCs w:val="25"/>
                <w:color w:val="auto"/>
                <w:vertAlign w:val="superscript"/>
              </w:rPr>
              <w:t>(b)</w:t>
            </w: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Other Financing Activities</w:t>
            </w: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Litigation and Settlements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Income Taxes Paid</w:t>
            </w: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Paid</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w:t>
            </w: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7"/>
        </w:trPr>
        <w:tc>
          <w:tcPr>
            <w:tcW w:w="70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7080" w:type="dxa"/>
            <w:vAlign w:val="bottom"/>
            <w:tcBorders>
              <w:bottom w:val="single" w:sz="8" w:color="CCEEFF"/>
            </w:tcBorders>
            <w:shd w:val="clear" w:color="auto" w:fill="CCEEFF"/>
          </w:tcPr>
          <w:p>
            <w:pPr>
              <w:ind w:left="160"/>
              <w:spacing w:after="0" w:line="264" w:lineRule="exact"/>
              <w:rPr>
                <w:sz w:val="20"/>
                <w:szCs w:val="20"/>
                <w:color w:val="auto"/>
              </w:rPr>
            </w:pPr>
            <w:r>
              <w:rPr>
                <w:rFonts w:ascii="Arial" w:cs="Arial" w:eastAsia="Arial" w:hAnsi="Arial"/>
                <w:sz w:val="18"/>
                <w:szCs w:val="18"/>
                <w:color w:val="auto"/>
              </w:rPr>
              <w:t xml:space="preserve">Net Debt at 3/31/2018 </w:t>
            </w:r>
            <w:r>
              <w:rPr>
                <w:rFonts w:ascii="Arial" w:cs="Arial" w:eastAsia="Arial" w:hAnsi="Arial"/>
                <w:sz w:val="25"/>
                <w:szCs w:val="25"/>
                <w:color w:val="auto"/>
                <w:vertAlign w:val="superscript"/>
              </w:rPr>
              <w:t>(a)</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(7,333)</w:t>
            </w:r>
          </w:p>
        </w:tc>
      </w:tr>
      <w:tr>
        <w:trPr>
          <w:trHeight w:val="20"/>
        </w:trPr>
        <w:tc>
          <w:tcPr>
            <w:tcW w:w="7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97"/>
        </w:trPr>
        <w:tc>
          <w:tcPr>
            <w:tcW w:w="70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r>
      <w:tr>
        <w:trPr>
          <w:trHeight w:val="264"/>
        </w:trPr>
        <w:tc>
          <w:tcPr>
            <w:tcW w:w="7080" w:type="dxa"/>
            <w:vAlign w:val="bottom"/>
            <w:shd w:val="clear" w:color="auto" w:fill="CCEEFF"/>
          </w:tcPr>
          <w:p>
            <w:pPr>
              <w:ind w:left="20"/>
              <w:spacing w:after="0" w:line="264" w:lineRule="exact"/>
              <w:rPr>
                <w:sz w:val="20"/>
                <w:szCs w:val="20"/>
                <w:color w:val="auto"/>
              </w:rPr>
            </w:pPr>
            <w:r>
              <w:rPr>
                <w:rFonts w:ascii="Arial" w:cs="Arial" w:eastAsia="Arial" w:hAnsi="Arial"/>
                <w:sz w:val="18"/>
                <w:szCs w:val="18"/>
                <w:b w:val="1"/>
                <w:bCs w:val="1"/>
                <w:color w:val="auto"/>
              </w:rPr>
              <w:t xml:space="preserve">Components of Net Debt </w:t>
            </w:r>
            <w:r>
              <w:rPr>
                <w:rFonts w:ascii="Arial" w:cs="Arial" w:eastAsia="Arial" w:hAnsi="Arial"/>
                <w:sz w:val="25"/>
                <w:szCs w:val="25"/>
                <w:color w:val="auto"/>
                <w:vertAlign w:val="superscript"/>
              </w:rPr>
              <w:t>(a)</w:t>
            </w:r>
          </w:p>
        </w:tc>
        <w:tc>
          <w:tcPr>
            <w:tcW w:w="22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99"/>
              </w:rPr>
              <w:t>3/31/2018</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7"/>
              </w:rPr>
              <w:t>12/31/2017</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99"/>
              </w:rPr>
              <w:t>3/31/2017</w:t>
            </w:r>
          </w:p>
        </w:tc>
      </w:tr>
      <w:tr>
        <w:trPr>
          <w:trHeight w:val="237"/>
        </w:trPr>
        <w:tc>
          <w:tcPr>
            <w:tcW w:w="7080" w:type="dxa"/>
            <w:vAlign w:val="bottom"/>
          </w:tcPr>
          <w:p>
            <w:pPr>
              <w:ind w:left="280"/>
              <w:spacing w:after="0"/>
              <w:rPr>
                <w:sz w:val="20"/>
                <w:szCs w:val="20"/>
                <w:color w:val="auto"/>
              </w:rPr>
            </w:pPr>
            <w:r>
              <w:rPr>
                <w:rFonts w:ascii="Arial" w:cs="Arial" w:eastAsia="Arial" w:hAnsi="Arial"/>
                <w:sz w:val="18"/>
                <w:szCs w:val="18"/>
                <w:color w:val="auto"/>
              </w:rPr>
              <w:t>Cash</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459</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613</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546</w:t>
            </w: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Short-term Borrowings and Current Portion of Long-term Debt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w:t>
            </w: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Long-term Debt</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(7,639)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(7,541)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(7,299)</w:t>
            </w:r>
          </w:p>
        </w:tc>
      </w:tr>
      <w:tr>
        <w:trPr>
          <w:trHeight w:val="27"/>
        </w:trPr>
        <w:tc>
          <w:tcPr>
            <w:tcW w:w="7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7080" w:type="dxa"/>
            <w:vAlign w:val="bottom"/>
            <w:tcBorders>
              <w:bottom w:val="single" w:sz="8" w:color="CCEEFF"/>
            </w:tcBorders>
            <w:shd w:val="clear" w:color="auto" w:fill="CCEEFF"/>
          </w:tcPr>
          <w:p>
            <w:pPr>
              <w:ind w:left="280"/>
              <w:spacing w:after="0" w:line="264" w:lineRule="exact"/>
              <w:rPr>
                <w:sz w:val="20"/>
                <w:szCs w:val="20"/>
                <w:color w:val="auto"/>
              </w:rPr>
            </w:pPr>
            <w:r>
              <w:rPr>
                <w:rFonts w:ascii="Arial" w:cs="Arial" w:eastAsia="Arial" w:hAnsi="Arial"/>
                <w:sz w:val="18"/>
                <w:szCs w:val="18"/>
                <w:color w:val="auto"/>
              </w:rPr>
              <w:t xml:space="preserve">Net Debt </w:t>
            </w:r>
            <w:r>
              <w:rPr>
                <w:rFonts w:ascii="Arial" w:cs="Arial" w:eastAsia="Arial" w:hAnsi="Arial"/>
                <w:sz w:val="25"/>
                <w:szCs w:val="25"/>
                <w:color w:val="auto"/>
                <w:vertAlign w:val="superscript"/>
              </w:rPr>
              <w:t>(a)</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(6,993)</w:t>
            </w:r>
          </w:p>
        </w:tc>
      </w:tr>
    </w:tbl>
    <w:p>
      <w:pPr>
        <w:ind w:left="172" w:hanging="172"/>
        <w:spacing w:after="0" w:line="216" w:lineRule="auto"/>
        <w:tabs>
          <w:tab w:leader="none" w:pos="172" w:val="left"/>
        </w:tabs>
        <w:numPr>
          <w:ilvl w:val="0"/>
          <w:numId w:val="9"/>
        </w:numPr>
        <w:rPr>
          <w:rFonts w:ascii="Arial" w:cs="Arial" w:eastAsia="Arial" w:hAnsi="Arial"/>
          <w:sz w:val="21"/>
          <w:szCs w:val="21"/>
          <w:color w:val="auto"/>
          <w:vertAlign w:val="superscript"/>
        </w:rPr>
      </w:pPr>
      <w:r>
        <w:rPr>
          <w:rFonts w:ascii="Arial" w:cs="Arial" w:eastAsia="Arial" w:hAnsi="Arial"/>
          <w:sz w:val="12"/>
          <w:szCs w:val="12"/>
          <w:color w:val="auto"/>
        </w:rPr>
        <w:t>“Net Debt” is defined as debt less cash. Management believes that it provides useful information regarding our level of indebtedness by reflecting cash that could be used to repay debt.</w:t>
      </w:r>
    </w:p>
    <w:p>
      <w:pPr>
        <w:spacing w:after="0" w:line="46" w:lineRule="exact"/>
        <w:rPr>
          <w:rFonts w:ascii="Arial" w:cs="Arial" w:eastAsia="Arial" w:hAnsi="Arial"/>
          <w:sz w:val="21"/>
          <w:szCs w:val="21"/>
          <w:color w:val="auto"/>
          <w:vertAlign w:val="superscript"/>
        </w:rPr>
      </w:pPr>
    </w:p>
    <w:p>
      <w:pPr>
        <w:ind w:left="172" w:hanging="172"/>
        <w:spacing w:after="0" w:line="187" w:lineRule="auto"/>
        <w:tabs>
          <w:tab w:leader="none" w:pos="172" w:val="left"/>
        </w:tabs>
        <w:numPr>
          <w:ilvl w:val="0"/>
          <w:numId w:val="9"/>
        </w:numPr>
        <w:rPr>
          <w:rFonts w:ascii="Arial" w:cs="Arial" w:eastAsia="Arial" w:hAnsi="Arial"/>
          <w:sz w:val="19"/>
          <w:szCs w:val="19"/>
          <w:color w:val="auto"/>
          <w:vertAlign w:val="superscript"/>
        </w:rPr>
      </w:pPr>
      <w:r>
        <w:rPr>
          <w:rFonts w:ascii="Arial" w:cs="Arial" w:eastAsia="Arial" w:hAnsi="Arial"/>
          <w:sz w:val="11"/>
          <w:szCs w:val="11"/>
          <w:color w:val="auto"/>
        </w:rPr>
        <w:t>Working capital is defined as accounts receivable plus inventory less 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4502150</wp:posOffset>
            </wp:positionH>
            <wp:positionV relativeFrom="paragraph">
              <wp:posOffset>-266065</wp:posOffset>
            </wp:positionV>
            <wp:extent cx="27355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spacing w:after="0" w:line="39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12</w:t>
      </w:r>
    </w:p>
    <w:sectPr>
      <w:pgSz w:w="11900" w:h="16838" w:orient="portrait"/>
      <w:cols w:equalWidth="0" w:num="1">
        <w:col w:w="11392"/>
      </w:cols>
      <w:pgMar w:left="248" w:top="742"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lowerLetter"/>
      <w:start w:val="4"/>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2019-12-28T23:02:45Z</dcterms:created>
  <dcterms:modified xsi:type="dcterms:W3CDTF">2019-12-28T23:02:45Z</dcterms:modified>
</cp:coreProperties>
</file>