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41" w:right="239" w:bottom="1440" w:gutter="0" w:footer="0" w:header="0"/>
        </w:sectPr>
      </w:pP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180" w:space="720"/>
            <w:col w:w="2740" w:space="720"/>
            <w:col w:w="3060"/>
          </w:cols>
          <w:pgMar w:left="240" w:top="841" w:right="23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841" w:right="23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Weststrasse 1, 6340 Baar, Switzerland</w:t>
      </w:r>
    </w:p>
    <w:p>
      <w:pPr>
        <w:spacing w:after="0" w:line="50"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CH 6340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841"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+41.22.816.1500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Shares, par value $0.001 per share</w:t>
            </w:r>
          </w:p>
        </w:tc>
        <w:tc>
          <w:tcPr>
            <w:tcW w:w="12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WFTIQ</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340"/>
        <w:spacing w:after="0" w:line="207" w:lineRule="exact"/>
        <w:tabs>
          <w:tab w:leader="none" w:pos="3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854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As previously disclosed, on July 1, 2019, Weatherford International plc (the “Company”), Weatherford International Ltd. and Weatherford International, LLC (collectively, with the Company, the “Debtors”), commenced voluntary cases (the “Cases”) under Chapter 11 of the United States Bankruptcy Code in the U.S. Bankruptcy Court for the Southern District of Texas (the “Bankruptcy Court”) and filed the Debtors’ prepackaged plan of reorganization with the Bankruptcy Court. On July 2, 2019, the Bankruptcy Court entered an order approving the joint administration of the Cases under the caption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Weatherford International plc, et al.</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September 20, 2019, the Debtors filed their monthly operating report, which included financial information as of August 31, 2019 and for the period covering August 1, 2019 through August 31, 2019 (the “Monthly Operating Report”) with the Bankruptcy Court. The Monthly Operating Report is attached hereto as Exhibit 99.1 and is incorporated herein by reference.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information contained in this Item 7.01, including in Exhibit 99.1,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the Monthly Operating Report</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cautions investors and potential investors not to place undue reliance upon the information contained in the Monthly Operating Report, which was not prepared for the purpose of providing the basis for an investment decision relating to any of the securities of the Company. The Monthly Operating Report is limited in scope, covers limited time periods, and has been prepared solely for the purpose of complying with the monthly reporting requirements of the Bankruptcy Court. The Monthly Operating Report was not audited or reviewed by independent accountants, was not prepared in accordance with U.S. generally accepted accounting principles, is in a format prescribed by applicable bankruptcy laws, and is subject to future adjustment and reconciliation. There can be no assurance that, from the perspective of an investor or potential investor in the Company’s securities, the Monthly Operating Report is complete. The Monthly Operating Report also contains information for a period which is shorter and otherwise different from those required in the Company’s periodic reports pursuant to the Exchange Act, and such information might not be indicative of the Company’s financial condition or operating results for a period that would be reflected in the Company’s financial statements or in its reports pursuant to the Exchange Act. Information set forth in the Monthly Operating Report should not be viewed as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risks attendant to the bankruptcy process, the outcomes of Bankruptcy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restrictions on us due to the terms of any debtor-in-possession credit facility that we have entered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1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Exhibit</w:t>
            </w:r>
          </w:p>
        </w:tc>
        <w:tc>
          <w:tcPr>
            <w:tcW w:w="7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9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10460" w:type="dxa"/>
            <w:vAlign w:val="bottom"/>
            <w:gridSpan w:val="3"/>
          </w:tcPr>
          <w:p>
            <w:pPr>
              <w:ind w:left="4300"/>
              <w:spacing w:after="0"/>
              <w:rPr>
                <w:sz w:val="20"/>
                <w:szCs w:val="20"/>
                <w:color w:val="auto"/>
              </w:rPr>
            </w:pPr>
            <w:r>
              <w:rPr>
                <w:rFonts w:ascii="Arial" w:cs="Arial" w:eastAsia="Arial" w:hAnsi="Arial"/>
                <w:sz w:val="18"/>
                <w:szCs w:val="18"/>
                <w:b w:val="1"/>
                <w:bCs w:val="1"/>
                <w:color w:val="auto"/>
              </w:rPr>
              <w:t>Description</w:t>
            </w:r>
          </w:p>
        </w:tc>
      </w:tr>
      <w:tr>
        <w:trPr>
          <w:trHeight w:val="223"/>
        </w:trPr>
        <w:tc>
          <w:tcPr>
            <w:tcW w:w="92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0" w:type="dxa"/>
            <w:vAlign w:val="bottom"/>
          </w:tcPr>
          <w:p>
            <w:pPr>
              <w:spacing w:after="0"/>
              <w:rPr>
                <w:sz w:val="19"/>
                <w:szCs w:val="19"/>
                <w:color w:val="auto"/>
              </w:rPr>
            </w:pPr>
          </w:p>
        </w:tc>
        <w:tc>
          <w:tcPr>
            <w:tcW w:w="10460" w:type="dxa"/>
            <w:vAlign w:val="bottom"/>
            <w:tcBorders>
              <w:top w:val="single" w:sz="8" w:color="auto"/>
            </w:tcBorders>
            <w:gridSpan w:val="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Monthly Operating Report as of August 31, 2019 and for the period covering August 1, 2019 through August 31, 2019, as filed with the United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States Bankruptcy Court for the Southern District of Texas, Houston Division on September 20, 2019.</w:t>
              </w:r>
            </w:hyperlink>
          </w:p>
        </w:tc>
        <w:tc>
          <w:tcPr>
            <w:tcW w:w="29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r>
      <w:tr>
        <w:trPr>
          <w:trHeight w:val="291"/>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2019</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Christina M. Ibrahim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Executive Vice President, General Counsel, Chief Compliance Officer</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4" w:name="page5"/>
    <w:bookmarkEnd w:id="4"/>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89165" cy="6148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614870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51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95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51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95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25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92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6520815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25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592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25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92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25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92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34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34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25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92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934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9347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2019-12-28T06:09:01Z</dcterms:created>
  <dcterms:modified xsi:type="dcterms:W3CDTF">2019-12-28T06:09:01Z</dcterms:modified>
</cp:coreProperties>
</file>